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2D4EF" w14:textId="77777777" w:rsidR="00A8408B" w:rsidRPr="00C8300B" w:rsidRDefault="00A8408B" w:rsidP="003F3DC2">
      <w:pPr>
        <w:pStyle w:val="MDPI11articletype"/>
      </w:pPr>
      <w:r w:rsidRPr="00C8300B">
        <w:t>Article</w:t>
      </w:r>
    </w:p>
    <w:p w14:paraId="04D7E783" w14:textId="67D9C968" w:rsidR="00244745" w:rsidRPr="00C8300B" w:rsidRDefault="00244745" w:rsidP="003F3DC2">
      <w:pPr>
        <w:pStyle w:val="MDPI12title"/>
      </w:pPr>
      <w:r w:rsidRPr="00C8300B">
        <w:t xml:space="preserve">Adaptive </w:t>
      </w:r>
      <w:r w:rsidR="00CC4EDF" w:rsidRPr="00C8300B">
        <w:t xml:space="preserve">Goal Processes </w:t>
      </w:r>
      <w:r w:rsidRPr="00C8300B">
        <w:t xml:space="preserve">and </w:t>
      </w:r>
      <w:r w:rsidR="00CC4EDF" w:rsidRPr="00C8300B">
        <w:t xml:space="preserve">Underlying Motives That Sustain Mental Wellbeing </w:t>
      </w:r>
      <w:r w:rsidRPr="00C8300B">
        <w:t xml:space="preserve">and New Year </w:t>
      </w:r>
      <w:r w:rsidR="00CC4EDF" w:rsidRPr="00C8300B">
        <w:t>Exercise Resolutions</w:t>
      </w:r>
    </w:p>
    <w:tbl>
      <w:tblPr>
        <w:tblpPr w:leftFromText="198" w:rightFromText="198" w:vertAnchor="page" w:horzAnchor="margin" w:tblpY="9368"/>
        <w:tblW w:w="2409" w:type="dxa"/>
        <w:tblLayout w:type="fixed"/>
        <w:tblCellMar>
          <w:left w:w="0" w:type="dxa"/>
          <w:right w:w="0" w:type="dxa"/>
        </w:tblCellMar>
        <w:tblLook w:val="04A0" w:firstRow="1" w:lastRow="0" w:firstColumn="1" w:lastColumn="0" w:noHBand="0" w:noVBand="1"/>
      </w:tblPr>
      <w:tblGrid>
        <w:gridCol w:w="2409"/>
      </w:tblGrid>
      <w:tr w:rsidR="007A754C" w:rsidRPr="00C8300B" w14:paraId="3A8F208A" w14:textId="77777777" w:rsidTr="007A754C">
        <w:trPr>
          <w:cantSplit/>
        </w:trPr>
        <w:tc>
          <w:tcPr>
            <w:tcW w:w="2409" w:type="dxa"/>
            <w:shd w:val="clear" w:color="auto" w:fill="auto"/>
          </w:tcPr>
          <w:p w14:paraId="66229F3B" w14:textId="77777777" w:rsidR="007A754C" w:rsidRPr="00C8300B" w:rsidRDefault="007A754C" w:rsidP="007A754C">
            <w:pPr>
              <w:pStyle w:val="MDPI61Citation"/>
              <w:rPr>
                <w:lang w:eastAsia="en-US"/>
              </w:rPr>
            </w:pPr>
            <w:r w:rsidRPr="00D17656">
              <w:rPr>
                <w:b/>
                <w:lang w:eastAsia="en-US"/>
              </w:rPr>
              <w:t>Citation:</w:t>
            </w:r>
            <w:r w:rsidRPr="00C8300B">
              <w:rPr>
                <w:lang w:eastAsia="en-US"/>
              </w:rPr>
              <w:t xml:space="preserve"> Dickson, J.M.; Hart, A.; Fox-Harding, C.; Huntley, C.D. Adaptive Goal Processes and </w:t>
            </w:r>
            <w:r>
              <w:rPr>
                <w:lang w:eastAsia="en-US"/>
              </w:rPr>
              <w:br/>
            </w:r>
            <w:r w:rsidRPr="00C8300B">
              <w:rPr>
                <w:lang w:eastAsia="en-US"/>
              </w:rPr>
              <w:t xml:space="preserve">Underlying Motives That Sustain Mental Wellbeing and New Year </w:t>
            </w:r>
            <w:r>
              <w:rPr>
                <w:lang w:eastAsia="en-US"/>
              </w:rPr>
              <w:br/>
            </w:r>
            <w:r w:rsidRPr="00C8300B">
              <w:rPr>
                <w:lang w:eastAsia="en-US"/>
              </w:rPr>
              <w:t xml:space="preserve">Exercise Resolutions. </w:t>
            </w:r>
            <w:r w:rsidRPr="00C8300B">
              <w:rPr>
                <w:i/>
                <w:lang w:eastAsia="en-US"/>
              </w:rPr>
              <w:t xml:space="preserve">Int. J. Environ. Res. Public Health </w:t>
            </w:r>
            <w:r w:rsidRPr="00C8300B">
              <w:rPr>
                <w:b/>
                <w:lang w:eastAsia="en-US"/>
              </w:rPr>
              <w:t>202</w:t>
            </w:r>
            <w:r>
              <w:rPr>
                <w:b/>
                <w:lang w:eastAsia="en-US"/>
              </w:rPr>
              <w:t>3</w:t>
            </w:r>
            <w:r w:rsidRPr="00C8300B">
              <w:rPr>
                <w:lang w:eastAsia="en-US"/>
              </w:rPr>
              <w:t xml:space="preserve">, </w:t>
            </w:r>
            <w:r>
              <w:rPr>
                <w:i/>
                <w:lang w:eastAsia="en-US"/>
              </w:rPr>
              <w:t>20</w:t>
            </w:r>
            <w:r w:rsidRPr="00C8300B">
              <w:rPr>
                <w:lang w:eastAsia="en-US"/>
              </w:rPr>
              <w:t>, x. https://doi.org/10.3390/xxxxx</w:t>
            </w:r>
          </w:p>
          <w:p w14:paraId="59438954" w14:textId="77777777" w:rsidR="007A754C" w:rsidRPr="00C8300B" w:rsidRDefault="007A754C" w:rsidP="007A754C">
            <w:pPr>
              <w:pStyle w:val="MDPI15academiceditor"/>
              <w:spacing w:before="120" w:after="120"/>
              <w:rPr>
                <w:color w:val="auto"/>
              </w:rPr>
            </w:pPr>
            <w:r w:rsidRPr="007A754C">
              <w:rPr>
                <w:color w:val="auto"/>
              </w:rPr>
              <w:t>Academic Editor(s</w:t>
            </w:r>
            <w:proofErr w:type="gramStart"/>
            <w:r w:rsidRPr="007A754C">
              <w:rPr>
                <w:color w:val="auto"/>
              </w:rPr>
              <w:t>):Paul</w:t>
            </w:r>
            <w:proofErr w:type="gramEnd"/>
            <w:r w:rsidRPr="007A754C">
              <w:rPr>
                <w:color w:val="auto"/>
              </w:rPr>
              <w:t xml:space="preserve"> B. </w:t>
            </w:r>
            <w:proofErr w:type="spellStart"/>
            <w:r w:rsidRPr="007A754C">
              <w:rPr>
                <w:color w:val="auto"/>
              </w:rPr>
              <w:t>Tchounwou</w:t>
            </w:r>
            <w:proofErr w:type="spellEnd"/>
            <w:r w:rsidRPr="007A754C">
              <w:rPr>
                <w:color w:val="auto"/>
              </w:rPr>
              <w:t xml:space="preserve"> </w:t>
            </w:r>
            <w:r w:rsidRPr="00C8300B">
              <w:rPr>
                <w:color w:val="auto"/>
              </w:rPr>
              <w:t xml:space="preserve"> </w:t>
            </w:r>
          </w:p>
          <w:p w14:paraId="0EF82EC4" w14:textId="77777777" w:rsidR="007A754C" w:rsidRPr="00C8300B" w:rsidRDefault="007A754C" w:rsidP="007A754C">
            <w:pPr>
              <w:pStyle w:val="MDPI14history"/>
              <w:spacing w:before="120"/>
              <w:rPr>
                <w:color w:val="auto"/>
              </w:rPr>
            </w:pPr>
            <w:r w:rsidRPr="00C8300B">
              <w:rPr>
                <w:color w:val="auto"/>
              </w:rPr>
              <w:t xml:space="preserve">Received: </w:t>
            </w:r>
            <w:r>
              <w:rPr>
                <w:color w:val="auto"/>
              </w:rPr>
              <w:t>30 November 2022</w:t>
            </w:r>
          </w:p>
          <w:p w14:paraId="6226C11C" w14:textId="77777777" w:rsidR="007A754C" w:rsidRDefault="007A754C" w:rsidP="007A754C">
            <w:pPr>
              <w:pStyle w:val="MDPI14history"/>
              <w:rPr>
                <w:color w:val="auto"/>
              </w:rPr>
            </w:pPr>
            <w:r>
              <w:rPr>
                <w:color w:val="auto"/>
              </w:rPr>
              <w:t>Revised</w:t>
            </w:r>
            <w:r w:rsidRPr="00C8300B">
              <w:rPr>
                <w:color w:val="auto"/>
              </w:rPr>
              <w:t xml:space="preserve">: </w:t>
            </w:r>
            <w:r>
              <w:rPr>
                <w:color w:val="auto"/>
              </w:rPr>
              <w:t>30 December 2022</w:t>
            </w:r>
          </w:p>
          <w:p w14:paraId="03CB39F3" w14:textId="0BA6411B" w:rsidR="007A754C" w:rsidRPr="00E208A9" w:rsidRDefault="007A754C" w:rsidP="007A754C">
            <w:pPr>
              <w:adjustRightInd w:val="0"/>
              <w:snapToGrid w:val="0"/>
              <w:spacing w:line="240" w:lineRule="atLeast"/>
              <w:ind w:right="113"/>
              <w:jc w:val="left"/>
              <w:rPr>
                <w:sz w:val="14"/>
                <w:szCs w:val="14"/>
                <w:lang w:eastAsia="de-DE" w:bidi="en-US"/>
              </w:rPr>
            </w:pPr>
            <w:r w:rsidRPr="00E208A9">
              <w:rPr>
                <w:color w:val="auto"/>
                <w:sz w:val="14"/>
                <w:szCs w:val="14"/>
              </w:rPr>
              <w:t>Accepted</w:t>
            </w:r>
            <w:r>
              <w:rPr>
                <w:color w:val="auto"/>
                <w:sz w:val="14"/>
                <w:szCs w:val="14"/>
              </w:rPr>
              <w:t xml:space="preserve">: </w:t>
            </w:r>
            <w:r w:rsidR="005A730C" w:rsidRPr="005A730C">
              <w:rPr>
                <w:rFonts w:eastAsia="Times New Roman"/>
                <w:color w:val="auto"/>
                <w:sz w:val="14"/>
                <w:lang w:eastAsia="de-DE" w:bidi="en-US"/>
              </w:rPr>
              <w:t>31 December 2022</w:t>
            </w:r>
          </w:p>
          <w:p w14:paraId="267ACC89" w14:textId="77777777" w:rsidR="007A754C" w:rsidRPr="00C8300B" w:rsidRDefault="007A754C" w:rsidP="007A754C">
            <w:pPr>
              <w:pStyle w:val="MDPI14history"/>
              <w:spacing w:after="120"/>
              <w:rPr>
                <w:color w:val="auto"/>
              </w:rPr>
            </w:pPr>
            <w:r w:rsidRPr="00C8300B">
              <w:rPr>
                <w:color w:val="auto"/>
              </w:rPr>
              <w:t>Published: date</w:t>
            </w:r>
          </w:p>
          <w:p w14:paraId="50057285" w14:textId="77777777" w:rsidR="007A754C" w:rsidRPr="00C8300B" w:rsidRDefault="007A754C" w:rsidP="007A754C">
            <w:pPr>
              <w:pStyle w:val="MDPI63Notes"/>
              <w:spacing w:before="120" w:after="0"/>
              <w:jc w:val="both"/>
              <w:rPr>
                <w:color w:val="auto"/>
              </w:rPr>
            </w:pPr>
            <w:r w:rsidRPr="00C8300B">
              <w:rPr>
                <w:noProof/>
                <w:color w:val="auto"/>
              </w:rPr>
              <w:drawing>
                <wp:inline distT="0" distB="0" distL="0" distR="0" wp14:anchorId="1FE031B7" wp14:editId="76DFFC50">
                  <wp:extent cx="692150" cy="24765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2150" cy="247650"/>
                          </a:xfrm>
                          <a:prstGeom prst="rect">
                            <a:avLst/>
                          </a:prstGeom>
                          <a:noFill/>
                          <a:ln>
                            <a:noFill/>
                          </a:ln>
                        </pic:spPr>
                      </pic:pic>
                    </a:graphicData>
                  </a:graphic>
                </wp:inline>
              </w:drawing>
            </w:r>
          </w:p>
          <w:p w14:paraId="7C072E7B" w14:textId="77777777" w:rsidR="007A754C" w:rsidRPr="00C8300B" w:rsidRDefault="007A754C" w:rsidP="007A754C">
            <w:pPr>
              <w:pStyle w:val="MDPI63Notes"/>
              <w:spacing w:before="60" w:after="0"/>
              <w:jc w:val="both"/>
              <w:rPr>
                <w:color w:val="auto"/>
              </w:rPr>
            </w:pPr>
            <w:r w:rsidRPr="00C8300B">
              <w:rPr>
                <w:b/>
                <w:color w:val="auto"/>
              </w:rPr>
              <w:t>Copyright:</w:t>
            </w:r>
            <w:r w:rsidRPr="00C8300B">
              <w:rPr>
                <w:color w:val="auto"/>
              </w:rPr>
              <w:t xml:space="preserve"> © 2022 by the authors. Submitted for possible open access publication under the terms and conditions of the Creative Commons Attribution (CC BY) license (https://creativecommons.org/licenses/by/4.0/).</w:t>
            </w:r>
          </w:p>
        </w:tc>
      </w:tr>
    </w:tbl>
    <w:p w14:paraId="01EF4D90" w14:textId="5EB527C5" w:rsidR="00D35180" w:rsidRPr="00C8300B" w:rsidRDefault="00244745" w:rsidP="003F3DC2">
      <w:pPr>
        <w:pStyle w:val="MDPI13authornames"/>
      </w:pPr>
      <w:r w:rsidRPr="00D17656">
        <w:t>Joanne M. Dickson</w:t>
      </w:r>
      <w:r w:rsidR="005E17D1" w:rsidRPr="00D17656">
        <w:t xml:space="preserve"> </w:t>
      </w:r>
      <w:r w:rsidRPr="00D17656">
        <w:rPr>
          <w:vertAlign w:val="superscript"/>
        </w:rPr>
        <w:t>1</w:t>
      </w:r>
      <w:r w:rsidR="0049103A" w:rsidRPr="00D17656">
        <w:rPr>
          <w:vertAlign w:val="superscript"/>
        </w:rPr>
        <w:t>,</w:t>
      </w:r>
      <w:proofErr w:type="gramStart"/>
      <w:r w:rsidRPr="00D17656">
        <w:rPr>
          <w:vertAlign w:val="superscript"/>
        </w:rPr>
        <w:t>2</w:t>
      </w:r>
      <w:r w:rsidR="007A47AB">
        <w:rPr>
          <w:vertAlign w:val="superscript"/>
        </w:rPr>
        <w:t>,</w:t>
      </w:r>
      <w:r w:rsidR="00A510D5" w:rsidRPr="00C8300B">
        <w:t>*</w:t>
      </w:r>
      <w:proofErr w:type="gramEnd"/>
      <w:r w:rsidR="00F71C48" w:rsidRPr="00C8300B">
        <w:t xml:space="preserve">, </w:t>
      </w:r>
      <w:r w:rsidRPr="00C8300B">
        <w:t xml:space="preserve">Amelia Hart </w:t>
      </w:r>
      <w:r w:rsidRPr="00C8300B">
        <w:rPr>
          <w:vertAlign w:val="superscript"/>
        </w:rPr>
        <w:t>1</w:t>
      </w:r>
      <w:r w:rsidR="00F71C48" w:rsidRPr="00C8300B">
        <w:t xml:space="preserve">, </w:t>
      </w:r>
      <w:r w:rsidRPr="00C8300B">
        <w:t xml:space="preserve">Caitlin Fox-Harding </w:t>
      </w:r>
      <w:r w:rsidRPr="00C8300B">
        <w:rPr>
          <w:vertAlign w:val="superscript"/>
        </w:rPr>
        <w:t>2</w:t>
      </w:r>
      <w:r w:rsidR="00F71C48" w:rsidRPr="00C8300B">
        <w:t xml:space="preserve"> and </w:t>
      </w:r>
      <w:r w:rsidRPr="00C8300B">
        <w:t xml:space="preserve">Christopher D. Huntley </w:t>
      </w:r>
      <w:r w:rsidR="00712A4B">
        <w:rPr>
          <w:vertAlign w:val="superscript"/>
        </w:rPr>
        <w:t>3</w:t>
      </w:r>
    </w:p>
    <w:p w14:paraId="6E53675C" w14:textId="0216EA7B" w:rsidR="00244745" w:rsidRPr="007A754C" w:rsidRDefault="00244745" w:rsidP="00612BB1">
      <w:pPr>
        <w:pStyle w:val="MDPI16affiliation"/>
        <w:rPr>
          <w:rFonts w:eastAsia="Calibri"/>
        </w:rPr>
      </w:pPr>
      <w:r w:rsidRPr="00612BB1">
        <w:rPr>
          <w:rFonts w:eastAsia="Calibri"/>
          <w:vertAlign w:val="superscript"/>
        </w:rPr>
        <w:t>1</w:t>
      </w:r>
      <w:r w:rsidR="00A36E43" w:rsidRPr="00612BB1">
        <w:rPr>
          <w:rFonts w:eastAsia="Calibri"/>
        </w:rPr>
        <w:tab/>
      </w:r>
      <w:r w:rsidRPr="007A754C">
        <w:rPr>
          <w:rFonts w:eastAsia="Calibri"/>
        </w:rPr>
        <w:t>Psychology Division, School of Arts &amp; Humanities, Edith Cowan University, Joondalup 6027, Australia</w:t>
      </w:r>
      <w:r w:rsidR="00225C01" w:rsidRPr="007A754C">
        <w:rPr>
          <w:rFonts w:eastAsia="Calibri"/>
        </w:rPr>
        <w:t xml:space="preserve">; </w:t>
      </w:r>
      <w:hyperlink r:id="rId8" w:history="1">
        <w:r w:rsidR="00442BF3" w:rsidRPr="001E0426">
          <w:rPr>
            <w:rStyle w:val="Hyperlink"/>
            <w:rFonts w:eastAsia="Calibri"/>
          </w:rPr>
          <w:t>j.dickson@ecu.edu.au</w:t>
        </w:r>
      </w:hyperlink>
      <w:r w:rsidR="00442BF3">
        <w:rPr>
          <w:rFonts w:eastAsia="Calibri"/>
        </w:rPr>
        <w:t xml:space="preserve">; </w:t>
      </w:r>
      <w:r w:rsidR="00A321DC" w:rsidRPr="007A754C">
        <w:rPr>
          <w:rFonts w:eastAsia="Calibri"/>
        </w:rPr>
        <w:t>ahart7@our.ecu.edu.au</w:t>
      </w:r>
    </w:p>
    <w:p w14:paraId="2EAFECE6" w14:textId="07AEF9E3" w:rsidR="007A47AB" w:rsidRPr="007A754C" w:rsidRDefault="00244745" w:rsidP="00D17656">
      <w:pPr>
        <w:pStyle w:val="MDPI16affiliation"/>
        <w:rPr>
          <w:rFonts w:eastAsia="Calibri"/>
        </w:rPr>
      </w:pPr>
      <w:r w:rsidRPr="007A754C">
        <w:rPr>
          <w:rFonts w:eastAsia="Calibri"/>
          <w:vertAlign w:val="superscript"/>
        </w:rPr>
        <w:t>2</w:t>
      </w:r>
      <w:r w:rsidR="00A36E43" w:rsidRPr="007A754C">
        <w:rPr>
          <w:rFonts w:eastAsia="Calibri"/>
        </w:rPr>
        <w:tab/>
      </w:r>
      <w:r w:rsidRPr="007A754C">
        <w:rPr>
          <w:rFonts w:eastAsia="Calibri"/>
        </w:rPr>
        <w:t>Exercise Medicine Research Institute, Edith Cowan University, Joondalup 6027, Australia</w:t>
      </w:r>
      <w:r w:rsidR="004F23A3" w:rsidRPr="007A754C">
        <w:rPr>
          <w:rFonts w:eastAsia="Calibri"/>
        </w:rPr>
        <w:t xml:space="preserve">; </w:t>
      </w:r>
      <w:hyperlink r:id="rId9" w:history="1">
        <w:r w:rsidR="00442BF3" w:rsidRPr="001E0426">
          <w:rPr>
            <w:rStyle w:val="Hyperlink"/>
            <w:rFonts w:eastAsia="Calibri"/>
          </w:rPr>
          <w:t>j.dickson@ecu.edu.au</w:t>
        </w:r>
      </w:hyperlink>
      <w:r w:rsidR="00442BF3">
        <w:rPr>
          <w:rFonts w:eastAsia="Calibri"/>
        </w:rPr>
        <w:t xml:space="preserve">; </w:t>
      </w:r>
      <w:r w:rsidR="007A47AB" w:rsidRPr="007A754C">
        <w:rPr>
          <w:rFonts w:eastAsia="Calibri"/>
        </w:rPr>
        <w:t>c.foxharding@ecu.edu.au</w:t>
      </w:r>
    </w:p>
    <w:p w14:paraId="787098FA" w14:textId="41DFF49F" w:rsidR="00244745" w:rsidRPr="008B24F0" w:rsidRDefault="00712A4B" w:rsidP="00612BB1">
      <w:pPr>
        <w:pStyle w:val="MDPI16affiliation"/>
        <w:rPr>
          <w:rFonts w:eastAsia="Calibri"/>
          <w:spacing w:val="-4"/>
        </w:rPr>
      </w:pPr>
      <w:r>
        <w:rPr>
          <w:rFonts w:eastAsia="Calibri"/>
          <w:spacing w:val="-4"/>
          <w:vertAlign w:val="superscript"/>
        </w:rPr>
        <w:t>3</w:t>
      </w:r>
      <w:r w:rsidR="00A36E43" w:rsidRPr="007A754C">
        <w:rPr>
          <w:rFonts w:eastAsia="Calibri"/>
          <w:spacing w:val="-4"/>
        </w:rPr>
        <w:tab/>
      </w:r>
      <w:r w:rsidR="00244745" w:rsidRPr="007A754C">
        <w:rPr>
          <w:rFonts w:eastAsia="Calibri"/>
          <w:spacing w:val="-4"/>
        </w:rPr>
        <w:t xml:space="preserve">Faculty of Health and Life Sciences, School of Medicine, University of Liverpool, Liverpool L69 3GB, </w:t>
      </w:r>
      <w:r w:rsidR="00255C05" w:rsidRPr="007A754C">
        <w:rPr>
          <w:rFonts w:eastAsia="Calibri"/>
          <w:spacing w:val="-4"/>
        </w:rPr>
        <w:t>UK</w:t>
      </w:r>
      <w:r w:rsidR="00633B57" w:rsidRPr="007A754C">
        <w:rPr>
          <w:rFonts w:eastAsia="Calibri"/>
          <w:spacing w:val="-4"/>
        </w:rPr>
        <w:t xml:space="preserve">; </w:t>
      </w:r>
      <w:r w:rsidR="002611E9" w:rsidRPr="007A754C">
        <w:rPr>
          <w:rFonts w:eastAsia="Calibri"/>
          <w:spacing w:val="-4"/>
        </w:rPr>
        <w:br/>
      </w:r>
      <w:r w:rsidR="00633B57" w:rsidRPr="007A754C">
        <w:rPr>
          <w:rFonts w:eastAsia="Calibri"/>
          <w:spacing w:val="-4"/>
        </w:rPr>
        <w:t>c.huntley@liverpool.ac.uk</w:t>
      </w:r>
    </w:p>
    <w:p w14:paraId="5CA9EF28" w14:textId="709EFA96" w:rsidR="00244745" w:rsidRPr="00C8300B" w:rsidRDefault="00612BB1" w:rsidP="00612BB1">
      <w:pPr>
        <w:pStyle w:val="MDPI16affiliation"/>
      </w:pPr>
      <w:r w:rsidRPr="00612BB1">
        <w:rPr>
          <w:b/>
        </w:rPr>
        <w:t>*</w:t>
      </w:r>
      <w:r w:rsidRPr="00612BB1">
        <w:tab/>
      </w:r>
      <w:r w:rsidRPr="007A754C">
        <w:t xml:space="preserve">Correspondence: </w:t>
      </w:r>
      <w:r w:rsidR="00244745" w:rsidRPr="007A754C">
        <w:t>j.dickson@ecu.edu.au</w:t>
      </w:r>
    </w:p>
    <w:p w14:paraId="16E0DDEE" w14:textId="4E426E19" w:rsidR="00944579" w:rsidRPr="00C8300B" w:rsidRDefault="00944579" w:rsidP="00A6591C">
      <w:pPr>
        <w:pStyle w:val="MDPI17abstract"/>
      </w:pPr>
      <w:r w:rsidRPr="00A6591C">
        <w:rPr>
          <w:b/>
        </w:rPr>
        <w:t xml:space="preserve">Abstract: </w:t>
      </w:r>
      <w:r w:rsidRPr="00C8300B">
        <w:t>Exercise resolutions are the most common goals people set each New Year. However, research has rarely examined adaptive goal processes and motives that may maintain wellbeing and resolution pursuit. We therefore investigated if (1) personal goal</w:t>
      </w:r>
      <w:r w:rsidR="009A0F8C">
        <w:t xml:space="preserve"> </w:t>
      </w:r>
      <w:r w:rsidRPr="00C8300B">
        <w:t>flexibility and tenacity maintain mental wellbeing and adherence to New Year exercise resolutions and if (2) underlying intrinsic and extrinsic motives maintain wellbeing and sustained exercise resolution adherence. A community sample (</w:t>
      </w:r>
      <w:r w:rsidRPr="00C8300B">
        <w:rPr>
          <w:i/>
          <w:iCs/>
        </w:rPr>
        <w:t>N</w:t>
      </w:r>
      <w:r w:rsidRPr="00C8300B">
        <w:t xml:space="preserve"> = 297) completed an online longitudinal study. At baseline, participants listed their most important exercise-related New Year resolution. Participants then completed measures to assess goal</w:t>
      </w:r>
      <w:r w:rsidR="009A0F8C">
        <w:t xml:space="preserve"> </w:t>
      </w:r>
      <w:r w:rsidRPr="00C8300B">
        <w:t>flexibility and tenacity, resolution motives, and mental wellbeing at baseline. At three follow</w:t>
      </w:r>
      <w:r w:rsidR="009A0F8C">
        <w:t>-</w:t>
      </w:r>
      <w:r w:rsidRPr="00C8300B">
        <w:t>up surveys over a two-month period, participants completed self-report measures of wellbeing and adherence to their exercise resolution. As predicted, goal</w:t>
      </w:r>
      <w:r w:rsidR="009A0F8C">
        <w:t xml:space="preserve"> </w:t>
      </w:r>
      <w:r w:rsidRPr="00C8300B">
        <w:t>flexibility and tenacity each independently predicted wellbeing across time. Counter to prediction, neither goal</w:t>
      </w:r>
      <w:r w:rsidR="009A0F8C">
        <w:t xml:space="preserve"> </w:t>
      </w:r>
      <w:r w:rsidRPr="00C8300B">
        <w:t>flexibility nor tenacity predicted sustained exercise adherence. Notably, underlying intrinsic motives (but not extrinsic motives) maintained mental wellbeing and exercise adherence across time. Our findings indicate that goal</w:t>
      </w:r>
      <w:r w:rsidR="009A0F8C">
        <w:t xml:space="preserve"> </w:t>
      </w:r>
      <w:r w:rsidRPr="00C8300B">
        <w:t xml:space="preserve">flexibility and tenacity are beneficial in maintaining mental wellbeing and that pursuing resolutions for </w:t>
      </w:r>
      <w:proofErr w:type="spellStart"/>
      <w:r w:rsidRPr="00C8300B">
        <w:t>internalised</w:t>
      </w:r>
      <w:proofErr w:type="spellEnd"/>
      <w:r w:rsidRPr="00C8300B">
        <w:t xml:space="preserve"> motives is beneficial for one’s mental wellbeing and exercise adherence.</w:t>
      </w:r>
    </w:p>
    <w:p w14:paraId="0C1B13D2" w14:textId="1FBA94AA" w:rsidR="00520E75" w:rsidRPr="00C8300B" w:rsidRDefault="00A6591C" w:rsidP="00A6591C">
      <w:pPr>
        <w:pStyle w:val="MDPI18keywords"/>
        <w:rPr>
          <w:shd w:val="clear" w:color="auto" w:fill="FEFEFE"/>
        </w:rPr>
      </w:pPr>
      <w:r w:rsidRPr="00A6591C">
        <w:rPr>
          <w:b/>
        </w:rPr>
        <w:t>Keywords:</w:t>
      </w:r>
      <w:r w:rsidR="00520E75" w:rsidRPr="00A6591C">
        <w:rPr>
          <w:b/>
        </w:rPr>
        <w:t xml:space="preserve"> </w:t>
      </w:r>
      <w:bookmarkStart w:id="0" w:name="_Hlk123133270"/>
      <w:r w:rsidR="00520E75" w:rsidRPr="00C8300B">
        <w:rPr>
          <w:shd w:val="clear" w:color="auto" w:fill="FEFEFE"/>
        </w:rPr>
        <w:t>New Year exercise resolutions;</w:t>
      </w:r>
      <w:r w:rsidR="007A7068">
        <w:rPr>
          <w:shd w:val="clear" w:color="auto" w:fill="FEFEFE"/>
        </w:rPr>
        <w:t xml:space="preserve"> </w:t>
      </w:r>
      <w:r w:rsidR="00520E75" w:rsidRPr="00C8300B">
        <w:rPr>
          <w:shd w:val="clear" w:color="auto" w:fill="FEFEFE"/>
        </w:rPr>
        <w:t>goal flexibility; goal tenacity; intrinsic and extrinsic motives; mental wellbeing</w:t>
      </w:r>
      <w:bookmarkEnd w:id="0"/>
    </w:p>
    <w:p w14:paraId="0EA9F7F6" w14:textId="3540A588" w:rsidR="002F53B4" w:rsidRPr="00C8300B" w:rsidRDefault="002F53B4" w:rsidP="00A6591C">
      <w:pPr>
        <w:pStyle w:val="MDPI19line"/>
        <w:pBdr>
          <w:bottom w:val="single" w:sz="4" w:space="1" w:color="000000"/>
        </w:pBdr>
      </w:pPr>
    </w:p>
    <w:p w14:paraId="6EDFAB8F" w14:textId="68F12957" w:rsidR="00E450AB" w:rsidRPr="00C8300B" w:rsidRDefault="00894A41" w:rsidP="00894A41">
      <w:pPr>
        <w:pStyle w:val="MDPI21heading1"/>
      </w:pPr>
      <w:r>
        <w:rPr>
          <w:rFonts w:eastAsia="DengXian"/>
        </w:rPr>
        <w:t xml:space="preserve">1. </w:t>
      </w:r>
      <w:r w:rsidR="00E450AB" w:rsidRPr="00C8300B">
        <w:rPr>
          <w:rFonts w:eastAsia="DengXian"/>
        </w:rPr>
        <w:t>Introduction</w:t>
      </w:r>
    </w:p>
    <w:p w14:paraId="40E4B11E" w14:textId="65868E2B" w:rsidR="007A7068" w:rsidRPr="00C8300B" w:rsidRDefault="00944579" w:rsidP="00894A41">
      <w:pPr>
        <w:pStyle w:val="MDPI31text"/>
      </w:pPr>
      <w:r w:rsidRPr="00C8300B">
        <w:t xml:space="preserve">Personal goal striving is fundamental to the human experience. It influences everyday </w:t>
      </w:r>
      <w:proofErr w:type="spellStart"/>
      <w:r w:rsidRPr="00C8300B">
        <w:t>behaviour</w:t>
      </w:r>
      <w:proofErr w:type="spellEnd"/>
      <w:r w:rsidRPr="00C8300B">
        <w:t xml:space="preserve"> and promotes positive adaptions in life [1,2]. Personal goals are defined as internal representations of desired future states that involve striving toward a positive outcome [3], making them an important conduit of change in clinical and non-clinical settings. New Year resolutions represent a common form of personal goal setting in Western cultures, with over 70% of the population reported to set a resolution [4]. The popularity of New Year resolutions may be linked with the ‘fresh start effect’, where people often choose to make changes at the start of a temporal milestone, such as a Monday, or the beginning of a new calendar year [5]. New Year resolutions offer an opportunity to reflect on the past year and to consider desired outcomes people wish to pursue in the coming year [6]. As with personal goals, New Year resolutions typically require people to take goal</w:t>
      </w:r>
      <w:r w:rsidR="009A0F8C">
        <w:t>-</w:t>
      </w:r>
      <w:r w:rsidRPr="00C8300B">
        <w:t>aligned actions and to remain resilient in overcoming difficulties or obstacles. Although people typically report a high commitment to their New Year resolutions and believe that they will achieve their resolutions, research indicates that they are not particularly good at sticking with them beyond a few weeks [6,7].</w:t>
      </w:r>
    </w:p>
    <w:p w14:paraId="3D10C638" w14:textId="45BFC2B2" w:rsidR="00944579" w:rsidRPr="00C8300B" w:rsidRDefault="00944579" w:rsidP="00894A41">
      <w:pPr>
        <w:pStyle w:val="MDPI31text"/>
      </w:pPr>
      <w:r w:rsidRPr="00C8300B">
        <w:lastRenderedPageBreak/>
        <w:t xml:space="preserve">The most reported New Year resolution is exercise or physical activity </w:t>
      </w:r>
      <w:r w:rsidR="00B4397C">
        <w:t>[6–8</w:t>
      </w:r>
      <w:r w:rsidRPr="00C8300B">
        <w:t>].</w:t>
      </w:r>
      <w:r w:rsidR="007A7068">
        <w:t xml:space="preserve"> </w:t>
      </w:r>
      <w:r w:rsidRPr="00C8300B">
        <w:t>Increased exercise adherence is associated with mental and physical health benefits [9].</w:t>
      </w:r>
      <w:r w:rsidR="007A7068">
        <w:t xml:space="preserve"> </w:t>
      </w:r>
      <w:proofErr w:type="gramStart"/>
      <w:r w:rsidRPr="00C8300B">
        <w:t>Similar to</w:t>
      </w:r>
      <w:proofErr w:type="gramEnd"/>
      <w:r w:rsidRPr="00C8300B">
        <w:t xml:space="preserve"> New Year resolutions generally, and despite the benefits of exercise, people tend not to adhere to general exercise goals set throughout the year, with more than 50% reporting physical inactivity after the first month of initiating an exercise goal [10,11]. Hence, efforts to bolster exercise adherence has become a key health promotion focus [11]. A better understanding of motivational mechanisms that sustain exercise is needed to inform the ongoing development of more effective health promotion programs. New Year represents a naturally rich ecological seasonal context for setting personal goal resolutions. Whereas Dickson and colleagues’ [6] research studied New Year resolutions across a range of domains, our first aim is to investigate whether specific goal motivational mechanisms (goal flexibility, goal tenacity) predict sustained exercise resolution pursuit and mental wellbeing. Next, we aim to investigate, for the first time, whether distinct motives for pursuing exercise-related resolutions facilitate increased exercise adherence and mental wellbeing over time.</w:t>
      </w:r>
    </w:p>
    <w:p w14:paraId="47913567" w14:textId="5352DD43" w:rsidR="00944579" w:rsidRPr="00C8300B" w:rsidRDefault="00944579" w:rsidP="00894A41">
      <w:pPr>
        <w:pStyle w:val="MDPI31text"/>
      </w:pPr>
      <w:proofErr w:type="spellStart"/>
      <w:r w:rsidRPr="00C8300B">
        <w:t>Oscarsson</w:t>
      </w:r>
      <w:proofErr w:type="spellEnd"/>
      <w:r w:rsidRPr="00C8300B">
        <w:t xml:space="preserve"> and colleagues found that people reporting approach-oriented resolutions (i.e., goals focused on working towards positive outcomes) across a range of domains were significantly more successful at sticking to their New Year resolutions </w:t>
      </w:r>
      <w:r w:rsidRPr="00D17656">
        <w:t>per se</w:t>
      </w:r>
      <w:r w:rsidRPr="00C8300B">
        <w:rPr>
          <w:i/>
          <w:iCs/>
        </w:rPr>
        <w:t>,</w:t>
      </w:r>
      <w:r w:rsidRPr="00C8300B">
        <w:t xml:space="preserve"> than those reporting avoidance-oriented goals (i.e., goals focused on avoiding negative outcomes) [5]. These same authors found that participants who received ‘some support’ (e.g., twelve monthly follow</w:t>
      </w:r>
      <w:r w:rsidR="009A0F8C">
        <w:t>-</w:t>
      </w:r>
      <w:r w:rsidRPr="00C8300B">
        <w:t>ups and information about how to cope with possible obstacles when striving towards their goal) also had greater success in sticking to their resolution. Other research, without follow-up support however</w:t>
      </w:r>
      <w:r w:rsidR="009A0F8C">
        <w:t>,</w:t>
      </w:r>
      <w:r w:rsidRPr="00C8300B">
        <w:t xml:space="preserve"> found no significant associations between approach- and avoidance-oriented resolutions and sustained resolution pursuit [6].</w:t>
      </w:r>
      <w:r w:rsidR="007A7068">
        <w:t xml:space="preserve"> </w:t>
      </w:r>
      <w:proofErr w:type="spellStart"/>
      <w:r w:rsidRPr="00C8300B">
        <w:t>Koestner</w:t>
      </w:r>
      <w:proofErr w:type="spellEnd"/>
      <w:r w:rsidRPr="00C8300B">
        <w:t xml:space="preserve"> et al. [7] investigated resolution triumph and found no significant difference between groups focused on either, ‘how they would achieve their goal’, or ‘why they wished to achieve their goal’, or ‘neither’, thus concluding that how or why people wished to achieve their goals did not appear to be relevant to resolution triumph.</w:t>
      </w:r>
    </w:p>
    <w:p w14:paraId="28BA7FD8" w14:textId="1E5ECD56" w:rsidR="00944579" w:rsidRPr="00C8300B" w:rsidRDefault="00944579" w:rsidP="00894A41">
      <w:pPr>
        <w:pStyle w:val="MDPI31text"/>
      </w:pPr>
      <w:r w:rsidRPr="00C8300B">
        <w:t xml:space="preserve">Investigations of adaptive goal processes (goal flexibility, goal tenacity) have shown significant positive associations between adaptive goal processes and positive psychological outcomes, such as low depressive symptoms and high subjective wellbeing </w:t>
      </w:r>
      <w:r w:rsidR="00B4397C">
        <w:t>[12–16</w:t>
      </w:r>
      <w:r w:rsidRPr="00C8300B">
        <w:t>]. Goal flexibility refers to the ability to adjust or adapt one’s goal pursuit when confronted with obstacles, including the ability to effectively disengage from goals that are unachievable, and viewing setbacks with equanimity [14,17]. Goal tenacity on the other hand, refers to the ability to persist in striving toward achievable goals with determination under difficult conditions [17]. Goal flexibility and tenacity have each been shown to independently reduce depressive symptoms and physical ill health in older populations, and the interaction between flexibility and tenacity significantly increased these positive changes [12,15,18]. Dickson and colleagues [6] investigated goal-flexibility and tenacity in relation to New Year resolutions in a community sample. Participants’ self-generated New Year resolutions represented a range of domains (e.g., relationships, leisure, finance, work). Results found that flexible (but not tenacious) New Year resolution pursuit increased mental wellbeing across time. However, neither goal flexibility nor tenacity, or the interaction between these two goal processes</w:t>
      </w:r>
      <w:r w:rsidR="009A0F8C">
        <w:t>,</w:t>
      </w:r>
      <w:r w:rsidRPr="00C8300B">
        <w:t xml:space="preserve"> predicted sustained New Year resolution pursuit. As this was the first study to investigate New Year resolutions from a goal-motivational perspective, our first aim is to replicate this study but solely in relation to exercise resolutions.</w:t>
      </w:r>
    </w:p>
    <w:p w14:paraId="15C749A1" w14:textId="69130FD9" w:rsidR="00944579" w:rsidRPr="00C8300B" w:rsidRDefault="00944579" w:rsidP="00894A41">
      <w:pPr>
        <w:pStyle w:val="MDPI31text"/>
      </w:pPr>
      <w:r w:rsidRPr="00C8300B">
        <w:t xml:space="preserve">Exercise and physical activity represent the most frequently reported New Year resolution [6]. Further, exercise is a key factor in determining mental health [19], but we know relatively little about the motivational processes that may facilitate sustained exercise engagement. In contrast to exercise, emerging research is increasingly implicating </w:t>
      </w:r>
      <w:proofErr w:type="spellStart"/>
      <w:r w:rsidRPr="00C8300B">
        <w:t>favourable</w:t>
      </w:r>
      <w:proofErr w:type="spellEnd"/>
      <w:r w:rsidRPr="00C8300B">
        <w:t xml:space="preserve"> and </w:t>
      </w:r>
      <w:proofErr w:type="spellStart"/>
      <w:r w:rsidRPr="00C8300B">
        <w:t>unfavourable</w:t>
      </w:r>
      <w:proofErr w:type="spellEnd"/>
      <w:r w:rsidRPr="00C8300B">
        <w:t xml:space="preserve"> motivational mechanisms in mental health and affective symptoms [20,21].</w:t>
      </w:r>
      <w:r w:rsidR="007A7068">
        <w:t xml:space="preserve"> </w:t>
      </w:r>
      <w:r w:rsidRPr="00C8300B">
        <w:t xml:space="preserve">Although Dickson and colleagues’ [6] research found that neither goal flexibility nor tenacity predicted sustained resolution stickability across a range of resolution domains, investigations into more primary levels of motivation that </w:t>
      </w:r>
      <w:proofErr w:type="spellStart"/>
      <w:r w:rsidRPr="00C8300B">
        <w:t>energise</w:t>
      </w:r>
      <w:proofErr w:type="spellEnd"/>
      <w:r w:rsidRPr="00C8300B">
        <w:t xml:space="preserve"> and drive New </w:t>
      </w:r>
      <w:r w:rsidRPr="00C8300B">
        <w:lastRenderedPageBreak/>
        <w:t xml:space="preserve">Year resolution pursuit beyond the surface goal level warrant further investigation. Motivational systems are hierarchically </w:t>
      </w:r>
      <w:proofErr w:type="spellStart"/>
      <w:r w:rsidRPr="00C8300B">
        <w:t>organised</w:t>
      </w:r>
      <w:proofErr w:type="spellEnd"/>
      <w:r w:rsidRPr="00C8300B">
        <w:t xml:space="preserve"> [22]. Thus, New Year resolutions are likely to be hierarchically </w:t>
      </w:r>
      <w:proofErr w:type="spellStart"/>
      <w:r w:rsidRPr="00C8300B">
        <w:t>organised</w:t>
      </w:r>
      <w:proofErr w:type="spellEnd"/>
      <w:r w:rsidRPr="00C8300B">
        <w:t xml:space="preserve"> and interconnected with other levels of personal motivation. For example, an underlying motive such as, “to maintain heart health”, may motivate and drive an exercise New Year resolution such as, “to walk each day for 40</w:t>
      </w:r>
      <w:r w:rsidR="009A0F8C">
        <w:t xml:space="preserve"> </w:t>
      </w:r>
      <w:r w:rsidR="003D2097">
        <w:t>min</w:t>
      </w:r>
      <w:r w:rsidRPr="00C8300B">
        <w:t>”</w:t>
      </w:r>
      <w:r w:rsidR="00B14E36" w:rsidRPr="00C8300B">
        <w:t>.</w:t>
      </w:r>
      <w:r w:rsidRPr="00C8300B">
        <w:t xml:space="preserve"> Hence, our second aim is to investigate for the first time whether underlying motives for pursuing exercise resolutions predict sustained exercise adherence and mental wellbeing.</w:t>
      </w:r>
    </w:p>
    <w:p w14:paraId="196055E5" w14:textId="77777777" w:rsidR="00944579" w:rsidRPr="00C8300B" w:rsidRDefault="00944579" w:rsidP="00894A41">
      <w:pPr>
        <w:pStyle w:val="MDPI31text"/>
      </w:pPr>
      <w:r w:rsidRPr="00C8300B">
        <w:t xml:space="preserve">Self Determination theory (SDT) posits that people are motivated to pursue personal goals, such as New Year resolutions, for underlying intrinsic (autonomous) or extrinsic (controlled) reasons [23]. An intrinsically motivated resolution represents a goal that is pursued for personal reasons or inherent satisfaction, such as the fun, enjoyment, satisfaction, or the positive experience it provides [24], whereas an extrinsically motivated goal refers to a goal that is pursued in response to external stimuli such as, rewards, situational demands, or pressures [24]. According to SDT, human </w:t>
      </w:r>
      <w:proofErr w:type="spellStart"/>
      <w:r w:rsidRPr="00C8300B">
        <w:t>behaviour</w:t>
      </w:r>
      <w:proofErr w:type="spellEnd"/>
      <w:r w:rsidRPr="00C8300B">
        <w:t xml:space="preserve"> is motivated by the drive to fulfill the psychological needs for autonomy, competency, and relatedness [23]. When goals are intrinsically motivated, individuals experience interest and enjoyment, and feel more competent in what they are doing [23]. Intrinsic goal pursuit has been associated with positive psychological outcomes [23,25], and provides a deeper level of meaning [26], thus further enhancing a person’s performance when achieving their goal [24]. In contrast, extrinsic motives for goal pursuit have been associated with anxiety and depression [27,28]. Therefore, we aimed to investigate for the first time whether underlying intrinsic- and extrinsic motives maintain mental wellbeing and New Year exercise resolution adherence.</w:t>
      </w:r>
    </w:p>
    <w:p w14:paraId="1FCBF2B5" w14:textId="1B53E12F" w:rsidR="00944579" w:rsidRPr="00C8300B" w:rsidRDefault="00944579" w:rsidP="00894A41">
      <w:pPr>
        <w:pStyle w:val="MDPI31text"/>
      </w:pPr>
      <w:r w:rsidRPr="00C8300B">
        <w:t xml:space="preserve">Based on motivational theory and past related empirical research, we </w:t>
      </w:r>
      <w:proofErr w:type="spellStart"/>
      <w:r w:rsidRPr="00C8300B">
        <w:t>hypothesised</w:t>
      </w:r>
      <w:proofErr w:type="spellEnd"/>
      <w:r w:rsidRPr="00C8300B">
        <w:t xml:space="preserve"> that goal flexibility and tenacity, measured at baseline, would each independently predict (</w:t>
      </w:r>
      <w:proofErr w:type="spellStart"/>
      <w:r w:rsidRPr="00C8300B">
        <w:t>i</w:t>
      </w:r>
      <w:proofErr w:type="spellEnd"/>
      <w:r w:rsidRPr="00C8300B">
        <w:t xml:space="preserve">) increased mental wellbeing across time and (ii) sustained New Year exercise resolution stickability. We also predicted that (iii) the interaction between goal- flexibility and tenacity would further increase mental wellbeing and sustained New Year exercise resolution adherence. Finally, we </w:t>
      </w:r>
      <w:proofErr w:type="spellStart"/>
      <w:r w:rsidRPr="00C8300B">
        <w:t>hypothesised</w:t>
      </w:r>
      <w:proofErr w:type="spellEnd"/>
      <w:r w:rsidRPr="00C8300B">
        <w:t xml:space="preserve"> that </w:t>
      </w:r>
      <w:bookmarkStart w:id="1" w:name="_Hlk108349795"/>
      <w:r w:rsidRPr="00C8300B">
        <w:t>underlying intrinsic motives (but not extrinsic motives) would independently predict (iv) increased mental wellbeing and (v) New Year resolution exercise adherence over time.</w:t>
      </w:r>
      <w:bookmarkEnd w:id="1"/>
    </w:p>
    <w:p w14:paraId="4230E56F" w14:textId="2CD052F7" w:rsidR="009E62D9" w:rsidRPr="00C8300B" w:rsidRDefault="00F92413" w:rsidP="00F92413">
      <w:pPr>
        <w:pStyle w:val="MDPI21heading1"/>
      </w:pPr>
      <w:r>
        <w:t xml:space="preserve">2. </w:t>
      </w:r>
      <w:r w:rsidR="009E62D9" w:rsidRPr="00C8300B">
        <w:t>Method</w:t>
      </w:r>
    </w:p>
    <w:p w14:paraId="42862BD8" w14:textId="49B27DD3" w:rsidR="009E62D9" w:rsidRPr="00F92413" w:rsidRDefault="00F92413" w:rsidP="00F92413">
      <w:pPr>
        <w:pStyle w:val="MDPI22heading2"/>
      </w:pPr>
      <w:r w:rsidRPr="00F92413">
        <w:t xml:space="preserve">2.1. </w:t>
      </w:r>
      <w:r w:rsidR="009E62D9" w:rsidRPr="00F92413">
        <w:t>Design</w:t>
      </w:r>
    </w:p>
    <w:p w14:paraId="0CADDD3D" w14:textId="780D01CB" w:rsidR="009E62D9" w:rsidRPr="00C8300B" w:rsidRDefault="009E62D9" w:rsidP="00FE217C">
      <w:pPr>
        <w:pStyle w:val="MDPI31text"/>
      </w:pPr>
      <w:r w:rsidRPr="00C8300B">
        <w:t xml:space="preserve">An online longitudinal survey was conducted using the Qualtrics survey platform. All participants commenced the study between </w:t>
      </w:r>
      <w:r w:rsidRPr="00D17656">
        <w:t>the 28 December 2021 and the 31 January 2022</w:t>
      </w:r>
      <w:r w:rsidRPr="00C8300B">
        <w:t>. Baseline measures (administered at Time 1) were followed by three subsequent surveys (Time 2, 3 and 4). There was a two-week interval between Time 1 and 2, between Time 2 and Time 3, and a four-week interval between Time 3 and Time 4. The longer four-week interval between Time 3 and Time 4 was included to account for people often abandoning their New Year resolution within, or just after, the first month [29].</w:t>
      </w:r>
    </w:p>
    <w:p w14:paraId="050D32C6" w14:textId="7BF28A62" w:rsidR="009E62D9" w:rsidRPr="00C8300B" w:rsidRDefault="009E62D9" w:rsidP="00FE217C">
      <w:pPr>
        <w:pStyle w:val="MDPI31text"/>
      </w:pPr>
      <w:r w:rsidRPr="00C8300B">
        <w:t>An a priori power calculation was conducted to determine the minimum sample required for a hierarchical regression analysis based on six predictors (including age</w:t>
      </w:r>
      <w:r w:rsidR="00D3010F">
        <w:t xml:space="preserve"> and</w:t>
      </w:r>
      <w:r w:rsidRPr="00C8300B">
        <w:t xml:space="preserve"> gender). With a desired statistical power of 0.80, a medium effect size (</w:t>
      </w:r>
      <w:r w:rsidRPr="00C8300B">
        <w:rPr>
          <w:bCs/>
          <w:i/>
          <w:iCs/>
        </w:rPr>
        <w:t>f</w:t>
      </w:r>
      <w:r w:rsidRPr="00C8300B">
        <w:rPr>
          <w:b/>
          <w:bCs/>
          <w:i/>
          <w:iCs/>
          <w:vertAlign w:val="superscript"/>
        </w:rPr>
        <w:t>2</w:t>
      </w:r>
      <w:r w:rsidRPr="00C8300B">
        <w:t xml:space="preserve"> 0.15) and probability level of 0.05, at least 97 participants were required at Time 4. New Year resolution studies typically report a high attrition rate, with up to a two-third</w:t>
      </w:r>
      <w:r w:rsidR="00D3010F">
        <w:t>s</w:t>
      </w:r>
      <w:r w:rsidRPr="00C8300B">
        <w:t xml:space="preserve"> dropout rate [6]. Therefore, 289 participants were required at Time 1 for the present study, to allow for up to a 66% attrition rate.</w:t>
      </w:r>
    </w:p>
    <w:p w14:paraId="1A14E379" w14:textId="77777777" w:rsidR="00605B5C" w:rsidRDefault="00605B5C">
      <w:pPr>
        <w:spacing w:line="240" w:lineRule="auto"/>
        <w:jc w:val="left"/>
        <w:rPr>
          <w:rFonts w:eastAsia="Times New Roman"/>
          <w:i/>
          <w:noProof/>
          <w:snapToGrid w:val="0"/>
          <w:szCs w:val="22"/>
          <w:lang w:eastAsia="de-DE" w:bidi="en-US"/>
        </w:rPr>
      </w:pPr>
      <w:r>
        <w:br w:type="page"/>
      </w:r>
    </w:p>
    <w:p w14:paraId="66617F96" w14:textId="6D74614A" w:rsidR="009E62D9" w:rsidRPr="00605B5C" w:rsidRDefault="00605B5C" w:rsidP="00605B5C">
      <w:pPr>
        <w:pStyle w:val="MDPI22heading2"/>
        <w:spacing w:before="240"/>
      </w:pPr>
      <w:r w:rsidRPr="00605B5C">
        <w:lastRenderedPageBreak/>
        <w:t xml:space="preserve">2.2. </w:t>
      </w:r>
      <w:r w:rsidR="009E62D9" w:rsidRPr="00605B5C">
        <w:t>Participants</w:t>
      </w:r>
    </w:p>
    <w:p w14:paraId="596B07DA" w14:textId="22B3C84A" w:rsidR="009E62D9" w:rsidRPr="00C8300B" w:rsidRDefault="009E62D9" w:rsidP="00605B5C">
      <w:pPr>
        <w:pStyle w:val="MDPI31text"/>
      </w:pPr>
      <w:r w:rsidRPr="00C8300B">
        <w:t xml:space="preserve">Participants were recruited from the Australian community using advertisements on social media and </w:t>
      </w:r>
      <w:proofErr w:type="spellStart"/>
      <w:r w:rsidRPr="00C8300B">
        <w:t>organisations</w:t>
      </w:r>
      <w:proofErr w:type="spellEnd"/>
      <w:r w:rsidRPr="00C8300B">
        <w:t xml:space="preserve"> with a healthcare or wellness focus. The total sample comprised 297 participants, consisting of 233 females (78.5%), 62 males (20.9%), and two participants report</w:t>
      </w:r>
      <w:r w:rsidR="00D3010F">
        <w:t>ing</w:t>
      </w:r>
      <w:r w:rsidRPr="00C8300B">
        <w:t xml:space="preserve"> as non-binary/third gender (0.7%). The proportion of males and females did not differ significantly across the four time points (</w:t>
      </w:r>
      <w:r w:rsidRPr="00C8300B">
        <w:rPr>
          <w:i/>
          <w:iCs/>
        </w:rPr>
        <w:t>p</w:t>
      </w:r>
      <w:r w:rsidRPr="00C8300B">
        <w:t>’s &gt; 0.05). Participant ages ranged from 18 to 81 years (</w:t>
      </w:r>
      <w:r w:rsidRPr="00C8300B">
        <w:rPr>
          <w:i/>
          <w:iCs/>
        </w:rPr>
        <w:t xml:space="preserve">M </w:t>
      </w:r>
      <w:r w:rsidRPr="00C8300B">
        <w:t xml:space="preserve">= 35.22 years, </w:t>
      </w:r>
      <w:r w:rsidRPr="00C8300B">
        <w:rPr>
          <w:i/>
          <w:iCs/>
        </w:rPr>
        <w:t>SD</w:t>
      </w:r>
      <w:r w:rsidRPr="00C8300B">
        <w:t xml:space="preserve"> = 14.21). Mean age did not differ significantly different across the four time points (</w:t>
      </w:r>
      <w:r w:rsidRPr="00C8300B">
        <w:rPr>
          <w:i/>
          <w:iCs/>
        </w:rPr>
        <w:t xml:space="preserve">p’s </w:t>
      </w:r>
      <w:r w:rsidRPr="00C8300B">
        <w:t>&gt; 0.05).</w:t>
      </w:r>
    </w:p>
    <w:p w14:paraId="7A192011" w14:textId="14FC1F2B" w:rsidR="009E62D9" w:rsidRPr="008002C8" w:rsidRDefault="008002C8" w:rsidP="008002C8">
      <w:pPr>
        <w:pStyle w:val="MDPI22heading2"/>
        <w:spacing w:before="240"/>
      </w:pPr>
      <w:r w:rsidRPr="008002C8">
        <w:t xml:space="preserve">2.3. </w:t>
      </w:r>
      <w:r w:rsidR="009E62D9" w:rsidRPr="008002C8">
        <w:t>Measures</w:t>
      </w:r>
    </w:p>
    <w:p w14:paraId="30F01F44" w14:textId="66178DEE" w:rsidR="009E62D9" w:rsidRPr="00C8300B" w:rsidRDefault="009E62D9" w:rsidP="008002C8">
      <w:pPr>
        <w:pStyle w:val="MDPI31text"/>
      </w:pPr>
      <w:r w:rsidRPr="00D17656">
        <w:t>New Year Resolution Task</w:t>
      </w:r>
      <w:r w:rsidRPr="00D17656">
        <w:rPr>
          <w:b/>
          <w:bCs/>
        </w:rPr>
        <w:t xml:space="preserve"> </w:t>
      </w:r>
      <w:r w:rsidRPr="00D17656">
        <w:t>[6</w:t>
      </w:r>
      <w:r w:rsidRPr="00C8300B">
        <w:t>,30].</w:t>
      </w:r>
      <w:r w:rsidRPr="00106504">
        <w:t xml:space="preserve"> </w:t>
      </w:r>
      <w:r w:rsidRPr="00C8300B">
        <w:t>This adapted task</w:t>
      </w:r>
      <w:r w:rsidRPr="00C8300B">
        <w:rPr>
          <w:b/>
          <w:bCs/>
        </w:rPr>
        <w:t xml:space="preserve"> </w:t>
      </w:r>
      <w:r w:rsidRPr="00C8300B">
        <w:t>was administered at Time 1 to</w:t>
      </w:r>
      <w:r w:rsidRPr="00C8300B">
        <w:rPr>
          <w:b/>
          <w:bCs/>
        </w:rPr>
        <w:t xml:space="preserve"> </w:t>
      </w:r>
      <w:r w:rsidRPr="00C8300B">
        <w:t xml:space="preserve">elicit participants’ most important exercise-related New Year resolution. Participants were asked to, ‘think carefully about their New Year resolution(s) related to exercise, and to select the one resolution to which they are most committed.’ The exercise resolution was then recorded as a single, </w:t>
      </w:r>
      <w:r w:rsidR="00D3010F">
        <w:t xml:space="preserve">short </w:t>
      </w:r>
      <w:r w:rsidRPr="00C8300B">
        <w:t>written statement. Participants were asked to list a resolution that was sufficiently specific to easily assess whether they were sticking to it over the coming weeks.</w:t>
      </w:r>
    </w:p>
    <w:p w14:paraId="06EC4D8C" w14:textId="0CEC2EEF" w:rsidR="009E62D9" w:rsidRPr="00C8300B" w:rsidRDefault="009E62D9" w:rsidP="008002C8">
      <w:pPr>
        <w:pStyle w:val="MDPI31text"/>
      </w:pPr>
      <w:r w:rsidRPr="00D17656">
        <w:t>New Year Exercise Resolution Intrinsic &amp; Extrinsic Motive Ratings.</w:t>
      </w:r>
      <w:r w:rsidRPr="00C8300B">
        <w:t xml:space="preserve"> Motive ratings assessed the extent to which participants pursued their listed exercise resolution for intrinsic and extrinsic reasons. Participants completed four self-report questionnaire items, informed by Sheldon and </w:t>
      </w:r>
      <w:proofErr w:type="spellStart"/>
      <w:r w:rsidRPr="00C8300B">
        <w:t>Kasser’s</w:t>
      </w:r>
      <w:proofErr w:type="spellEnd"/>
      <w:r w:rsidRPr="00C8300B">
        <w:t xml:space="preserve"> method of measuring goal motivation regarding people’s reasons for pursuing their goals [31,32]. Participants rated four reasons that correspond to a continuum of self-determination ranging from highly intrinsic to highly extrinsic motives,</w:t>
      </w:r>
      <w:r w:rsidR="007A7068">
        <w:t xml:space="preserve"> </w:t>
      </w:r>
      <w:r w:rsidRPr="00C8300B">
        <w:t xml:space="preserve">which </w:t>
      </w:r>
      <w:r w:rsidRPr="00032F5F">
        <w:t>included</w:t>
      </w:r>
      <w:r w:rsidR="00D3010F">
        <w:t xml:space="preserve"> the following</w:t>
      </w:r>
      <w:r w:rsidRPr="00032F5F">
        <w:t xml:space="preserve">: </w:t>
      </w:r>
      <w:r w:rsidR="00032F5F">
        <w:t>(</w:t>
      </w:r>
      <w:proofErr w:type="spellStart"/>
      <w:r w:rsidRPr="00032F5F">
        <w:t>i</w:t>
      </w:r>
      <w:proofErr w:type="spellEnd"/>
      <w:r w:rsidRPr="00032F5F">
        <w:t>)</w:t>
      </w:r>
      <w:r w:rsidRPr="00C8300B">
        <w:t xml:space="preserve"> “How personally meaningful is your reason for pursuing your New Year exercise resolution?”; </w:t>
      </w:r>
      <w:r w:rsidR="0052235A">
        <w:t>(</w:t>
      </w:r>
      <w:r w:rsidRPr="00C8300B">
        <w:t xml:space="preserve">ii) “To what extent are you motivated to pursue this resolution because of the personal enjoyment, satisfaction or the fun it will provide?”; </w:t>
      </w:r>
      <w:r w:rsidR="00C57B0C">
        <w:t>(</w:t>
      </w:r>
      <w:r w:rsidRPr="00C8300B">
        <w:t xml:space="preserve">iii) “To what extent are you motivated to pursue this resolution because of the situation or someone else demands it, or because of a sense of shame, guilt or worry you’d feel if you don’t pursue it?”; </w:t>
      </w:r>
      <w:r w:rsidR="00C57B0C">
        <w:t>(</w:t>
      </w:r>
      <w:r w:rsidRPr="00C8300B">
        <w:t>iv) “To what extent are you motivated to pursue this resolution because of some external reward you will receive (e.g., award, money)?” Each item was rated on a 7-point scale ranging from 1 (</w:t>
      </w:r>
      <w:r w:rsidR="00D17656">
        <w:t>‘</w:t>
      </w:r>
      <w:r w:rsidRPr="00D17656">
        <w:t>not at all</w:t>
      </w:r>
      <w:r w:rsidR="00D17656">
        <w:t>’</w:t>
      </w:r>
      <w:r w:rsidRPr="00D17656">
        <w:t>) to 7 (</w:t>
      </w:r>
      <w:r w:rsidR="00D17656">
        <w:t>‘</w:t>
      </w:r>
      <w:r w:rsidRPr="00D17656">
        <w:t>extremely</w:t>
      </w:r>
      <w:r w:rsidR="00D17656">
        <w:t>’</w:t>
      </w:r>
      <w:r w:rsidRPr="00C8300B">
        <w:t>).</w:t>
      </w:r>
    </w:p>
    <w:p w14:paraId="32679F2B" w14:textId="479A0A09" w:rsidR="009E62D9" w:rsidRPr="00C8300B" w:rsidRDefault="009E62D9" w:rsidP="008002C8">
      <w:pPr>
        <w:pStyle w:val="MDPI31text"/>
      </w:pPr>
      <w:r w:rsidRPr="00C8300B">
        <w:t>The two respective intrinsic items and two extrinsic items were summed to form a total intrinsic motive score, and a total extrinsic motive score. Total scores for the intrinsic and extrinsic motives each ranged from 2 to 14, with higher scores indicating greater intrinsic and extrinsic motivated exercise resolutions.</w:t>
      </w:r>
    </w:p>
    <w:p w14:paraId="4C520E03" w14:textId="77777777" w:rsidR="009E62D9" w:rsidRPr="00C8300B" w:rsidRDefault="009E62D9" w:rsidP="008002C8">
      <w:pPr>
        <w:pStyle w:val="MDPI31text"/>
      </w:pPr>
      <w:r w:rsidRPr="00D17656">
        <w:t>Tenacious Goal Pursuit and Flexible Goal Attainment Scale</w:t>
      </w:r>
      <w:r w:rsidRPr="00C8300B">
        <w:rPr>
          <w:b/>
          <w:bCs/>
        </w:rPr>
        <w:t xml:space="preserve"> </w:t>
      </w:r>
      <w:r w:rsidRPr="00C8300B">
        <w:t>(TEN/FLEX) [17]. This measure assesses Tenacious goal pursuit (TGP: e.g., “I stick with my goals and projects, even in the face of great difficulty”) and flexible goal adjustment (FGA: e.g., “I find that even life’s troubles have their bright side”). Both TGP and FGA subscales comprise 15 items. Items are rated from 1 (‘</w:t>
      </w:r>
      <w:r w:rsidRPr="00D17656">
        <w:t>strongly disagree’</w:t>
      </w:r>
      <w:r w:rsidRPr="00C8300B">
        <w:t>) to 5 (‘</w:t>
      </w:r>
      <w:r w:rsidRPr="00D17656">
        <w:t>strongly agree’</w:t>
      </w:r>
      <w:r w:rsidRPr="00C8300B">
        <w:t>). TGP and FGA subscale scores ranged from 15 to 75, with higher scores reflecting greater goal tenacity and goal flexibility, respectively. TEN/FLEX subscales have acceptable reliability (all Cronbach alphas ≥ 0.80) [6,17]. The current study showed acceptable and comparable reliabilities, with Cronbach alphas, α = 0.79 for FGA and α = 0.83 for TGP.</w:t>
      </w:r>
    </w:p>
    <w:p w14:paraId="02F05752" w14:textId="26B99248" w:rsidR="009E62D9" w:rsidRPr="00C8300B" w:rsidRDefault="009E62D9" w:rsidP="008002C8">
      <w:pPr>
        <w:pStyle w:val="MDPI31text"/>
      </w:pPr>
      <w:r w:rsidRPr="00D17656">
        <w:t>Warwick</w:t>
      </w:r>
      <w:r w:rsidR="00580B13" w:rsidRPr="00D17656">
        <w:t>—</w:t>
      </w:r>
      <w:r w:rsidRPr="00D17656">
        <w:t>Edinburgh Mental Wellbeing Scale</w:t>
      </w:r>
      <w:r w:rsidRPr="00C8300B">
        <w:t xml:space="preserve"> (WEMWBS) [33]. The WEMWBS assesses mental wellbeing. It consists of 14 items (e.g., “I’ve been feeling optimistic about the future”) assessing hedonic (i.e., subjective experiences of life satisfaction and happiness) and </w:t>
      </w:r>
      <w:proofErr w:type="spellStart"/>
      <w:r w:rsidRPr="00C8300B">
        <w:t>eudaimonic</w:t>
      </w:r>
      <w:proofErr w:type="spellEnd"/>
      <w:r w:rsidRPr="00C8300B">
        <w:t xml:space="preserve"> (i.e., mental functioning and </w:t>
      </w:r>
      <w:proofErr w:type="spellStart"/>
      <w:r w:rsidRPr="00C8300B">
        <w:t>self-realisation</w:t>
      </w:r>
      <w:proofErr w:type="spellEnd"/>
      <w:r w:rsidRPr="00C8300B">
        <w:t>) perspectives of mental wellbeing [33]. Items are rated from 1 (‘</w:t>
      </w:r>
      <w:r w:rsidRPr="00D17656">
        <w:t>none of the time’</w:t>
      </w:r>
      <w:r w:rsidRPr="00C8300B">
        <w:t>) to 5 (‘</w:t>
      </w:r>
      <w:r w:rsidRPr="00D17656">
        <w:t>all of the time’</w:t>
      </w:r>
      <w:r w:rsidRPr="00C8300B">
        <w:t xml:space="preserve">). Total scores range from 14 to 70, with higher scores representing increased levels of mental well-being. Past research has evidenced good test-retest reliability and acceptable Cronbach alphas 0.90 or above in population samples [6,33]. The present study showed comparable </w:t>
      </w:r>
      <w:r w:rsidRPr="00C8300B">
        <w:lastRenderedPageBreak/>
        <w:t>and acceptable reliabilities, with Cronbach alphas ranging from α = 0.93 to α = 0.95 from Time 1 to Time 4.</w:t>
      </w:r>
    </w:p>
    <w:p w14:paraId="59528A2D" w14:textId="30ACD581" w:rsidR="009E62D9" w:rsidRPr="00C8300B" w:rsidRDefault="009E62D9" w:rsidP="008002C8">
      <w:pPr>
        <w:pStyle w:val="MDPI31text"/>
      </w:pPr>
      <w:r w:rsidRPr="00D17656">
        <w:t>Longitudinal Goal Ratings</w:t>
      </w:r>
      <w:r w:rsidRPr="00C8300B">
        <w:rPr>
          <w:b/>
          <w:bCs/>
        </w:rPr>
        <w:t xml:space="preserve"> </w:t>
      </w:r>
      <w:r w:rsidRPr="00C8300B">
        <w:t xml:space="preserve">[6]. Participants rated three items applied to their New Year exercise resolution from Time 2 to Time 4 to assess resolution ‘stickability’ (Dickson et al., 2021). The items included: </w:t>
      </w:r>
      <w:r w:rsidR="00A929AC">
        <w:t>(</w:t>
      </w:r>
      <w:r w:rsidRPr="00C8300B">
        <w:t>1</w:t>
      </w:r>
      <w:r w:rsidR="00A929AC">
        <w:t>)</w:t>
      </w:r>
      <w:r w:rsidRPr="00C8300B">
        <w:t xml:space="preserve"> Commitment (i.e., “To what extent are you still committed to this resolution?”), </w:t>
      </w:r>
      <w:r w:rsidR="00192B0C">
        <w:t>(</w:t>
      </w:r>
      <w:r w:rsidRPr="00C8300B">
        <w:t>2</w:t>
      </w:r>
      <w:r w:rsidR="00192B0C">
        <w:t>)</w:t>
      </w:r>
      <w:r w:rsidRPr="00C8300B">
        <w:t xml:space="preserve"> Stickability (i.e., “In the last two weeks how successful have you been in sticking to this resolution?”) and </w:t>
      </w:r>
      <w:r w:rsidR="00CF3B71">
        <w:t>(</w:t>
      </w:r>
      <w:r w:rsidRPr="00C8300B">
        <w:t>3</w:t>
      </w:r>
      <w:r w:rsidR="00CF3B71">
        <w:t>)</w:t>
      </w:r>
      <w:r w:rsidRPr="00C8300B">
        <w:t xml:space="preserve"> Effort (i.e., “In the last two weeks, to what extent have you put effort into sticking to this resolution?”). As previously noted, the final survey at Time 4 used four weeks as the timeframe. Items are rated from 1 (‘</w:t>
      </w:r>
      <w:r w:rsidRPr="00D17656">
        <w:t>not at all’</w:t>
      </w:r>
      <w:r w:rsidRPr="00C8300B">
        <w:t>) to 7 (‘</w:t>
      </w:r>
      <w:r w:rsidRPr="00D17656">
        <w:t>extremely’</w:t>
      </w:r>
      <w:r w:rsidRPr="00C8300B">
        <w:t xml:space="preserve">). Because of the large correlational effects found in both Dickson et al.’s [6] research (ranging from </w:t>
      </w:r>
      <w:r w:rsidRPr="00C8300B">
        <w:rPr>
          <w:i/>
          <w:iCs/>
        </w:rPr>
        <w:t>r</w:t>
      </w:r>
      <w:r w:rsidRPr="00C8300B">
        <w:t xml:space="preserve"> = 0.58 to 0.73) and the present study (ranging from </w:t>
      </w:r>
      <w:r w:rsidRPr="00C8300B">
        <w:rPr>
          <w:i/>
          <w:iCs/>
        </w:rPr>
        <w:t>r =</w:t>
      </w:r>
      <w:r w:rsidRPr="00C8300B">
        <w:t xml:space="preserve"> 0.47 to 0.81), the three New Year resolution goal items were summed to form a total resolution ‘stickability’ score.</w:t>
      </w:r>
      <w:r w:rsidR="007A7068">
        <w:t xml:space="preserve"> </w:t>
      </w:r>
      <w:r w:rsidRPr="00C8300B">
        <w:t>Cronbach’s alpha for the combined resolution ‘stickability’ variable was ≥0.90 at each time point.</w:t>
      </w:r>
    </w:p>
    <w:p w14:paraId="4E8BD2B1" w14:textId="71877ADF" w:rsidR="009E62D9" w:rsidRPr="00C8300B" w:rsidRDefault="009E62D9" w:rsidP="008002C8">
      <w:pPr>
        <w:pStyle w:val="MDPI31text"/>
      </w:pPr>
      <w:r w:rsidRPr="00C8300B">
        <w:t xml:space="preserve">An additional item was included to determine why participants had recently abandoned their exercise-related resolution (i.e., ‘If you have abandoned this resolution, please provide a brief reason why (open text box)’). Sixteen participants listed that they had abandoned their exercise resolution at Time 2, </w:t>
      </w:r>
      <w:r w:rsidR="00D3010F">
        <w:t>eight</w:t>
      </w:r>
      <w:r w:rsidRPr="00C8300B">
        <w:t xml:space="preserve"> participants had abandoned their exercise-related resolution at Time 3, and 14 participants at Time 4. Main reasons listed for participants abandoning their exercise-related resolution were time pressures and COVID-19 difficulties.</w:t>
      </w:r>
    </w:p>
    <w:p w14:paraId="651EA1D2" w14:textId="1BD4FDE1" w:rsidR="009E62D9" w:rsidRPr="003D3C6E" w:rsidRDefault="003D3C6E" w:rsidP="003D3C6E">
      <w:pPr>
        <w:pStyle w:val="MDPI22heading2"/>
        <w:spacing w:before="240"/>
      </w:pPr>
      <w:r w:rsidRPr="003D3C6E">
        <w:t xml:space="preserve">2.4. </w:t>
      </w:r>
      <w:r w:rsidR="009E62D9" w:rsidRPr="003D3C6E">
        <w:t>Procedure</w:t>
      </w:r>
    </w:p>
    <w:p w14:paraId="6332E71A" w14:textId="0931479A" w:rsidR="009E62D9" w:rsidRPr="00C8300B" w:rsidRDefault="009E62D9" w:rsidP="003D3C6E">
      <w:pPr>
        <w:pStyle w:val="MDPI31text"/>
      </w:pPr>
      <w:r w:rsidRPr="00C8300B">
        <w:t>Ethical approval was granted by Edith Cowan University Human Research Ethics Committee (HREC: 2021-02874-DICKSON). The study was administered online via Qualtrics across the four time points. Participants were provided with a participation information sheet and provided consent before participating in the study. At baseline (Time 1), participants first completed demographic items, the New Year Resolution Task, followed by the exercise resolution motives, TEN/FLEX and the WEMWBS</w:t>
      </w:r>
      <w:r w:rsidRPr="00C8300B">
        <w:rPr>
          <w:b/>
          <w:bCs/>
        </w:rPr>
        <w:t>.</w:t>
      </w:r>
      <w:r w:rsidRPr="00C8300B">
        <w:t xml:space="preserve"> In the follow up surveys (Time 2, Time </w:t>
      </w:r>
      <w:proofErr w:type="gramStart"/>
      <w:r w:rsidRPr="00C8300B">
        <w:t>3</w:t>
      </w:r>
      <w:proofErr w:type="gramEnd"/>
      <w:r w:rsidRPr="00C8300B">
        <w:t xml:space="preserve"> and Time 4) participants completed the Longitudinal Goal Rating items to assess resolution stickability and the WEMWBS to assess mental wellbeing</w:t>
      </w:r>
      <w:r w:rsidRPr="00C8300B">
        <w:rPr>
          <w:b/>
          <w:bCs/>
        </w:rPr>
        <w:t>.</w:t>
      </w:r>
    </w:p>
    <w:p w14:paraId="32D8CD47" w14:textId="2ECD99FD" w:rsidR="009E62D9" w:rsidRPr="00E94327" w:rsidRDefault="00E94327" w:rsidP="00E94327">
      <w:pPr>
        <w:pStyle w:val="MDPI22heading2"/>
        <w:spacing w:before="240"/>
      </w:pPr>
      <w:r w:rsidRPr="00E94327">
        <w:t xml:space="preserve">2.5. </w:t>
      </w:r>
      <w:r w:rsidR="009E62D9" w:rsidRPr="00E94327">
        <w:t xml:space="preserve">Preliminary </w:t>
      </w:r>
      <w:r w:rsidRPr="00E94327">
        <w:t xml:space="preserve">Coding </w:t>
      </w:r>
      <w:r w:rsidR="009E62D9" w:rsidRPr="00E94327">
        <w:t xml:space="preserve">and </w:t>
      </w:r>
      <w:r w:rsidRPr="00E94327">
        <w:t>Analytic Procedures</w:t>
      </w:r>
    </w:p>
    <w:p w14:paraId="4247E7CC" w14:textId="429491D2" w:rsidR="009E62D9" w:rsidRPr="00C8300B" w:rsidRDefault="009E62D9" w:rsidP="00E94327">
      <w:pPr>
        <w:pStyle w:val="MDPI31text"/>
      </w:pPr>
      <w:r w:rsidRPr="00C8300B">
        <w:t>Exploratory items were included after the New Year Resolution Task at baseline to ascertain if participants had decided on their resolution prior to the New Year</w:t>
      </w:r>
      <w:r w:rsidR="00D3010F">
        <w:t>:</w:t>
      </w:r>
      <w:r w:rsidRPr="00C8300B">
        <w:t xml:space="preserve"> (</w:t>
      </w:r>
      <w:proofErr w:type="spellStart"/>
      <w:r w:rsidRPr="00C8300B">
        <w:t>i</w:t>
      </w:r>
      <w:proofErr w:type="spellEnd"/>
      <w:r w:rsidRPr="00C8300B">
        <w:t xml:space="preserve">) “Had you decided on this exercise-related New Year resolution before beginning this survey?” and whether they had re-activated a previous resolution, </w:t>
      </w:r>
      <w:r w:rsidR="00D3010F">
        <w:t xml:space="preserve">and </w:t>
      </w:r>
      <w:r w:rsidRPr="00C8300B">
        <w:t>(ii) “Have you had this exercise-related New Year resolution in previous years?”</w:t>
      </w:r>
      <w:r w:rsidR="007A7068">
        <w:t xml:space="preserve"> </w:t>
      </w:r>
      <w:r w:rsidRPr="00C8300B">
        <w:t>Most participants had decided upon their resolution prior to the survey (</w:t>
      </w:r>
      <w:r w:rsidRPr="00C8300B">
        <w:rPr>
          <w:i/>
        </w:rPr>
        <w:t>n</w:t>
      </w:r>
      <w:r w:rsidRPr="00C8300B">
        <w:t xml:space="preserve"> = 190; 63.97%), a quarter of participants (</w:t>
      </w:r>
      <w:r w:rsidRPr="00C8300B">
        <w:rPr>
          <w:i/>
        </w:rPr>
        <w:t>n</w:t>
      </w:r>
      <w:r w:rsidRPr="00C8300B">
        <w:t xml:space="preserve"> = 77; 25.93%) had ‘partially’ decided on their resolution, and 29 participants (9.76%) reported that they had not decided on their exercise-related resolution prior to commencement. Approximately 60% of participants reported that they had had the same (</w:t>
      </w:r>
      <w:r w:rsidRPr="00C8300B">
        <w:rPr>
          <w:i/>
        </w:rPr>
        <w:t>n</w:t>
      </w:r>
      <w:r w:rsidRPr="00C8300B">
        <w:t xml:space="preserve"> = 93; 31.31%), or partially the same (</w:t>
      </w:r>
      <w:r w:rsidRPr="00C8300B">
        <w:rPr>
          <w:i/>
        </w:rPr>
        <w:t>n</w:t>
      </w:r>
      <w:r w:rsidRPr="00C8300B">
        <w:t xml:space="preserve"> = 86; 29.96%) resolution in prior years, while just over a third of participants reported that they had not the same resolution previously (</w:t>
      </w:r>
      <w:r w:rsidRPr="00C8300B">
        <w:rPr>
          <w:i/>
        </w:rPr>
        <w:t xml:space="preserve">n </w:t>
      </w:r>
      <w:r w:rsidRPr="00C8300B">
        <w:t>=118; 39.73%). Participants also rated resolution commitment, (</w:t>
      </w:r>
      <w:proofErr w:type="spellStart"/>
      <w:r w:rsidRPr="00C8300B">
        <w:t>i</w:t>
      </w:r>
      <w:proofErr w:type="spellEnd"/>
      <w:r w:rsidRPr="00C8300B">
        <w:t>) “To what extent are you committed to sticking to this resolution for 2022?”, and the ‘stickability’ importance of their resolution (ii) “To what extent is sticking to this resolution important to you?” Finally, participants rated whether they had already been attempting their resolution, (iii) “To what extent have you already been trying to do this over the past year?” Participants rated their answers from 1 (‘</w:t>
      </w:r>
      <w:r w:rsidRPr="00D17656">
        <w:t>not at all’</w:t>
      </w:r>
      <w:r w:rsidRPr="00C8300B">
        <w:t xml:space="preserve">) to 7 </w:t>
      </w:r>
      <w:r w:rsidRPr="00D17656">
        <w:t>(‘extremely’</w:t>
      </w:r>
      <w:r w:rsidRPr="00C8300B">
        <w:t>). Mean scores indicate participants’ high commitment to the listed resolution (</w:t>
      </w:r>
      <w:r w:rsidRPr="00C8300B">
        <w:rPr>
          <w:i/>
          <w:iCs/>
        </w:rPr>
        <w:t>M</w:t>
      </w:r>
      <w:r w:rsidRPr="00C8300B">
        <w:t xml:space="preserve"> = 5.43, </w:t>
      </w:r>
      <w:r w:rsidRPr="00C8300B">
        <w:rPr>
          <w:i/>
          <w:iCs/>
        </w:rPr>
        <w:t>SD</w:t>
      </w:r>
      <w:r w:rsidRPr="00C8300B">
        <w:t xml:space="preserve"> = 1.13), and high importance in sticking to their resolution (</w:t>
      </w:r>
      <w:r w:rsidRPr="00C8300B">
        <w:rPr>
          <w:i/>
          <w:iCs/>
        </w:rPr>
        <w:t>M</w:t>
      </w:r>
      <w:r w:rsidRPr="00C8300B">
        <w:t xml:space="preserve"> = 5.35, </w:t>
      </w:r>
      <w:r w:rsidRPr="00C8300B">
        <w:rPr>
          <w:i/>
          <w:iCs/>
        </w:rPr>
        <w:t>SD</w:t>
      </w:r>
      <w:r w:rsidRPr="00C8300B">
        <w:t xml:space="preserve"> = 1.25).</w:t>
      </w:r>
    </w:p>
    <w:p w14:paraId="5B945021" w14:textId="08ED3F0A" w:rsidR="009E62D9" w:rsidRPr="00C8300B" w:rsidRDefault="009E62D9" w:rsidP="00E94327">
      <w:pPr>
        <w:pStyle w:val="MDPI31text"/>
      </w:pPr>
      <w:r w:rsidRPr="00C8300B">
        <w:lastRenderedPageBreak/>
        <w:t>Participants’ New Year resolutions were coded for (</w:t>
      </w:r>
      <w:proofErr w:type="spellStart"/>
      <w:r w:rsidRPr="00C8300B">
        <w:t>i</w:t>
      </w:r>
      <w:proofErr w:type="spellEnd"/>
      <w:r w:rsidRPr="00C8300B">
        <w:t>) goal orientation (i.e., approach versus avoidance) and (ii) specificity. A resolution was coded as approach-oriented if it involved striving towards a positive outcome (e.g., ‘increase fitness and mobility’), whereas a resolution was coded as avoidance-oriented if it involved striving to prevent or inhibit a negative outcome a (e.g., ‘prevent weight gain’). Most participants listed an approach resolution (94.6%), with only 5.4% listing an avoidance resolution. A resolution was considered ‘specific’ it included a target feature or outcome with at least one of the following features: people, place, or time (e.g., ‘I will do 30-</w:t>
      </w:r>
      <w:r w:rsidR="003D2097">
        <w:t>min</w:t>
      </w:r>
      <w:r w:rsidRPr="00C8300B">
        <w:t xml:space="preserve"> of yoga three times a week’)</w:t>
      </w:r>
      <w:r w:rsidR="00D3010F">
        <w:t>, w</w:t>
      </w:r>
      <w:r w:rsidRPr="00C8300B">
        <w:t xml:space="preserve">hereas an exercise-related New Year resolution was coded as ‘general’ if it was described vaguely (e.g., ‘running’). Slightly more than half the participants described a ‘non-specific’ general resolution (56.6%), and the remainder described a specific resolution (43.3%). Inter-rater reliability yielded good reliability for all coding domains </w:t>
      </w:r>
      <w:r w:rsidRPr="00C8300B">
        <w:rPr>
          <w:i/>
          <w:iCs/>
        </w:rPr>
        <w:t>(</w:t>
      </w:r>
      <w:r w:rsidRPr="00D17656">
        <w:rPr>
          <w:i/>
          <w:iCs/>
        </w:rPr>
        <w:t>all</w:t>
      </w:r>
      <w:r w:rsidRPr="00C8300B">
        <w:rPr>
          <w:i/>
          <w:iCs/>
        </w:rPr>
        <w:t xml:space="preserve"> K’s</w:t>
      </w:r>
      <w:r w:rsidRPr="00C8300B">
        <w:t xml:space="preserve"> = 1) (see </w:t>
      </w:r>
      <w:r w:rsidRPr="001A4D8B">
        <w:t xml:space="preserve">Supplementary </w:t>
      </w:r>
      <w:proofErr w:type="gramStart"/>
      <w:r w:rsidRPr="001A4D8B">
        <w:t>analyses</w:t>
      </w:r>
      <w:proofErr w:type="gramEnd"/>
      <w:r w:rsidR="001A4D8B" w:rsidRPr="001A4D8B">
        <w:t xml:space="preserve"> Table S1–Table S4</w:t>
      </w:r>
      <w:r w:rsidRPr="00C8300B">
        <w:t>).</w:t>
      </w:r>
    </w:p>
    <w:p w14:paraId="30AA6DBA" w14:textId="5B250148" w:rsidR="004863FA" w:rsidRPr="00C8300B" w:rsidRDefault="005C282B" w:rsidP="005C282B">
      <w:pPr>
        <w:pStyle w:val="MDPI21heading1"/>
      </w:pPr>
      <w:r>
        <w:t xml:space="preserve">3. </w:t>
      </w:r>
      <w:r w:rsidR="004863FA" w:rsidRPr="00C8300B">
        <w:t>Results</w:t>
      </w:r>
    </w:p>
    <w:p w14:paraId="0A3837F6" w14:textId="7062369F" w:rsidR="004863FA" w:rsidRPr="005C282B" w:rsidRDefault="005C282B" w:rsidP="005C282B">
      <w:pPr>
        <w:pStyle w:val="MDPI22heading2"/>
      </w:pPr>
      <w:r w:rsidRPr="005C282B">
        <w:t xml:space="preserve">3.1. </w:t>
      </w:r>
      <w:r w:rsidR="004863FA" w:rsidRPr="005C282B">
        <w:t xml:space="preserve">Data </w:t>
      </w:r>
      <w:r w:rsidRPr="005C282B">
        <w:t>Screening</w:t>
      </w:r>
    </w:p>
    <w:p w14:paraId="29C798CF" w14:textId="5A19F616" w:rsidR="004863FA" w:rsidRPr="00C8300B" w:rsidRDefault="004863FA" w:rsidP="005C282B">
      <w:pPr>
        <w:pStyle w:val="MDPI31text"/>
      </w:pPr>
      <w:r w:rsidRPr="00C8300B">
        <w:t xml:space="preserve">Participants were removed from the survey analysis if they did not complete the two </w:t>
      </w:r>
      <w:r w:rsidR="00D3010F" w:rsidRPr="00C8300B">
        <w:t>dependent</w:t>
      </w:r>
      <w:r w:rsidRPr="00C8300B">
        <w:t xml:space="preserve"> variable measures (i.e., mental wellbeing (WEMWBS) and resolution stickability). Thus, 49 participants were removed at Time 1, nine participants at Time 2, and three participants at Time 3 and Time 4. Hence, 297 participants completed Time 1, 179 (60.2%) participants completed Time 2, 134 (45.1%) participants completed Time 3, and 113 (38.0%) participants completed Time 4. There were no significant differences between those who completed all time points and non-completers on the main study variables at </w:t>
      </w:r>
      <w:r w:rsidRPr="001B1D6F">
        <w:t xml:space="preserve">baseline (i.e., goal tenacity, flexible goal adjustment, resolution motives, and mental wellbeing; </w:t>
      </w:r>
      <w:r w:rsidRPr="001B1D6F">
        <w:rPr>
          <w:i/>
          <w:iCs/>
        </w:rPr>
        <w:t>p’</w:t>
      </w:r>
      <w:r w:rsidRPr="001B1D6F">
        <w:t xml:space="preserve">s &gt; </w:t>
      </w:r>
      <w:r w:rsidR="001B1D6F" w:rsidRPr="001B1D6F">
        <w:t>0</w:t>
      </w:r>
      <w:r w:rsidRPr="001B1D6F">
        <w:t xml:space="preserve">.05). Nor did the proportion of men and women differ significantly for completers versus non-completers (all </w:t>
      </w:r>
      <w:r w:rsidRPr="001B1D6F">
        <w:rPr>
          <w:i/>
          <w:iCs/>
        </w:rPr>
        <w:t>p’s</w:t>
      </w:r>
      <w:r w:rsidRPr="001B1D6F">
        <w:t xml:space="preserve"> &gt; </w:t>
      </w:r>
      <w:r w:rsidR="001B1D6F" w:rsidRPr="001B1D6F">
        <w:t>0</w:t>
      </w:r>
      <w:r w:rsidRPr="001B1D6F">
        <w:t>.05). There</w:t>
      </w:r>
      <w:r w:rsidRPr="00C8300B">
        <w:t xml:space="preserve"> was however a significant difference in age, with results showing participants who completed all phases of the study were younger than non-completers (</w:t>
      </w:r>
      <w:r w:rsidRPr="00D17656">
        <w:rPr>
          <w:i/>
          <w:iCs/>
        </w:rPr>
        <w:t>M</w:t>
      </w:r>
      <w:r w:rsidRPr="00D17656">
        <w:rPr>
          <w:i/>
          <w:iCs/>
          <w:vertAlign w:val="subscript"/>
        </w:rPr>
        <w:t>age</w:t>
      </w:r>
      <w:r w:rsidRPr="00D17656">
        <w:rPr>
          <w:i/>
          <w:iCs/>
        </w:rPr>
        <w:t xml:space="preserve"> </w:t>
      </w:r>
      <w:r w:rsidRPr="00D17656">
        <w:rPr>
          <w:i/>
          <w:iCs/>
          <w:vertAlign w:val="subscript"/>
        </w:rPr>
        <w:t>completers</w:t>
      </w:r>
      <w:r w:rsidRPr="00D17656">
        <w:t xml:space="preserve"> = 34.00, </w:t>
      </w:r>
      <w:r w:rsidRPr="00D17656">
        <w:rPr>
          <w:i/>
          <w:iCs/>
        </w:rPr>
        <w:t>SD</w:t>
      </w:r>
      <w:r w:rsidRPr="00D17656">
        <w:t xml:space="preserve"> = 12.99 vs. </w:t>
      </w:r>
      <w:r w:rsidRPr="00D17656">
        <w:rPr>
          <w:i/>
          <w:iCs/>
        </w:rPr>
        <w:t>M</w:t>
      </w:r>
      <w:r w:rsidRPr="00D17656">
        <w:rPr>
          <w:i/>
          <w:iCs/>
          <w:vertAlign w:val="subscript"/>
        </w:rPr>
        <w:t>age non-completers</w:t>
      </w:r>
      <w:r w:rsidRPr="00C8300B">
        <w:rPr>
          <w:i/>
          <w:iCs/>
        </w:rPr>
        <w:t xml:space="preserve"> </w:t>
      </w:r>
      <w:r w:rsidRPr="00C8300B">
        <w:t xml:space="preserve">= 37.81, </w:t>
      </w:r>
      <w:r w:rsidRPr="00C8300B">
        <w:rPr>
          <w:i/>
          <w:iCs/>
        </w:rPr>
        <w:t>SD</w:t>
      </w:r>
      <w:r w:rsidRPr="00C8300B">
        <w:t xml:space="preserve"> = 37.81; </w:t>
      </w:r>
      <w:r w:rsidRPr="00C8300B">
        <w:rPr>
          <w:i/>
          <w:iCs/>
        </w:rPr>
        <w:t xml:space="preserve">t </w:t>
      </w:r>
      <w:r w:rsidRPr="00C8300B">
        <w:t xml:space="preserve">(294) = </w:t>
      </w:r>
      <w:r w:rsidR="00106504">
        <w:t>−</w:t>
      </w:r>
      <w:r w:rsidRPr="00C8300B">
        <w:t>2.26,</w:t>
      </w:r>
      <w:r w:rsidRPr="00C8300B">
        <w:rPr>
          <w:i/>
          <w:iCs/>
        </w:rPr>
        <w:t xml:space="preserve"> p</w:t>
      </w:r>
      <w:r w:rsidRPr="00C8300B">
        <w:t xml:space="preserve"> &lt;</w:t>
      </w:r>
      <w:r w:rsidR="005C0244">
        <w:t xml:space="preserve"> 0</w:t>
      </w:r>
      <w:r w:rsidRPr="00C8300B">
        <w:t>.001). Data screening showed that parametric assumptions were met for regression analysis</w:t>
      </w:r>
      <w:r w:rsidRPr="00C8300B">
        <w:rPr>
          <w:rStyle w:val="CommentReference"/>
          <w:color w:val="auto"/>
        </w:rPr>
        <w:t>.</w:t>
      </w:r>
    </w:p>
    <w:p w14:paraId="693E0FC2" w14:textId="0F3CAE6A" w:rsidR="004863FA" w:rsidRPr="00C8300B" w:rsidRDefault="004863FA" w:rsidP="005C282B">
      <w:pPr>
        <w:pStyle w:val="MDPI31text"/>
      </w:pPr>
      <w:r w:rsidRPr="00C8300B">
        <w:t xml:space="preserve">Additional preliminary analyses were conducted to investigate if there were significant differences on the main study variables for those participants who had not decided on their resolution prior to beginning the survey compared to those who had decided or partially decided on their </w:t>
      </w:r>
      <w:r w:rsidRPr="00585351">
        <w:t xml:space="preserve">resolutions. No significant group differences were observed on goal tenacity, mental </w:t>
      </w:r>
      <w:proofErr w:type="gramStart"/>
      <w:r w:rsidRPr="00585351">
        <w:t>wellbeing</w:t>
      </w:r>
      <w:proofErr w:type="gramEnd"/>
      <w:r w:rsidRPr="00585351">
        <w:t xml:space="preserve"> or gender at baseline (</w:t>
      </w:r>
      <w:r w:rsidRPr="00585351">
        <w:rPr>
          <w:i/>
        </w:rPr>
        <w:t>p’</w:t>
      </w:r>
      <w:r w:rsidRPr="00585351">
        <w:t xml:space="preserve">s &gt; </w:t>
      </w:r>
      <w:r w:rsidR="00B469B0" w:rsidRPr="00585351">
        <w:t>0</w:t>
      </w:r>
      <w:r w:rsidRPr="00585351">
        <w:t>.05). There was however a significant difference in age, goal flexibility and intrinsic motives. Participants who had decided their resolution prior to beginning the survey were significantly older (</w:t>
      </w:r>
      <w:proofErr w:type="spellStart"/>
      <w:r w:rsidRPr="00D17656">
        <w:rPr>
          <w:i/>
          <w:iCs/>
        </w:rPr>
        <w:t>M</w:t>
      </w:r>
      <w:r w:rsidRPr="00D17656">
        <w:rPr>
          <w:i/>
          <w:iCs/>
          <w:vertAlign w:val="subscript"/>
        </w:rPr>
        <w:t>yes</w:t>
      </w:r>
      <w:proofErr w:type="spellEnd"/>
      <w:r w:rsidRPr="00D17656">
        <w:rPr>
          <w:i/>
          <w:iCs/>
          <w:vertAlign w:val="subscript"/>
        </w:rPr>
        <w:t xml:space="preserve">-decided </w:t>
      </w:r>
      <w:r w:rsidRPr="00D17656">
        <w:t xml:space="preserve">= 37.61, </w:t>
      </w:r>
      <w:r w:rsidRPr="00D17656">
        <w:rPr>
          <w:i/>
          <w:iCs/>
        </w:rPr>
        <w:t>SD</w:t>
      </w:r>
      <w:r w:rsidRPr="00D17656">
        <w:t xml:space="preserve"> = 15.20 vs. </w:t>
      </w:r>
      <w:proofErr w:type="spellStart"/>
      <w:r w:rsidRPr="00D17656">
        <w:rPr>
          <w:i/>
          <w:iCs/>
        </w:rPr>
        <w:t>M</w:t>
      </w:r>
      <w:r w:rsidRPr="00D17656">
        <w:rPr>
          <w:i/>
          <w:iCs/>
          <w:vertAlign w:val="subscript"/>
        </w:rPr>
        <w:t>partially</w:t>
      </w:r>
      <w:proofErr w:type="spellEnd"/>
      <w:r w:rsidRPr="00D17656">
        <w:rPr>
          <w:i/>
          <w:iCs/>
          <w:vertAlign w:val="subscript"/>
        </w:rPr>
        <w:t>-decided</w:t>
      </w:r>
      <w:r w:rsidRPr="00D17656">
        <w:rPr>
          <w:i/>
          <w:iCs/>
        </w:rPr>
        <w:t xml:space="preserve"> </w:t>
      </w:r>
      <w:r w:rsidRPr="00D17656">
        <w:t xml:space="preserve">= 31.90, </w:t>
      </w:r>
      <w:r w:rsidRPr="00D17656">
        <w:rPr>
          <w:i/>
          <w:iCs/>
        </w:rPr>
        <w:t>SD</w:t>
      </w:r>
      <w:r w:rsidRPr="00D17656">
        <w:t xml:space="preserve"> = 11.48 vs. </w:t>
      </w:r>
      <w:proofErr w:type="spellStart"/>
      <w:r w:rsidRPr="00D17656">
        <w:rPr>
          <w:i/>
          <w:iCs/>
        </w:rPr>
        <w:t>M</w:t>
      </w:r>
      <w:r w:rsidRPr="00D17656">
        <w:rPr>
          <w:i/>
          <w:iCs/>
          <w:vertAlign w:val="subscript"/>
        </w:rPr>
        <w:t>no</w:t>
      </w:r>
      <w:proofErr w:type="spellEnd"/>
      <w:r w:rsidRPr="00D17656">
        <w:rPr>
          <w:i/>
          <w:iCs/>
          <w:vertAlign w:val="subscript"/>
        </w:rPr>
        <w:t xml:space="preserve">-decided </w:t>
      </w:r>
      <w:r w:rsidRPr="00D17656">
        <w:t xml:space="preserve">= </w:t>
      </w:r>
      <w:r w:rsidRPr="00D17656">
        <w:rPr>
          <w:i/>
          <w:iCs/>
        </w:rPr>
        <w:t>M</w:t>
      </w:r>
      <w:r w:rsidRPr="00D17656">
        <w:t xml:space="preserve"> = 31.03, </w:t>
      </w:r>
      <w:r w:rsidRPr="00D17656">
        <w:rPr>
          <w:i/>
          <w:iCs/>
        </w:rPr>
        <w:t>SD</w:t>
      </w:r>
      <w:r w:rsidRPr="00D17656">
        <w:t xml:space="preserve"> = 12.03,</w:t>
      </w:r>
      <w:r w:rsidR="007A7068" w:rsidRPr="00D17656">
        <w:t xml:space="preserve"> </w:t>
      </w:r>
      <w:r w:rsidRPr="00D17656">
        <w:rPr>
          <w:i/>
          <w:iCs/>
        </w:rPr>
        <w:t xml:space="preserve">f </w:t>
      </w:r>
      <w:r w:rsidRPr="00D17656">
        <w:t>(2,292) = 6.18,</w:t>
      </w:r>
      <w:r w:rsidRPr="00D17656">
        <w:rPr>
          <w:i/>
          <w:iCs/>
        </w:rPr>
        <w:t xml:space="preserve"> p</w:t>
      </w:r>
      <w:r w:rsidRPr="00D17656">
        <w:t xml:space="preserve"> = </w:t>
      </w:r>
      <w:r w:rsidR="00B469B0" w:rsidRPr="00D17656">
        <w:t>0</w:t>
      </w:r>
      <w:r w:rsidRPr="00D17656">
        <w:t>.002), reported higher goal flexibility (</w:t>
      </w:r>
      <w:proofErr w:type="spellStart"/>
      <w:r w:rsidRPr="00D17656">
        <w:rPr>
          <w:i/>
          <w:iCs/>
        </w:rPr>
        <w:t>M</w:t>
      </w:r>
      <w:r w:rsidRPr="00D17656">
        <w:rPr>
          <w:i/>
          <w:iCs/>
          <w:vertAlign w:val="subscript"/>
        </w:rPr>
        <w:t>yes</w:t>
      </w:r>
      <w:proofErr w:type="spellEnd"/>
      <w:r w:rsidRPr="00D17656">
        <w:rPr>
          <w:i/>
          <w:iCs/>
          <w:vertAlign w:val="subscript"/>
        </w:rPr>
        <w:t xml:space="preserve">-decided </w:t>
      </w:r>
      <w:r w:rsidRPr="00D17656">
        <w:t xml:space="preserve">= 50.98, </w:t>
      </w:r>
      <w:r w:rsidRPr="00D17656">
        <w:rPr>
          <w:i/>
          <w:iCs/>
        </w:rPr>
        <w:t>SD</w:t>
      </w:r>
      <w:r w:rsidRPr="00D17656">
        <w:t xml:space="preserve"> = 6.84 vs. </w:t>
      </w:r>
      <w:proofErr w:type="spellStart"/>
      <w:r w:rsidRPr="00D17656">
        <w:rPr>
          <w:i/>
          <w:iCs/>
        </w:rPr>
        <w:t>M</w:t>
      </w:r>
      <w:r w:rsidRPr="00D17656">
        <w:rPr>
          <w:i/>
          <w:iCs/>
          <w:vertAlign w:val="subscript"/>
        </w:rPr>
        <w:t>partially</w:t>
      </w:r>
      <w:proofErr w:type="spellEnd"/>
      <w:r w:rsidRPr="00D17656">
        <w:rPr>
          <w:i/>
          <w:iCs/>
          <w:vertAlign w:val="subscript"/>
        </w:rPr>
        <w:t>-decided</w:t>
      </w:r>
      <w:r w:rsidRPr="00D17656">
        <w:rPr>
          <w:i/>
          <w:iCs/>
        </w:rPr>
        <w:t xml:space="preserve"> </w:t>
      </w:r>
      <w:r w:rsidRPr="00D17656">
        <w:t xml:space="preserve">= 48.26, </w:t>
      </w:r>
      <w:r w:rsidRPr="00D17656">
        <w:rPr>
          <w:i/>
          <w:iCs/>
        </w:rPr>
        <w:t>SD</w:t>
      </w:r>
      <w:r w:rsidRPr="00D17656">
        <w:t xml:space="preserve"> = 7.55; </w:t>
      </w:r>
      <w:r w:rsidRPr="00D17656">
        <w:rPr>
          <w:i/>
          <w:iCs/>
        </w:rPr>
        <w:t xml:space="preserve">f </w:t>
      </w:r>
      <w:r w:rsidRPr="00D17656">
        <w:t>(2,293) = 4.19,</w:t>
      </w:r>
      <w:r w:rsidRPr="00D17656">
        <w:rPr>
          <w:i/>
          <w:iCs/>
        </w:rPr>
        <w:t xml:space="preserve"> p</w:t>
      </w:r>
      <w:r w:rsidRPr="00D17656">
        <w:t xml:space="preserve"> = </w:t>
      </w:r>
      <w:r w:rsidR="00B469B0" w:rsidRPr="00D17656">
        <w:t>0</w:t>
      </w:r>
      <w:r w:rsidRPr="00D17656">
        <w:t>.016) and intrinsic motive scores (</w:t>
      </w:r>
      <w:proofErr w:type="spellStart"/>
      <w:r w:rsidRPr="00D17656">
        <w:rPr>
          <w:i/>
          <w:iCs/>
        </w:rPr>
        <w:t>M</w:t>
      </w:r>
      <w:r w:rsidRPr="00D17656">
        <w:rPr>
          <w:i/>
          <w:iCs/>
          <w:vertAlign w:val="subscript"/>
        </w:rPr>
        <w:t>yes</w:t>
      </w:r>
      <w:proofErr w:type="spellEnd"/>
      <w:r w:rsidRPr="00D17656">
        <w:rPr>
          <w:i/>
          <w:iCs/>
          <w:vertAlign w:val="subscript"/>
        </w:rPr>
        <w:t xml:space="preserve">-decided </w:t>
      </w:r>
      <w:r w:rsidRPr="00D17656">
        <w:t xml:space="preserve">= 10.41, </w:t>
      </w:r>
      <w:r w:rsidRPr="00D17656">
        <w:rPr>
          <w:i/>
          <w:iCs/>
        </w:rPr>
        <w:t>SD</w:t>
      </w:r>
      <w:r w:rsidRPr="00D17656">
        <w:t xml:space="preserve"> = 2.36 vs. </w:t>
      </w:r>
      <w:proofErr w:type="spellStart"/>
      <w:r w:rsidRPr="00D17656">
        <w:rPr>
          <w:i/>
          <w:iCs/>
        </w:rPr>
        <w:t>M</w:t>
      </w:r>
      <w:r w:rsidRPr="00D17656">
        <w:rPr>
          <w:i/>
          <w:iCs/>
          <w:vertAlign w:val="subscript"/>
        </w:rPr>
        <w:t>partially</w:t>
      </w:r>
      <w:proofErr w:type="spellEnd"/>
      <w:r w:rsidRPr="00D17656">
        <w:rPr>
          <w:i/>
          <w:iCs/>
          <w:vertAlign w:val="subscript"/>
        </w:rPr>
        <w:t>-decided</w:t>
      </w:r>
      <w:r w:rsidRPr="00D17656">
        <w:rPr>
          <w:i/>
          <w:iCs/>
        </w:rPr>
        <w:t xml:space="preserve"> </w:t>
      </w:r>
      <w:r w:rsidRPr="00D17656">
        <w:t xml:space="preserve">= 9.66, </w:t>
      </w:r>
      <w:r w:rsidRPr="00D17656">
        <w:rPr>
          <w:i/>
          <w:iCs/>
        </w:rPr>
        <w:t>SD</w:t>
      </w:r>
      <w:r w:rsidRPr="00D17656">
        <w:t xml:space="preserve"> = 2.07 vs. </w:t>
      </w:r>
      <w:proofErr w:type="spellStart"/>
      <w:r w:rsidRPr="00D17656">
        <w:rPr>
          <w:i/>
          <w:iCs/>
        </w:rPr>
        <w:t>M</w:t>
      </w:r>
      <w:r w:rsidRPr="00D17656">
        <w:rPr>
          <w:i/>
          <w:iCs/>
          <w:vertAlign w:val="subscript"/>
        </w:rPr>
        <w:t>no</w:t>
      </w:r>
      <w:proofErr w:type="spellEnd"/>
      <w:r w:rsidRPr="00D17656">
        <w:rPr>
          <w:i/>
          <w:iCs/>
          <w:vertAlign w:val="subscript"/>
        </w:rPr>
        <w:t>-decided</w:t>
      </w:r>
      <w:r w:rsidRPr="00D17656">
        <w:rPr>
          <w:i/>
          <w:iCs/>
        </w:rPr>
        <w:t xml:space="preserve"> </w:t>
      </w:r>
      <w:r w:rsidRPr="00D17656">
        <w:t xml:space="preserve">= 9.24, </w:t>
      </w:r>
      <w:r w:rsidRPr="00D17656">
        <w:rPr>
          <w:i/>
          <w:iCs/>
        </w:rPr>
        <w:t>SD</w:t>
      </w:r>
      <w:r w:rsidRPr="00D17656">
        <w:t xml:space="preserve"> = 2.17; </w:t>
      </w:r>
      <w:r w:rsidRPr="00D17656">
        <w:rPr>
          <w:i/>
          <w:iCs/>
        </w:rPr>
        <w:t xml:space="preserve">f </w:t>
      </w:r>
      <w:r w:rsidRPr="00D17656">
        <w:t>(2,293) = 5.30,</w:t>
      </w:r>
      <w:r w:rsidRPr="00D17656">
        <w:rPr>
          <w:i/>
          <w:iCs/>
        </w:rPr>
        <w:t xml:space="preserve"> p</w:t>
      </w:r>
      <w:r w:rsidRPr="00D17656">
        <w:t xml:space="preserve"> = </w:t>
      </w:r>
      <w:r w:rsidR="00B469B0" w:rsidRPr="00D17656">
        <w:t>0</w:t>
      </w:r>
      <w:r w:rsidRPr="00D17656">
        <w:t>.006) than those who had not decided or partially decided on their resolution. There were no significant differences between groups who had chosen a new resolution from those who had reactivated or partially reactivated previous resolutions (i.e., goal-flexibility, tenacity</w:t>
      </w:r>
      <w:r w:rsidR="00D3010F" w:rsidRPr="00D17656">
        <w:t xml:space="preserve"> </w:t>
      </w:r>
      <w:r w:rsidRPr="00D17656">
        <w:t xml:space="preserve">or gender, all </w:t>
      </w:r>
      <w:r w:rsidRPr="00D17656">
        <w:rPr>
          <w:i/>
        </w:rPr>
        <w:t>p</w:t>
      </w:r>
      <w:r w:rsidRPr="00D17656">
        <w:t>’s &gt; 0.05), except for age, with participants who had the same resolution in previous years being significantly older (</w:t>
      </w:r>
      <w:proofErr w:type="spellStart"/>
      <w:r w:rsidRPr="00D17656">
        <w:rPr>
          <w:i/>
          <w:iCs/>
        </w:rPr>
        <w:t>M</w:t>
      </w:r>
      <w:r w:rsidRPr="00D17656">
        <w:rPr>
          <w:i/>
          <w:iCs/>
          <w:vertAlign w:val="subscript"/>
        </w:rPr>
        <w:t>new</w:t>
      </w:r>
      <w:proofErr w:type="spellEnd"/>
      <w:r w:rsidRPr="00D17656">
        <w:rPr>
          <w:i/>
          <w:iCs/>
          <w:vertAlign w:val="subscript"/>
        </w:rPr>
        <w:t xml:space="preserve">-resolution </w:t>
      </w:r>
      <w:r w:rsidRPr="00D17656">
        <w:t xml:space="preserve">= 37.61, </w:t>
      </w:r>
      <w:r w:rsidRPr="00D17656">
        <w:rPr>
          <w:i/>
          <w:iCs/>
        </w:rPr>
        <w:t>SD</w:t>
      </w:r>
      <w:r w:rsidRPr="00D17656">
        <w:t xml:space="preserve"> = 15.16 vs. </w:t>
      </w:r>
      <w:proofErr w:type="spellStart"/>
      <w:r w:rsidRPr="00D17656">
        <w:rPr>
          <w:i/>
          <w:iCs/>
        </w:rPr>
        <w:t>M</w:t>
      </w:r>
      <w:r w:rsidRPr="00D17656">
        <w:rPr>
          <w:i/>
          <w:iCs/>
          <w:vertAlign w:val="subscript"/>
        </w:rPr>
        <w:t>partially</w:t>
      </w:r>
      <w:proofErr w:type="spellEnd"/>
      <w:r w:rsidRPr="00D17656">
        <w:rPr>
          <w:i/>
          <w:iCs/>
          <w:vertAlign w:val="subscript"/>
        </w:rPr>
        <w:t>-reactivated</w:t>
      </w:r>
      <w:r w:rsidRPr="00D17656">
        <w:rPr>
          <w:i/>
          <w:iCs/>
        </w:rPr>
        <w:t xml:space="preserve"> </w:t>
      </w:r>
      <w:r w:rsidRPr="00D17656">
        <w:t xml:space="preserve">= 31.90, </w:t>
      </w:r>
      <w:r w:rsidRPr="00D17656">
        <w:rPr>
          <w:i/>
          <w:iCs/>
        </w:rPr>
        <w:t>SD</w:t>
      </w:r>
      <w:r w:rsidRPr="00D17656">
        <w:t xml:space="preserve"> = 11.48 vs. </w:t>
      </w:r>
      <w:proofErr w:type="spellStart"/>
      <w:r w:rsidRPr="00D17656">
        <w:rPr>
          <w:i/>
          <w:iCs/>
        </w:rPr>
        <w:t>M</w:t>
      </w:r>
      <w:r w:rsidRPr="00D17656">
        <w:rPr>
          <w:i/>
          <w:iCs/>
          <w:vertAlign w:val="subscript"/>
        </w:rPr>
        <w:t>reactivated</w:t>
      </w:r>
      <w:proofErr w:type="spellEnd"/>
      <w:r w:rsidRPr="00D17656">
        <w:rPr>
          <w:i/>
          <w:iCs/>
        </w:rPr>
        <w:t xml:space="preserve"> </w:t>
      </w:r>
      <w:r w:rsidRPr="00D17656">
        <w:t xml:space="preserve">= 31.03, </w:t>
      </w:r>
      <w:r w:rsidRPr="00D17656">
        <w:rPr>
          <w:i/>
          <w:iCs/>
        </w:rPr>
        <w:t>SD</w:t>
      </w:r>
      <w:r w:rsidRPr="00D17656">
        <w:t xml:space="preserve"> = 12.03; </w:t>
      </w:r>
      <w:r w:rsidRPr="00D17656">
        <w:rPr>
          <w:i/>
          <w:iCs/>
        </w:rPr>
        <w:t xml:space="preserve">f </w:t>
      </w:r>
      <w:r w:rsidRPr="00D17656">
        <w:t>(2,292)</w:t>
      </w:r>
      <w:r w:rsidRPr="00585351">
        <w:t xml:space="preserve"> = 6.18,</w:t>
      </w:r>
      <w:r w:rsidRPr="00585351">
        <w:rPr>
          <w:i/>
          <w:iCs/>
        </w:rPr>
        <w:t xml:space="preserve"> p</w:t>
      </w:r>
      <w:r w:rsidRPr="00585351">
        <w:t xml:space="preserve"> = </w:t>
      </w:r>
      <w:r w:rsidR="00B469B0" w:rsidRPr="00585351">
        <w:t>0</w:t>
      </w:r>
      <w:r w:rsidRPr="00585351">
        <w:t>.002) than those who had not</w:t>
      </w:r>
      <w:r w:rsidRPr="00C8300B">
        <w:t xml:space="preserve"> reactivated or partially reactivated previous resolutions.</w:t>
      </w:r>
    </w:p>
    <w:p w14:paraId="0CEF7CE1" w14:textId="5B8AC2CF" w:rsidR="004863FA" w:rsidRPr="00A4078B" w:rsidRDefault="00A4078B" w:rsidP="00A4078B">
      <w:pPr>
        <w:pStyle w:val="MDPI22heading2"/>
        <w:spacing w:before="240"/>
      </w:pPr>
      <w:r w:rsidRPr="00A4078B">
        <w:t xml:space="preserve">3.2. </w:t>
      </w:r>
      <w:r w:rsidR="004863FA" w:rsidRPr="00A4078B">
        <w:t>Descriptive Statistics and Correlations</w:t>
      </w:r>
    </w:p>
    <w:p w14:paraId="5A96750A" w14:textId="1AEBB22C" w:rsidR="004863FA" w:rsidRPr="00C8300B" w:rsidRDefault="004863FA" w:rsidP="00A4078B">
      <w:pPr>
        <w:pStyle w:val="MDPI31text"/>
      </w:pPr>
      <w:r w:rsidRPr="00C8300B">
        <w:t>Descriptive statistics and Pearson’s</w:t>
      </w:r>
      <w:r w:rsidRPr="00C8300B">
        <w:rPr>
          <w:i/>
        </w:rPr>
        <w:t xml:space="preserve"> </w:t>
      </w:r>
      <w:r w:rsidRPr="00C8300B">
        <w:t xml:space="preserve">correlations between the main study variables are presented in Table 1. Goal flexibility was significantly correlated with mental wellbeing across time, showing moderate to large effects. However, except for Time 4, flexibility was </w:t>
      </w:r>
      <w:r w:rsidRPr="00C8300B">
        <w:lastRenderedPageBreak/>
        <w:t xml:space="preserve">not associated with exercise resolution stickability. As expected, goal tenacity showed a significant relationship with wellbeing and stickability across time, showing small-to-medium effects. Intrinsic motives were positively correlated with wellbeing from Time 1 to Time 3 (but not Time 4), and with resolution stickability across all time points with moderate effects. Conversely, except for Time 1, extrinsic motives did not significantly correlate with either wellbeing or resolution stickability at any other time point. As expected, wellbeing ratings were significantly positively correlated across all four time points, as were stickability ratings. Wellbeing mean scores were consistent with past community samples [33]. Age significantly correlated with goal flexibility, extrinsic motives, mental wellbeing (at Time 2 and 3), and with resolution stickability at all time points. Independent </w:t>
      </w:r>
      <w:r w:rsidRPr="00C8300B">
        <w:rPr>
          <w:i/>
          <w:iCs/>
        </w:rPr>
        <w:t>t</w:t>
      </w:r>
      <w:r w:rsidRPr="00C8300B">
        <w:t>-tests showed no significant gender differences, except for resolution stickability at Time 3 and wellbeing at Time 2, where males reported greater levels of resolution stickability (</w:t>
      </w:r>
      <w:proofErr w:type="spellStart"/>
      <w:r w:rsidRPr="00D17656">
        <w:rPr>
          <w:i/>
          <w:iCs/>
        </w:rPr>
        <w:t>M</w:t>
      </w:r>
      <w:r w:rsidRPr="00D17656">
        <w:rPr>
          <w:i/>
          <w:iCs/>
          <w:vertAlign w:val="subscript"/>
        </w:rPr>
        <w:t>male</w:t>
      </w:r>
      <w:proofErr w:type="spellEnd"/>
      <w:r w:rsidRPr="00D17656">
        <w:t xml:space="preserve"> = 16.14, </w:t>
      </w:r>
      <w:r w:rsidRPr="00D17656">
        <w:rPr>
          <w:i/>
          <w:iCs/>
        </w:rPr>
        <w:t>SD</w:t>
      </w:r>
      <w:r w:rsidRPr="00D17656">
        <w:t xml:space="preserve"> = 3.79 vs. </w:t>
      </w:r>
      <w:proofErr w:type="spellStart"/>
      <w:r w:rsidRPr="00D17656">
        <w:rPr>
          <w:i/>
          <w:iCs/>
        </w:rPr>
        <w:t>M</w:t>
      </w:r>
      <w:r w:rsidRPr="00D17656">
        <w:rPr>
          <w:i/>
          <w:iCs/>
          <w:vertAlign w:val="subscript"/>
        </w:rPr>
        <w:t>female</w:t>
      </w:r>
      <w:proofErr w:type="spellEnd"/>
      <w:r w:rsidRPr="00D17656">
        <w:t xml:space="preserve"> = 12.98, </w:t>
      </w:r>
      <w:r w:rsidRPr="00D17656">
        <w:rPr>
          <w:i/>
          <w:iCs/>
        </w:rPr>
        <w:t xml:space="preserve">SD = </w:t>
      </w:r>
      <w:r w:rsidRPr="00D17656">
        <w:t>4.86;</w:t>
      </w:r>
      <w:r w:rsidRPr="00D17656">
        <w:rPr>
          <w:i/>
          <w:iCs/>
        </w:rPr>
        <w:t xml:space="preserve"> </w:t>
      </w:r>
      <w:proofErr w:type="gramStart"/>
      <w:r w:rsidRPr="00D17656">
        <w:rPr>
          <w:i/>
          <w:iCs/>
        </w:rPr>
        <w:t>t</w:t>
      </w:r>
      <w:r w:rsidRPr="00D17656">
        <w:t>(</w:t>
      </w:r>
      <w:proofErr w:type="gramEnd"/>
      <w:r w:rsidRPr="00D17656">
        <w:t xml:space="preserve">132) = 2.82, </w:t>
      </w:r>
      <w:r w:rsidRPr="00D17656">
        <w:rPr>
          <w:i/>
          <w:iCs/>
        </w:rPr>
        <w:t>p</w:t>
      </w:r>
      <w:r w:rsidRPr="00D17656">
        <w:t xml:space="preserve"> = </w:t>
      </w:r>
      <w:r w:rsidR="00A4078B" w:rsidRPr="00D17656">
        <w:t>0</w:t>
      </w:r>
      <w:r w:rsidRPr="00D17656">
        <w:t>.005) and higher wellbeing</w:t>
      </w:r>
      <w:r w:rsidRPr="00D17656">
        <w:rPr>
          <w:i/>
          <w:iCs/>
        </w:rPr>
        <w:t xml:space="preserve"> (</w:t>
      </w:r>
      <w:proofErr w:type="spellStart"/>
      <w:r w:rsidRPr="00D17656">
        <w:rPr>
          <w:i/>
          <w:iCs/>
        </w:rPr>
        <w:t>M</w:t>
      </w:r>
      <w:r w:rsidRPr="00D17656">
        <w:rPr>
          <w:i/>
          <w:iCs/>
          <w:vertAlign w:val="subscript"/>
        </w:rPr>
        <w:t>male</w:t>
      </w:r>
      <w:proofErr w:type="spellEnd"/>
      <w:r w:rsidRPr="00D17656">
        <w:t xml:space="preserve"> = 50</w:t>
      </w:r>
      <w:r w:rsidRPr="00F819A2">
        <w:t xml:space="preserve">.48, SD = 6.88 vs. </w:t>
      </w:r>
      <w:proofErr w:type="spellStart"/>
      <w:r w:rsidRPr="00F819A2">
        <w:rPr>
          <w:i/>
          <w:iCs/>
        </w:rPr>
        <w:t>M</w:t>
      </w:r>
      <w:r w:rsidRPr="00F819A2">
        <w:rPr>
          <w:i/>
          <w:iCs/>
          <w:vertAlign w:val="subscript"/>
        </w:rPr>
        <w:t>female</w:t>
      </w:r>
      <w:proofErr w:type="spellEnd"/>
      <w:r w:rsidRPr="00F819A2">
        <w:t xml:space="preserve"> = 46.63, </w:t>
      </w:r>
      <w:r w:rsidRPr="00F819A2">
        <w:rPr>
          <w:i/>
          <w:iCs/>
        </w:rPr>
        <w:t>SD</w:t>
      </w:r>
      <w:r w:rsidRPr="00F819A2">
        <w:t xml:space="preserve"> = 46.63; </w:t>
      </w:r>
      <w:r w:rsidRPr="00F819A2">
        <w:rPr>
          <w:i/>
          <w:iCs/>
        </w:rPr>
        <w:t>t</w:t>
      </w:r>
      <w:r w:rsidRPr="00F819A2">
        <w:t xml:space="preserve">(175) = 2.01, </w:t>
      </w:r>
      <w:r w:rsidRPr="00F819A2">
        <w:rPr>
          <w:i/>
          <w:iCs/>
        </w:rPr>
        <w:t>p</w:t>
      </w:r>
      <w:r w:rsidRPr="00F819A2">
        <w:t xml:space="preserve"> = </w:t>
      </w:r>
      <w:r w:rsidR="00A4078B" w:rsidRPr="00F819A2">
        <w:t>0</w:t>
      </w:r>
      <w:r w:rsidRPr="00F819A2">
        <w:t>.046) than females</w:t>
      </w:r>
      <w:r w:rsidRPr="00C8300B">
        <w:t>.</w:t>
      </w:r>
    </w:p>
    <w:p w14:paraId="5914EE67" w14:textId="77777777" w:rsidR="004863FA" w:rsidRPr="00C8300B" w:rsidRDefault="004863FA" w:rsidP="00A96E4B">
      <w:pPr>
        <w:snapToGrid w:val="0"/>
        <w:spacing w:line="480" w:lineRule="auto"/>
        <w:rPr>
          <w:color w:val="auto"/>
        </w:rPr>
        <w:sectPr w:rsidR="004863FA" w:rsidRPr="00C8300B" w:rsidSect="004A1A60">
          <w:headerReference w:type="default" r:id="rId10"/>
          <w:headerReference w:type="first" r:id="rId11"/>
          <w:footerReference w:type="first" r:id="rId12"/>
          <w:type w:val="continuous"/>
          <w:pgSz w:w="11909" w:h="16840"/>
          <w:pgMar w:top="1417" w:right="720" w:bottom="1077" w:left="720" w:header="1020" w:footer="340" w:gutter="0"/>
          <w:cols w:space="708"/>
          <w:titlePg/>
          <w:bidi/>
          <w:docGrid w:linePitch="360"/>
        </w:sectPr>
      </w:pPr>
    </w:p>
    <w:p w14:paraId="4E6FA8CD" w14:textId="47EE3F7E" w:rsidR="00F314FB" w:rsidRPr="00C8300B" w:rsidRDefault="00966621" w:rsidP="00966621">
      <w:pPr>
        <w:pStyle w:val="MDPI41tablecaption"/>
      </w:pPr>
      <w:r w:rsidRPr="00966621">
        <w:rPr>
          <w:b/>
          <w:bCs/>
        </w:rPr>
        <w:lastRenderedPageBreak/>
        <w:t xml:space="preserve">Table 1. </w:t>
      </w:r>
      <w:r w:rsidR="00F314FB" w:rsidRPr="00C8300B">
        <w:t>Descriptive Statistics and Pearson correlations between main study variables.</w:t>
      </w:r>
    </w:p>
    <w:tbl>
      <w:tblPr>
        <w:tblW w:w="5000" w:type="pct"/>
        <w:jc w:val="center"/>
        <w:tblCellMar>
          <w:left w:w="0" w:type="dxa"/>
          <w:right w:w="0" w:type="dxa"/>
        </w:tblCellMar>
        <w:tblLook w:val="04A0" w:firstRow="1" w:lastRow="0" w:firstColumn="1" w:lastColumn="0" w:noHBand="0" w:noVBand="1"/>
      </w:tblPr>
      <w:tblGrid>
        <w:gridCol w:w="2469"/>
        <w:gridCol w:w="1271"/>
        <w:gridCol w:w="850"/>
        <w:gridCol w:w="1003"/>
        <w:gridCol w:w="1003"/>
        <w:gridCol w:w="1005"/>
        <w:gridCol w:w="1005"/>
        <w:gridCol w:w="1006"/>
        <w:gridCol w:w="1006"/>
        <w:gridCol w:w="1012"/>
        <w:gridCol w:w="1012"/>
        <w:gridCol w:w="1704"/>
      </w:tblGrid>
      <w:tr w:rsidR="00966621" w:rsidRPr="00966621" w14:paraId="5A027AF3" w14:textId="77777777" w:rsidTr="00966621">
        <w:trPr>
          <w:cantSplit/>
          <w:jc w:val="center"/>
        </w:trPr>
        <w:tc>
          <w:tcPr>
            <w:tcW w:w="874" w:type="pct"/>
            <w:tcBorders>
              <w:top w:val="single" w:sz="8" w:space="0" w:color="auto"/>
              <w:bottom w:val="single" w:sz="4" w:space="0" w:color="000000"/>
            </w:tcBorders>
            <w:shd w:val="clear" w:color="auto" w:fill="auto"/>
            <w:vAlign w:val="center"/>
          </w:tcPr>
          <w:p w14:paraId="0582A16A" w14:textId="77777777" w:rsidR="0076035B" w:rsidRPr="00966621" w:rsidRDefault="0076035B" w:rsidP="00966621">
            <w:pPr>
              <w:autoSpaceDE w:val="0"/>
              <w:autoSpaceDN w:val="0"/>
              <w:adjustRightInd w:val="0"/>
              <w:snapToGrid w:val="0"/>
              <w:spacing w:line="240" w:lineRule="auto"/>
              <w:jc w:val="center"/>
              <w:rPr>
                <w:rFonts w:eastAsia="Calibri"/>
                <w:b/>
                <w:bCs/>
                <w:color w:val="auto"/>
                <w:szCs w:val="22"/>
                <w:lang w:eastAsia="en-US"/>
              </w:rPr>
            </w:pPr>
            <w:r w:rsidRPr="00966621">
              <w:rPr>
                <w:rFonts w:eastAsia="Calibri"/>
                <w:b/>
                <w:bCs/>
                <w:color w:val="auto"/>
                <w:szCs w:val="22"/>
                <w:lang w:eastAsia="en-US"/>
              </w:rPr>
              <w:t>Variable</w:t>
            </w:r>
          </w:p>
        </w:tc>
        <w:tc>
          <w:tcPr>
            <w:tcW w:w="295" w:type="pct"/>
            <w:tcBorders>
              <w:top w:val="single" w:sz="8" w:space="0" w:color="auto"/>
              <w:bottom w:val="single" w:sz="4" w:space="0" w:color="000000"/>
            </w:tcBorders>
            <w:shd w:val="clear" w:color="auto" w:fill="auto"/>
            <w:vAlign w:val="center"/>
          </w:tcPr>
          <w:p w14:paraId="16201F39" w14:textId="7F73F9D0" w:rsidR="0076035B" w:rsidRPr="00966621" w:rsidRDefault="0076035B" w:rsidP="00966621">
            <w:pPr>
              <w:autoSpaceDE w:val="0"/>
              <w:autoSpaceDN w:val="0"/>
              <w:adjustRightInd w:val="0"/>
              <w:snapToGrid w:val="0"/>
              <w:spacing w:line="240" w:lineRule="auto"/>
              <w:jc w:val="center"/>
              <w:rPr>
                <w:rFonts w:eastAsia="Calibri"/>
                <w:b/>
                <w:bCs/>
                <w:color w:val="auto"/>
                <w:szCs w:val="22"/>
                <w:lang w:eastAsia="en-US"/>
              </w:rPr>
            </w:pPr>
            <w:r w:rsidRPr="00966621">
              <w:rPr>
                <w:rFonts w:eastAsia="Calibri"/>
                <w:b/>
                <w:bCs/>
                <w:color w:val="auto"/>
                <w:szCs w:val="22"/>
                <w:lang w:eastAsia="en-US"/>
              </w:rPr>
              <w:t>2.</w:t>
            </w:r>
          </w:p>
        </w:tc>
        <w:tc>
          <w:tcPr>
            <w:tcW w:w="310" w:type="pct"/>
            <w:tcBorders>
              <w:top w:val="single" w:sz="8" w:space="0" w:color="auto"/>
              <w:bottom w:val="single" w:sz="4" w:space="0" w:color="000000"/>
            </w:tcBorders>
            <w:shd w:val="clear" w:color="auto" w:fill="auto"/>
            <w:vAlign w:val="center"/>
          </w:tcPr>
          <w:p w14:paraId="500F3A43" w14:textId="1F43935B" w:rsidR="0076035B" w:rsidRPr="00966621" w:rsidRDefault="0076035B" w:rsidP="00966621">
            <w:pPr>
              <w:autoSpaceDE w:val="0"/>
              <w:autoSpaceDN w:val="0"/>
              <w:adjustRightInd w:val="0"/>
              <w:snapToGrid w:val="0"/>
              <w:spacing w:line="240" w:lineRule="auto"/>
              <w:jc w:val="center"/>
              <w:rPr>
                <w:rFonts w:eastAsia="Calibri"/>
                <w:b/>
                <w:bCs/>
                <w:color w:val="auto"/>
                <w:szCs w:val="22"/>
                <w:lang w:eastAsia="en-US"/>
              </w:rPr>
            </w:pPr>
            <w:r w:rsidRPr="00966621">
              <w:rPr>
                <w:rFonts w:eastAsia="Calibri"/>
                <w:b/>
                <w:bCs/>
                <w:color w:val="auto"/>
                <w:szCs w:val="22"/>
                <w:lang w:eastAsia="en-US"/>
              </w:rPr>
              <w:t>3.</w:t>
            </w:r>
          </w:p>
        </w:tc>
        <w:tc>
          <w:tcPr>
            <w:tcW w:w="363" w:type="pct"/>
            <w:tcBorders>
              <w:top w:val="single" w:sz="8" w:space="0" w:color="auto"/>
              <w:bottom w:val="single" w:sz="4" w:space="0" w:color="000000"/>
            </w:tcBorders>
            <w:shd w:val="clear" w:color="auto" w:fill="auto"/>
            <w:vAlign w:val="center"/>
          </w:tcPr>
          <w:p w14:paraId="3A6A38B5" w14:textId="7E78C805" w:rsidR="0076035B" w:rsidRPr="00966621" w:rsidRDefault="0076035B" w:rsidP="00966621">
            <w:pPr>
              <w:autoSpaceDE w:val="0"/>
              <w:autoSpaceDN w:val="0"/>
              <w:adjustRightInd w:val="0"/>
              <w:snapToGrid w:val="0"/>
              <w:spacing w:line="240" w:lineRule="auto"/>
              <w:jc w:val="center"/>
              <w:rPr>
                <w:rFonts w:eastAsia="Calibri"/>
                <w:b/>
                <w:bCs/>
                <w:color w:val="auto"/>
                <w:szCs w:val="22"/>
                <w:lang w:eastAsia="en-US"/>
              </w:rPr>
            </w:pPr>
            <w:r w:rsidRPr="00966621">
              <w:rPr>
                <w:rFonts w:eastAsia="Calibri"/>
                <w:b/>
                <w:bCs/>
                <w:color w:val="auto"/>
                <w:szCs w:val="22"/>
                <w:lang w:eastAsia="en-US"/>
              </w:rPr>
              <w:t>4.</w:t>
            </w:r>
          </w:p>
        </w:tc>
        <w:tc>
          <w:tcPr>
            <w:tcW w:w="363" w:type="pct"/>
            <w:tcBorders>
              <w:top w:val="single" w:sz="8" w:space="0" w:color="auto"/>
              <w:bottom w:val="single" w:sz="4" w:space="0" w:color="000000"/>
            </w:tcBorders>
            <w:shd w:val="clear" w:color="auto" w:fill="auto"/>
            <w:vAlign w:val="center"/>
          </w:tcPr>
          <w:p w14:paraId="785D05E3" w14:textId="7A9E7055" w:rsidR="0076035B" w:rsidRPr="00966621" w:rsidRDefault="0076035B" w:rsidP="00966621">
            <w:pPr>
              <w:autoSpaceDE w:val="0"/>
              <w:autoSpaceDN w:val="0"/>
              <w:adjustRightInd w:val="0"/>
              <w:snapToGrid w:val="0"/>
              <w:spacing w:line="240" w:lineRule="auto"/>
              <w:jc w:val="center"/>
              <w:rPr>
                <w:rFonts w:eastAsia="Calibri"/>
                <w:b/>
                <w:bCs/>
                <w:color w:val="auto"/>
                <w:szCs w:val="22"/>
                <w:lang w:eastAsia="en-US"/>
              </w:rPr>
            </w:pPr>
            <w:r w:rsidRPr="00966621">
              <w:rPr>
                <w:rFonts w:eastAsia="Calibri"/>
                <w:b/>
                <w:bCs/>
                <w:color w:val="auto"/>
                <w:szCs w:val="22"/>
                <w:lang w:eastAsia="en-US"/>
              </w:rPr>
              <w:t>5.</w:t>
            </w:r>
          </w:p>
        </w:tc>
        <w:tc>
          <w:tcPr>
            <w:tcW w:w="364" w:type="pct"/>
            <w:tcBorders>
              <w:top w:val="single" w:sz="8" w:space="0" w:color="auto"/>
              <w:bottom w:val="single" w:sz="4" w:space="0" w:color="000000"/>
            </w:tcBorders>
            <w:shd w:val="clear" w:color="auto" w:fill="auto"/>
            <w:vAlign w:val="center"/>
          </w:tcPr>
          <w:p w14:paraId="5E7B93A4" w14:textId="2B486B49" w:rsidR="0076035B" w:rsidRPr="00966621" w:rsidRDefault="0076035B" w:rsidP="00966621">
            <w:pPr>
              <w:autoSpaceDE w:val="0"/>
              <w:autoSpaceDN w:val="0"/>
              <w:adjustRightInd w:val="0"/>
              <w:snapToGrid w:val="0"/>
              <w:spacing w:line="240" w:lineRule="auto"/>
              <w:jc w:val="center"/>
              <w:rPr>
                <w:rFonts w:eastAsia="Calibri"/>
                <w:b/>
                <w:bCs/>
                <w:color w:val="auto"/>
                <w:szCs w:val="22"/>
                <w:lang w:eastAsia="en-US"/>
              </w:rPr>
            </w:pPr>
            <w:r w:rsidRPr="00966621">
              <w:rPr>
                <w:rFonts w:eastAsia="Calibri"/>
                <w:b/>
                <w:bCs/>
                <w:color w:val="auto"/>
                <w:szCs w:val="22"/>
                <w:lang w:eastAsia="en-US"/>
              </w:rPr>
              <w:t>6.</w:t>
            </w:r>
          </w:p>
        </w:tc>
        <w:tc>
          <w:tcPr>
            <w:tcW w:w="364" w:type="pct"/>
            <w:tcBorders>
              <w:top w:val="single" w:sz="8" w:space="0" w:color="auto"/>
              <w:bottom w:val="single" w:sz="4" w:space="0" w:color="000000"/>
            </w:tcBorders>
            <w:shd w:val="clear" w:color="auto" w:fill="auto"/>
            <w:vAlign w:val="center"/>
          </w:tcPr>
          <w:p w14:paraId="221F889E" w14:textId="48C7B248" w:rsidR="0076035B" w:rsidRPr="00966621" w:rsidRDefault="0076035B" w:rsidP="00966621">
            <w:pPr>
              <w:autoSpaceDE w:val="0"/>
              <w:autoSpaceDN w:val="0"/>
              <w:adjustRightInd w:val="0"/>
              <w:snapToGrid w:val="0"/>
              <w:spacing w:line="240" w:lineRule="auto"/>
              <w:jc w:val="center"/>
              <w:rPr>
                <w:rFonts w:eastAsia="Calibri"/>
                <w:b/>
                <w:bCs/>
                <w:color w:val="auto"/>
                <w:szCs w:val="22"/>
                <w:lang w:eastAsia="en-US"/>
              </w:rPr>
            </w:pPr>
            <w:r w:rsidRPr="00966621">
              <w:rPr>
                <w:rFonts w:eastAsia="Calibri"/>
                <w:b/>
                <w:bCs/>
                <w:color w:val="auto"/>
                <w:szCs w:val="22"/>
                <w:lang w:eastAsia="en-US"/>
              </w:rPr>
              <w:t>7.</w:t>
            </w:r>
          </w:p>
        </w:tc>
        <w:tc>
          <w:tcPr>
            <w:tcW w:w="364" w:type="pct"/>
            <w:tcBorders>
              <w:top w:val="single" w:sz="8" w:space="0" w:color="auto"/>
              <w:bottom w:val="single" w:sz="4" w:space="0" w:color="000000"/>
            </w:tcBorders>
            <w:shd w:val="clear" w:color="auto" w:fill="auto"/>
            <w:vAlign w:val="center"/>
          </w:tcPr>
          <w:p w14:paraId="68EB9E3E" w14:textId="300F454E" w:rsidR="0076035B" w:rsidRPr="00966621" w:rsidRDefault="0076035B" w:rsidP="00966621">
            <w:pPr>
              <w:autoSpaceDE w:val="0"/>
              <w:autoSpaceDN w:val="0"/>
              <w:adjustRightInd w:val="0"/>
              <w:snapToGrid w:val="0"/>
              <w:spacing w:line="240" w:lineRule="auto"/>
              <w:jc w:val="center"/>
              <w:rPr>
                <w:rFonts w:eastAsia="Calibri"/>
                <w:b/>
                <w:bCs/>
                <w:color w:val="auto"/>
                <w:szCs w:val="22"/>
                <w:lang w:eastAsia="en-US"/>
              </w:rPr>
            </w:pPr>
            <w:r w:rsidRPr="00966621">
              <w:rPr>
                <w:rFonts w:eastAsia="Calibri"/>
                <w:b/>
                <w:bCs/>
                <w:color w:val="auto"/>
                <w:szCs w:val="22"/>
                <w:lang w:eastAsia="en-US"/>
              </w:rPr>
              <w:t>8.</w:t>
            </w:r>
          </w:p>
        </w:tc>
        <w:tc>
          <w:tcPr>
            <w:tcW w:w="364" w:type="pct"/>
            <w:tcBorders>
              <w:top w:val="single" w:sz="8" w:space="0" w:color="auto"/>
              <w:bottom w:val="single" w:sz="4" w:space="0" w:color="000000"/>
            </w:tcBorders>
            <w:shd w:val="clear" w:color="auto" w:fill="auto"/>
            <w:vAlign w:val="center"/>
          </w:tcPr>
          <w:p w14:paraId="742B2C0C" w14:textId="54E2904F" w:rsidR="0076035B" w:rsidRPr="00966621" w:rsidRDefault="0076035B" w:rsidP="00966621">
            <w:pPr>
              <w:autoSpaceDE w:val="0"/>
              <w:autoSpaceDN w:val="0"/>
              <w:adjustRightInd w:val="0"/>
              <w:snapToGrid w:val="0"/>
              <w:spacing w:line="240" w:lineRule="auto"/>
              <w:jc w:val="center"/>
              <w:rPr>
                <w:rFonts w:eastAsia="Calibri"/>
                <w:b/>
                <w:bCs/>
                <w:color w:val="auto"/>
                <w:szCs w:val="22"/>
                <w:lang w:eastAsia="en-US"/>
              </w:rPr>
            </w:pPr>
            <w:r w:rsidRPr="00966621">
              <w:rPr>
                <w:rFonts w:eastAsia="Calibri"/>
                <w:b/>
                <w:bCs/>
                <w:color w:val="auto"/>
                <w:szCs w:val="22"/>
                <w:lang w:eastAsia="en-US"/>
              </w:rPr>
              <w:t>9.</w:t>
            </w:r>
          </w:p>
        </w:tc>
        <w:tc>
          <w:tcPr>
            <w:tcW w:w="366" w:type="pct"/>
            <w:tcBorders>
              <w:top w:val="single" w:sz="8" w:space="0" w:color="auto"/>
              <w:bottom w:val="single" w:sz="4" w:space="0" w:color="000000"/>
            </w:tcBorders>
            <w:shd w:val="clear" w:color="auto" w:fill="auto"/>
            <w:vAlign w:val="center"/>
          </w:tcPr>
          <w:p w14:paraId="3745B71B" w14:textId="77777777" w:rsidR="0076035B" w:rsidRPr="00966621" w:rsidRDefault="0076035B" w:rsidP="00966621">
            <w:pPr>
              <w:autoSpaceDE w:val="0"/>
              <w:autoSpaceDN w:val="0"/>
              <w:adjustRightInd w:val="0"/>
              <w:snapToGrid w:val="0"/>
              <w:spacing w:line="240" w:lineRule="auto"/>
              <w:jc w:val="center"/>
              <w:rPr>
                <w:rFonts w:eastAsia="Calibri"/>
                <w:b/>
                <w:bCs/>
                <w:color w:val="auto"/>
                <w:szCs w:val="22"/>
                <w:lang w:eastAsia="en-US"/>
              </w:rPr>
            </w:pPr>
            <w:r w:rsidRPr="00966621">
              <w:rPr>
                <w:rFonts w:eastAsia="Calibri"/>
                <w:b/>
                <w:bCs/>
                <w:color w:val="auto"/>
                <w:szCs w:val="22"/>
                <w:lang w:eastAsia="en-US"/>
              </w:rPr>
              <w:t>10.</w:t>
            </w:r>
          </w:p>
        </w:tc>
        <w:tc>
          <w:tcPr>
            <w:tcW w:w="366" w:type="pct"/>
            <w:tcBorders>
              <w:top w:val="single" w:sz="8" w:space="0" w:color="auto"/>
              <w:bottom w:val="single" w:sz="4" w:space="0" w:color="000000"/>
            </w:tcBorders>
            <w:shd w:val="clear" w:color="auto" w:fill="auto"/>
            <w:vAlign w:val="center"/>
          </w:tcPr>
          <w:p w14:paraId="088E4C45" w14:textId="77777777" w:rsidR="0076035B" w:rsidRPr="00966621" w:rsidRDefault="0076035B" w:rsidP="00966621">
            <w:pPr>
              <w:autoSpaceDE w:val="0"/>
              <w:autoSpaceDN w:val="0"/>
              <w:adjustRightInd w:val="0"/>
              <w:snapToGrid w:val="0"/>
              <w:spacing w:line="240" w:lineRule="auto"/>
              <w:jc w:val="center"/>
              <w:rPr>
                <w:rFonts w:eastAsia="Calibri"/>
                <w:b/>
                <w:bCs/>
                <w:color w:val="auto"/>
                <w:szCs w:val="22"/>
                <w:lang w:eastAsia="en-US"/>
              </w:rPr>
            </w:pPr>
            <w:r w:rsidRPr="00966621">
              <w:rPr>
                <w:rFonts w:eastAsia="Calibri"/>
                <w:b/>
                <w:bCs/>
                <w:color w:val="auto"/>
                <w:szCs w:val="22"/>
                <w:lang w:eastAsia="en-US"/>
              </w:rPr>
              <w:t>11.</w:t>
            </w:r>
          </w:p>
        </w:tc>
        <w:tc>
          <w:tcPr>
            <w:tcW w:w="609" w:type="pct"/>
            <w:tcBorders>
              <w:top w:val="single" w:sz="8" w:space="0" w:color="auto"/>
              <w:bottom w:val="single" w:sz="4" w:space="0" w:color="000000"/>
            </w:tcBorders>
            <w:shd w:val="clear" w:color="auto" w:fill="auto"/>
            <w:vAlign w:val="center"/>
          </w:tcPr>
          <w:p w14:paraId="5610B527" w14:textId="77777777" w:rsidR="0076035B" w:rsidRPr="00966621" w:rsidRDefault="0076035B" w:rsidP="00966621">
            <w:pPr>
              <w:autoSpaceDE w:val="0"/>
              <w:autoSpaceDN w:val="0"/>
              <w:adjustRightInd w:val="0"/>
              <w:snapToGrid w:val="0"/>
              <w:spacing w:line="240" w:lineRule="auto"/>
              <w:jc w:val="center"/>
              <w:rPr>
                <w:rFonts w:eastAsia="Calibri"/>
                <w:b/>
                <w:bCs/>
                <w:color w:val="auto"/>
                <w:szCs w:val="22"/>
                <w:lang w:eastAsia="en-US"/>
              </w:rPr>
            </w:pPr>
            <w:r w:rsidRPr="00966621">
              <w:rPr>
                <w:rFonts w:eastAsia="Calibri"/>
                <w:b/>
                <w:bCs/>
                <w:color w:val="auto"/>
                <w:szCs w:val="22"/>
                <w:lang w:eastAsia="en-US"/>
              </w:rPr>
              <w:t xml:space="preserve">Mean </w:t>
            </w:r>
            <w:r w:rsidRPr="00966621">
              <w:rPr>
                <w:rFonts w:eastAsia="Calibri"/>
                <w:b/>
                <w:bCs/>
                <w:i/>
                <w:iCs/>
                <w:color w:val="auto"/>
                <w:szCs w:val="22"/>
                <w:lang w:eastAsia="en-US"/>
              </w:rPr>
              <w:t>(SD)</w:t>
            </w:r>
          </w:p>
        </w:tc>
      </w:tr>
      <w:tr w:rsidR="00966621" w:rsidRPr="00966621" w14:paraId="4917FED5" w14:textId="77777777" w:rsidTr="00966621">
        <w:trPr>
          <w:cantSplit/>
          <w:jc w:val="center"/>
        </w:trPr>
        <w:tc>
          <w:tcPr>
            <w:tcW w:w="874" w:type="pct"/>
            <w:tcBorders>
              <w:top w:val="single" w:sz="4" w:space="0" w:color="000000"/>
            </w:tcBorders>
            <w:shd w:val="clear" w:color="auto" w:fill="auto"/>
            <w:vAlign w:val="center"/>
          </w:tcPr>
          <w:p w14:paraId="2C3397B1" w14:textId="77777777" w:rsidR="0076035B" w:rsidRPr="00966621" w:rsidRDefault="0076035B" w:rsidP="00966621">
            <w:pPr>
              <w:autoSpaceDE w:val="0"/>
              <w:autoSpaceDN w:val="0"/>
              <w:adjustRightInd w:val="0"/>
              <w:snapToGrid w:val="0"/>
              <w:spacing w:line="240" w:lineRule="auto"/>
              <w:jc w:val="center"/>
              <w:rPr>
                <w:rFonts w:eastAsia="Calibri"/>
                <w:color w:val="auto"/>
                <w:szCs w:val="22"/>
                <w:lang w:eastAsia="en-US"/>
              </w:rPr>
            </w:pPr>
            <w:r w:rsidRPr="00966621">
              <w:rPr>
                <w:rFonts w:eastAsia="Calibri"/>
                <w:color w:val="auto"/>
                <w:szCs w:val="22"/>
                <w:lang w:eastAsia="en-US"/>
              </w:rPr>
              <w:t>1. FGA</w:t>
            </w:r>
          </w:p>
        </w:tc>
        <w:tc>
          <w:tcPr>
            <w:tcW w:w="295" w:type="pct"/>
            <w:tcBorders>
              <w:top w:val="single" w:sz="4" w:space="0" w:color="000000"/>
            </w:tcBorders>
            <w:shd w:val="clear" w:color="auto" w:fill="auto"/>
            <w:vAlign w:val="center"/>
          </w:tcPr>
          <w:p w14:paraId="524F2BDB" w14:textId="532390BD" w:rsidR="0076035B" w:rsidRPr="00966621" w:rsidRDefault="00294695" w:rsidP="00966621">
            <w:pPr>
              <w:autoSpaceDE w:val="0"/>
              <w:autoSpaceDN w:val="0"/>
              <w:adjustRightInd w:val="0"/>
              <w:snapToGrid w:val="0"/>
              <w:spacing w:line="240" w:lineRule="auto"/>
              <w:jc w:val="center"/>
              <w:rPr>
                <w:rFonts w:eastAsia="Calibri"/>
                <w:color w:val="auto"/>
                <w:szCs w:val="22"/>
                <w:lang w:eastAsia="en-US"/>
              </w:rPr>
            </w:pPr>
            <w:commentRangeStart w:id="2"/>
            <w:commentRangeStart w:id="3"/>
            <w:r w:rsidRPr="00101375">
              <w:rPr>
                <w:rFonts w:eastAsia="Calibri"/>
                <w:color w:val="auto"/>
                <w:szCs w:val="22"/>
                <w:highlight w:val="yellow"/>
                <w:lang w:eastAsia="en-US"/>
              </w:rPr>
              <w:t>0</w:t>
            </w:r>
            <w:commentRangeEnd w:id="2"/>
            <w:r w:rsidR="00101375">
              <w:rPr>
                <w:rStyle w:val="CommentReference"/>
              </w:rPr>
              <w:commentReference w:id="2"/>
            </w:r>
            <w:commentRangeEnd w:id="3"/>
            <w:r w:rsidR="00205714">
              <w:rPr>
                <w:rStyle w:val="CommentReference"/>
              </w:rPr>
              <w:commentReference w:id="3"/>
            </w:r>
            <w:r w:rsidR="0076035B" w:rsidRPr="00966621">
              <w:rPr>
                <w:rFonts w:eastAsia="Calibri"/>
                <w:color w:val="auto"/>
                <w:szCs w:val="22"/>
                <w:lang w:eastAsia="en-US"/>
              </w:rPr>
              <w:t>.27</w:t>
            </w:r>
            <w:r w:rsidR="00D677ED">
              <w:rPr>
                <w:rFonts w:eastAsia="Calibri"/>
                <w:color w:val="auto"/>
                <w:szCs w:val="22"/>
                <w:lang w:eastAsia="en-US"/>
              </w:rPr>
              <w:t xml:space="preserve"> </w:t>
            </w:r>
            <w:r w:rsidR="0076035B" w:rsidRPr="00D677ED">
              <w:rPr>
                <w:rFonts w:eastAsia="Calibri"/>
                <w:color w:val="auto"/>
                <w:szCs w:val="22"/>
                <w:lang w:eastAsia="en-US"/>
              </w:rPr>
              <w:t>**</w:t>
            </w:r>
          </w:p>
        </w:tc>
        <w:tc>
          <w:tcPr>
            <w:tcW w:w="310" w:type="pct"/>
            <w:tcBorders>
              <w:top w:val="single" w:sz="4" w:space="0" w:color="000000"/>
            </w:tcBorders>
            <w:shd w:val="clear" w:color="auto" w:fill="auto"/>
            <w:vAlign w:val="center"/>
          </w:tcPr>
          <w:p w14:paraId="42524022" w14:textId="129F4E0A" w:rsidR="0076035B" w:rsidRPr="00D677ED" w:rsidRDefault="00294695" w:rsidP="00966621">
            <w:pPr>
              <w:autoSpaceDE w:val="0"/>
              <w:autoSpaceDN w:val="0"/>
              <w:adjustRightInd w:val="0"/>
              <w:snapToGrid w:val="0"/>
              <w:spacing w:line="240" w:lineRule="auto"/>
              <w:jc w:val="center"/>
              <w:rPr>
                <w:rFonts w:eastAsia="Calibri"/>
                <w:color w:val="auto"/>
                <w:szCs w:val="22"/>
                <w:lang w:eastAsia="en-US"/>
              </w:rPr>
            </w:pPr>
            <w:r w:rsidRPr="00D677ED">
              <w:rPr>
                <w:rFonts w:eastAsia="Calibri"/>
                <w:color w:val="auto"/>
                <w:szCs w:val="22"/>
                <w:lang w:eastAsia="en-US"/>
              </w:rPr>
              <w:t>0</w:t>
            </w:r>
            <w:r w:rsidR="0076035B" w:rsidRPr="00D677ED">
              <w:rPr>
                <w:rFonts w:eastAsia="Calibri"/>
                <w:color w:val="auto"/>
                <w:szCs w:val="22"/>
                <w:lang w:eastAsia="en-US"/>
              </w:rPr>
              <w:t>.15</w:t>
            </w:r>
            <w:r w:rsidR="00D677ED" w:rsidRPr="00D677ED">
              <w:rPr>
                <w:rFonts w:eastAsia="Calibri"/>
                <w:color w:val="auto"/>
                <w:szCs w:val="22"/>
                <w:lang w:eastAsia="en-US"/>
              </w:rPr>
              <w:t xml:space="preserve"> </w:t>
            </w:r>
            <w:r w:rsidR="0076035B" w:rsidRPr="00D677ED">
              <w:rPr>
                <w:rFonts w:eastAsia="Calibri"/>
                <w:color w:val="auto"/>
                <w:szCs w:val="22"/>
                <w:lang w:eastAsia="en-US"/>
              </w:rPr>
              <w:t>*</w:t>
            </w:r>
          </w:p>
        </w:tc>
        <w:tc>
          <w:tcPr>
            <w:tcW w:w="363" w:type="pct"/>
            <w:tcBorders>
              <w:top w:val="single" w:sz="4" w:space="0" w:color="000000"/>
            </w:tcBorders>
            <w:shd w:val="clear" w:color="auto" w:fill="auto"/>
            <w:vAlign w:val="center"/>
          </w:tcPr>
          <w:p w14:paraId="68732E71" w14:textId="219B26A5" w:rsidR="0076035B" w:rsidRPr="00D677ED" w:rsidRDefault="00740C6A" w:rsidP="00966621">
            <w:pPr>
              <w:autoSpaceDE w:val="0"/>
              <w:autoSpaceDN w:val="0"/>
              <w:adjustRightInd w:val="0"/>
              <w:snapToGrid w:val="0"/>
              <w:spacing w:line="240" w:lineRule="auto"/>
              <w:jc w:val="center"/>
              <w:rPr>
                <w:rFonts w:eastAsia="Calibri"/>
                <w:color w:val="auto"/>
                <w:szCs w:val="22"/>
                <w:lang w:eastAsia="en-US"/>
              </w:rPr>
            </w:pPr>
            <w:r>
              <w:rPr>
                <w:rFonts w:eastAsia="Calibri"/>
                <w:color w:val="auto"/>
                <w:szCs w:val="22"/>
                <w:lang w:eastAsia="en-US"/>
              </w:rPr>
              <w:t>−</w:t>
            </w:r>
            <w:r w:rsidR="00294695" w:rsidRPr="00D677ED">
              <w:rPr>
                <w:rFonts w:eastAsia="Calibri"/>
                <w:color w:val="auto"/>
                <w:szCs w:val="22"/>
                <w:lang w:eastAsia="en-US"/>
              </w:rPr>
              <w:t>0</w:t>
            </w:r>
            <w:r w:rsidR="0076035B" w:rsidRPr="00D677ED">
              <w:rPr>
                <w:rFonts w:eastAsia="Calibri"/>
                <w:color w:val="auto"/>
                <w:szCs w:val="22"/>
                <w:lang w:eastAsia="en-US"/>
              </w:rPr>
              <w:t>.16</w:t>
            </w:r>
            <w:r w:rsidR="00D677ED">
              <w:rPr>
                <w:rFonts w:eastAsia="Calibri"/>
                <w:color w:val="auto"/>
                <w:szCs w:val="22"/>
                <w:lang w:eastAsia="en-US"/>
              </w:rPr>
              <w:t xml:space="preserve"> </w:t>
            </w:r>
            <w:r w:rsidR="0076035B" w:rsidRPr="00D677ED">
              <w:rPr>
                <w:rFonts w:eastAsia="Calibri"/>
                <w:color w:val="auto"/>
                <w:szCs w:val="22"/>
                <w:lang w:eastAsia="en-US"/>
              </w:rPr>
              <w:t>**</w:t>
            </w:r>
          </w:p>
        </w:tc>
        <w:tc>
          <w:tcPr>
            <w:tcW w:w="363" w:type="pct"/>
            <w:tcBorders>
              <w:top w:val="single" w:sz="4" w:space="0" w:color="000000"/>
            </w:tcBorders>
            <w:shd w:val="clear" w:color="auto" w:fill="auto"/>
            <w:vAlign w:val="center"/>
          </w:tcPr>
          <w:p w14:paraId="25C999F1" w14:textId="0FEC8413" w:rsidR="0076035B" w:rsidRPr="00D677ED" w:rsidRDefault="00294695" w:rsidP="00966621">
            <w:pPr>
              <w:autoSpaceDE w:val="0"/>
              <w:autoSpaceDN w:val="0"/>
              <w:adjustRightInd w:val="0"/>
              <w:snapToGrid w:val="0"/>
              <w:spacing w:line="240" w:lineRule="auto"/>
              <w:jc w:val="center"/>
              <w:rPr>
                <w:rFonts w:eastAsia="Calibri"/>
                <w:color w:val="auto"/>
                <w:szCs w:val="22"/>
                <w:lang w:eastAsia="en-US"/>
              </w:rPr>
            </w:pPr>
            <w:r w:rsidRPr="00D677ED">
              <w:rPr>
                <w:rFonts w:eastAsia="Calibri"/>
                <w:color w:val="auto"/>
                <w:szCs w:val="22"/>
                <w:lang w:eastAsia="en-US"/>
              </w:rPr>
              <w:t>0</w:t>
            </w:r>
            <w:r w:rsidR="0076035B" w:rsidRPr="00D677ED">
              <w:rPr>
                <w:rFonts w:eastAsia="Calibri"/>
                <w:color w:val="auto"/>
                <w:szCs w:val="22"/>
                <w:lang w:eastAsia="en-US"/>
              </w:rPr>
              <w:t>.50</w:t>
            </w:r>
            <w:r w:rsidR="00D677ED">
              <w:rPr>
                <w:rFonts w:eastAsia="Calibri"/>
                <w:color w:val="auto"/>
                <w:szCs w:val="22"/>
                <w:lang w:eastAsia="en-US"/>
              </w:rPr>
              <w:t xml:space="preserve"> </w:t>
            </w:r>
            <w:r w:rsidR="0076035B" w:rsidRPr="00D677ED">
              <w:rPr>
                <w:rFonts w:eastAsia="Calibri"/>
                <w:color w:val="auto"/>
                <w:szCs w:val="22"/>
                <w:lang w:eastAsia="en-US"/>
              </w:rPr>
              <w:t>**</w:t>
            </w:r>
          </w:p>
        </w:tc>
        <w:tc>
          <w:tcPr>
            <w:tcW w:w="364" w:type="pct"/>
            <w:tcBorders>
              <w:top w:val="single" w:sz="4" w:space="0" w:color="000000"/>
            </w:tcBorders>
            <w:shd w:val="clear" w:color="auto" w:fill="auto"/>
            <w:vAlign w:val="center"/>
          </w:tcPr>
          <w:p w14:paraId="422373D0" w14:textId="7D3AF3B8" w:rsidR="0076035B" w:rsidRPr="00D677ED" w:rsidRDefault="00294695" w:rsidP="00966621">
            <w:pPr>
              <w:autoSpaceDE w:val="0"/>
              <w:autoSpaceDN w:val="0"/>
              <w:adjustRightInd w:val="0"/>
              <w:snapToGrid w:val="0"/>
              <w:spacing w:line="240" w:lineRule="auto"/>
              <w:jc w:val="center"/>
              <w:rPr>
                <w:rFonts w:eastAsia="Calibri"/>
                <w:color w:val="auto"/>
                <w:szCs w:val="22"/>
                <w:lang w:eastAsia="en-US"/>
              </w:rPr>
            </w:pPr>
            <w:r w:rsidRPr="00D677ED">
              <w:rPr>
                <w:rFonts w:eastAsia="Calibri"/>
                <w:color w:val="auto"/>
                <w:szCs w:val="22"/>
                <w:lang w:eastAsia="en-US"/>
              </w:rPr>
              <w:t>0</w:t>
            </w:r>
            <w:r w:rsidR="0076035B" w:rsidRPr="00D677ED">
              <w:rPr>
                <w:rFonts w:eastAsia="Calibri"/>
                <w:color w:val="auto"/>
                <w:szCs w:val="22"/>
                <w:lang w:eastAsia="en-US"/>
              </w:rPr>
              <w:t>.45</w:t>
            </w:r>
            <w:r w:rsidR="00D677ED">
              <w:rPr>
                <w:rFonts w:eastAsia="Calibri"/>
                <w:color w:val="auto"/>
                <w:szCs w:val="22"/>
                <w:lang w:eastAsia="en-US"/>
              </w:rPr>
              <w:t xml:space="preserve"> </w:t>
            </w:r>
            <w:r w:rsidR="0076035B" w:rsidRPr="00D677ED">
              <w:rPr>
                <w:rFonts w:eastAsia="Calibri"/>
                <w:color w:val="auto"/>
                <w:szCs w:val="22"/>
                <w:lang w:eastAsia="en-US"/>
              </w:rPr>
              <w:t>**</w:t>
            </w:r>
          </w:p>
        </w:tc>
        <w:tc>
          <w:tcPr>
            <w:tcW w:w="364" w:type="pct"/>
            <w:tcBorders>
              <w:top w:val="single" w:sz="4" w:space="0" w:color="000000"/>
            </w:tcBorders>
            <w:shd w:val="clear" w:color="auto" w:fill="auto"/>
            <w:vAlign w:val="center"/>
          </w:tcPr>
          <w:p w14:paraId="651ED46B" w14:textId="70EE9F66" w:rsidR="0076035B" w:rsidRPr="00D677ED" w:rsidRDefault="00294695" w:rsidP="00966621">
            <w:pPr>
              <w:autoSpaceDE w:val="0"/>
              <w:autoSpaceDN w:val="0"/>
              <w:adjustRightInd w:val="0"/>
              <w:snapToGrid w:val="0"/>
              <w:spacing w:line="240" w:lineRule="auto"/>
              <w:jc w:val="center"/>
              <w:rPr>
                <w:rFonts w:eastAsia="Calibri"/>
                <w:color w:val="auto"/>
                <w:szCs w:val="22"/>
                <w:lang w:eastAsia="en-US"/>
              </w:rPr>
            </w:pPr>
            <w:r w:rsidRPr="00D677ED">
              <w:rPr>
                <w:rFonts w:eastAsia="Calibri"/>
                <w:color w:val="auto"/>
                <w:szCs w:val="22"/>
                <w:lang w:eastAsia="en-US"/>
              </w:rPr>
              <w:t>0</w:t>
            </w:r>
            <w:r w:rsidR="0076035B" w:rsidRPr="00D677ED">
              <w:rPr>
                <w:rFonts w:eastAsia="Calibri"/>
                <w:color w:val="auto"/>
                <w:szCs w:val="22"/>
                <w:lang w:eastAsia="en-US"/>
              </w:rPr>
              <w:t>.43</w:t>
            </w:r>
            <w:r w:rsidR="00D677ED">
              <w:rPr>
                <w:rFonts w:eastAsia="Calibri"/>
                <w:color w:val="auto"/>
                <w:szCs w:val="22"/>
                <w:lang w:eastAsia="en-US"/>
              </w:rPr>
              <w:t xml:space="preserve"> </w:t>
            </w:r>
            <w:r w:rsidR="0076035B" w:rsidRPr="00D677ED">
              <w:rPr>
                <w:rFonts w:eastAsia="Calibri"/>
                <w:color w:val="auto"/>
                <w:szCs w:val="22"/>
                <w:lang w:eastAsia="en-US"/>
              </w:rPr>
              <w:t>**</w:t>
            </w:r>
          </w:p>
        </w:tc>
        <w:tc>
          <w:tcPr>
            <w:tcW w:w="364" w:type="pct"/>
            <w:tcBorders>
              <w:top w:val="single" w:sz="4" w:space="0" w:color="000000"/>
            </w:tcBorders>
            <w:shd w:val="clear" w:color="auto" w:fill="auto"/>
            <w:vAlign w:val="center"/>
          </w:tcPr>
          <w:p w14:paraId="6AC7EF40" w14:textId="6A4CACAA" w:rsidR="0076035B" w:rsidRPr="00D677ED" w:rsidRDefault="00294695" w:rsidP="00966621">
            <w:pPr>
              <w:autoSpaceDE w:val="0"/>
              <w:autoSpaceDN w:val="0"/>
              <w:adjustRightInd w:val="0"/>
              <w:snapToGrid w:val="0"/>
              <w:spacing w:line="240" w:lineRule="auto"/>
              <w:jc w:val="center"/>
              <w:rPr>
                <w:rFonts w:eastAsia="Calibri"/>
                <w:color w:val="auto"/>
                <w:szCs w:val="22"/>
                <w:lang w:eastAsia="en-US"/>
              </w:rPr>
            </w:pPr>
            <w:r w:rsidRPr="00D677ED">
              <w:rPr>
                <w:rFonts w:eastAsia="Calibri"/>
                <w:color w:val="auto"/>
                <w:szCs w:val="22"/>
                <w:lang w:eastAsia="en-US"/>
              </w:rPr>
              <w:t>0</w:t>
            </w:r>
            <w:r w:rsidR="0076035B" w:rsidRPr="00D677ED">
              <w:rPr>
                <w:rFonts w:eastAsia="Calibri"/>
                <w:color w:val="auto"/>
                <w:szCs w:val="22"/>
                <w:lang w:eastAsia="en-US"/>
              </w:rPr>
              <w:t>.48</w:t>
            </w:r>
            <w:r w:rsidR="00D677ED">
              <w:rPr>
                <w:rFonts w:eastAsia="Calibri"/>
                <w:color w:val="auto"/>
                <w:szCs w:val="22"/>
                <w:lang w:eastAsia="en-US"/>
              </w:rPr>
              <w:t xml:space="preserve"> </w:t>
            </w:r>
            <w:r w:rsidR="0076035B" w:rsidRPr="00D677ED">
              <w:rPr>
                <w:rFonts w:eastAsia="Calibri"/>
                <w:color w:val="auto"/>
                <w:szCs w:val="22"/>
                <w:lang w:eastAsia="en-US"/>
              </w:rPr>
              <w:t>**</w:t>
            </w:r>
          </w:p>
        </w:tc>
        <w:tc>
          <w:tcPr>
            <w:tcW w:w="364" w:type="pct"/>
            <w:tcBorders>
              <w:top w:val="single" w:sz="4" w:space="0" w:color="000000"/>
            </w:tcBorders>
            <w:shd w:val="clear" w:color="auto" w:fill="auto"/>
            <w:vAlign w:val="center"/>
          </w:tcPr>
          <w:p w14:paraId="1332570D" w14:textId="3EEA3CD9" w:rsidR="0076035B" w:rsidRPr="00D677ED" w:rsidRDefault="00294695" w:rsidP="00966621">
            <w:pPr>
              <w:autoSpaceDE w:val="0"/>
              <w:autoSpaceDN w:val="0"/>
              <w:adjustRightInd w:val="0"/>
              <w:snapToGrid w:val="0"/>
              <w:spacing w:line="240" w:lineRule="auto"/>
              <w:jc w:val="center"/>
              <w:rPr>
                <w:rFonts w:eastAsia="Calibri"/>
                <w:color w:val="auto"/>
                <w:szCs w:val="22"/>
                <w:lang w:eastAsia="en-US"/>
              </w:rPr>
            </w:pPr>
            <w:r w:rsidRPr="00D677ED">
              <w:rPr>
                <w:rFonts w:eastAsia="Calibri"/>
                <w:color w:val="auto"/>
                <w:szCs w:val="22"/>
                <w:lang w:eastAsia="en-US"/>
              </w:rPr>
              <w:t>0</w:t>
            </w:r>
            <w:r w:rsidR="0076035B" w:rsidRPr="00D677ED">
              <w:rPr>
                <w:rFonts w:eastAsia="Calibri"/>
                <w:color w:val="auto"/>
                <w:szCs w:val="22"/>
                <w:lang w:eastAsia="en-US"/>
              </w:rPr>
              <w:t>.11</w:t>
            </w:r>
          </w:p>
        </w:tc>
        <w:tc>
          <w:tcPr>
            <w:tcW w:w="366" w:type="pct"/>
            <w:tcBorders>
              <w:top w:val="single" w:sz="4" w:space="0" w:color="000000"/>
            </w:tcBorders>
            <w:shd w:val="clear" w:color="auto" w:fill="auto"/>
            <w:vAlign w:val="center"/>
          </w:tcPr>
          <w:p w14:paraId="0D423750" w14:textId="3B2D33F6" w:rsidR="0076035B" w:rsidRPr="00D677ED" w:rsidRDefault="00294695" w:rsidP="00966621">
            <w:pPr>
              <w:autoSpaceDE w:val="0"/>
              <w:autoSpaceDN w:val="0"/>
              <w:adjustRightInd w:val="0"/>
              <w:snapToGrid w:val="0"/>
              <w:spacing w:line="240" w:lineRule="auto"/>
              <w:jc w:val="center"/>
              <w:rPr>
                <w:rFonts w:eastAsia="Calibri"/>
                <w:color w:val="auto"/>
                <w:szCs w:val="22"/>
                <w:lang w:eastAsia="en-US"/>
              </w:rPr>
            </w:pPr>
            <w:r w:rsidRPr="00D677ED">
              <w:rPr>
                <w:rFonts w:eastAsia="Calibri"/>
                <w:color w:val="auto"/>
                <w:szCs w:val="22"/>
                <w:lang w:eastAsia="en-US"/>
              </w:rPr>
              <w:t>0</w:t>
            </w:r>
            <w:r w:rsidR="0076035B" w:rsidRPr="00D677ED">
              <w:rPr>
                <w:rFonts w:eastAsia="Calibri"/>
                <w:color w:val="auto"/>
                <w:szCs w:val="22"/>
                <w:lang w:eastAsia="en-US"/>
              </w:rPr>
              <w:t>.08</w:t>
            </w:r>
          </w:p>
        </w:tc>
        <w:tc>
          <w:tcPr>
            <w:tcW w:w="366" w:type="pct"/>
            <w:tcBorders>
              <w:top w:val="single" w:sz="4" w:space="0" w:color="000000"/>
            </w:tcBorders>
            <w:shd w:val="clear" w:color="auto" w:fill="auto"/>
            <w:vAlign w:val="center"/>
          </w:tcPr>
          <w:p w14:paraId="4050A445" w14:textId="3CC50E11" w:rsidR="0076035B" w:rsidRPr="00D677ED" w:rsidRDefault="00294695" w:rsidP="00966621">
            <w:pPr>
              <w:autoSpaceDE w:val="0"/>
              <w:autoSpaceDN w:val="0"/>
              <w:adjustRightInd w:val="0"/>
              <w:snapToGrid w:val="0"/>
              <w:spacing w:line="240" w:lineRule="auto"/>
              <w:jc w:val="center"/>
              <w:rPr>
                <w:rFonts w:eastAsia="Calibri"/>
                <w:color w:val="auto"/>
                <w:szCs w:val="22"/>
                <w:lang w:eastAsia="en-US"/>
              </w:rPr>
            </w:pPr>
            <w:r w:rsidRPr="00D677ED">
              <w:rPr>
                <w:rFonts w:eastAsia="Calibri"/>
                <w:color w:val="auto"/>
                <w:szCs w:val="22"/>
                <w:lang w:eastAsia="en-US"/>
              </w:rPr>
              <w:t>0</w:t>
            </w:r>
            <w:r w:rsidR="0076035B" w:rsidRPr="00D677ED">
              <w:rPr>
                <w:rFonts w:eastAsia="Calibri"/>
                <w:color w:val="auto"/>
                <w:szCs w:val="22"/>
                <w:lang w:eastAsia="en-US"/>
              </w:rPr>
              <w:t>.21</w:t>
            </w:r>
            <w:r w:rsidR="00D677ED">
              <w:rPr>
                <w:rFonts w:eastAsia="Calibri"/>
                <w:color w:val="auto"/>
                <w:szCs w:val="22"/>
                <w:lang w:eastAsia="en-US"/>
              </w:rPr>
              <w:t xml:space="preserve"> </w:t>
            </w:r>
            <w:r w:rsidR="0076035B" w:rsidRPr="00D677ED">
              <w:rPr>
                <w:rFonts w:eastAsia="Calibri"/>
                <w:color w:val="auto"/>
                <w:szCs w:val="22"/>
                <w:lang w:eastAsia="en-US"/>
              </w:rPr>
              <w:t>*</w:t>
            </w:r>
          </w:p>
        </w:tc>
        <w:tc>
          <w:tcPr>
            <w:tcW w:w="609" w:type="pct"/>
            <w:tcBorders>
              <w:top w:val="single" w:sz="4" w:space="0" w:color="000000"/>
            </w:tcBorders>
            <w:shd w:val="clear" w:color="auto" w:fill="auto"/>
            <w:vAlign w:val="center"/>
          </w:tcPr>
          <w:p w14:paraId="70BACB59" w14:textId="77777777" w:rsidR="0076035B" w:rsidRPr="00D677ED" w:rsidRDefault="0076035B" w:rsidP="00966621">
            <w:pPr>
              <w:autoSpaceDE w:val="0"/>
              <w:autoSpaceDN w:val="0"/>
              <w:adjustRightInd w:val="0"/>
              <w:snapToGrid w:val="0"/>
              <w:spacing w:line="240" w:lineRule="auto"/>
              <w:jc w:val="center"/>
              <w:rPr>
                <w:rFonts w:eastAsia="Calibri"/>
                <w:color w:val="auto"/>
                <w:szCs w:val="22"/>
                <w:lang w:eastAsia="en-US"/>
              </w:rPr>
            </w:pPr>
            <w:r w:rsidRPr="00D677ED">
              <w:rPr>
                <w:rFonts w:eastAsia="Calibri"/>
                <w:color w:val="auto"/>
                <w:szCs w:val="22"/>
                <w:lang w:eastAsia="en-US"/>
              </w:rPr>
              <w:t>50.09 (7.16)</w:t>
            </w:r>
          </w:p>
        </w:tc>
      </w:tr>
      <w:tr w:rsidR="00966621" w:rsidRPr="00966621" w14:paraId="7BE9535F" w14:textId="77777777" w:rsidTr="00966621">
        <w:trPr>
          <w:cantSplit/>
          <w:jc w:val="center"/>
        </w:trPr>
        <w:tc>
          <w:tcPr>
            <w:tcW w:w="874" w:type="pct"/>
            <w:shd w:val="clear" w:color="auto" w:fill="auto"/>
            <w:vAlign w:val="center"/>
          </w:tcPr>
          <w:p w14:paraId="389801A1" w14:textId="77777777" w:rsidR="0076035B" w:rsidRPr="00966621" w:rsidRDefault="0076035B" w:rsidP="00966621">
            <w:pPr>
              <w:autoSpaceDE w:val="0"/>
              <w:autoSpaceDN w:val="0"/>
              <w:adjustRightInd w:val="0"/>
              <w:snapToGrid w:val="0"/>
              <w:spacing w:line="240" w:lineRule="auto"/>
              <w:jc w:val="center"/>
              <w:rPr>
                <w:rFonts w:eastAsia="Calibri"/>
                <w:color w:val="auto"/>
                <w:szCs w:val="22"/>
                <w:lang w:eastAsia="en-US"/>
              </w:rPr>
            </w:pPr>
            <w:r w:rsidRPr="00966621">
              <w:rPr>
                <w:rFonts w:eastAsia="Calibri"/>
                <w:color w:val="auto"/>
                <w:szCs w:val="22"/>
                <w:lang w:eastAsia="en-US"/>
              </w:rPr>
              <w:t>2. TGP</w:t>
            </w:r>
          </w:p>
        </w:tc>
        <w:tc>
          <w:tcPr>
            <w:tcW w:w="295" w:type="pct"/>
            <w:shd w:val="clear" w:color="auto" w:fill="auto"/>
            <w:vAlign w:val="center"/>
          </w:tcPr>
          <w:p w14:paraId="3A834592" w14:textId="77777777" w:rsidR="0076035B" w:rsidRPr="00966621" w:rsidRDefault="0076035B" w:rsidP="00966621">
            <w:pPr>
              <w:autoSpaceDE w:val="0"/>
              <w:autoSpaceDN w:val="0"/>
              <w:adjustRightInd w:val="0"/>
              <w:snapToGrid w:val="0"/>
              <w:spacing w:line="240" w:lineRule="auto"/>
              <w:jc w:val="center"/>
              <w:rPr>
                <w:rFonts w:eastAsia="Calibri"/>
                <w:color w:val="auto"/>
                <w:szCs w:val="22"/>
                <w:lang w:eastAsia="en-US"/>
              </w:rPr>
            </w:pPr>
            <w:r w:rsidRPr="00966621">
              <w:rPr>
                <w:rFonts w:eastAsia="Calibri"/>
                <w:color w:val="auto"/>
                <w:szCs w:val="22"/>
                <w:lang w:eastAsia="en-US"/>
              </w:rPr>
              <w:t>-</w:t>
            </w:r>
          </w:p>
        </w:tc>
        <w:tc>
          <w:tcPr>
            <w:tcW w:w="310" w:type="pct"/>
            <w:shd w:val="clear" w:color="auto" w:fill="auto"/>
            <w:vAlign w:val="center"/>
          </w:tcPr>
          <w:p w14:paraId="5910C1D6" w14:textId="04819F71" w:rsidR="0076035B" w:rsidRPr="00D677ED" w:rsidRDefault="00294695" w:rsidP="00966621">
            <w:pPr>
              <w:autoSpaceDE w:val="0"/>
              <w:autoSpaceDN w:val="0"/>
              <w:adjustRightInd w:val="0"/>
              <w:snapToGrid w:val="0"/>
              <w:spacing w:line="240" w:lineRule="auto"/>
              <w:jc w:val="center"/>
              <w:rPr>
                <w:rFonts w:eastAsia="Calibri"/>
                <w:color w:val="auto"/>
                <w:szCs w:val="22"/>
                <w:lang w:eastAsia="en-US"/>
              </w:rPr>
            </w:pPr>
            <w:r w:rsidRPr="00D677ED">
              <w:rPr>
                <w:rFonts w:eastAsia="Calibri"/>
                <w:color w:val="auto"/>
                <w:szCs w:val="22"/>
                <w:lang w:eastAsia="en-US"/>
              </w:rPr>
              <w:t>0</w:t>
            </w:r>
            <w:r w:rsidR="0076035B" w:rsidRPr="00D677ED">
              <w:rPr>
                <w:rFonts w:eastAsia="Calibri"/>
                <w:color w:val="auto"/>
                <w:szCs w:val="22"/>
                <w:lang w:eastAsia="en-US"/>
              </w:rPr>
              <w:t>.17</w:t>
            </w:r>
            <w:r w:rsidR="00D677ED">
              <w:rPr>
                <w:rFonts w:eastAsia="Calibri"/>
                <w:color w:val="auto"/>
                <w:szCs w:val="22"/>
                <w:lang w:eastAsia="en-US"/>
              </w:rPr>
              <w:t xml:space="preserve"> </w:t>
            </w:r>
            <w:r w:rsidR="0076035B" w:rsidRPr="00D677ED">
              <w:rPr>
                <w:rFonts w:eastAsia="Calibri"/>
                <w:color w:val="auto"/>
                <w:szCs w:val="22"/>
                <w:lang w:eastAsia="en-US"/>
              </w:rPr>
              <w:t>**</w:t>
            </w:r>
          </w:p>
        </w:tc>
        <w:tc>
          <w:tcPr>
            <w:tcW w:w="363" w:type="pct"/>
            <w:shd w:val="clear" w:color="auto" w:fill="auto"/>
            <w:vAlign w:val="center"/>
          </w:tcPr>
          <w:p w14:paraId="72E919BD" w14:textId="27CD2619" w:rsidR="0076035B" w:rsidRPr="00D677ED" w:rsidRDefault="00740C6A" w:rsidP="00966621">
            <w:pPr>
              <w:autoSpaceDE w:val="0"/>
              <w:autoSpaceDN w:val="0"/>
              <w:adjustRightInd w:val="0"/>
              <w:snapToGrid w:val="0"/>
              <w:spacing w:line="240" w:lineRule="auto"/>
              <w:jc w:val="center"/>
              <w:rPr>
                <w:rFonts w:eastAsia="Calibri"/>
                <w:color w:val="auto"/>
                <w:szCs w:val="22"/>
                <w:lang w:eastAsia="en-US"/>
              </w:rPr>
            </w:pPr>
            <w:r>
              <w:rPr>
                <w:rFonts w:eastAsia="Calibri"/>
                <w:color w:val="auto"/>
                <w:szCs w:val="22"/>
                <w:lang w:eastAsia="en-US"/>
              </w:rPr>
              <w:t>−</w:t>
            </w:r>
            <w:r w:rsidR="00294695" w:rsidRPr="00D677ED">
              <w:rPr>
                <w:rFonts w:eastAsia="Calibri"/>
                <w:color w:val="auto"/>
                <w:szCs w:val="22"/>
                <w:lang w:eastAsia="en-US"/>
              </w:rPr>
              <w:t>0</w:t>
            </w:r>
            <w:r w:rsidR="0076035B" w:rsidRPr="00D677ED">
              <w:rPr>
                <w:rFonts w:eastAsia="Calibri"/>
                <w:color w:val="auto"/>
                <w:szCs w:val="22"/>
                <w:lang w:eastAsia="en-US"/>
              </w:rPr>
              <w:t>.16</w:t>
            </w:r>
            <w:r w:rsidR="00D677ED">
              <w:rPr>
                <w:rFonts w:eastAsia="Calibri"/>
                <w:color w:val="auto"/>
                <w:szCs w:val="22"/>
                <w:lang w:eastAsia="en-US"/>
              </w:rPr>
              <w:t xml:space="preserve"> </w:t>
            </w:r>
            <w:r w:rsidR="0076035B" w:rsidRPr="00D677ED">
              <w:rPr>
                <w:rFonts w:eastAsia="Calibri"/>
                <w:color w:val="auto"/>
                <w:szCs w:val="22"/>
                <w:lang w:eastAsia="en-US"/>
              </w:rPr>
              <w:t>**</w:t>
            </w:r>
          </w:p>
        </w:tc>
        <w:tc>
          <w:tcPr>
            <w:tcW w:w="363" w:type="pct"/>
            <w:shd w:val="clear" w:color="auto" w:fill="auto"/>
            <w:vAlign w:val="center"/>
          </w:tcPr>
          <w:p w14:paraId="738D502F" w14:textId="7F939894" w:rsidR="0076035B" w:rsidRPr="00D677ED" w:rsidRDefault="00294695" w:rsidP="00966621">
            <w:pPr>
              <w:autoSpaceDE w:val="0"/>
              <w:autoSpaceDN w:val="0"/>
              <w:adjustRightInd w:val="0"/>
              <w:snapToGrid w:val="0"/>
              <w:spacing w:line="240" w:lineRule="auto"/>
              <w:jc w:val="center"/>
              <w:rPr>
                <w:rFonts w:eastAsia="Calibri"/>
                <w:color w:val="auto"/>
                <w:szCs w:val="22"/>
                <w:lang w:eastAsia="en-US"/>
              </w:rPr>
            </w:pPr>
            <w:r w:rsidRPr="00D677ED">
              <w:rPr>
                <w:rFonts w:eastAsia="Calibri"/>
                <w:color w:val="auto"/>
                <w:szCs w:val="22"/>
                <w:lang w:eastAsia="en-US"/>
              </w:rPr>
              <w:t>0</w:t>
            </w:r>
            <w:r w:rsidR="0076035B" w:rsidRPr="00D677ED">
              <w:rPr>
                <w:rFonts w:eastAsia="Calibri"/>
                <w:color w:val="auto"/>
                <w:szCs w:val="22"/>
                <w:lang w:eastAsia="en-US"/>
              </w:rPr>
              <w:t>.34</w:t>
            </w:r>
            <w:r w:rsidR="00D677ED">
              <w:rPr>
                <w:rFonts w:eastAsia="Calibri"/>
                <w:color w:val="auto"/>
                <w:szCs w:val="22"/>
                <w:lang w:eastAsia="en-US"/>
              </w:rPr>
              <w:t xml:space="preserve"> </w:t>
            </w:r>
            <w:r w:rsidR="0076035B" w:rsidRPr="00D677ED">
              <w:rPr>
                <w:rFonts w:eastAsia="Calibri"/>
                <w:color w:val="auto"/>
                <w:szCs w:val="22"/>
                <w:lang w:eastAsia="en-US"/>
              </w:rPr>
              <w:t>**</w:t>
            </w:r>
          </w:p>
        </w:tc>
        <w:tc>
          <w:tcPr>
            <w:tcW w:w="364" w:type="pct"/>
            <w:shd w:val="clear" w:color="auto" w:fill="auto"/>
            <w:vAlign w:val="center"/>
          </w:tcPr>
          <w:p w14:paraId="0F4A03E7" w14:textId="59A4C6F0" w:rsidR="0076035B" w:rsidRPr="00D677ED" w:rsidRDefault="00294695" w:rsidP="00966621">
            <w:pPr>
              <w:autoSpaceDE w:val="0"/>
              <w:autoSpaceDN w:val="0"/>
              <w:adjustRightInd w:val="0"/>
              <w:snapToGrid w:val="0"/>
              <w:spacing w:line="240" w:lineRule="auto"/>
              <w:jc w:val="center"/>
              <w:rPr>
                <w:rFonts w:eastAsia="Calibri"/>
                <w:color w:val="auto"/>
                <w:szCs w:val="22"/>
                <w:lang w:eastAsia="en-US"/>
              </w:rPr>
            </w:pPr>
            <w:r w:rsidRPr="00D677ED">
              <w:rPr>
                <w:rFonts w:eastAsia="Calibri"/>
                <w:color w:val="auto"/>
                <w:szCs w:val="22"/>
                <w:lang w:eastAsia="en-US"/>
              </w:rPr>
              <w:t>0</w:t>
            </w:r>
            <w:r w:rsidR="0076035B" w:rsidRPr="00D677ED">
              <w:rPr>
                <w:rFonts w:eastAsia="Calibri"/>
                <w:color w:val="auto"/>
                <w:szCs w:val="22"/>
                <w:lang w:eastAsia="en-US"/>
              </w:rPr>
              <w:t>.37</w:t>
            </w:r>
            <w:r w:rsidR="00D677ED">
              <w:rPr>
                <w:rFonts w:eastAsia="Calibri"/>
                <w:color w:val="auto"/>
                <w:szCs w:val="22"/>
                <w:lang w:eastAsia="en-US"/>
              </w:rPr>
              <w:t xml:space="preserve"> </w:t>
            </w:r>
            <w:r w:rsidR="0076035B" w:rsidRPr="00D677ED">
              <w:rPr>
                <w:rFonts w:eastAsia="Calibri"/>
                <w:color w:val="auto"/>
                <w:szCs w:val="22"/>
                <w:lang w:eastAsia="en-US"/>
              </w:rPr>
              <w:t>**</w:t>
            </w:r>
          </w:p>
        </w:tc>
        <w:tc>
          <w:tcPr>
            <w:tcW w:w="364" w:type="pct"/>
            <w:shd w:val="clear" w:color="auto" w:fill="auto"/>
            <w:vAlign w:val="center"/>
          </w:tcPr>
          <w:p w14:paraId="25846CE4" w14:textId="0D660A9D" w:rsidR="0076035B" w:rsidRPr="00D677ED" w:rsidRDefault="00294695" w:rsidP="00966621">
            <w:pPr>
              <w:autoSpaceDE w:val="0"/>
              <w:autoSpaceDN w:val="0"/>
              <w:adjustRightInd w:val="0"/>
              <w:snapToGrid w:val="0"/>
              <w:spacing w:line="240" w:lineRule="auto"/>
              <w:jc w:val="center"/>
              <w:rPr>
                <w:rFonts w:eastAsia="Calibri"/>
                <w:color w:val="auto"/>
                <w:szCs w:val="22"/>
                <w:lang w:eastAsia="en-US"/>
              </w:rPr>
            </w:pPr>
            <w:r w:rsidRPr="00D677ED">
              <w:rPr>
                <w:rFonts w:eastAsia="Calibri"/>
                <w:color w:val="auto"/>
                <w:szCs w:val="22"/>
                <w:lang w:eastAsia="en-US"/>
              </w:rPr>
              <w:t>0</w:t>
            </w:r>
            <w:r w:rsidR="0076035B" w:rsidRPr="00D677ED">
              <w:rPr>
                <w:rFonts w:eastAsia="Calibri"/>
                <w:color w:val="auto"/>
                <w:szCs w:val="22"/>
                <w:lang w:eastAsia="en-US"/>
              </w:rPr>
              <w:t>.22</w:t>
            </w:r>
            <w:r w:rsidR="00D677ED">
              <w:rPr>
                <w:rFonts w:eastAsia="Calibri"/>
                <w:color w:val="auto"/>
                <w:szCs w:val="22"/>
                <w:lang w:eastAsia="en-US"/>
              </w:rPr>
              <w:t xml:space="preserve"> </w:t>
            </w:r>
            <w:r w:rsidR="0076035B" w:rsidRPr="00D677ED">
              <w:rPr>
                <w:rFonts w:eastAsia="Calibri"/>
                <w:color w:val="auto"/>
                <w:szCs w:val="22"/>
                <w:lang w:eastAsia="en-US"/>
              </w:rPr>
              <w:t>**</w:t>
            </w:r>
          </w:p>
        </w:tc>
        <w:tc>
          <w:tcPr>
            <w:tcW w:w="364" w:type="pct"/>
            <w:shd w:val="clear" w:color="auto" w:fill="auto"/>
            <w:vAlign w:val="center"/>
          </w:tcPr>
          <w:p w14:paraId="6452349A" w14:textId="1A88DD89" w:rsidR="0076035B" w:rsidRPr="00D677ED" w:rsidRDefault="00294695" w:rsidP="00966621">
            <w:pPr>
              <w:autoSpaceDE w:val="0"/>
              <w:autoSpaceDN w:val="0"/>
              <w:adjustRightInd w:val="0"/>
              <w:snapToGrid w:val="0"/>
              <w:spacing w:line="240" w:lineRule="auto"/>
              <w:jc w:val="center"/>
              <w:rPr>
                <w:rFonts w:eastAsia="Calibri"/>
                <w:color w:val="auto"/>
                <w:szCs w:val="22"/>
                <w:lang w:eastAsia="en-US"/>
              </w:rPr>
            </w:pPr>
            <w:r w:rsidRPr="00D677ED">
              <w:rPr>
                <w:rFonts w:eastAsia="Calibri"/>
                <w:color w:val="auto"/>
                <w:szCs w:val="22"/>
                <w:lang w:eastAsia="en-US"/>
              </w:rPr>
              <w:t>0</w:t>
            </w:r>
            <w:r w:rsidR="0076035B" w:rsidRPr="00D677ED">
              <w:rPr>
                <w:rFonts w:eastAsia="Calibri"/>
                <w:color w:val="auto"/>
                <w:szCs w:val="22"/>
                <w:lang w:eastAsia="en-US"/>
              </w:rPr>
              <w:t>.33</w:t>
            </w:r>
            <w:r w:rsidR="00D677ED">
              <w:rPr>
                <w:rFonts w:eastAsia="Calibri"/>
                <w:color w:val="auto"/>
                <w:szCs w:val="22"/>
                <w:lang w:eastAsia="en-US"/>
              </w:rPr>
              <w:t xml:space="preserve"> </w:t>
            </w:r>
            <w:r w:rsidR="0076035B" w:rsidRPr="00D677ED">
              <w:rPr>
                <w:rFonts w:eastAsia="Calibri"/>
                <w:color w:val="auto"/>
                <w:szCs w:val="22"/>
                <w:lang w:eastAsia="en-US"/>
              </w:rPr>
              <w:t>**</w:t>
            </w:r>
          </w:p>
        </w:tc>
        <w:tc>
          <w:tcPr>
            <w:tcW w:w="364" w:type="pct"/>
            <w:shd w:val="clear" w:color="auto" w:fill="auto"/>
            <w:vAlign w:val="center"/>
          </w:tcPr>
          <w:p w14:paraId="40B8E69D" w14:textId="3E08D43E" w:rsidR="0076035B" w:rsidRPr="00D677ED" w:rsidRDefault="00294695" w:rsidP="00966621">
            <w:pPr>
              <w:autoSpaceDE w:val="0"/>
              <w:autoSpaceDN w:val="0"/>
              <w:adjustRightInd w:val="0"/>
              <w:snapToGrid w:val="0"/>
              <w:spacing w:line="240" w:lineRule="auto"/>
              <w:jc w:val="center"/>
              <w:rPr>
                <w:rFonts w:eastAsia="Calibri"/>
                <w:color w:val="auto"/>
                <w:szCs w:val="22"/>
                <w:lang w:eastAsia="en-US"/>
              </w:rPr>
            </w:pPr>
            <w:r w:rsidRPr="00D677ED">
              <w:rPr>
                <w:rFonts w:eastAsia="Calibri"/>
                <w:color w:val="auto"/>
                <w:szCs w:val="22"/>
                <w:lang w:eastAsia="en-US"/>
              </w:rPr>
              <w:t>0</w:t>
            </w:r>
            <w:r w:rsidR="0076035B" w:rsidRPr="00D677ED">
              <w:rPr>
                <w:rFonts w:eastAsia="Calibri"/>
                <w:color w:val="auto"/>
                <w:szCs w:val="22"/>
                <w:lang w:eastAsia="en-US"/>
              </w:rPr>
              <w:t>.21</w:t>
            </w:r>
            <w:r w:rsidR="00D677ED">
              <w:rPr>
                <w:rFonts w:eastAsia="Calibri"/>
                <w:color w:val="auto"/>
                <w:szCs w:val="22"/>
                <w:lang w:eastAsia="en-US"/>
              </w:rPr>
              <w:t xml:space="preserve"> </w:t>
            </w:r>
            <w:r w:rsidR="0076035B" w:rsidRPr="00D677ED">
              <w:rPr>
                <w:rFonts w:eastAsia="Calibri"/>
                <w:color w:val="auto"/>
                <w:szCs w:val="22"/>
                <w:lang w:eastAsia="en-US"/>
              </w:rPr>
              <w:t>**</w:t>
            </w:r>
          </w:p>
        </w:tc>
        <w:tc>
          <w:tcPr>
            <w:tcW w:w="366" w:type="pct"/>
            <w:shd w:val="clear" w:color="auto" w:fill="auto"/>
            <w:vAlign w:val="center"/>
          </w:tcPr>
          <w:p w14:paraId="1073F9BE" w14:textId="3C41A703" w:rsidR="0076035B" w:rsidRPr="00D677ED" w:rsidRDefault="00294695" w:rsidP="00966621">
            <w:pPr>
              <w:autoSpaceDE w:val="0"/>
              <w:autoSpaceDN w:val="0"/>
              <w:adjustRightInd w:val="0"/>
              <w:snapToGrid w:val="0"/>
              <w:spacing w:line="240" w:lineRule="auto"/>
              <w:jc w:val="center"/>
              <w:rPr>
                <w:rFonts w:eastAsia="Calibri"/>
                <w:color w:val="auto"/>
                <w:szCs w:val="22"/>
                <w:lang w:eastAsia="en-US"/>
              </w:rPr>
            </w:pPr>
            <w:r w:rsidRPr="00D677ED">
              <w:rPr>
                <w:rFonts w:eastAsia="Calibri"/>
                <w:color w:val="auto"/>
                <w:szCs w:val="22"/>
                <w:lang w:eastAsia="en-US"/>
              </w:rPr>
              <w:t>0</w:t>
            </w:r>
            <w:r w:rsidR="0076035B" w:rsidRPr="00D677ED">
              <w:rPr>
                <w:rFonts w:eastAsia="Calibri"/>
                <w:color w:val="auto"/>
                <w:szCs w:val="22"/>
                <w:lang w:eastAsia="en-US"/>
              </w:rPr>
              <w:t>.18</w:t>
            </w:r>
            <w:r w:rsidR="00D677ED">
              <w:rPr>
                <w:rFonts w:eastAsia="Calibri"/>
                <w:color w:val="auto"/>
                <w:szCs w:val="22"/>
                <w:lang w:eastAsia="en-US"/>
              </w:rPr>
              <w:t xml:space="preserve"> </w:t>
            </w:r>
            <w:r w:rsidR="0076035B" w:rsidRPr="00D677ED">
              <w:rPr>
                <w:rFonts w:eastAsia="Calibri"/>
                <w:color w:val="auto"/>
                <w:szCs w:val="22"/>
                <w:lang w:eastAsia="en-US"/>
              </w:rPr>
              <w:t>*</w:t>
            </w:r>
          </w:p>
        </w:tc>
        <w:tc>
          <w:tcPr>
            <w:tcW w:w="366" w:type="pct"/>
            <w:shd w:val="clear" w:color="auto" w:fill="auto"/>
            <w:vAlign w:val="center"/>
          </w:tcPr>
          <w:p w14:paraId="4C40A64B" w14:textId="6EB97E43" w:rsidR="0076035B" w:rsidRPr="00D677ED" w:rsidRDefault="00294695" w:rsidP="00966621">
            <w:pPr>
              <w:autoSpaceDE w:val="0"/>
              <w:autoSpaceDN w:val="0"/>
              <w:adjustRightInd w:val="0"/>
              <w:snapToGrid w:val="0"/>
              <w:spacing w:line="240" w:lineRule="auto"/>
              <w:jc w:val="center"/>
              <w:rPr>
                <w:rFonts w:eastAsia="Calibri"/>
                <w:color w:val="auto"/>
                <w:szCs w:val="22"/>
                <w:lang w:eastAsia="en-US"/>
              </w:rPr>
            </w:pPr>
            <w:r w:rsidRPr="00D677ED">
              <w:rPr>
                <w:rFonts w:eastAsia="Calibri"/>
                <w:color w:val="auto"/>
                <w:szCs w:val="22"/>
                <w:lang w:eastAsia="en-US"/>
              </w:rPr>
              <w:t>0</w:t>
            </w:r>
            <w:r w:rsidR="0076035B" w:rsidRPr="00D677ED">
              <w:rPr>
                <w:rFonts w:eastAsia="Calibri"/>
                <w:color w:val="auto"/>
                <w:szCs w:val="22"/>
                <w:lang w:eastAsia="en-US"/>
              </w:rPr>
              <w:t>.22</w:t>
            </w:r>
            <w:r w:rsidR="00D677ED">
              <w:rPr>
                <w:rFonts w:eastAsia="Calibri"/>
                <w:color w:val="auto"/>
                <w:szCs w:val="22"/>
                <w:lang w:eastAsia="en-US"/>
              </w:rPr>
              <w:t xml:space="preserve"> </w:t>
            </w:r>
            <w:r w:rsidR="0076035B" w:rsidRPr="00D677ED">
              <w:rPr>
                <w:rFonts w:eastAsia="Calibri"/>
                <w:color w:val="auto"/>
                <w:szCs w:val="22"/>
                <w:lang w:eastAsia="en-US"/>
              </w:rPr>
              <w:t>*</w:t>
            </w:r>
          </w:p>
        </w:tc>
        <w:tc>
          <w:tcPr>
            <w:tcW w:w="609" w:type="pct"/>
            <w:shd w:val="clear" w:color="auto" w:fill="auto"/>
            <w:vAlign w:val="center"/>
          </w:tcPr>
          <w:p w14:paraId="673874E5" w14:textId="77777777" w:rsidR="0076035B" w:rsidRPr="00D677ED" w:rsidRDefault="0076035B" w:rsidP="00966621">
            <w:pPr>
              <w:autoSpaceDE w:val="0"/>
              <w:autoSpaceDN w:val="0"/>
              <w:adjustRightInd w:val="0"/>
              <w:snapToGrid w:val="0"/>
              <w:spacing w:line="240" w:lineRule="auto"/>
              <w:jc w:val="center"/>
              <w:rPr>
                <w:rFonts w:eastAsia="Calibri"/>
                <w:color w:val="auto"/>
                <w:szCs w:val="22"/>
                <w:lang w:eastAsia="en-US"/>
              </w:rPr>
            </w:pPr>
            <w:r w:rsidRPr="00D677ED">
              <w:rPr>
                <w:rFonts w:eastAsia="Calibri"/>
                <w:color w:val="auto"/>
                <w:szCs w:val="22"/>
                <w:lang w:eastAsia="en-US"/>
              </w:rPr>
              <w:t>48.32 (7.91)</w:t>
            </w:r>
          </w:p>
        </w:tc>
      </w:tr>
      <w:tr w:rsidR="00966621" w:rsidRPr="00966621" w14:paraId="68BD2ADC" w14:textId="77777777" w:rsidTr="00966621">
        <w:trPr>
          <w:cantSplit/>
          <w:jc w:val="center"/>
        </w:trPr>
        <w:tc>
          <w:tcPr>
            <w:tcW w:w="874" w:type="pct"/>
            <w:shd w:val="clear" w:color="auto" w:fill="auto"/>
            <w:vAlign w:val="center"/>
          </w:tcPr>
          <w:p w14:paraId="41307014" w14:textId="77777777" w:rsidR="0076035B" w:rsidRPr="00966621" w:rsidRDefault="0076035B" w:rsidP="00966621">
            <w:pPr>
              <w:autoSpaceDE w:val="0"/>
              <w:autoSpaceDN w:val="0"/>
              <w:adjustRightInd w:val="0"/>
              <w:snapToGrid w:val="0"/>
              <w:spacing w:line="240" w:lineRule="auto"/>
              <w:jc w:val="center"/>
              <w:rPr>
                <w:rFonts w:eastAsia="Calibri"/>
                <w:color w:val="auto"/>
                <w:szCs w:val="22"/>
                <w:lang w:eastAsia="en-US"/>
              </w:rPr>
            </w:pPr>
            <w:r w:rsidRPr="00966621">
              <w:rPr>
                <w:rFonts w:eastAsia="Calibri"/>
                <w:color w:val="auto"/>
                <w:szCs w:val="22"/>
                <w:lang w:eastAsia="en-US"/>
              </w:rPr>
              <w:t>3. Intrinsic Motives</w:t>
            </w:r>
          </w:p>
        </w:tc>
        <w:tc>
          <w:tcPr>
            <w:tcW w:w="295" w:type="pct"/>
            <w:shd w:val="clear" w:color="auto" w:fill="auto"/>
            <w:vAlign w:val="center"/>
          </w:tcPr>
          <w:p w14:paraId="7A487FCF" w14:textId="77777777" w:rsidR="0076035B" w:rsidRPr="00966621" w:rsidRDefault="0076035B" w:rsidP="00966621">
            <w:pPr>
              <w:autoSpaceDE w:val="0"/>
              <w:autoSpaceDN w:val="0"/>
              <w:adjustRightInd w:val="0"/>
              <w:snapToGrid w:val="0"/>
              <w:spacing w:line="240" w:lineRule="auto"/>
              <w:jc w:val="center"/>
              <w:rPr>
                <w:rFonts w:eastAsia="Calibri"/>
                <w:color w:val="auto"/>
                <w:szCs w:val="22"/>
                <w:lang w:eastAsia="en-US"/>
              </w:rPr>
            </w:pPr>
          </w:p>
        </w:tc>
        <w:tc>
          <w:tcPr>
            <w:tcW w:w="310" w:type="pct"/>
            <w:shd w:val="clear" w:color="auto" w:fill="auto"/>
            <w:vAlign w:val="center"/>
          </w:tcPr>
          <w:p w14:paraId="4A5C3284" w14:textId="77777777" w:rsidR="0076035B" w:rsidRPr="00D677ED" w:rsidRDefault="0076035B" w:rsidP="00966621">
            <w:pPr>
              <w:autoSpaceDE w:val="0"/>
              <w:autoSpaceDN w:val="0"/>
              <w:adjustRightInd w:val="0"/>
              <w:snapToGrid w:val="0"/>
              <w:spacing w:line="240" w:lineRule="auto"/>
              <w:jc w:val="center"/>
              <w:rPr>
                <w:rFonts w:eastAsia="Calibri"/>
                <w:color w:val="auto"/>
                <w:szCs w:val="22"/>
                <w:lang w:eastAsia="en-US"/>
              </w:rPr>
            </w:pPr>
            <w:r w:rsidRPr="00D677ED">
              <w:rPr>
                <w:rFonts w:eastAsia="Calibri"/>
                <w:color w:val="auto"/>
                <w:szCs w:val="22"/>
                <w:lang w:eastAsia="en-US"/>
              </w:rPr>
              <w:t>-</w:t>
            </w:r>
          </w:p>
        </w:tc>
        <w:tc>
          <w:tcPr>
            <w:tcW w:w="363" w:type="pct"/>
            <w:shd w:val="clear" w:color="auto" w:fill="auto"/>
            <w:vAlign w:val="center"/>
          </w:tcPr>
          <w:p w14:paraId="4E0AD7C8" w14:textId="05A46CBF" w:rsidR="0076035B" w:rsidRPr="00D677ED" w:rsidRDefault="00294695" w:rsidP="00966621">
            <w:pPr>
              <w:autoSpaceDE w:val="0"/>
              <w:autoSpaceDN w:val="0"/>
              <w:adjustRightInd w:val="0"/>
              <w:snapToGrid w:val="0"/>
              <w:spacing w:line="240" w:lineRule="auto"/>
              <w:jc w:val="center"/>
              <w:rPr>
                <w:rFonts w:eastAsia="Calibri"/>
                <w:color w:val="auto"/>
                <w:szCs w:val="22"/>
                <w:lang w:eastAsia="en-US"/>
              </w:rPr>
            </w:pPr>
            <w:r w:rsidRPr="00D677ED">
              <w:rPr>
                <w:rFonts w:eastAsia="Calibri"/>
                <w:color w:val="auto"/>
                <w:szCs w:val="22"/>
                <w:lang w:eastAsia="en-US"/>
              </w:rPr>
              <w:t>0</w:t>
            </w:r>
            <w:r w:rsidR="0076035B" w:rsidRPr="00D677ED">
              <w:rPr>
                <w:rFonts w:eastAsia="Calibri"/>
                <w:color w:val="auto"/>
                <w:szCs w:val="22"/>
                <w:lang w:eastAsia="en-US"/>
              </w:rPr>
              <w:t>.16</w:t>
            </w:r>
            <w:r w:rsidR="00D677ED">
              <w:rPr>
                <w:rFonts w:eastAsia="Calibri"/>
                <w:color w:val="auto"/>
                <w:szCs w:val="22"/>
                <w:lang w:eastAsia="en-US"/>
              </w:rPr>
              <w:t xml:space="preserve"> </w:t>
            </w:r>
            <w:r w:rsidR="0076035B" w:rsidRPr="00D677ED">
              <w:rPr>
                <w:rFonts w:eastAsia="Calibri"/>
                <w:color w:val="auto"/>
                <w:szCs w:val="22"/>
                <w:lang w:eastAsia="en-US"/>
              </w:rPr>
              <w:t>**</w:t>
            </w:r>
          </w:p>
        </w:tc>
        <w:tc>
          <w:tcPr>
            <w:tcW w:w="363" w:type="pct"/>
            <w:shd w:val="clear" w:color="auto" w:fill="auto"/>
            <w:vAlign w:val="center"/>
          </w:tcPr>
          <w:p w14:paraId="1104E7BB" w14:textId="622B49A7" w:rsidR="0076035B" w:rsidRPr="00D677ED" w:rsidRDefault="00294695" w:rsidP="00966621">
            <w:pPr>
              <w:autoSpaceDE w:val="0"/>
              <w:autoSpaceDN w:val="0"/>
              <w:adjustRightInd w:val="0"/>
              <w:snapToGrid w:val="0"/>
              <w:spacing w:line="240" w:lineRule="auto"/>
              <w:jc w:val="center"/>
              <w:rPr>
                <w:rFonts w:eastAsia="Calibri"/>
                <w:color w:val="auto"/>
                <w:szCs w:val="22"/>
                <w:lang w:eastAsia="en-US"/>
              </w:rPr>
            </w:pPr>
            <w:r w:rsidRPr="00D677ED">
              <w:rPr>
                <w:rFonts w:eastAsia="Calibri"/>
                <w:color w:val="auto"/>
                <w:szCs w:val="22"/>
                <w:lang w:eastAsia="en-US"/>
              </w:rPr>
              <w:t>0</w:t>
            </w:r>
            <w:r w:rsidR="0076035B" w:rsidRPr="00D677ED">
              <w:rPr>
                <w:rFonts w:eastAsia="Calibri"/>
                <w:color w:val="auto"/>
                <w:szCs w:val="22"/>
                <w:lang w:eastAsia="en-US"/>
              </w:rPr>
              <w:t>.17</w:t>
            </w:r>
            <w:r w:rsidR="00D677ED">
              <w:rPr>
                <w:rFonts w:eastAsia="Calibri"/>
                <w:color w:val="auto"/>
                <w:szCs w:val="22"/>
                <w:lang w:eastAsia="en-US"/>
              </w:rPr>
              <w:t xml:space="preserve"> </w:t>
            </w:r>
            <w:r w:rsidR="0076035B" w:rsidRPr="00D677ED">
              <w:rPr>
                <w:rFonts w:eastAsia="Calibri"/>
                <w:color w:val="auto"/>
                <w:szCs w:val="22"/>
                <w:lang w:eastAsia="en-US"/>
              </w:rPr>
              <w:t>**</w:t>
            </w:r>
          </w:p>
        </w:tc>
        <w:tc>
          <w:tcPr>
            <w:tcW w:w="364" w:type="pct"/>
            <w:shd w:val="clear" w:color="auto" w:fill="auto"/>
            <w:vAlign w:val="center"/>
          </w:tcPr>
          <w:p w14:paraId="043A9CC5" w14:textId="2170D103" w:rsidR="0076035B" w:rsidRPr="00D677ED" w:rsidRDefault="00294695" w:rsidP="00966621">
            <w:pPr>
              <w:autoSpaceDE w:val="0"/>
              <w:autoSpaceDN w:val="0"/>
              <w:adjustRightInd w:val="0"/>
              <w:snapToGrid w:val="0"/>
              <w:spacing w:line="240" w:lineRule="auto"/>
              <w:jc w:val="center"/>
              <w:rPr>
                <w:rFonts w:eastAsia="Calibri"/>
                <w:color w:val="auto"/>
                <w:szCs w:val="22"/>
                <w:lang w:eastAsia="en-US"/>
              </w:rPr>
            </w:pPr>
            <w:r w:rsidRPr="00D677ED">
              <w:rPr>
                <w:rFonts w:eastAsia="Calibri"/>
                <w:color w:val="auto"/>
                <w:szCs w:val="22"/>
                <w:lang w:eastAsia="en-US"/>
              </w:rPr>
              <w:t>0</w:t>
            </w:r>
            <w:r w:rsidR="0076035B" w:rsidRPr="00D677ED">
              <w:rPr>
                <w:rFonts w:eastAsia="Calibri"/>
                <w:color w:val="auto"/>
                <w:szCs w:val="22"/>
                <w:lang w:eastAsia="en-US"/>
              </w:rPr>
              <w:t>.25</w:t>
            </w:r>
            <w:r w:rsidR="00D677ED">
              <w:rPr>
                <w:rFonts w:eastAsia="Calibri"/>
                <w:color w:val="auto"/>
                <w:szCs w:val="22"/>
                <w:lang w:eastAsia="en-US"/>
              </w:rPr>
              <w:t xml:space="preserve"> </w:t>
            </w:r>
            <w:r w:rsidR="0076035B" w:rsidRPr="00D677ED">
              <w:rPr>
                <w:rFonts w:eastAsia="Calibri"/>
                <w:color w:val="auto"/>
                <w:szCs w:val="22"/>
                <w:lang w:eastAsia="en-US"/>
              </w:rPr>
              <w:t>**</w:t>
            </w:r>
          </w:p>
        </w:tc>
        <w:tc>
          <w:tcPr>
            <w:tcW w:w="364" w:type="pct"/>
            <w:shd w:val="clear" w:color="auto" w:fill="auto"/>
            <w:vAlign w:val="center"/>
          </w:tcPr>
          <w:p w14:paraId="579CEF02" w14:textId="1EB1D492" w:rsidR="0076035B" w:rsidRPr="00D677ED" w:rsidRDefault="00294695" w:rsidP="00966621">
            <w:pPr>
              <w:autoSpaceDE w:val="0"/>
              <w:autoSpaceDN w:val="0"/>
              <w:adjustRightInd w:val="0"/>
              <w:snapToGrid w:val="0"/>
              <w:spacing w:line="240" w:lineRule="auto"/>
              <w:jc w:val="center"/>
              <w:rPr>
                <w:rFonts w:eastAsia="Calibri"/>
                <w:color w:val="auto"/>
                <w:szCs w:val="22"/>
                <w:lang w:eastAsia="en-US"/>
              </w:rPr>
            </w:pPr>
            <w:r w:rsidRPr="00D677ED">
              <w:rPr>
                <w:rFonts w:eastAsia="Calibri"/>
                <w:color w:val="auto"/>
                <w:szCs w:val="22"/>
                <w:lang w:eastAsia="en-US"/>
              </w:rPr>
              <w:t>0</w:t>
            </w:r>
            <w:r w:rsidR="0076035B" w:rsidRPr="00D677ED">
              <w:rPr>
                <w:rFonts w:eastAsia="Calibri"/>
                <w:color w:val="auto"/>
                <w:szCs w:val="22"/>
                <w:lang w:eastAsia="en-US"/>
              </w:rPr>
              <w:t>.17</w:t>
            </w:r>
            <w:r w:rsidR="00D677ED">
              <w:rPr>
                <w:rFonts w:eastAsia="Calibri"/>
                <w:color w:val="auto"/>
                <w:szCs w:val="22"/>
                <w:lang w:eastAsia="en-US"/>
              </w:rPr>
              <w:t xml:space="preserve"> </w:t>
            </w:r>
            <w:r w:rsidR="0076035B" w:rsidRPr="00D677ED">
              <w:rPr>
                <w:rFonts w:eastAsia="Calibri"/>
                <w:color w:val="auto"/>
                <w:szCs w:val="22"/>
                <w:lang w:eastAsia="en-US"/>
              </w:rPr>
              <w:t>*</w:t>
            </w:r>
          </w:p>
        </w:tc>
        <w:tc>
          <w:tcPr>
            <w:tcW w:w="364" w:type="pct"/>
            <w:shd w:val="clear" w:color="auto" w:fill="auto"/>
            <w:vAlign w:val="center"/>
          </w:tcPr>
          <w:p w14:paraId="3A89F778" w14:textId="3656E0EE" w:rsidR="0076035B" w:rsidRPr="00D677ED" w:rsidRDefault="00294695" w:rsidP="00966621">
            <w:pPr>
              <w:autoSpaceDE w:val="0"/>
              <w:autoSpaceDN w:val="0"/>
              <w:adjustRightInd w:val="0"/>
              <w:snapToGrid w:val="0"/>
              <w:spacing w:line="240" w:lineRule="auto"/>
              <w:jc w:val="center"/>
              <w:rPr>
                <w:rFonts w:eastAsia="Calibri"/>
                <w:color w:val="auto"/>
                <w:szCs w:val="22"/>
                <w:lang w:eastAsia="en-US"/>
              </w:rPr>
            </w:pPr>
            <w:r w:rsidRPr="00D677ED">
              <w:rPr>
                <w:rFonts w:eastAsia="Calibri"/>
                <w:color w:val="auto"/>
                <w:szCs w:val="22"/>
                <w:lang w:eastAsia="en-US"/>
              </w:rPr>
              <w:t>0</w:t>
            </w:r>
            <w:r w:rsidR="0076035B" w:rsidRPr="00D677ED">
              <w:rPr>
                <w:rFonts w:eastAsia="Calibri"/>
                <w:color w:val="auto"/>
                <w:szCs w:val="22"/>
                <w:lang w:eastAsia="en-US"/>
              </w:rPr>
              <w:t>.16</w:t>
            </w:r>
          </w:p>
        </w:tc>
        <w:tc>
          <w:tcPr>
            <w:tcW w:w="364" w:type="pct"/>
            <w:shd w:val="clear" w:color="auto" w:fill="auto"/>
            <w:vAlign w:val="center"/>
          </w:tcPr>
          <w:p w14:paraId="59E784F8" w14:textId="73C31E3F" w:rsidR="0076035B" w:rsidRPr="00D677ED" w:rsidRDefault="00294695" w:rsidP="00966621">
            <w:pPr>
              <w:autoSpaceDE w:val="0"/>
              <w:autoSpaceDN w:val="0"/>
              <w:adjustRightInd w:val="0"/>
              <w:snapToGrid w:val="0"/>
              <w:spacing w:line="240" w:lineRule="auto"/>
              <w:jc w:val="center"/>
              <w:rPr>
                <w:rFonts w:eastAsia="Calibri"/>
                <w:color w:val="auto"/>
                <w:szCs w:val="22"/>
                <w:lang w:eastAsia="en-US"/>
              </w:rPr>
            </w:pPr>
            <w:r w:rsidRPr="00D677ED">
              <w:rPr>
                <w:rFonts w:eastAsia="Calibri"/>
                <w:color w:val="auto"/>
                <w:szCs w:val="22"/>
                <w:lang w:eastAsia="en-US"/>
              </w:rPr>
              <w:t>0</w:t>
            </w:r>
            <w:r w:rsidR="0076035B" w:rsidRPr="00D677ED">
              <w:rPr>
                <w:rFonts w:eastAsia="Calibri"/>
                <w:color w:val="auto"/>
                <w:szCs w:val="22"/>
                <w:lang w:eastAsia="en-US"/>
              </w:rPr>
              <w:t>.36</w:t>
            </w:r>
            <w:r w:rsidR="00D677ED">
              <w:rPr>
                <w:rFonts w:eastAsia="Calibri"/>
                <w:color w:val="auto"/>
                <w:szCs w:val="22"/>
                <w:lang w:eastAsia="en-US"/>
              </w:rPr>
              <w:t xml:space="preserve"> </w:t>
            </w:r>
            <w:r w:rsidR="0076035B" w:rsidRPr="00D677ED">
              <w:rPr>
                <w:rFonts w:eastAsia="Calibri"/>
                <w:color w:val="auto"/>
                <w:szCs w:val="22"/>
                <w:lang w:eastAsia="en-US"/>
              </w:rPr>
              <w:t>**</w:t>
            </w:r>
          </w:p>
        </w:tc>
        <w:tc>
          <w:tcPr>
            <w:tcW w:w="366" w:type="pct"/>
            <w:shd w:val="clear" w:color="auto" w:fill="auto"/>
            <w:vAlign w:val="center"/>
          </w:tcPr>
          <w:p w14:paraId="21E4F7C9" w14:textId="598B1C48" w:rsidR="0076035B" w:rsidRPr="00D677ED" w:rsidRDefault="00294695" w:rsidP="00966621">
            <w:pPr>
              <w:autoSpaceDE w:val="0"/>
              <w:autoSpaceDN w:val="0"/>
              <w:adjustRightInd w:val="0"/>
              <w:snapToGrid w:val="0"/>
              <w:spacing w:line="240" w:lineRule="auto"/>
              <w:jc w:val="center"/>
              <w:rPr>
                <w:rFonts w:eastAsia="Calibri"/>
                <w:color w:val="auto"/>
                <w:szCs w:val="22"/>
                <w:lang w:eastAsia="en-US"/>
              </w:rPr>
            </w:pPr>
            <w:r w:rsidRPr="00D677ED">
              <w:rPr>
                <w:rFonts w:eastAsia="Calibri"/>
                <w:color w:val="auto"/>
                <w:szCs w:val="22"/>
                <w:lang w:eastAsia="en-US"/>
              </w:rPr>
              <w:t>0</w:t>
            </w:r>
            <w:r w:rsidR="0076035B" w:rsidRPr="00D677ED">
              <w:rPr>
                <w:rFonts w:eastAsia="Calibri"/>
                <w:color w:val="auto"/>
                <w:szCs w:val="22"/>
                <w:lang w:eastAsia="en-US"/>
              </w:rPr>
              <w:t>.27</w:t>
            </w:r>
            <w:r w:rsidR="00D677ED">
              <w:rPr>
                <w:rFonts w:eastAsia="Calibri"/>
                <w:color w:val="auto"/>
                <w:szCs w:val="22"/>
                <w:lang w:eastAsia="en-US"/>
              </w:rPr>
              <w:t xml:space="preserve"> </w:t>
            </w:r>
            <w:r w:rsidR="0076035B" w:rsidRPr="00D677ED">
              <w:rPr>
                <w:rFonts w:eastAsia="Calibri"/>
                <w:color w:val="auto"/>
                <w:szCs w:val="22"/>
                <w:lang w:eastAsia="en-US"/>
              </w:rPr>
              <w:t>**</w:t>
            </w:r>
          </w:p>
        </w:tc>
        <w:tc>
          <w:tcPr>
            <w:tcW w:w="366" w:type="pct"/>
            <w:shd w:val="clear" w:color="auto" w:fill="auto"/>
            <w:vAlign w:val="center"/>
          </w:tcPr>
          <w:p w14:paraId="68029DC1" w14:textId="5D2DB33E" w:rsidR="0076035B" w:rsidRPr="00D677ED" w:rsidRDefault="00294695" w:rsidP="00966621">
            <w:pPr>
              <w:autoSpaceDE w:val="0"/>
              <w:autoSpaceDN w:val="0"/>
              <w:adjustRightInd w:val="0"/>
              <w:snapToGrid w:val="0"/>
              <w:spacing w:line="240" w:lineRule="auto"/>
              <w:jc w:val="center"/>
              <w:rPr>
                <w:rFonts w:eastAsia="Calibri"/>
                <w:color w:val="auto"/>
                <w:szCs w:val="22"/>
                <w:lang w:eastAsia="en-US"/>
              </w:rPr>
            </w:pPr>
            <w:r w:rsidRPr="00D677ED">
              <w:rPr>
                <w:rFonts w:eastAsia="Calibri"/>
                <w:color w:val="auto"/>
                <w:szCs w:val="22"/>
                <w:lang w:eastAsia="en-US"/>
              </w:rPr>
              <w:t>0</w:t>
            </w:r>
            <w:r w:rsidR="0076035B" w:rsidRPr="00D677ED">
              <w:rPr>
                <w:rFonts w:eastAsia="Calibri"/>
                <w:color w:val="auto"/>
                <w:szCs w:val="22"/>
                <w:lang w:eastAsia="en-US"/>
              </w:rPr>
              <w:t>.35</w:t>
            </w:r>
            <w:r w:rsidR="00D677ED">
              <w:rPr>
                <w:rFonts w:eastAsia="Calibri"/>
                <w:color w:val="auto"/>
                <w:szCs w:val="22"/>
                <w:lang w:eastAsia="en-US"/>
              </w:rPr>
              <w:t xml:space="preserve"> </w:t>
            </w:r>
            <w:r w:rsidR="0076035B" w:rsidRPr="00D677ED">
              <w:rPr>
                <w:rFonts w:eastAsia="Calibri"/>
                <w:color w:val="auto"/>
                <w:szCs w:val="22"/>
                <w:lang w:eastAsia="en-US"/>
              </w:rPr>
              <w:t>**</w:t>
            </w:r>
          </w:p>
        </w:tc>
        <w:tc>
          <w:tcPr>
            <w:tcW w:w="609" w:type="pct"/>
            <w:shd w:val="clear" w:color="auto" w:fill="auto"/>
            <w:vAlign w:val="center"/>
          </w:tcPr>
          <w:p w14:paraId="476AD6BF" w14:textId="77777777" w:rsidR="0076035B" w:rsidRPr="00D677ED" w:rsidRDefault="0076035B" w:rsidP="00966621">
            <w:pPr>
              <w:autoSpaceDE w:val="0"/>
              <w:autoSpaceDN w:val="0"/>
              <w:adjustRightInd w:val="0"/>
              <w:snapToGrid w:val="0"/>
              <w:spacing w:line="240" w:lineRule="auto"/>
              <w:jc w:val="center"/>
              <w:rPr>
                <w:rFonts w:eastAsia="Calibri"/>
                <w:color w:val="auto"/>
                <w:szCs w:val="22"/>
                <w:lang w:eastAsia="en-US"/>
              </w:rPr>
            </w:pPr>
            <w:r w:rsidRPr="00D677ED">
              <w:rPr>
                <w:rFonts w:eastAsia="Calibri"/>
                <w:color w:val="auto"/>
                <w:szCs w:val="22"/>
                <w:lang w:eastAsia="en-US"/>
              </w:rPr>
              <w:t>10.09 (2.31)</w:t>
            </w:r>
          </w:p>
        </w:tc>
      </w:tr>
      <w:tr w:rsidR="00966621" w:rsidRPr="00966621" w14:paraId="776CE5FA" w14:textId="77777777" w:rsidTr="00966621">
        <w:trPr>
          <w:cantSplit/>
          <w:jc w:val="center"/>
        </w:trPr>
        <w:tc>
          <w:tcPr>
            <w:tcW w:w="874" w:type="pct"/>
            <w:shd w:val="clear" w:color="auto" w:fill="auto"/>
            <w:vAlign w:val="center"/>
          </w:tcPr>
          <w:p w14:paraId="3C223315" w14:textId="77777777" w:rsidR="0076035B" w:rsidRPr="00966621" w:rsidRDefault="0076035B" w:rsidP="00966621">
            <w:pPr>
              <w:autoSpaceDE w:val="0"/>
              <w:autoSpaceDN w:val="0"/>
              <w:adjustRightInd w:val="0"/>
              <w:snapToGrid w:val="0"/>
              <w:spacing w:line="240" w:lineRule="auto"/>
              <w:jc w:val="center"/>
              <w:rPr>
                <w:rFonts w:eastAsia="Calibri"/>
                <w:color w:val="auto"/>
                <w:szCs w:val="22"/>
                <w:lang w:eastAsia="en-US"/>
              </w:rPr>
            </w:pPr>
            <w:r w:rsidRPr="00966621">
              <w:rPr>
                <w:rFonts w:eastAsia="Calibri"/>
                <w:color w:val="auto"/>
                <w:szCs w:val="22"/>
                <w:lang w:eastAsia="en-US"/>
              </w:rPr>
              <w:t>4. Extrinsic Motives</w:t>
            </w:r>
          </w:p>
        </w:tc>
        <w:tc>
          <w:tcPr>
            <w:tcW w:w="295" w:type="pct"/>
            <w:shd w:val="clear" w:color="auto" w:fill="auto"/>
            <w:vAlign w:val="center"/>
          </w:tcPr>
          <w:p w14:paraId="070E7B75" w14:textId="77777777" w:rsidR="0076035B" w:rsidRPr="00966621" w:rsidRDefault="0076035B" w:rsidP="00966621">
            <w:pPr>
              <w:autoSpaceDE w:val="0"/>
              <w:autoSpaceDN w:val="0"/>
              <w:adjustRightInd w:val="0"/>
              <w:snapToGrid w:val="0"/>
              <w:spacing w:line="240" w:lineRule="auto"/>
              <w:jc w:val="center"/>
              <w:rPr>
                <w:rFonts w:eastAsia="Calibri"/>
                <w:color w:val="auto"/>
                <w:szCs w:val="22"/>
                <w:lang w:eastAsia="en-US"/>
              </w:rPr>
            </w:pPr>
          </w:p>
        </w:tc>
        <w:tc>
          <w:tcPr>
            <w:tcW w:w="310" w:type="pct"/>
            <w:shd w:val="clear" w:color="auto" w:fill="auto"/>
            <w:vAlign w:val="center"/>
          </w:tcPr>
          <w:p w14:paraId="51A2EE47" w14:textId="77777777" w:rsidR="0076035B" w:rsidRPr="00D677ED" w:rsidRDefault="0076035B" w:rsidP="00966621">
            <w:pPr>
              <w:autoSpaceDE w:val="0"/>
              <w:autoSpaceDN w:val="0"/>
              <w:adjustRightInd w:val="0"/>
              <w:snapToGrid w:val="0"/>
              <w:spacing w:line="240" w:lineRule="auto"/>
              <w:jc w:val="center"/>
              <w:rPr>
                <w:rFonts w:eastAsia="Calibri"/>
                <w:color w:val="auto"/>
                <w:szCs w:val="22"/>
                <w:lang w:eastAsia="en-US"/>
              </w:rPr>
            </w:pPr>
          </w:p>
        </w:tc>
        <w:tc>
          <w:tcPr>
            <w:tcW w:w="363" w:type="pct"/>
            <w:shd w:val="clear" w:color="auto" w:fill="auto"/>
            <w:vAlign w:val="center"/>
          </w:tcPr>
          <w:p w14:paraId="729BEB2A" w14:textId="77777777" w:rsidR="0076035B" w:rsidRPr="00D677ED" w:rsidRDefault="0076035B" w:rsidP="00966621">
            <w:pPr>
              <w:autoSpaceDE w:val="0"/>
              <w:autoSpaceDN w:val="0"/>
              <w:adjustRightInd w:val="0"/>
              <w:snapToGrid w:val="0"/>
              <w:spacing w:line="240" w:lineRule="auto"/>
              <w:jc w:val="center"/>
              <w:rPr>
                <w:rFonts w:eastAsia="Calibri"/>
                <w:color w:val="auto"/>
                <w:szCs w:val="22"/>
                <w:lang w:eastAsia="en-US"/>
              </w:rPr>
            </w:pPr>
            <w:r w:rsidRPr="00D677ED">
              <w:rPr>
                <w:rFonts w:eastAsia="Calibri"/>
                <w:color w:val="auto"/>
                <w:szCs w:val="22"/>
                <w:lang w:eastAsia="en-US"/>
              </w:rPr>
              <w:t>-</w:t>
            </w:r>
          </w:p>
        </w:tc>
        <w:tc>
          <w:tcPr>
            <w:tcW w:w="363" w:type="pct"/>
            <w:shd w:val="clear" w:color="auto" w:fill="auto"/>
            <w:vAlign w:val="center"/>
          </w:tcPr>
          <w:p w14:paraId="62998E23" w14:textId="6D09DDC1" w:rsidR="0076035B" w:rsidRPr="00D677ED" w:rsidRDefault="00740C6A" w:rsidP="00966621">
            <w:pPr>
              <w:autoSpaceDE w:val="0"/>
              <w:autoSpaceDN w:val="0"/>
              <w:adjustRightInd w:val="0"/>
              <w:snapToGrid w:val="0"/>
              <w:spacing w:line="240" w:lineRule="auto"/>
              <w:jc w:val="center"/>
              <w:rPr>
                <w:rFonts w:eastAsia="Calibri"/>
                <w:color w:val="auto"/>
                <w:szCs w:val="22"/>
                <w:lang w:eastAsia="en-US"/>
              </w:rPr>
            </w:pPr>
            <w:r>
              <w:rPr>
                <w:rFonts w:eastAsia="Calibri"/>
                <w:color w:val="auto"/>
                <w:szCs w:val="22"/>
                <w:lang w:eastAsia="en-US"/>
              </w:rPr>
              <w:t>−</w:t>
            </w:r>
            <w:r w:rsidR="00294695" w:rsidRPr="00D677ED">
              <w:rPr>
                <w:rFonts w:eastAsia="Calibri"/>
                <w:color w:val="auto"/>
                <w:szCs w:val="22"/>
                <w:lang w:eastAsia="en-US"/>
              </w:rPr>
              <w:t>0</w:t>
            </w:r>
            <w:r w:rsidR="0076035B" w:rsidRPr="00D677ED">
              <w:rPr>
                <w:rFonts w:eastAsia="Calibri"/>
                <w:color w:val="auto"/>
                <w:szCs w:val="22"/>
                <w:lang w:eastAsia="en-US"/>
              </w:rPr>
              <w:t>.18</w:t>
            </w:r>
            <w:r w:rsidR="00D677ED">
              <w:rPr>
                <w:rFonts w:eastAsia="Calibri"/>
                <w:color w:val="auto"/>
                <w:szCs w:val="22"/>
                <w:lang w:eastAsia="en-US"/>
              </w:rPr>
              <w:t xml:space="preserve"> </w:t>
            </w:r>
            <w:r w:rsidR="0076035B" w:rsidRPr="00D677ED">
              <w:rPr>
                <w:rFonts w:eastAsia="Calibri"/>
                <w:color w:val="auto"/>
                <w:szCs w:val="22"/>
                <w:lang w:eastAsia="en-US"/>
              </w:rPr>
              <w:t>**</w:t>
            </w:r>
          </w:p>
        </w:tc>
        <w:tc>
          <w:tcPr>
            <w:tcW w:w="364" w:type="pct"/>
            <w:shd w:val="clear" w:color="auto" w:fill="auto"/>
            <w:vAlign w:val="center"/>
          </w:tcPr>
          <w:p w14:paraId="37EEB380" w14:textId="76F61C31" w:rsidR="0076035B" w:rsidRPr="00D677ED" w:rsidRDefault="00740C6A" w:rsidP="00966621">
            <w:pPr>
              <w:autoSpaceDE w:val="0"/>
              <w:autoSpaceDN w:val="0"/>
              <w:adjustRightInd w:val="0"/>
              <w:snapToGrid w:val="0"/>
              <w:spacing w:line="240" w:lineRule="auto"/>
              <w:jc w:val="center"/>
              <w:rPr>
                <w:rFonts w:eastAsia="Calibri"/>
                <w:color w:val="auto"/>
                <w:szCs w:val="22"/>
                <w:lang w:eastAsia="en-US"/>
              </w:rPr>
            </w:pPr>
            <w:r>
              <w:rPr>
                <w:rFonts w:eastAsia="Calibri"/>
                <w:color w:val="auto"/>
                <w:szCs w:val="22"/>
                <w:lang w:eastAsia="en-US"/>
              </w:rPr>
              <w:t>−</w:t>
            </w:r>
            <w:r w:rsidR="00294695" w:rsidRPr="00D677ED">
              <w:rPr>
                <w:rFonts w:eastAsia="Calibri"/>
                <w:color w:val="auto"/>
                <w:szCs w:val="22"/>
                <w:lang w:eastAsia="en-US"/>
              </w:rPr>
              <w:t>0</w:t>
            </w:r>
            <w:r w:rsidR="0076035B" w:rsidRPr="00D677ED">
              <w:rPr>
                <w:rFonts w:eastAsia="Calibri"/>
                <w:color w:val="auto"/>
                <w:szCs w:val="22"/>
                <w:lang w:eastAsia="en-US"/>
              </w:rPr>
              <w:t>.16</w:t>
            </w:r>
            <w:r w:rsidR="00D677ED">
              <w:rPr>
                <w:rFonts w:eastAsia="Calibri"/>
                <w:color w:val="auto"/>
                <w:szCs w:val="22"/>
                <w:lang w:eastAsia="en-US"/>
              </w:rPr>
              <w:t xml:space="preserve"> </w:t>
            </w:r>
            <w:r w:rsidR="0076035B" w:rsidRPr="00D677ED">
              <w:rPr>
                <w:rFonts w:eastAsia="Calibri"/>
                <w:color w:val="auto"/>
                <w:szCs w:val="22"/>
                <w:lang w:eastAsia="en-US"/>
              </w:rPr>
              <w:t>*</w:t>
            </w:r>
          </w:p>
        </w:tc>
        <w:tc>
          <w:tcPr>
            <w:tcW w:w="364" w:type="pct"/>
            <w:shd w:val="clear" w:color="auto" w:fill="auto"/>
            <w:vAlign w:val="center"/>
          </w:tcPr>
          <w:p w14:paraId="5B6906B9" w14:textId="72FBDC75" w:rsidR="0076035B" w:rsidRPr="00D677ED" w:rsidRDefault="00740C6A" w:rsidP="00966621">
            <w:pPr>
              <w:autoSpaceDE w:val="0"/>
              <w:autoSpaceDN w:val="0"/>
              <w:adjustRightInd w:val="0"/>
              <w:snapToGrid w:val="0"/>
              <w:spacing w:line="240" w:lineRule="auto"/>
              <w:jc w:val="center"/>
              <w:rPr>
                <w:rFonts w:eastAsia="Calibri"/>
                <w:color w:val="auto"/>
                <w:szCs w:val="22"/>
                <w:lang w:eastAsia="en-US"/>
              </w:rPr>
            </w:pPr>
            <w:r>
              <w:rPr>
                <w:rFonts w:eastAsia="Calibri"/>
                <w:color w:val="auto"/>
                <w:szCs w:val="22"/>
                <w:lang w:eastAsia="en-US"/>
              </w:rPr>
              <w:t>−</w:t>
            </w:r>
            <w:r w:rsidR="00294695" w:rsidRPr="00D677ED">
              <w:rPr>
                <w:rFonts w:eastAsia="Calibri"/>
                <w:color w:val="auto"/>
                <w:szCs w:val="22"/>
                <w:lang w:eastAsia="en-US"/>
              </w:rPr>
              <w:t>0</w:t>
            </w:r>
            <w:r w:rsidR="0076035B" w:rsidRPr="00D677ED">
              <w:rPr>
                <w:rFonts w:eastAsia="Calibri"/>
                <w:color w:val="auto"/>
                <w:szCs w:val="22"/>
                <w:lang w:eastAsia="en-US"/>
              </w:rPr>
              <w:t>.13</w:t>
            </w:r>
          </w:p>
        </w:tc>
        <w:tc>
          <w:tcPr>
            <w:tcW w:w="364" w:type="pct"/>
            <w:shd w:val="clear" w:color="auto" w:fill="auto"/>
            <w:vAlign w:val="center"/>
          </w:tcPr>
          <w:p w14:paraId="6733BD26" w14:textId="587BCE04" w:rsidR="0076035B" w:rsidRPr="00D677ED" w:rsidRDefault="00740C6A" w:rsidP="00966621">
            <w:pPr>
              <w:autoSpaceDE w:val="0"/>
              <w:autoSpaceDN w:val="0"/>
              <w:adjustRightInd w:val="0"/>
              <w:snapToGrid w:val="0"/>
              <w:spacing w:line="240" w:lineRule="auto"/>
              <w:jc w:val="center"/>
              <w:rPr>
                <w:rFonts w:eastAsia="Calibri"/>
                <w:color w:val="auto"/>
                <w:szCs w:val="22"/>
                <w:lang w:eastAsia="en-US"/>
              </w:rPr>
            </w:pPr>
            <w:r>
              <w:rPr>
                <w:rFonts w:eastAsia="Calibri"/>
                <w:color w:val="auto"/>
                <w:szCs w:val="22"/>
                <w:lang w:eastAsia="en-US"/>
              </w:rPr>
              <w:t>−</w:t>
            </w:r>
            <w:r w:rsidR="00294695" w:rsidRPr="00D677ED">
              <w:rPr>
                <w:rFonts w:eastAsia="Calibri"/>
                <w:color w:val="auto"/>
                <w:szCs w:val="22"/>
                <w:lang w:eastAsia="en-US"/>
              </w:rPr>
              <w:t>0</w:t>
            </w:r>
            <w:r w:rsidR="0076035B" w:rsidRPr="00D677ED">
              <w:rPr>
                <w:rFonts w:eastAsia="Calibri"/>
                <w:color w:val="auto"/>
                <w:szCs w:val="22"/>
                <w:lang w:eastAsia="en-US"/>
              </w:rPr>
              <w:t>.16</w:t>
            </w:r>
          </w:p>
        </w:tc>
        <w:tc>
          <w:tcPr>
            <w:tcW w:w="364" w:type="pct"/>
            <w:shd w:val="clear" w:color="auto" w:fill="auto"/>
            <w:vAlign w:val="center"/>
          </w:tcPr>
          <w:p w14:paraId="46EC41C2" w14:textId="6E9C9517" w:rsidR="0076035B" w:rsidRPr="00D677ED" w:rsidRDefault="00294695" w:rsidP="00966621">
            <w:pPr>
              <w:autoSpaceDE w:val="0"/>
              <w:autoSpaceDN w:val="0"/>
              <w:adjustRightInd w:val="0"/>
              <w:snapToGrid w:val="0"/>
              <w:spacing w:line="240" w:lineRule="auto"/>
              <w:jc w:val="center"/>
              <w:rPr>
                <w:rFonts w:eastAsia="Calibri"/>
                <w:color w:val="auto"/>
                <w:szCs w:val="22"/>
                <w:lang w:eastAsia="en-US"/>
              </w:rPr>
            </w:pPr>
            <w:r w:rsidRPr="00D677ED">
              <w:rPr>
                <w:rFonts w:eastAsia="Calibri"/>
                <w:color w:val="auto"/>
                <w:szCs w:val="22"/>
                <w:lang w:eastAsia="en-US"/>
              </w:rPr>
              <w:t>0</w:t>
            </w:r>
            <w:r w:rsidR="0076035B" w:rsidRPr="00D677ED">
              <w:rPr>
                <w:rFonts w:eastAsia="Calibri"/>
                <w:color w:val="auto"/>
                <w:szCs w:val="22"/>
                <w:lang w:eastAsia="en-US"/>
              </w:rPr>
              <w:t>.05</w:t>
            </w:r>
          </w:p>
        </w:tc>
        <w:tc>
          <w:tcPr>
            <w:tcW w:w="366" w:type="pct"/>
            <w:shd w:val="clear" w:color="auto" w:fill="auto"/>
            <w:vAlign w:val="center"/>
          </w:tcPr>
          <w:p w14:paraId="70A378FB" w14:textId="16D139E0" w:rsidR="0076035B" w:rsidRPr="00D677ED" w:rsidRDefault="00294695" w:rsidP="00966621">
            <w:pPr>
              <w:autoSpaceDE w:val="0"/>
              <w:autoSpaceDN w:val="0"/>
              <w:adjustRightInd w:val="0"/>
              <w:snapToGrid w:val="0"/>
              <w:spacing w:line="240" w:lineRule="auto"/>
              <w:jc w:val="center"/>
              <w:rPr>
                <w:rFonts w:eastAsia="Calibri"/>
                <w:color w:val="auto"/>
                <w:szCs w:val="22"/>
                <w:lang w:eastAsia="en-US"/>
              </w:rPr>
            </w:pPr>
            <w:r w:rsidRPr="00D677ED">
              <w:rPr>
                <w:rFonts w:eastAsia="Calibri"/>
                <w:color w:val="auto"/>
                <w:szCs w:val="22"/>
                <w:lang w:eastAsia="en-US"/>
              </w:rPr>
              <w:t>0</w:t>
            </w:r>
            <w:r w:rsidR="0076035B" w:rsidRPr="00D677ED">
              <w:rPr>
                <w:rFonts w:eastAsia="Calibri"/>
                <w:color w:val="auto"/>
                <w:szCs w:val="22"/>
                <w:lang w:eastAsia="en-US"/>
              </w:rPr>
              <w:t>.04</w:t>
            </w:r>
          </w:p>
        </w:tc>
        <w:tc>
          <w:tcPr>
            <w:tcW w:w="366" w:type="pct"/>
            <w:shd w:val="clear" w:color="auto" w:fill="auto"/>
            <w:vAlign w:val="center"/>
          </w:tcPr>
          <w:p w14:paraId="4A65164A" w14:textId="041A8899" w:rsidR="0076035B" w:rsidRPr="00D677ED" w:rsidRDefault="00740C6A" w:rsidP="00966621">
            <w:pPr>
              <w:autoSpaceDE w:val="0"/>
              <w:autoSpaceDN w:val="0"/>
              <w:adjustRightInd w:val="0"/>
              <w:snapToGrid w:val="0"/>
              <w:spacing w:line="240" w:lineRule="auto"/>
              <w:jc w:val="center"/>
              <w:rPr>
                <w:rFonts w:eastAsia="Calibri"/>
                <w:color w:val="auto"/>
                <w:szCs w:val="22"/>
                <w:lang w:eastAsia="en-US"/>
              </w:rPr>
            </w:pPr>
            <w:r>
              <w:rPr>
                <w:rFonts w:eastAsia="Calibri"/>
                <w:color w:val="auto"/>
                <w:szCs w:val="22"/>
                <w:lang w:eastAsia="en-US"/>
              </w:rPr>
              <w:t>−</w:t>
            </w:r>
            <w:r w:rsidR="00294695" w:rsidRPr="00D677ED">
              <w:rPr>
                <w:rFonts w:eastAsia="Calibri"/>
                <w:color w:val="auto"/>
                <w:szCs w:val="22"/>
                <w:lang w:eastAsia="en-US"/>
              </w:rPr>
              <w:t>0</w:t>
            </w:r>
            <w:r w:rsidR="0076035B" w:rsidRPr="00D677ED">
              <w:rPr>
                <w:rFonts w:eastAsia="Calibri"/>
                <w:color w:val="auto"/>
                <w:szCs w:val="22"/>
                <w:lang w:eastAsia="en-US"/>
              </w:rPr>
              <w:t>.03</w:t>
            </w:r>
          </w:p>
        </w:tc>
        <w:tc>
          <w:tcPr>
            <w:tcW w:w="609" w:type="pct"/>
            <w:shd w:val="clear" w:color="auto" w:fill="auto"/>
            <w:vAlign w:val="center"/>
          </w:tcPr>
          <w:p w14:paraId="2314FE4F" w14:textId="77777777" w:rsidR="0076035B" w:rsidRPr="00D677ED" w:rsidRDefault="0076035B" w:rsidP="00966621">
            <w:pPr>
              <w:autoSpaceDE w:val="0"/>
              <w:autoSpaceDN w:val="0"/>
              <w:adjustRightInd w:val="0"/>
              <w:snapToGrid w:val="0"/>
              <w:spacing w:line="240" w:lineRule="auto"/>
              <w:jc w:val="center"/>
              <w:rPr>
                <w:rFonts w:eastAsia="Calibri"/>
                <w:color w:val="auto"/>
                <w:szCs w:val="22"/>
                <w:lang w:eastAsia="en-US"/>
              </w:rPr>
            </w:pPr>
            <w:r w:rsidRPr="00D677ED">
              <w:rPr>
                <w:rFonts w:eastAsia="Calibri"/>
                <w:color w:val="auto"/>
                <w:szCs w:val="22"/>
                <w:lang w:eastAsia="en-US"/>
              </w:rPr>
              <w:t>4.11 (2.49)</w:t>
            </w:r>
          </w:p>
        </w:tc>
      </w:tr>
      <w:tr w:rsidR="00966621" w:rsidRPr="00966621" w14:paraId="3E5D4A57" w14:textId="77777777" w:rsidTr="00966621">
        <w:trPr>
          <w:cantSplit/>
          <w:jc w:val="center"/>
        </w:trPr>
        <w:tc>
          <w:tcPr>
            <w:tcW w:w="874" w:type="pct"/>
            <w:shd w:val="clear" w:color="auto" w:fill="auto"/>
            <w:vAlign w:val="center"/>
          </w:tcPr>
          <w:p w14:paraId="27BF9A63" w14:textId="77777777" w:rsidR="0076035B" w:rsidRPr="00966621" w:rsidRDefault="0076035B" w:rsidP="00966621">
            <w:pPr>
              <w:autoSpaceDE w:val="0"/>
              <w:autoSpaceDN w:val="0"/>
              <w:adjustRightInd w:val="0"/>
              <w:snapToGrid w:val="0"/>
              <w:spacing w:line="240" w:lineRule="auto"/>
              <w:jc w:val="center"/>
              <w:rPr>
                <w:rFonts w:eastAsia="Calibri"/>
                <w:color w:val="auto"/>
                <w:szCs w:val="22"/>
                <w:lang w:eastAsia="en-US"/>
              </w:rPr>
            </w:pPr>
            <w:r w:rsidRPr="00966621">
              <w:rPr>
                <w:rFonts w:eastAsia="Calibri"/>
                <w:color w:val="auto"/>
                <w:szCs w:val="22"/>
                <w:lang w:eastAsia="en-US"/>
              </w:rPr>
              <w:t>5. T1 WEMWBS</w:t>
            </w:r>
          </w:p>
        </w:tc>
        <w:tc>
          <w:tcPr>
            <w:tcW w:w="295" w:type="pct"/>
            <w:shd w:val="clear" w:color="auto" w:fill="auto"/>
            <w:vAlign w:val="center"/>
          </w:tcPr>
          <w:p w14:paraId="7C929776" w14:textId="77777777" w:rsidR="0076035B" w:rsidRPr="00966621" w:rsidRDefault="0076035B" w:rsidP="00966621">
            <w:pPr>
              <w:autoSpaceDE w:val="0"/>
              <w:autoSpaceDN w:val="0"/>
              <w:adjustRightInd w:val="0"/>
              <w:snapToGrid w:val="0"/>
              <w:spacing w:line="240" w:lineRule="auto"/>
              <w:jc w:val="center"/>
              <w:rPr>
                <w:rFonts w:eastAsia="Calibri"/>
                <w:color w:val="auto"/>
                <w:szCs w:val="22"/>
                <w:lang w:eastAsia="en-US"/>
              </w:rPr>
            </w:pPr>
          </w:p>
        </w:tc>
        <w:tc>
          <w:tcPr>
            <w:tcW w:w="310" w:type="pct"/>
            <w:shd w:val="clear" w:color="auto" w:fill="auto"/>
            <w:vAlign w:val="center"/>
          </w:tcPr>
          <w:p w14:paraId="1EC97F5B" w14:textId="77777777" w:rsidR="0076035B" w:rsidRPr="00D677ED" w:rsidRDefault="0076035B" w:rsidP="00966621">
            <w:pPr>
              <w:autoSpaceDE w:val="0"/>
              <w:autoSpaceDN w:val="0"/>
              <w:adjustRightInd w:val="0"/>
              <w:snapToGrid w:val="0"/>
              <w:spacing w:line="240" w:lineRule="auto"/>
              <w:jc w:val="center"/>
              <w:rPr>
                <w:rFonts w:eastAsia="Calibri"/>
                <w:color w:val="auto"/>
                <w:szCs w:val="22"/>
                <w:lang w:eastAsia="en-US"/>
              </w:rPr>
            </w:pPr>
          </w:p>
        </w:tc>
        <w:tc>
          <w:tcPr>
            <w:tcW w:w="363" w:type="pct"/>
            <w:shd w:val="clear" w:color="auto" w:fill="auto"/>
            <w:vAlign w:val="center"/>
          </w:tcPr>
          <w:p w14:paraId="332798B5" w14:textId="77777777" w:rsidR="0076035B" w:rsidRPr="00D677ED" w:rsidRDefault="0076035B" w:rsidP="00966621">
            <w:pPr>
              <w:autoSpaceDE w:val="0"/>
              <w:autoSpaceDN w:val="0"/>
              <w:adjustRightInd w:val="0"/>
              <w:snapToGrid w:val="0"/>
              <w:spacing w:line="240" w:lineRule="auto"/>
              <w:jc w:val="center"/>
              <w:rPr>
                <w:rFonts w:eastAsia="Calibri"/>
                <w:color w:val="auto"/>
                <w:szCs w:val="22"/>
                <w:lang w:eastAsia="en-US"/>
              </w:rPr>
            </w:pPr>
          </w:p>
        </w:tc>
        <w:tc>
          <w:tcPr>
            <w:tcW w:w="363" w:type="pct"/>
            <w:shd w:val="clear" w:color="auto" w:fill="auto"/>
            <w:vAlign w:val="center"/>
          </w:tcPr>
          <w:p w14:paraId="111A18A5" w14:textId="77777777" w:rsidR="0076035B" w:rsidRPr="00D677ED" w:rsidRDefault="0076035B" w:rsidP="00966621">
            <w:pPr>
              <w:autoSpaceDE w:val="0"/>
              <w:autoSpaceDN w:val="0"/>
              <w:adjustRightInd w:val="0"/>
              <w:snapToGrid w:val="0"/>
              <w:spacing w:line="240" w:lineRule="auto"/>
              <w:jc w:val="center"/>
              <w:rPr>
                <w:rFonts w:eastAsia="Calibri"/>
                <w:color w:val="auto"/>
                <w:szCs w:val="22"/>
                <w:lang w:eastAsia="en-US"/>
              </w:rPr>
            </w:pPr>
            <w:r w:rsidRPr="00D677ED">
              <w:rPr>
                <w:rFonts w:eastAsia="Calibri"/>
                <w:color w:val="auto"/>
                <w:szCs w:val="22"/>
                <w:lang w:eastAsia="en-US"/>
              </w:rPr>
              <w:t>-</w:t>
            </w:r>
          </w:p>
        </w:tc>
        <w:tc>
          <w:tcPr>
            <w:tcW w:w="364" w:type="pct"/>
            <w:shd w:val="clear" w:color="auto" w:fill="auto"/>
            <w:vAlign w:val="center"/>
          </w:tcPr>
          <w:p w14:paraId="313030F5" w14:textId="5F9EFA21" w:rsidR="0076035B" w:rsidRPr="00D677ED" w:rsidRDefault="00294695" w:rsidP="00966621">
            <w:pPr>
              <w:autoSpaceDE w:val="0"/>
              <w:autoSpaceDN w:val="0"/>
              <w:adjustRightInd w:val="0"/>
              <w:snapToGrid w:val="0"/>
              <w:spacing w:line="240" w:lineRule="auto"/>
              <w:jc w:val="center"/>
              <w:rPr>
                <w:rFonts w:eastAsia="Calibri"/>
                <w:color w:val="auto"/>
                <w:szCs w:val="22"/>
                <w:lang w:eastAsia="en-US"/>
              </w:rPr>
            </w:pPr>
            <w:r w:rsidRPr="00D677ED">
              <w:rPr>
                <w:rFonts w:eastAsia="Calibri"/>
                <w:color w:val="auto"/>
                <w:szCs w:val="22"/>
                <w:lang w:eastAsia="en-US"/>
              </w:rPr>
              <w:t>0</w:t>
            </w:r>
            <w:r w:rsidR="0076035B" w:rsidRPr="00D677ED">
              <w:rPr>
                <w:rFonts w:eastAsia="Calibri"/>
                <w:color w:val="auto"/>
                <w:szCs w:val="22"/>
                <w:lang w:eastAsia="en-US"/>
              </w:rPr>
              <w:t>.77</w:t>
            </w:r>
            <w:r w:rsidR="00D677ED">
              <w:rPr>
                <w:rFonts w:eastAsia="Calibri"/>
                <w:color w:val="auto"/>
                <w:szCs w:val="22"/>
                <w:lang w:eastAsia="en-US"/>
              </w:rPr>
              <w:t xml:space="preserve"> </w:t>
            </w:r>
            <w:r w:rsidR="0076035B" w:rsidRPr="00D677ED">
              <w:rPr>
                <w:rFonts w:eastAsia="Calibri"/>
                <w:color w:val="auto"/>
                <w:szCs w:val="22"/>
                <w:lang w:eastAsia="en-US"/>
              </w:rPr>
              <w:t>**</w:t>
            </w:r>
          </w:p>
        </w:tc>
        <w:tc>
          <w:tcPr>
            <w:tcW w:w="364" w:type="pct"/>
            <w:shd w:val="clear" w:color="auto" w:fill="auto"/>
            <w:vAlign w:val="center"/>
          </w:tcPr>
          <w:p w14:paraId="20D2F7A1" w14:textId="2734ACF9" w:rsidR="0076035B" w:rsidRPr="00D677ED" w:rsidRDefault="00294695" w:rsidP="00966621">
            <w:pPr>
              <w:autoSpaceDE w:val="0"/>
              <w:autoSpaceDN w:val="0"/>
              <w:adjustRightInd w:val="0"/>
              <w:snapToGrid w:val="0"/>
              <w:spacing w:line="240" w:lineRule="auto"/>
              <w:jc w:val="center"/>
              <w:rPr>
                <w:rFonts w:eastAsia="Calibri"/>
                <w:color w:val="auto"/>
                <w:szCs w:val="22"/>
                <w:lang w:eastAsia="en-US"/>
              </w:rPr>
            </w:pPr>
            <w:r w:rsidRPr="00D677ED">
              <w:rPr>
                <w:rFonts w:eastAsia="Calibri"/>
                <w:color w:val="auto"/>
                <w:szCs w:val="22"/>
                <w:lang w:eastAsia="en-US"/>
              </w:rPr>
              <w:t>0</w:t>
            </w:r>
            <w:r w:rsidR="0076035B" w:rsidRPr="00D677ED">
              <w:rPr>
                <w:rFonts w:eastAsia="Calibri"/>
                <w:color w:val="auto"/>
                <w:szCs w:val="22"/>
                <w:lang w:eastAsia="en-US"/>
              </w:rPr>
              <w:t>.67</w:t>
            </w:r>
            <w:r w:rsidR="00D677ED">
              <w:rPr>
                <w:rFonts w:eastAsia="Calibri"/>
                <w:color w:val="auto"/>
                <w:szCs w:val="22"/>
                <w:lang w:eastAsia="en-US"/>
              </w:rPr>
              <w:t xml:space="preserve"> </w:t>
            </w:r>
            <w:r w:rsidR="0076035B" w:rsidRPr="00D677ED">
              <w:rPr>
                <w:rFonts w:eastAsia="Calibri"/>
                <w:color w:val="auto"/>
                <w:szCs w:val="22"/>
                <w:lang w:eastAsia="en-US"/>
              </w:rPr>
              <w:t>**</w:t>
            </w:r>
          </w:p>
        </w:tc>
        <w:tc>
          <w:tcPr>
            <w:tcW w:w="364" w:type="pct"/>
            <w:shd w:val="clear" w:color="auto" w:fill="auto"/>
            <w:vAlign w:val="center"/>
          </w:tcPr>
          <w:p w14:paraId="5872A00C" w14:textId="0FA79A34" w:rsidR="0076035B" w:rsidRPr="00D677ED" w:rsidRDefault="00294695" w:rsidP="00966621">
            <w:pPr>
              <w:autoSpaceDE w:val="0"/>
              <w:autoSpaceDN w:val="0"/>
              <w:adjustRightInd w:val="0"/>
              <w:snapToGrid w:val="0"/>
              <w:spacing w:line="240" w:lineRule="auto"/>
              <w:jc w:val="center"/>
              <w:rPr>
                <w:rFonts w:eastAsia="Calibri"/>
                <w:color w:val="auto"/>
                <w:szCs w:val="22"/>
                <w:lang w:eastAsia="en-US"/>
              </w:rPr>
            </w:pPr>
            <w:r w:rsidRPr="00D677ED">
              <w:rPr>
                <w:rFonts w:eastAsia="Calibri"/>
                <w:color w:val="auto"/>
                <w:szCs w:val="22"/>
                <w:lang w:eastAsia="en-US"/>
              </w:rPr>
              <w:t>0</w:t>
            </w:r>
            <w:r w:rsidR="0076035B" w:rsidRPr="00D677ED">
              <w:rPr>
                <w:rFonts w:eastAsia="Calibri"/>
                <w:color w:val="auto"/>
                <w:szCs w:val="22"/>
                <w:lang w:eastAsia="en-US"/>
              </w:rPr>
              <w:t>.69</w:t>
            </w:r>
            <w:r w:rsidR="00D677ED">
              <w:rPr>
                <w:rFonts w:eastAsia="Calibri"/>
                <w:color w:val="auto"/>
                <w:szCs w:val="22"/>
                <w:lang w:eastAsia="en-US"/>
              </w:rPr>
              <w:t xml:space="preserve"> </w:t>
            </w:r>
            <w:r w:rsidR="0076035B" w:rsidRPr="00D677ED">
              <w:rPr>
                <w:rFonts w:eastAsia="Calibri"/>
                <w:color w:val="auto"/>
                <w:szCs w:val="22"/>
                <w:lang w:eastAsia="en-US"/>
              </w:rPr>
              <w:t>**</w:t>
            </w:r>
          </w:p>
        </w:tc>
        <w:tc>
          <w:tcPr>
            <w:tcW w:w="364" w:type="pct"/>
            <w:shd w:val="clear" w:color="auto" w:fill="auto"/>
            <w:vAlign w:val="center"/>
          </w:tcPr>
          <w:p w14:paraId="4072CDEB" w14:textId="1F6C3AEB" w:rsidR="0076035B" w:rsidRPr="00D677ED" w:rsidRDefault="00294695" w:rsidP="00966621">
            <w:pPr>
              <w:autoSpaceDE w:val="0"/>
              <w:autoSpaceDN w:val="0"/>
              <w:adjustRightInd w:val="0"/>
              <w:snapToGrid w:val="0"/>
              <w:spacing w:line="240" w:lineRule="auto"/>
              <w:jc w:val="center"/>
              <w:rPr>
                <w:rFonts w:eastAsia="Calibri"/>
                <w:color w:val="auto"/>
                <w:szCs w:val="22"/>
                <w:lang w:eastAsia="en-US"/>
              </w:rPr>
            </w:pPr>
            <w:r w:rsidRPr="00D677ED">
              <w:rPr>
                <w:rFonts w:eastAsia="Calibri"/>
                <w:color w:val="auto"/>
                <w:szCs w:val="22"/>
                <w:lang w:eastAsia="en-US"/>
              </w:rPr>
              <w:t>0</w:t>
            </w:r>
            <w:r w:rsidR="0076035B" w:rsidRPr="00D677ED">
              <w:rPr>
                <w:rFonts w:eastAsia="Calibri"/>
                <w:color w:val="auto"/>
                <w:szCs w:val="22"/>
                <w:lang w:eastAsia="en-US"/>
              </w:rPr>
              <w:t>.22</w:t>
            </w:r>
            <w:r w:rsidR="00D677ED">
              <w:rPr>
                <w:rFonts w:eastAsia="Calibri"/>
                <w:color w:val="auto"/>
                <w:szCs w:val="22"/>
                <w:lang w:eastAsia="en-US"/>
              </w:rPr>
              <w:t xml:space="preserve"> </w:t>
            </w:r>
            <w:r w:rsidR="0076035B" w:rsidRPr="00D677ED">
              <w:rPr>
                <w:rFonts w:eastAsia="Calibri"/>
                <w:color w:val="auto"/>
                <w:szCs w:val="22"/>
                <w:lang w:eastAsia="en-US"/>
              </w:rPr>
              <w:t>**</w:t>
            </w:r>
          </w:p>
        </w:tc>
        <w:tc>
          <w:tcPr>
            <w:tcW w:w="366" w:type="pct"/>
            <w:shd w:val="clear" w:color="auto" w:fill="auto"/>
            <w:vAlign w:val="center"/>
          </w:tcPr>
          <w:p w14:paraId="0F5276E2" w14:textId="48C8CB33" w:rsidR="0076035B" w:rsidRPr="00D677ED" w:rsidRDefault="00294695" w:rsidP="00966621">
            <w:pPr>
              <w:autoSpaceDE w:val="0"/>
              <w:autoSpaceDN w:val="0"/>
              <w:adjustRightInd w:val="0"/>
              <w:snapToGrid w:val="0"/>
              <w:spacing w:line="240" w:lineRule="auto"/>
              <w:jc w:val="center"/>
              <w:rPr>
                <w:rFonts w:eastAsia="Calibri"/>
                <w:color w:val="auto"/>
                <w:szCs w:val="22"/>
                <w:lang w:eastAsia="en-US"/>
              </w:rPr>
            </w:pPr>
            <w:r w:rsidRPr="00D677ED">
              <w:rPr>
                <w:rFonts w:eastAsia="Calibri"/>
                <w:color w:val="auto"/>
                <w:szCs w:val="22"/>
                <w:lang w:eastAsia="en-US"/>
              </w:rPr>
              <w:t>0</w:t>
            </w:r>
            <w:r w:rsidR="0076035B" w:rsidRPr="00D677ED">
              <w:rPr>
                <w:rFonts w:eastAsia="Calibri"/>
                <w:color w:val="auto"/>
                <w:szCs w:val="22"/>
                <w:lang w:eastAsia="en-US"/>
              </w:rPr>
              <w:t>.19</w:t>
            </w:r>
            <w:r w:rsidR="00D677ED">
              <w:rPr>
                <w:rFonts w:eastAsia="Calibri"/>
                <w:color w:val="auto"/>
                <w:szCs w:val="22"/>
                <w:lang w:eastAsia="en-US"/>
              </w:rPr>
              <w:t xml:space="preserve"> </w:t>
            </w:r>
            <w:r w:rsidR="0076035B" w:rsidRPr="00D677ED">
              <w:rPr>
                <w:rFonts w:eastAsia="Calibri"/>
                <w:color w:val="auto"/>
                <w:szCs w:val="22"/>
                <w:lang w:eastAsia="en-US"/>
              </w:rPr>
              <w:t>*</w:t>
            </w:r>
          </w:p>
        </w:tc>
        <w:tc>
          <w:tcPr>
            <w:tcW w:w="366" w:type="pct"/>
            <w:shd w:val="clear" w:color="auto" w:fill="auto"/>
            <w:vAlign w:val="center"/>
          </w:tcPr>
          <w:p w14:paraId="69A76CA7" w14:textId="3D4248BC" w:rsidR="0076035B" w:rsidRPr="00D677ED" w:rsidRDefault="00294695" w:rsidP="00966621">
            <w:pPr>
              <w:autoSpaceDE w:val="0"/>
              <w:autoSpaceDN w:val="0"/>
              <w:adjustRightInd w:val="0"/>
              <w:snapToGrid w:val="0"/>
              <w:spacing w:line="240" w:lineRule="auto"/>
              <w:jc w:val="center"/>
              <w:rPr>
                <w:rFonts w:eastAsia="Calibri"/>
                <w:color w:val="auto"/>
                <w:szCs w:val="22"/>
                <w:lang w:eastAsia="en-US"/>
              </w:rPr>
            </w:pPr>
            <w:r w:rsidRPr="00D677ED">
              <w:rPr>
                <w:rFonts w:eastAsia="Calibri"/>
                <w:color w:val="auto"/>
                <w:szCs w:val="22"/>
                <w:lang w:eastAsia="en-US"/>
              </w:rPr>
              <w:t>0</w:t>
            </w:r>
            <w:r w:rsidR="0076035B" w:rsidRPr="00D677ED">
              <w:rPr>
                <w:rFonts w:eastAsia="Calibri"/>
                <w:color w:val="auto"/>
                <w:szCs w:val="22"/>
                <w:lang w:eastAsia="en-US"/>
              </w:rPr>
              <w:t>.25</w:t>
            </w:r>
            <w:r w:rsidR="00D677ED">
              <w:rPr>
                <w:rFonts w:eastAsia="Calibri"/>
                <w:color w:val="auto"/>
                <w:szCs w:val="22"/>
                <w:lang w:eastAsia="en-US"/>
              </w:rPr>
              <w:t xml:space="preserve"> </w:t>
            </w:r>
            <w:r w:rsidR="0076035B" w:rsidRPr="00D677ED">
              <w:rPr>
                <w:rFonts w:eastAsia="Calibri"/>
                <w:color w:val="auto"/>
                <w:szCs w:val="22"/>
                <w:lang w:eastAsia="en-US"/>
              </w:rPr>
              <w:t>**</w:t>
            </w:r>
          </w:p>
        </w:tc>
        <w:tc>
          <w:tcPr>
            <w:tcW w:w="609" w:type="pct"/>
            <w:shd w:val="clear" w:color="auto" w:fill="auto"/>
            <w:vAlign w:val="center"/>
          </w:tcPr>
          <w:p w14:paraId="5700377B" w14:textId="77777777" w:rsidR="0076035B" w:rsidRPr="00D677ED" w:rsidRDefault="0076035B" w:rsidP="00966621">
            <w:pPr>
              <w:autoSpaceDE w:val="0"/>
              <w:autoSpaceDN w:val="0"/>
              <w:adjustRightInd w:val="0"/>
              <w:snapToGrid w:val="0"/>
              <w:spacing w:line="240" w:lineRule="auto"/>
              <w:jc w:val="center"/>
              <w:rPr>
                <w:rFonts w:eastAsia="Calibri"/>
                <w:color w:val="auto"/>
                <w:szCs w:val="22"/>
                <w:lang w:eastAsia="en-US"/>
              </w:rPr>
            </w:pPr>
            <w:r w:rsidRPr="00D677ED">
              <w:rPr>
                <w:rFonts w:eastAsia="Calibri"/>
                <w:color w:val="auto"/>
                <w:szCs w:val="22"/>
                <w:lang w:eastAsia="en-US"/>
              </w:rPr>
              <w:t>45.91 (9.38)</w:t>
            </w:r>
          </w:p>
        </w:tc>
      </w:tr>
      <w:tr w:rsidR="00966621" w:rsidRPr="00966621" w14:paraId="576880ED" w14:textId="77777777" w:rsidTr="00966621">
        <w:trPr>
          <w:cantSplit/>
          <w:jc w:val="center"/>
        </w:trPr>
        <w:tc>
          <w:tcPr>
            <w:tcW w:w="874" w:type="pct"/>
            <w:shd w:val="clear" w:color="auto" w:fill="auto"/>
            <w:vAlign w:val="center"/>
          </w:tcPr>
          <w:p w14:paraId="1BF9D196" w14:textId="77777777" w:rsidR="0076035B" w:rsidRPr="00966621" w:rsidRDefault="0076035B" w:rsidP="00966621">
            <w:pPr>
              <w:autoSpaceDE w:val="0"/>
              <w:autoSpaceDN w:val="0"/>
              <w:adjustRightInd w:val="0"/>
              <w:snapToGrid w:val="0"/>
              <w:spacing w:line="240" w:lineRule="auto"/>
              <w:jc w:val="center"/>
              <w:rPr>
                <w:rFonts w:eastAsia="Calibri"/>
                <w:color w:val="auto"/>
                <w:szCs w:val="22"/>
                <w:lang w:eastAsia="en-US"/>
              </w:rPr>
            </w:pPr>
            <w:r w:rsidRPr="00966621">
              <w:rPr>
                <w:rFonts w:eastAsia="Calibri"/>
                <w:color w:val="auto"/>
                <w:szCs w:val="22"/>
                <w:lang w:eastAsia="en-US"/>
              </w:rPr>
              <w:t>6. T2 WEMWBS</w:t>
            </w:r>
          </w:p>
        </w:tc>
        <w:tc>
          <w:tcPr>
            <w:tcW w:w="295" w:type="pct"/>
            <w:shd w:val="clear" w:color="auto" w:fill="auto"/>
            <w:vAlign w:val="center"/>
          </w:tcPr>
          <w:p w14:paraId="59EA2322" w14:textId="77777777" w:rsidR="0076035B" w:rsidRPr="00966621" w:rsidRDefault="0076035B" w:rsidP="00966621">
            <w:pPr>
              <w:autoSpaceDE w:val="0"/>
              <w:autoSpaceDN w:val="0"/>
              <w:adjustRightInd w:val="0"/>
              <w:snapToGrid w:val="0"/>
              <w:spacing w:line="240" w:lineRule="auto"/>
              <w:jc w:val="center"/>
              <w:rPr>
                <w:rFonts w:eastAsia="Calibri"/>
                <w:color w:val="auto"/>
                <w:szCs w:val="22"/>
                <w:lang w:eastAsia="en-US"/>
              </w:rPr>
            </w:pPr>
          </w:p>
        </w:tc>
        <w:tc>
          <w:tcPr>
            <w:tcW w:w="310" w:type="pct"/>
            <w:shd w:val="clear" w:color="auto" w:fill="auto"/>
            <w:vAlign w:val="center"/>
          </w:tcPr>
          <w:p w14:paraId="0652BFAC" w14:textId="77777777" w:rsidR="0076035B" w:rsidRPr="00D677ED" w:rsidRDefault="0076035B" w:rsidP="00966621">
            <w:pPr>
              <w:autoSpaceDE w:val="0"/>
              <w:autoSpaceDN w:val="0"/>
              <w:adjustRightInd w:val="0"/>
              <w:snapToGrid w:val="0"/>
              <w:spacing w:line="240" w:lineRule="auto"/>
              <w:jc w:val="center"/>
              <w:rPr>
                <w:rFonts w:eastAsia="Calibri"/>
                <w:color w:val="auto"/>
                <w:szCs w:val="22"/>
                <w:lang w:eastAsia="en-US"/>
              </w:rPr>
            </w:pPr>
          </w:p>
        </w:tc>
        <w:tc>
          <w:tcPr>
            <w:tcW w:w="363" w:type="pct"/>
            <w:shd w:val="clear" w:color="auto" w:fill="auto"/>
            <w:vAlign w:val="center"/>
          </w:tcPr>
          <w:p w14:paraId="2F8FE7AD" w14:textId="77777777" w:rsidR="0076035B" w:rsidRPr="00D677ED" w:rsidRDefault="0076035B" w:rsidP="00966621">
            <w:pPr>
              <w:autoSpaceDE w:val="0"/>
              <w:autoSpaceDN w:val="0"/>
              <w:adjustRightInd w:val="0"/>
              <w:snapToGrid w:val="0"/>
              <w:spacing w:line="240" w:lineRule="auto"/>
              <w:jc w:val="center"/>
              <w:rPr>
                <w:rFonts w:eastAsia="Calibri"/>
                <w:color w:val="auto"/>
                <w:szCs w:val="22"/>
                <w:lang w:eastAsia="en-US"/>
              </w:rPr>
            </w:pPr>
          </w:p>
        </w:tc>
        <w:tc>
          <w:tcPr>
            <w:tcW w:w="363" w:type="pct"/>
            <w:shd w:val="clear" w:color="auto" w:fill="auto"/>
            <w:vAlign w:val="center"/>
          </w:tcPr>
          <w:p w14:paraId="3EB7A88C" w14:textId="77777777" w:rsidR="0076035B" w:rsidRPr="00D677ED" w:rsidRDefault="0076035B" w:rsidP="00966621">
            <w:pPr>
              <w:autoSpaceDE w:val="0"/>
              <w:autoSpaceDN w:val="0"/>
              <w:adjustRightInd w:val="0"/>
              <w:snapToGrid w:val="0"/>
              <w:spacing w:line="240" w:lineRule="auto"/>
              <w:jc w:val="center"/>
              <w:rPr>
                <w:rFonts w:eastAsia="Calibri"/>
                <w:color w:val="auto"/>
                <w:szCs w:val="22"/>
                <w:lang w:eastAsia="en-US"/>
              </w:rPr>
            </w:pPr>
          </w:p>
        </w:tc>
        <w:tc>
          <w:tcPr>
            <w:tcW w:w="364" w:type="pct"/>
            <w:shd w:val="clear" w:color="auto" w:fill="auto"/>
            <w:vAlign w:val="center"/>
          </w:tcPr>
          <w:p w14:paraId="26C9CE64" w14:textId="77777777" w:rsidR="0076035B" w:rsidRPr="00D677ED" w:rsidRDefault="0076035B" w:rsidP="00966621">
            <w:pPr>
              <w:autoSpaceDE w:val="0"/>
              <w:autoSpaceDN w:val="0"/>
              <w:adjustRightInd w:val="0"/>
              <w:snapToGrid w:val="0"/>
              <w:spacing w:line="240" w:lineRule="auto"/>
              <w:jc w:val="center"/>
              <w:rPr>
                <w:rFonts w:eastAsia="Calibri"/>
                <w:color w:val="auto"/>
                <w:szCs w:val="22"/>
                <w:lang w:eastAsia="en-US"/>
              </w:rPr>
            </w:pPr>
            <w:r w:rsidRPr="00D677ED">
              <w:rPr>
                <w:rFonts w:eastAsia="Calibri"/>
                <w:color w:val="auto"/>
                <w:szCs w:val="22"/>
                <w:lang w:eastAsia="en-US"/>
              </w:rPr>
              <w:t>-</w:t>
            </w:r>
          </w:p>
        </w:tc>
        <w:tc>
          <w:tcPr>
            <w:tcW w:w="364" w:type="pct"/>
            <w:shd w:val="clear" w:color="auto" w:fill="auto"/>
            <w:vAlign w:val="center"/>
          </w:tcPr>
          <w:p w14:paraId="26FF8967" w14:textId="2ADC8E52" w:rsidR="0076035B" w:rsidRPr="00D677ED" w:rsidRDefault="00294695" w:rsidP="00966621">
            <w:pPr>
              <w:autoSpaceDE w:val="0"/>
              <w:autoSpaceDN w:val="0"/>
              <w:adjustRightInd w:val="0"/>
              <w:snapToGrid w:val="0"/>
              <w:spacing w:line="240" w:lineRule="auto"/>
              <w:jc w:val="center"/>
              <w:rPr>
                <w:rFonts w:eastAsia="Calibri"/>
                <w:color w:val="auto"/>
                <w:szCs w:val="22"/>
                <w:lang w:eastAsia="en-US"/>
              </w:rPr>
            </w:pPr>
            <w:r w:rsidRPr="00D677ED">
              <w:rPr>
                <w:rFonts w:eastAsia="Calibri"/>
                <w:color w:val="auto"/>
                <w:szCs w:val="22"/>
                <w:lang w:eastAsia="en-US"/>
              </w:rPr>
              <w:t>0</w:t>
            </w:r>
            <w:r w:rsidR="0076035B" w:rsidRPr="00D677ED">
              <w:rPr>
                <w:rFonts w:eastAsia="Calibri"/>
                <w:color w:val="auto"/>
                <w:szCs w:val="22"/>
                <w:lang w:eastAsia="en-US"/>
              </w:rPr>
              <w:t>.72</w:t>
            </w:r>
            <w:r w:rsidR="00D677ED">
              <w:rPr>
                <w:rFonts w:eastAsia="Calibri"/>
                <w:color w:val="auto"/>
                <w:szCs w:val="22"/>
                <w:lang w:eastAsia="en-US"/>
              </w:rPr>
              <w:t xml:space="preserve"> </w:t>
            </w:r>
            <w:r w:rsidR="0076035B" w:rsidRPr="00D677ED">
              <w:rPr>
                <w:rFonts w:eastAsia="Calibri"/>
                <w:color w:val="auto"/>
                <w:szCs w:val="22"/>
                <w:lang w:eastAsia="en-US"/>
              </w:rPr>
              <w:t>**</w:t>
            </w:r>
          </w:p>
        </w:tc>
        <w:tc>
          <w:tcPr>
            <w:tcW w:w="364" w:type="pct"/>
            <w:shd w:val="clear" w:color="auto" w:fill="auto"/>
            <w:vAlign w:val="center"/>
          </w:tcPr>
          <w:p w14:paraId="3446FB4D" w14:textId="2BD370AB" w:rsidR="0076035B" w:rsidRPr="00D677ED" w:rsidRDefault="00294695" w:rsidP="00966621">
            <w:pPr>
              <w:autoSpaceDE w:val="0"/>
              <w:autoSpaceDN w:val="0"/>
              <w:adjustRightInd w:val="0"/>
              <w:snapToGrid w:val="0"/>
              <w:spacing w:line="240" w:lineRule="auto"/>
              <w:jc w:val="center"/>
              <w:rPr>
                <w:rFonts w:eastAsia="Calibri"/>
                <w:color w:val="auto"/>
                <w:szCs w:val="22"/>
                <w:lang w:eastAsia="en-US"/>
              </w:rPr>
            </w:pPr>
            <w:r w:rsidRPr="00D677ED">
              <w:rPr>
                <w:rFonts w:eastAsia="Calibri"/>
                <w:color w:val="auto"/>
                <w:szCs w:val="22"/>
                <w:lang w:eastAsia="en-US"/>
              </w:rPr>
              <w:t>0</w:t>
            </w:r>
            <w:r w:rsidR="0076035B" w:rsidRPr="00D677ED">
              <w:rPr>
                <w:rFonts w:eastAsia="Calibri"/>
                <w:color w:val="auto"/>
                <w:szCs w:val="22"/>
                <w:lang w:eastAsia="en-US"/>
              </w:rPr>
              <w:t>.71</w:t>
            </w:r>
            <w:r w:rsidR="00D677ED">
              <w:rPr>
                <w:rFonts w:eastAsia="Calibri"/>
                <w:color w:val="auto"/>
                <w:szCs w:val="22"/>
                <w:lang w:eastAsia="en-US"/>
              </w:rPr>
              <w:t xml:space="preserve"> </w:t>
            </w:r>
            <w:r w:rsidR="0076035B" w:rsidRPr="00D677ED">
              <w:rPr>
                <w:rFonts w:eastAsia="Calibri"/>
                <w:color w:val="auto"/>
                <w:szCs w:val="22"/>
                <w:lang w:eastAsia="en-US"/>
              </w:rPr>
              <w:t>**</w:t>
            </w:r>
          </w:p>
        </w:tc>
        <w:tc>
          <w:tcPr>
            <w:tcW w:w="364" w:type="pct"/>
            <w:shd w:val="clear" w:color="auto" w:fill="auto"/>
            <w:vAlign w:val="center"/>
          </w:tcPr>
          <w:p w14:paraId="22238C5F" w14:textId="161D0FBB" w:rsidR="0076035B" w:rsidRPr="00D677ED" w:rsidRDefault="00294695" w:rsidP="00966621">
            <w:pPr>
              <w:autoSpaceDE w:val="0"/>
              <w:autoSpaceDN w:val="0"/>
              <w:adjustRightInd w:val="0"/>
              <w:snapToGrid w:val="0"/>
              <w:spacing w:line="240" w:lineRule="auto"/>
              <w:jc w:val="center"/>
              <w:rPr>
                <w:rFonts w:eastAsia="Calibri"/>
                <w:color w:val="auto"/>
                <w:szCs w:val="22"/>
                <w:lang w:eastAsia="en-US"/>
              </w:rPr>
            </w:pPr>
            <w:r w:rsidRPr="00D677ED">
              <w:rPr>
                <w:rFonts w:eastAsia="Calibri"/>
                <w:color w:val="auto"/>
                <w:szCs w:val="22"/>
                <w:lang w:eastAsia="en-US"/>
              </w:rPr>
              <w:t>0</w:t>
            </w:r>
            <w:r w:rsidR="0076035B" w:rsidRPr="00D677ED">
              <w:rPr>
                <w:rFonts w:eastAsia="Calibri"/>
                <w:color w:val="auto"/>
                <w:szCs w:val="22"/>
                <w:lang w:eastAsia="en-US"/>
              </w:rPr>
              <w:t>.22</w:t>
            </w:r>
            <w:r w:rsidR="00D677ED">
              <w:rPr>
                <w:rFonts w:eastAsia="Calibri"/>
                <w:color w:val="auto"/>
                <w:szCs w:val="22"/>
                <w:lang w:eastAsia="en-US"/>
              </w:rPr>
              <w:t xml:space="preserve"> </w:t>
            </w:r>
            <w:r w:rsidR="0076035B" w:rsidRPr="00D677ED">
              <w:rPr>
                <w:rFonts w:eastAsia="Calibri"/>
                <w:color w:val="auto"/>
                <w:szCs w:val="22"/>
                <w:lang w:eastAsia="en-US"/>
              </w:rPr>
              <w:t>**</w:t>
            </w:r>
          </w:p>
        </w:tc>
        <w:tc>
          <w:tcPr>
            <w:tcW w:w="366" w:type="pct"/>
            <w:shd w:val="clear" w:color="auto" w:fill="auto"/>
            <w:vAlign w:val="center"/>
          </w:tcPr>
          <w:p w14:paraId="48CCD25B" w14:textId="5A284396" w:rsidR="0076035B" w:rsidRPr="00D677ED" w:rsidRDefault="00294695" w:rsidP="00966621">
            <w:pPr>
              <w:autoSpaceDE w:val="0"/>
              <w:autoSpaceDN w:val="0"/>
              <w:adjustRightInd w:val="0"/>
              <w:snapToGrid w:val="0"/>
              <w:spacing w:line="240" w:lineRule="auto"/>
              <w:jc w:val="center"/>
              <w:rPr>
                <w:rFonts w:eastAsia="Calibri"/>
                <w:color w:val="auto"/>
                <w:szCs w:val="22"/>
                <w:lang w:eastAsia="en-US"/>
              </w:rPr>
            </w:pPr>
            <w:r w:rsidRPr="00D677ED">
              <w:rPr>
                <w:rFonts w:eastAsia="Calibri"/>
                <w:color w:val="auto"/>
                <w:szCs w:val="22"/>
                <w:lang w:eastAsia="en-US"/>
              </w:rPr>
              <w:t>0</w:t>
            </w:r>
            <w:r w:rsidR="0076035B" w:rsidRPr="00D677ED">
              <w:rPr>
                <w:rFonts w:eastAsia="Calibri"/>
                <w:color w:val="auto"/>
                <w:szCs w:val="22"/>
                <w:lang w:eastAsia="en-US"/>
              </w:rPr>
              <w:t>.20</w:t>
            </w:r>
            <w:r w:rsidR="00D677ED">
              <w:rPr>
                <w:rFonts w:eastAsia="Calibri"/>
                <w:color w:val="auto"/>
                <w:szCs w:val="22"/>
                <w:lang w:eastAsia="en-US"/>
              </w:rPr>
              <w:t xml:space="preserve"> </w:t>
            </w:r>
            <w:r w:rsidR="0076035B" w:rsidRPr="00D677ED">
              <w:rPr>
                <w:rFonts w:eastAsia="Calibri"/>
                <w:color w:val="auto"/>
                <w:szCs w:val="22"/>
                <w:lang w:eastAsia="en-US"/>
              </w:rPr>
              <w:t>*</w:t>
            </w:r>
          </w:p>
        </w:tc>
        <w:tc>
          <w:tcPr>
            <w:tcW w:w="366" w:type="pct"/>
            <w:shd w:val="clear" w:color="auto" w:fill="auto"/>
            <w:vAlign w:val="center"/>
          </w:tcPr>
          <w:p w14:paraId="74AECF96" w14:textId="32ED2DC3" w:rsidR="0076035B" w:rsidRPr="00D677ED" w:rsidRDefault="00294695" w:rsidP="00966621">
            <w:pPr>
              <w:autoSpaceDE w:val="0"/>
              <w:autoSpaceDN w:val="0"/>
              <w:adjustRightInd w:val="0"/>
              <w:snapToGrid w:val="0"/>
              <w:spacing w:line="240" w:lineRule="auto"/>
              <w:jc w:val="center"/>
              <w:rPr>
                <w:rFonts w:eastAsia="Calibri"/>
                <w:color w:val="auto"/>
                <w:szCs w:val="22"/>
                <w:lang w:eastAsia="en-US"/>
              </w:rPr>
            </w:pPr>
            <w:r w:rsidRPr="00D677ED">
              <w:rPr>
                <w:rFonts w:eastAsia="Calibri"/>
                <w:color w:val="auto"/>
                <w:szCs w:val="22"/>
                <w:lang w:eastAsia="en-US"/>
              </w:rPr>
              <w:t>0</w:t>
            </w:r>
            <w:r w:rsidR="0076035B" w:rsidRPr="00D677ED">
              <w:rPr>
                <w:rFonts w:eastAsia="Calibri"/>
                <w:color w:val="auto"/>
                <w:szCs w:val="22"/>
                <w:lang w:eastAsia="en-US"/>
              </w:rPr>
              <w:t>.31</w:t>
            </w:r>
            <w:r w:rsidR="00D677ED">
              <w:rPr>
                <w:rFonts w:eastAsia="Calibri"/>
                <w:color w:val="auto"/>
                <w:szCs w:val="22"/>
                <w:lang w:eastAsia="en-US"/>
              </w:rPr>
              <w:t xml:space="preserve"> </w:t>
            </w:r>
            <w:r w:rsidR="0076035B" w:rsidRPr="00D677ED">
              <w:rPr>
                <w:rFonts w:eastAsia="Calibri"/>
                <w:color w:val="auto"/>
                <w:szCs w:val="22"/>
                <w:lang w:eastAsia="en-US"/>
              </w:rPr>
              <w:t>**</w:t>
            </w:r>
          </w:p>
        </w:tc>
        <w:tc>
          <w:tcPr>
            <w:tcW w:w="609" w:type="pct"/>
            <w:shd w:val="clear" w:color="auto" w:fill="auto"/>
            <w:vAlign w:val="center"/>
          </w:tcPr>
          <w:p w14:paraId="715EA839" w14:textId="77777777" w:rsidR="0076035B" w:rsidRPr="00D677ED" w:rsidRDefault="0076035B" w:rsidP="00966621">
            <w:pPr>
              <w:autoSpaceDE w:val="0"/>
              <w:autoSpaceDN w:val="0"/>
              <w:adjustRightInd w:val="0"/>
              <w:snapToGrid w:val="0"/>
              <w:spacing w:line="240" w:lineRule="auto"/>
              <w:jc w:val="center"/>
              <w:rPr>
                <w:rFonts w:eastAsia="Calibri"/>
                <w:color w:val="auto"/>
                <w:szCs w:val="22"/>
                <w:lang w:eastAsia="en-US"/>
              </w:rPr>
            </w:pPr>
            <w:r w:rsidRPr="00D677ED">
              <w:rPr>
                <w:rFonts w:eastAsia="Calibri"/>
                <w:color w:val="auto"/>
                <w:szCs w:val="22"/>
                <w:lang w:eastAsia="en-US"/>
              </w:rPr>
              <w:t>47.22 (9.74)</w:t>
            </w:r>
          </w:p>
        </w:tc>
      </w:tr>
      <w:tr w:rsidR="00966621" w:rsidRPr="00966621" w14:paraId="435DD756" w14:textId="77777777" w:rsidTr="00966621">
        <w:trPr>
          <w:cantSplit/>
          <w:jc w:val="center"/>
        </w:trPr>
        <w:tc>
          <w:tcPr>
            <w:tcW w:w="874" w:type="pct"/>
            <w:shd w:val="clear" w:color="auto" w:fill="auto"/>
            <w:vAlign w:val="center"/>
          </w:tcPr>
          <w:p w14:paraId="5F26E56E" w14:textId="77777777" w:rsidR="0076035B" w:rsidRPr="00966621" w:rsidRDefault="0076035B" w:rsidP="00966621">
            <w:pPr>
              <w:autoSpaceDE w:val="0"/>
              <w:autoSpaceDN w:val="0"/>
              <w:adjustRightInd w:val="0"/>
              <w:snapToGrid w:val="0"/>
              <w:spacing w:line="240" w:lineRule="auto"/>
              <w:jc w:val="center"/>
              <w:rPr>
                <w:rFonts w:eastAsia="Calibri"/>
                <w:color w:val="auto"/>
                <w:szCs w:val="22"/>
                <w:lang w:eastAsia="en-US"/>
              </w:rPr>
            </w:pPr>
            <w:r w:rsidRPr="00966621">
              <w:rPr>
                <w:rFonts w:eastAsia="Calibri"/>
                <w:color w:val="auto"/>
                <w:szCs w:val="22"/>
                <w:lang w:eastAsia="en-US"/>
              </w:rPr>
              <w:t>7. T3 WEMWBS</w:t>
            </w:r>
          </w:p>
        </w:tc>
        <w:tc>
          <w:tcPr>
            <w:tcW w:w="295" w:type="pct"/>
            <w:shd w:val="clear" w:color="auto" w:fill="auto"/>
            <w:vAlign w:val="center"/>
          </w:tcPr>
          <w:p w14:paraId="723C84ED" w14:textId="77777777" w:rsidR="0076035B" w:rsidRPr="00966621" w:rsidRDefault="0076035B" w:rsidP="00966621">
            <w:pPr>
              <w:autoSpaceDE w:val="0"/>
              <w:autoSpaceDN w:val="0"/>
              <w:adjustRightInd w:val="0"/>
              <w:snapToGrid w:val="0"/>
              <w:spacing w:line="240" w:lineRule="auto"/>
              <w:jc w:val="center"/>
              <w:rPr>
                <w:rFonts w:eastAsia="Calibri"/>
                <w:color w:val="auto"/>
                <w:szCs w:val="22"/>
                <w:lang w:eastAsia="en-US"/>
              </w:rPr>
            </w:pPr>
          </w:p>
        </w:tc>
        <w:tc>
          <w:tcPr>
            <w:tcW w:w="310" w:type="pct"/>
            <w:shd w:val="clear" w:color="auto" w:fill="auto"/>
            <w:vAlign w:val="center"/>
          </w:tcPr>
          <w:p w14:paraId="16C45B61" w14:textId="77777777" w:rsidR="0076035B" w:rsidRPr="00D677ED" w:rsidRDefault="0076035B" w:rsidP="00966621">
            <w:pPr>
              <w:autoSpaceDE w:val="0"/>
              <w:autoSpaceDN w:val="0"/>
              <w:adjustRightInd w:val="0"/>
              <w:snapToGrid w:val="0"/>
              <w:spacing w:line="240" w:lineRule="auto"/>
              <w:jc w:val="center"/>
              <w:rPr>
                <w:rFonts w:eastAsia="Calibri"/>
                <w:color w:val="auto"/>
                <w:szCs w:val="22"/>
                <w:lang w:eastAsia="en-US"/>
              </w:rPr>
            </w:pPr>
          </w:p>
        </w:tc>
        <w:tc>
          <w:tcPr>
            <w:tcW w:w="363" w:type="pct"/>
            <w:shd w:val="clear" w:color="auto" w:fill="auto"/>
            <w:vAlign w:val="center"/>
          </w:tcPr>
          <w:p w14:paraId="05F265A5" w14:textId="77777777" w:rsidR="0076035B" w:rsidRPr="00D677ED" w:rsidRDefault="0076035B" w:rsidP="00966621">
            <w:pPr>
              <w:autoSpaceDE w:val="0"/>
              <w:autoSpaceDN w:val="0"/>
              <w:adjustRightInd w:val="0"/>
              <w:snapToGrid w:val="0"/>
              <w:spacing w:line="240" w:lineRule="auto"/>
              <w:jc w:val="center"/>
              <w:rPr>
                <w:rFonts w:eastAsia="Calibri"/>
                <w:color w:val="auto"/>
                <w:szCs w:val="22"/>
                <w:lang w:eastAsia="en-US"/>
              </w:rPr>
            </w:pPr>
          </w:p>
        </w:tc>
        <w:tc>
          <w:tcPr>
            <w:tcW w:w="363" w:type="pct"/>
            <w:shd w:val="clear" w:color="auto" w:fill="auto"/>
            <w:vAlign w:val="center"/>
          </w:tcPr>
          <w:p w14:paraId="3F321068" w14:textId="77777777" w:rsidR="0076035B" w:rsidRPr="00D677ED" w:rsidRDefault="0076035B" w:rsidP="00966621">
            <w:pPr>
              <w:autoSpaceDE w:val="0"/>
              <w:autoSpaceDN w:val="0"/>
              <w:adjustRightInd w:val="0"/>
              <w:snapToGrid w:val="0"/>
              <w:spacing w:line="240" w:lineRule="auto"/>
              <w:jc w:val="center"/>
              <w:rPr>
                <w:rFonts w:eastAsia="Calibri"/>
                <w:color w:val="auto"/>
                <w:szCs w:val="22"/>
                <w:lang w:eastAsia="en-US"/>
              </w:rPr>
            </w:pPr>
          </w:p>
        </w:tc>
        <w:tc>
          <w:tcPr>
            <w:tcW w:w="364" w:type="pct"/>
            <w:shd w:val="clear" w:color="auto" w:fill="auto"/>
            <w:vAlign w:val="center"/>
          </w:tcPr>
          <w:p w14:paraId="7EAC38B9" w14:textId="77777777" w:rsidR="0076035B" w:rsidRPr="00D677ED" w:rsidRDefault="0076035B" w:rsidP="00966621">
            <w:pPr>
              <w:autoSpaceDE w:val="0"/>
              <w:autoSpaceDN w:val="0"/>
              <w:adjustRightInd w:val="0"/>
              <w:snapToGrid w:val="0"/>
              <w:spacing w:line="240" w:lineRule="auto"/>
              <w:jc w:val="center"/>
              <w:rPr>
                <w:rFonts w:eastAsia="Calibri"/>
                <w:color w:val="auto"/>
                <w:szCs w:val="22"/>
                <w:lang w:eastAsia="en-US"/>
              </w:rPr>
            </w:pPr>
          </w:p>
        </w:tc>
        <w:tc>
          <w:tcPr>
            <w:tcW w:w="364" w:type="pct"/>
            <w:shd w:val="clear" w:color="auto" w:fill="auto"/>
            <w:vAlign w:val="center"/>
          </w:tcPr>
          <w:p w14:paraId="30091455" w14:textId="77777777" w:rsidR="0076035B" w:rsidRPr="00D677ED" w:rsidRDefault="0076035B" w:rsidP="00966621">
            <w:pPr>
              <w:autoSpaceDE w:val="0"/>
              <w:autoSpaceDN w:val="0"/>
              <w:adjustRightInd w:val="0"/>
              <w:snapToGrid w:val="0"/>
              <w:spacing w:line="240" w:lineRule="auto"/>
              <w:jc w:val="center"/>
              <w:rPr>
                <w:rFonts w:eastAsia="Calibri"/>
                <w:color w:val="auto"/>
                <w:szCs w:val="22"/>
                <w:lang w:eastAsia="en-US"/>
              </w:rPr>
            </w:pPr>
            <w:r w:rsidRPr="00D677ED">
              <w:rPr>
                <w:rFonts w:eastAsia="Calibri"/>
                <w:color w:val="auto"/>
                <w:szCs w:val="22"/>
                <w:lang w:eastAsia="en-US"/>
              </w:rPr>
              <w:t>-</w:t>
            </w:r>
          </w:p>
        </w:tc>
        <w:tc>
          <w:tcPr>
            <w:tcW w:w="364" w:type="pct"/>
            <w:shd w:val="clear" w:color="auto" w:fill="auto"/>
            <w:vAlign w:val="center"/>
          </w:tcPr>
          <w:p w14:paraId="675DD5EC" w14:textId="6996174D" w:rsidR="0076035B" w:rsidRPr="00D677ED" w:rsidRDefault="00294695" w:rsidP="00966621">
            <w:pPr>
              <w:autoSpaceDE w:val="0"/>
              <w:autoSpaceDN w:val="0"/>
              <w:adjustRightInd w:val="0"/>
              <w:snapToGrid w:val="0"/>
              <w:spacing w:line="240" w:lineRule="auto"/>
              <w:jc w:val="center"/>
              <w:rPr>
                <w:rFonts w:eastAsia="Calibri"/>
                <w:color w:val="auto"/>
                <w:szCs w:val="22"/>
                <w:lang w:eastAsia="en-US"/>
              </w:rPr>
            </w:pPr>
            <w:r w:rsidRPr="00D677ED">
              <w:rPr>
                <w:rFonts w:eastAsia="Calibri"/>
                <w:color w:val="auto"/>
                <w:szCs w:val="22"/>
                <w:lang w:eastAsia="en-US"/>
              </w:rPr>
              <w:t>0</w:t>
            </w:r>
            <w:r w:rsidR="0076035B" w:rsidRPr="00D677ED">
              <w:rPr>
                <w:rFonts w:eastAsia="Calibri"/>
                <w:color w:val="auto"/>
                <w:szCs w:val="22"/>
                <w:lang w:eastAsia="en-US"/>
              </w:rPr>
              <w:t>.75</w:t>
            </w:r>
            <w:r w:rsidR="00D677ED">
              <w:rPr>
                <w:rFonts w:eastAsia="Calibri"/>
                <w:color w:val="auto"/>
                <w:szCs w:val="22"/>
                <w:lang w:eastAsia="en-US"/>
              </w:rPr>
              <w:t xml:space="preserve"> </w:t>
            </w:r>
            <w:r w:rsidR="0076035B" w:rsidRPr="00D677ED">
              <w:rPr>
                <w:rFonts w:eastAsia="Calibri"/>
                <w:color w:val="auto"/>
                <w:szCs w:val="22"/>
                <w:lang w:eastAsia="en-US"/>
              </w:rPr>
              <w:t>**</w:t>
            </w:r>
          </w:p>
        </w:tc>
        <w:tc>
          <w:tcPr>
            <w:tcW w:w="364" w:type="pct"/>
            <w:shd w:val="clear" w:color="auto" w:fill="auto"/>
            <w:vAlign w:val="center"/>
          </w:tcPr>
          <w:p w14:paraId="15E49ECC" w14:textId="73F141E9" w:rsidR="0076035B" w:rsidRPr="00D677ED" w:rsidRDefault="00294695" w:rsidP="00966621">
            <w:pPr>
              <w:autoSpaceDE w:val="0"/>
              <w:autoSpaceDN w:val="0"/>
              <w:adjustRightInd w:val="0"/>
              <w:snapToGrid w:val="0"/>
              <w:spacing w:line="240" w:lineRule="auto"/>
              <w:jc w:val="center"/>
              <w:rPr>
                <w:rFonts w:eastAsia="Calibri"/>
                <w:color w:val="auto"/>
                <w:szCs w:val="22"/>
                <w:lang w:eastAsia="en-US"/>
              </w:rPr>
            </w:pPr>
            <w:r w:rsidRPr="00D677ED">
              <w:rPr>
                <w:rFonts w:eastAsia="Calibri"/>
                <w:color w:val="auto"/>
                <w:szCs w:val="22"/>
                <w:lang w:eastAsia="en-US"/>
              </w:rPr>
              <w:t>0</w:t>
            </w:r>
            <w:r w:rsidR="0076035B" w:rsidRPr="00D677ED">
              <w:rPr>
                <w:rFonts w:eastAsia="Calibri"/>
                <w:color w:val="auto"/>
                <w:szCs w:val="22"/>
                <w:lang w:eastAsia="en-US"/>
              </w:rPr>
              <w:t>.18</w:t>
            </w:r>
            <w:r w:rsidR="00D677ED">
              <w:rPr>
                <w:rFonts w:eastAsia="Calibri"/>
                <w:color w:val="auto"/>
                <w:szCs w:val="22"/>
                <w:lang w:eastAsia="en-US"/>
              </w:rPr>
              <w:t xml:space="preserve"> </w:t>
            </w:r>
            <w:r w:rsidR="0076035B" w:rsidRPr="00D677ED">
              <w:rPr>
                <w:rFonts w:eastAsia="Calibri"/>
                <w:color w:val="auto"/>
                <w:szCs w:val="22"/>
                <w:lang w:eastAsia="en-US"/>
              </w:rPr>
              <w:t>*</w:t>
            </w:r>
          </w:p>
        </w:tc>
        <w:tc>
          <w:tcPr>
            <w:tcW w:w="366" w:type="pct"/>
            <w:shd w:val="clear" w:color="auto" w:fill="auto"/>
            <w:vAlign w:val="center"/>
          </w:tcPr>
          <w:p w14:paraId="7EACA656" w14:textId="55B5A616" w:rsidR="0076035B" w:rsidRPr="00D677ED" w:rsidRDefault="00294695" w:rsidP="00966621">
            <w:pPr>
              <w:autoSpaceDE w:val="0"/>
              <w:autoSpaceDN w:val="0"/>
              <w:adjustRightInd w:val="0"/>
              <w:snapToGrid w:val="0"/>
              <w:spacing w:line="240" w:lineRule="auto"/>
              <w:jc w:val="center"/>
              <w:rPr>
                <w:rFonts w:eastAsia="Calibri"/>
                <w:color w:val="auto"/>
                <w:szCs w:val="22"/>
                <w:lang w:eastAsia="en-US"/>
              </w:rPr>
            </w:pPr>
            <w:r w:rsidRPr="00D677ED">
              <w:rPr>
                <w:rFonts w:eastAsia="Calibri"/>
                <w:color w:val="auto"/>
                <w:szCs w:val="22"/>
                <w:lang w:eastAsia="en-US"/>
              </w:rPr>
              <w:t>0</w:t>
            </w:r>
            <w:r w:rsidR="0076035B" w:rsidRPr="00D677ED">
              <w:rPr>
                <w:rFonts w:eastAsia="Calibri"/>
                <w:color w:val="auto"/>
                <w:szCs w:val="22"/>
                <w:lang w:eastAsia="en-US"/>
              </w:rPr>
              <w:t>.29</w:t>
            </w:r>
            <w:r w:rsidR="00D677ED">
              <w:rPr>
                <w:rFonts w:eastAsia="Calibri"/>
                <w:color w:val="auto"/>
                <w:szCs w:val="22"/>
                <w:lang w:eastAsia="en-US"/>
              </w:rPr>
              <w:t xml:space="preserve"> </w:t>
            </w:r>
            <w:r w:rsidR="0076035B" w:rsidRPr="00D677ED">
              <w:rPr>
                <w:rFonts w:eastAsia="Calibri"/>
                <w:color w:val="auto"/>
                <w:szCs w:val="22"/>
                <w:lang w:eastAsia="en-US"/>
              </w:rPr>
              <w:t>**</w:t>
            </w:r>
          </w:p>
        </w:tc>
        <w:tc>
          <w:tcPr>
            <w:tcW w:w="366" w:type="pct"/>
            <w:shd w:val="clear" w:color="auto" w:fill="auto"/>
            <w:vAlign w:val="center"/>
          </w:tcPr>
          <w:p w14:paraId="40763438" w14:textId="3B35E945" w:rsidR="0076035B" w:rsidRPr="00D677ED" w:rsidRDefault="00294695" w:rsidP="00966621">
            <w:pPr>
              <w:autoSpaceDE w:val="0"/>
              <w:autoSpaceDN w:val="0"/>
              <w:adjustRightInd w:val="0"/>
              <w:snapToGrid w:val="0"/>
              <w:spacing w:line="240" w:lineRule="auto"/>
              <w:jc w:val="center"/>
              <w:rPr>
                <w:rFonts w:eastAsia="Calibri"/>
                <w:color w:val="auto"/>
                <w:szCs w:val="22"/>
                <w:lang w:eastAsia="en-US"/>
              </w:rPr>
            </w:pPr>
            <w:r w:rsidRPr="00D677ED">
              <w:rPr>
                <w:rFonts w:eastAsia="Calibri"/>
                <w:color w:val="auto"/>
                <w:szCs w:val="22"/>
                <w:lang w:eastAsia="en-US"/>
              </w:rPr>
              <w:t>0</w:t>
            </w:r>
            <w:r w:rsidR="0076035B" w:rsidRPr="00D677ED">
              <w:rPr>
                <w:rFonts w:eastAsia="Calibri"/>
                <w:color w:val="auto"/>
                <w:szCs w:val="22"/>
                <w:lang w:eastAsia="en-US"/>
              </w:rPr>
              <w:t>.32</w:t>
            </w:r>
            <w:r w:rsidR="00D677ED">
              <w:rPr>
                <w:rFonts w:eastAsia="Calibri"/>
                <w:color w:val="auto"/>
                <w:szCs w:val="22"/>
                <w:lang w:eastAsia="en-US"/>
              </w:rPr>
              <w:t xml:space="preserve"> </w:t>
            </w:r>
            <w:r w:rsidR="0076035B" w:rsidRPr="00D677ED">
              <w:rPr>
                <w:rFonts w:eastAsia="Calibri"/>
                <w:color w:val="auto"/>
                <w:szCs w:val="22"/>
                <w:lang w:eastAsia="en-US"/>
              </w:rPr>
              <w:t>**</w:t>
            </w:r>
          </w:p>
        </w:tc>
        <w:tc>
          <w:tcPr>
            <w:tcW w:w="609" w:type="pct"/>
            <w:shd w:val="clear" w:color="auto" w:fill="auto"/>
            <w:vAlign w:val="center"/>
          </w:tcPr>
          <w:p w14:paraId="11BE0F4E" w14:textId="77777777" w:rsidR="0076035B" w:rsidRPr="00D677ED" w:rsidRDefault="0076035B" w:rsidP="00966621">
            <w:pPr>
              <w:autoSpaceDE w:val="0"/>
              <w:autoSpaceDN w:val="0"/>
              <w:adjustRightInd w:val="0"/>
              <w:snapToGrid w:val="0"/>
              <w:spacing w:line="240" w:lineRule="auto"/>
              <w:jc w:val="center"/>
              <w:rPr>
                <w:rFonts w:eastAsia="Calibri"/>
                <w:color w:val="auto"/>
                <w:szCs w:val="22"/>
                <w:lang w:eastAsia="en-US"/>
              </w:rPr>
            </w:pPr>
            <w:r w:rsidRPr="00D677ED">
              <w:rPr>
                <w:rFonts w:eastAsia="Calibri"/>
                <w:color w:val="auto"/>
                <w:szCs w:val="22"/>
                <w:lang w:eastAsia="en-US"/>
              </w:rPr>
              <w:t>47.45 (9.25)</w:t>
            </w:r>
          </w:p>
        </w:tc>
      </w:tr>
      <w:tr w:rsidR="00966621" w:rsidRPr="00966621" w14:paraId="26F0E450" w14:textId="77777777" w:rsidTr="00966621">
        <w:trPr>
          <w:cantSplit/>
          <w:jc w:val="center"/>
        </w:trPr>
        <w:tc>
          <w:tcPr>
            <w:tcW w:w="874" w:type="pct"/>
            <w:shd w:val="clear" w:color="auto" w:fill="auto"/>
            <w:vAlign w:val="center"/>
          </w:tcPr>
          <w:p w14:paraId="021ADA55" w14:textId="77777777" w:rsidR="0076035B" w:rsidRPr="00966621" w:rsidRDefault="0076035B" w:rsidP="00966621">
            <w:pPr>
              <w:autoSpaceDE w:val="0"/>
              <w:autoSpaceDN w:val="0"/>
              <w:adjustRightInd w:val="0"/>
              <w:snapToGrid w:val="0"/>
              <w:spacing w:line="240" w:lineRule="auto"/>
              <w:jc w:val="center"/>
              <w:rPr>
                <w:rFonts w:eastAsia="Calibri"/>
                <w:color w:val="auto"/>
                <w:szCs w:val="22"/>
                <w:lang w:eastAsia="en-US"/>
              </w:rPr>
            </w:pPr>
            <w:r w:rsidRPr="00966621">
              <w:rPr>
                <w:rFonts w:eastAsia="Calibri"/>
                <w:color w:val="auto"/>
                <w:szCs w:val="22"/>
                <w:lang w:eastAsia="en-US"/>
              </w:rPr>
              <w:t>8. T4 WEMWBS</w:t>
            </w:r>
          </w:p>
        </w:tc>
        <w:tc>
          <w:tcPr>
            <w:tcW w:w="295" w:type="pct"/>
            <w:shd w:val="clear" w:color="auto" w:fill="auto"/>
            <w:vAlign w:val="center"/>
          </w:tcPr>
          <w:p w14:paraId="5B36AB6B" w14:textId="77777777" w:rsidR="0076035B" w:rsidRPr="00966621" w:rsidRDefault="0076035B" w:rsidP="00966621">
            <w:pPr>
              <w:autoSpaceDE w:val="0"/>
              <w:autoSpaceDN w:val="0"/>
              <w:adjustRightInd w:val="0"/>
              <w:snapToGrid w:val="0"/>
              <w:spacing w:line="240" w:lineRule="auto"/>
              <w:jc w:val="center"/>
              <w:rPr>
                <w:rFonts w:eastAsia="Calibri"/>
                <w:color w:val="auto"/>
                <w:szCs w:val="22"/>
                <w:lang w:eastAsia="en-US"/>
              </w:rPr>
            </w:pPr>
          </w:p>
        </w:tc>
        <w:tc>
          <w:tcPr>
            <w:tcW w:w="310" w:type="pct"/>
            <w:shd w:val="clear" w:color="auto" w:fill="auto"/>
            <w:vAlign w:val="center"/>
          </w:tcPr>
          <w:p w14:paraId="5B5B1F15" w14:textId="77777777" w:rsidR="0076035B" w:rsidRPr="00D677ED" w:rsidRDefault="0076035B" w:rsidP="00966621">
            <w:pPr>
              <w:autoSpaceDE w:val="0"/>
              <w:autoSpaceDN w:val="0"/>
              <w:adjustRightInd w:val="0"/>
              <w:snapToGrid w:val="0"/>
              <w:spacing w:line="240" w:lineRule="auto"/>
              <w:jc w:val="center"/>
              <w:rPr>
                <w:rFonts w:eastAsia="Calibri"/>
                <w:color w:val="auto"/>
                <w:szCs w:val="22"/>
                <w:lang w:eastAsia="en-US"/>
              </w:rPr>
            </w:pPr>
          </w:p>
        </w:tc>
        <w:tc>
          <w:tcPr>
            <w:tcW w:w="363" w:type="pct"/>
            <w:shd w:val="clear" w:color="auto" w:fill="auto"/>
            <w:vAlign w:val="center"/>
          </w:tcPr>
          <w:p w14:paraId="51C45918" w14:textId="77777777" w:rsidR="0076035B" w:rsidRPr="00D677ED" w:rsidRDefault="0076035B" w:rsidP="00966621">
            <w:pPr>
              <w:autoSpaceDE w:val="0"/>
              <w:autoSpaceDN w:val="0"/>
              <w:adjustRightInd w:val="0"/>
              <w:snapToGrid w:val="0"/>
              <w:spacing w:line="240" w:lineRule="auto"/>
              <w:jc w:val="center"/>
              <w:rPr>
                <w:rFonts w:eastAsia="Calibri"/>
                <w:color w:val="auto"/>
                <w:szCs w:val="22"/>
                <w:lang w:eastAsia="en-US"/>
              </w:rPr>
            </w:pPr>
          </w:p>
        </w:tc>
        <w:tc>
          <w:tcPr>
            <w:tcW w:w="363" w:type="pct"/>
            <w:shd w:val="clear" w:color="auto" w:fill="auto"/>
            <w:vAlign w:val="center"/>
          </w:tcPr>
          <w:p w14:paraId="749AE035" w14:textId="77777777" w:rsidR="0076035B" w:rsidRPr="00D677ED" w:rsidRDefault="0076035B" w:rsidP="00966621">
            <w:pPr>
              <w:autoSpaceDE w:val="0"/>
              <w:autoSpaceDN w:val="0"/>
              <w:adjustRightInd w:val="0"/>
              <w:snapToGrid w:val="0"/>
              <w:spacing w:line="240" w:lineRule="auto"/>
              <w:jc w:val="center"/>
              <w:rPr>
                <w:rFonts w:eastAsia="Calibri"/>
                <w:color w:val="auto"/>
                <w:szCs w:val="22"/>
                <w:lang w:eastAsia="en-US"/>
              </w:rPr>
            </w:pPr>
          </w:p>
        </w:tc>
        <w:tc>
          <w:tcPr>
            <w:tcW w:w="364" w:type="pct"/>
            <w:shd w:val="clear" w:color="auto" w:fill="auto"/>
            <w:vAlign w:val="center"/>
          </w:tcPr>
          <w:p w14:paraId="74984012" w14:textId="77777777" w:rsidR="0076035B" w:rsidRPr="00D677ED" w:rsidRDefault="0076035B" w:rsidP="00966621">
            <w:pPr>
              <w:autoSpaceDE w:val="0"/>
              <w:autoSpaceDN w:val="0"/>
              <w:adjustRightInd w:val="0"/>
              <w:snapToGrid w:val="0"/>
              <w:spacing w:line="240" w:lineRule="auto"/>
              <w:jc w:val="center"/>
              <w:rPr>
                <w:rFonts w:eastAsia="Calibri"/>
                <w:color w:val="auto"/>
                <w:szCs w:val="22"/>
                <w:lang w:eastAsia="en-US"/>
              </w:rPr>
            </w:pPr>
          </w:p>
        </w:tc>
        <w:tc>
          <w:tcPr>
            <w:tcW w:w="364" w:type="pct"/>
            <w:shd w:val="clear" w:color="auto" w:fill="auto"/>
            <w:vAlign w:val="center"/>
          </w:tcPr>
          <w:p w14:paraId="0FDEE542" w14:textId="77777777" w:rsidR="0076035B" w:rsidRPr="00D677ED" w:rsidRDefault="0076035B" w:rsidP="00966621">
            <w:pPr>
              <w:autoSpaceDE w:val="0"/>
              <w:autoSpaceDN w:val="0"/>
              <w:adjustRightInd w:val="0"/>
              <w:snapToGrid w:val="0"/>
              <w:spacing w:line="240" w:lineRule="auto"/>
              <w:jc w:val="center"/>
              <w:rPr>
                <w:rFonts w:eastAsia="Calibri"/>
                <w:color w:val="auto"/>
                <w:szCs w:val="22"/>
                <w:lang w:eastAsia="en-US"/>
              </w:rPr>
            </w:pPr>
          </w:p>
        </w:tc>
        <w:tc>
          <w:tcPr>
            <w:tcW w:w="364" w:type="pct"/>
            <w:shd w:val="clear" w:color="auto" w:fill="auto"/>
            <w:vAlign w:val="center"/>
          </w:tcPr>
          <w:p w14:paraId="750DCC0C" w14:textId="77777777" w:rsidR="0076035B" w:rsidRPr="00D677ED" w:rsidRDefault="0076035B" w:rsidP="00966621">
            <w:pPr>
              <w:autoSpaceDE w:val="0"/>
              <w:autoSpaceDN w:val="0"/>
              <w:adjustRightInd w:val="0"/>
              <w:snapToGrid w:val="0"/>
              <w:spacing w:line="240" w:lineRule="auto"/>
              <w:jc w:val="center"/>
              <w:rPr>
                <w:rFonts w:eastAsia="Calibri"/>
                <w:color w:val="auto"/>
                <w:szCs w:val="22"/>
                <w:lang w:eastAsia="en-US"/>
              </w:rPr>
            </w:pPr>
            <w:r w:rsidRPr="00D677ED">
              <w:rPr>
                <w:rFonts w:eastAsia="Calibri"/>
                <w:color w:val="auto"/>
                <w:szCs w:val="22"/>
                <w:lang w:eastAsia="en-US"/>
              </w:rPr>
              <w:t>-</w:t>
            </w:r>
          </w:p>
        </w:tc>
        <w:tc>
          <w:tcPr>
            <w:tcW w:w="364" w:type="pct"/>
            <w:shd w:val="clear" w:color="auto" w:fill="auto"/>
            <w:vAlign w:val="center"/>
          </w:tcPr>
          <w:p w14:paraId="2D59D59B" w14:textId="097A84B4" w:rsidR="0076035B" w:rsidRPr="00D677ED" w:rsidRDefault="00294695" w:rsidP="00966621">
            <w:pPr>
              <w:autoSpaceDE w:val="0"/>
              <w:autoSpaceDN w:val="0"/>
              <w:adjustRightInd w:val="0"/>
              <w:snapToGrid w:val="0"/>
              <w:spacing w:line="240" w:lineRule="auto"/>
              <w:jc w:val="center"/>
              <w:rPr>
                <w:rFonts w:eastAsia="Calibri"/>
                <w:color w:val="auto"/>
                <w:szCs w:val="22"/>
                <w:lang w:eastAsia="en-US"/>
              </w:rPr>
            </w:pPr>
            <w:r w:rsidRPr="00D677ED">
              <w:rPr>
                <w:rFonts w:eastAsia="Calibri"/>
                <w:color w:val="auto"/>
                <w:szCs w:val="22"/>
                <w:lang w:eastAsia="en-US"/>
              </w:rPr>
              <w:t>0</w:t>
            </w:r>
            <w:r w:rsidR="0076035B" w:rsidRPr="00D677ED">
              <w:rPr>
                <w:rFonts w:eastAsia="Calibri"/>
                <w:color w:val="auto"/>
                <w:szCs w:val="22"/>
                <w:lang w:eastAsia="en-US"/>
              </w:rPr>
              <w:t>.24</w:t>
            </w:r>
            <w:r w:rsidR="00D677ED">
              <w:rPr>
                <w:rFonts w:eastAsia="Calibri"/>
                <w:color w:val="auto"/>
                <w:szCs w:val="22"/>
                <w:lang w:eastAsia="en-US"/>
              </w:rPr>
              <w:t xml:space="preserve"> </w:t>
            </w:r>
            <w:r w:rsidR="0076035B" w:rsidRPr="00D677ED">
              <w:rPr>
                <w:rFonts w:eastAsia="Calibri"/>
                <w:color w:val="auto"/>
                <w:szCs w:val="22"/>
                <w:lang w:eastAsia="en-US"/>
              </w:rPr>
              <w:t>*</w:t>
            </w:r>
          </w:p>
        </w:tc>
        <w:tc>
          <w:tcPr>
            <w:tcW w:w="366" w:type="pct"/>
            <w:shd w:val="clear" w:color="auto" w:fill="auto"/>
            <w:vAlign w:val="center"/>
          </w:tcPr>
          <w:p w14:paraId="6A646EDA" w14:textId="34B1769B" w:rsidR="0076035B" w:rsidRPr="00D677ED" w:rsidRDefault="00294695" w:rsidP="00966621">
            <w:pPr>
              <w:autoSpaceDE w:val="0"/>
              <w:autoSpaceDN w:val="0"/>
              <w:adjustRightInd w:val="0"/>
              <w:snapToGrid w:val="0"/>
              <w:spacing w:line="240" w:lineRule="auto"/>
              <w:jc w:val="center"/>
              <w:rPr>
                <w:rFonts w:eastAsia="Calibri"/>
                <w:color w:val="auto"/>
                <w:szCs w:val="22"/>
                <w:lang w:eastAsia="en-US"/>
              </w:rPr>
            </w:pPr>
            <w:r w:rsidRPr="00D677ED">
              <w:rPr>
                <w:rFonts w:eastAsia="Calibri"/>
                <w:color w:val="auto"/>
                <w:szCs w:val="22"/>
                <w:lang w:eastAsia="en-US"/>
              </w:rPr>
              <w:t>0</w:t>
            </w:r>
            <w:r w:rsidR="0076035B" w:rsidRPr="00D677ED">
              <w:rPr>
                <w:rFonts w:eastAsia="Calibri"/>
                <w:color w:val="auto"/>
                <w:szCs w:val="22"/>
                <w:lang w:eastAsia="en-US"/>
              </w:rPr>
              <w:t>.28</w:t>
            </w:r>
            <w:r w:rsidR="00D677ED">
              <w:rPr>
                <w:rFonts w:eastAsia="Calibri"/>
                <w:color w:val="auto"/>
                <w:szCs w:val="22"/>
                <w:lang w:eastAsia="en-US"/>
              </w:rPr>
              <w:t xml:space="preserve"> </w:t>
            </w:r>
            <w:r w:rsidR="0076035B" w:rsidRPr="00D677ED">
              <w:rPr>
                <w:rFonts w:eastAsia="Calibri"/>
                <w:color w:val="auto"/>
                <w:szCs w:val="22"/>
                <w:lang w:eastAsia="en-US"/>
              </w:rPr>
              <w:t>**</w:t>
            </w:r>
          </w:p>
        </w:tc>
        <w:tc>
          <w:tcPr>
            <w:tcW w:w="366" w:type="pct"/>
            <w:shd w:val="clear" w:color="auto" w:fill="auto"/>
            <w:vAlign w:val="center"/>
          </w:tcPr>
          <w:p w14:paraId="29FD8F57" w14:textId="1E42D96E" w:rsidR="0076035B" w:rsidRPr="00D677ED" w:rsidRDefault="00294695" w:rsidP="00966621">
            <w:pPr>
              <w:autoSpaceDE w:val="0"/>
              <w:autoSpaceDN w:val="0"/>
              <w:adjustRightInd w:val="0"/>
              <w:snapToGrid w:val="0"/>
              <w:spacing w:line="240" w:lineRule="auto"/>
              <w:jc w:val="center"/>
              <w:rPr>
                <w:rFonts w:eastAsia="Calibri"/>
                <w:color w:val="auto"/>
                <w:szCs w:val="22"/>
                <w:lang w:eastAsia="en-US"/>
              </w:rPr>
            </w:pPr>
            <w:r w:rsidRPr="00D677ED">
              <w:rPr>
                <w:rFonts w:eastAsia="Calibri"/>
                <w:color w:val="auto"/>
                <w:szCs w:val="22"/>
                <w:lang w:eastAsia="en-US"/>
              </w:rPr>
              <w:t>0</w:t>
            </w:r>
            <w:r w:rsidR="0076035B" w:rsidRPr="00D677ED">
              <w:rPr>
                <w:rFonts w:eastAsia="Calibri"/>
                <w:color w:val="auto"/>
                <w:szCs w:val="22"/>
                <w:lang w:eastAsia="en-US"/>
              </w:rPr>
              <w:t>.54</w:t>
            </w:r>
            <w:r w:rsidR="00D677ED">
              <w:rPr>
                <w:rFonts w:eastAsia="Calibri"/>
                <w:color w:val="auto"/>
                <w:szCs w:val="22"/>
                <w:lang w:eastAsia="en-US"/>
              </w:rPr>
              <w:t xml:space="preserve"> </w:t>
            </w:r>
            <w:r w:rsidR="0076035B" w:rsidRPr="00D677ED">
              <w:rPr>
                <w:rFonts w:eastAsia="Calibri"/>
                <w:color w:val="auto"/>
                <w:szCs w:val="22"/>
                <w:lang w:eastAsia="en-US"/>
              </w:rPr>
              <w:t>**</w:t>
            </w:r>
          </w:p>
        </w:tc>
        <w:tc>
          <w:tcPr>
            <w:tcW w:w="609" w:type="pct"/>
            <w:shd w:val="clear" w:color="auto" w:fill="auto"/>
            <w:vAlign w:val="center"/>
          </w:tcPr>
          <w:p w14:paraId="7F70D6E4" w14:textId="77777777" w:rsidR="0076035B" w:rsidRPr="00D677ED" w:rsidRDefault="0076035B" w:rsidP="00966621">
            <w:pPr>
              <w:autoSpaceDE w:val="0"/>
              <w:autoSpaceDN w:val="0"/>
              <w:adjustRightInd w:val="0"/>
              <w:snapToGrid w:val="0"/>
              <w:spacing w:line="240" w:lineRule="auto"/>
              <w:jc w:val="center"/>
              <w:rPr>
                <w:rFonts w:eastAsia="Calibri"/>
                <w:color w:val="auto"/>
                <w:szCs w:val="22"/>
                <w:lang w:eastAsia="en-US"/>
              </w:rPr>
            </w:pPr>
            <w:r w:rsidRPr="00D677ED">
              <w:rPr>
                <w:rFonts w:eastAsia="Calibri"/>
                <w:color w:val="auto"/>
                <w:szCs w:val="22"/>
                <w:lang w:eastAsia="en-US"/>
              </w:rPr>
              <w:t>47.25 (10.03)</w:t>
            </w:r>
          </w:p>
        </w:tc>
      </w:tr>
      <w:tr w:rsidR="00966621" w:rsidRPr="00966621" w14:paraId="573D82ED" w14:textId="77777777" w:rsidTr="00966621">
        <w:trPr>
          <w:cantSplit/>
          <w:jc w:val="center"/>
        </w:trPr>
        <w:tc>
          <w:tcPr>
            <w:tcW w:w="874" w:type="pct"/>
            <w:shd w:val="clear" w:color="auto" w:fill="auto"/>
            <w:vAlign w:val="center"/>
          </w:tcPr>
          <w:p w14:paraId="027391BB" w14:textId="77777777" w:rsidR="0076035B" w:rsidRPr="00966621" w:rsidRDefault="0076035B" w:rsidP="00966621">
            <w:pPr>
              <w:autoSpaceDE w:val="0"/>
              <w:autoSpaceDN w:val="0"/>
              <w:adjustRightInd w:val="0"/>
              <w:snapToGrid w:val="0"/>
              <w:spacing w:line="240" w:lineRule="auto"/>
              <w:jc w:val="center"/>
              <w:rPr>
                <w:rFonts w:eastAsia="Calibri"/>
                <w:color w:val="auto"/>
                <w:szCs w:val="22"/>
                <w:lang w:eastAsia="en-US"/>
              </w:rPr>
            </w:pPr>
            <w:r w:rsidRPr="00966621">
              <w:rPr>
                <w:rFonts w:eastAsia="Calibri"/>
                <w:color w:val="auto"/>
                <w:szCs w:val="22"/>
                <w:lang w:eastAsia="en-US"/>
              </w:rPr>
              <w:t>9. T2 Stickability</w:t>
            </w:r>
          </w:p>
        </w:tc>
        <w:tc>
          <w:tcPr>
            <w:tcW w:w="295" w:type="pct"/>
            <w:shd w:val="clear" w:color="auto" w:fill="auto"/>
            <w:vAlign w:val="center"/>
          </w:tcPr>
          <w:p w14:paraId="26AA5D0C" w14:textId="77777777" w:rsidR="0076035B" w:rsidRPr="00966621" w:rsidRDefault="0076035B" w:rsidP="00966621">
            <w:pPr>
              <w:autoSpaceDE w:val="0"/>
              <w:autoSpaceDN w:val="0"/>
              <w:adjustRightInd w:val="0"/>
              <w:snapToGrid w:val="0"/>
              <w:spacing w:line="240" w:lineRule="auto"/>
              <w:jc w:val="center"/>
              <w:rPr>
                <w:rFonts w:eastAsia="Calibri"/>
                <w:color w:val="auto"/>
                <w:szCs w:val="22"/>
                <w:lang w:eastAsia="en-US"/>
              </w:rPr>
            </w:pPr>
          </w:p>
        </w:tc>
        <w:tc>
          <w:tcPr>
            <w:tcW w:w="310" w:type="pct"/>
            <w:shd w:val="clear" w:color="auto" w:fill="auto"/>
            <w:vAlign w:val="center"/>
          </w:tcPr>
          <w:p w14:paraId="70C04BFB" w14:textId="77777777" w:rsidR="0076035B" w:rsidRPr="00D677ED" w:rsidRDefault="0076035B" w:rsidP="00966621">
            <w:pPr>
              <w:autoSpaceDE w:val="0"/>
              <w:autoSpaceDN w:val="0"/>
              <w:adjustRightInd w:val="0"/>
              <w:snapToGrid w:val="0"/>
              <w:spacing w:line="240" w:lineRule="auto"/>
              <w:jc w:val="center"/>
              <w:rPr>
                <w:rFonts w:eastAsia="Calibri"/>
                <w:color w:val="auto"/>
                <w:szCs w:val="22"/>
                <w:lang w:eastAsia="en-US"/>
              </w:rPr>
            </w:pPr>
          </w:p>
        </w:tc>
        <w:tc>
          <w:tcPr>
            <w:tcW w:w="363" w:type="pct"/>
            <w:shd w:val="clear" w:color="auto" w:fill="auto"/>
            <w:vAlign w:val="center"/>
          </w:tcPr>
          <w:p w14:paraId="1C2FDCFD" w14:textId="77777777" w:rsidR="0076035B" w:rsidRPr="00D677ED" w:rsidRDefault="0076035B" w:rsidP="00966621">
            <w:pPr>
              <w:autoSpaceDE w:val="0"/>
              <w:autoSpaceDN w:val="0"/>
              <w:adjustRightInd w:val="0"/>
              <w:snapToGrid w:val="0"/>
              <w:spacing w:line="240" w:lineRule="auto"/>
              <w:jc w:val="center"/>
              <w:rPr>
                <w:rFonts w:eastAsia="Calibri"/>
                <w:color w:val="auto"/>
                <w:szCs w:val="22"/>
                <w:lang w:eastAsia="en-US"/>
              </w:rPr>
            </w:pPr>
          </w:p>
        </w:tc>
        <w:tc>
          <w:tcPr>
            <w:tcW w:w="363" w:type="pct"/>
            <w:shd w:val="clear" w:color="auto" w:fill="auto"/>
            <w:vAlign w:val="center"/>
          </w:tcPr>
          <w:p w14:paraId="733D92AD" w14:textId="77777777" w:rsidR="0076035B" w:rsidRPr="00D677ED" w:rsidRDefault="0076035B" w:rsidP="00966621">
            <w:pPr>
              <w:autoSpaceDE w:val="0"/>
              <w:autoSpaceDN w:val="0"/>
              <w:adjustRightInd w:val="0"/>
              <w:snapToGrid w:val="0"/>
              <w:spacing w:line="240" w:lineRule="auto"/>
              <w:jc w:val="center"/>
              <w:rPr>
                <w:rFonts w:eastAsia="Calibri"/>
                <w:color w:val="auto"/>
                <w:szCs w:val="22"/>
                <w:lang w:eastAsia="en-US"/>
              </w:rPr>
            </w:pPr>
          </w:p>
        </w:tc>
        <w:tc>
          <w:tcPr>
            <w:tcW w:w="364" w:type="pct"/>
            <w:shd w:val="clear" w:color="auto" w:fill="auto"/>
            <w:vAlign w:val="center"/>
          </w:tcPr>
          <w:p w14:paraId="1C30DC9A" w14:textId="77777777" w:rsidR="0076035B" w:rsidRPr="00D677ED" w:rsidRDefault="0076035B" w:rsidP="00966621">
            <w:pPr>
              <w:autoSpaceDE w:val="0"/>
              <w:autoSpaceDN w:val="0"/>
              <w:adjustRightInd w:val="0"/>
              <w:snapToGrid w:val="0"/>
              <w:spacing w:line="240" w:lineRule="auto"/>
              <w:jc w:val="center"/>
              <w:rPr>
                <w:rFonts w:eastAsia="Calibri"/>
                <w:color w:val="auto"/>
                <w:szCs w:val="22"/>
                <w:lang w:eastAsia="en-US"/>
              </w:rPr>
            </w:pPr>
          </w:p>
        </w:tc>
        <w:tc>
          <w:tcPr>
            <w:tcW w:w="364" w:type="pct"/>
            <w:shd w:val="clear" w:color="auto" w:fill="auto"/>
            <w:vAlign w:val="center"/>
          </w:tcPr>
          <w:p w14:paraId="198BCD33" w14:textId="77777777" w:rsidR="0076035B" w:rsidRPr="00D677ED" w:rsidRDefault="0076035B" w:rsidP="00966621">
            <w:pPr>
              <w:autoSpaceDE w:val="0"/>
              <w:autoSpaceDN w:val="0"/>
              <w:adjustRightInd w:val="0"/>
              <w:snapToGrid w:val="0"/>
              <w:spacing w:line="240" w:lineRule="auto"/>
              <w:jc w:val="center"/>
              <w:rPr>
                <w:rFonts w:eastAsia="Calibri"/>
                <w:color w:val="auto"/>
                <w:szCs w:val="22"/>
                <w:lang w:eastAsia="en-US"/>
              </w:rPr>
            </w:pPr>
          </w:p>
        </w:tc>
        <w:tc>
          <w:tcPr>
            <w:tcW w:w="364" w:type="pct"/>
            <w:shd w:val="clear" w:color="auto" w:fill="auto"/>
            <w:vAlign w:val="center"/>
          </w:tcPr>
          <w:p w14:paraId="234BDB6C" w14:textId="77777777" w:rsidR="0076035B" w:rsidRPr="00D677ED" w:rsidRDefault="0076035B" w:rsidP="00966621">
            <w:pPr>
              <w:autoSpaceDE w:val="0"/>
              <w:autoSpaceDN w:val="0"/>
              <w:adjustRightInd w:val="0"/>
              <w:snapToGrid w:val="0"/>
              <w:spacing w:line="240" w:lineRule="auto"/>
              <w:jc w:val="center"/>
              <w:rPr>
                <w:rFonts w:eastAsia="Calibri"/>
                <w:color w:val="auto"/>
                <w:szCs w:val="22"/>
                <w:lang w:eastAsia="en-US"/>
              </w:rPr>
            </w:pPr>
          </w:p>
        </w:tc>
        <w:tc>
          <w:tcPr>
            <w:tcW w:w="364" w:type="pct"/>
            <w:shd w:val="clear" w:color="auto" w:fill="auto"/>
            <w:vAlign w:val="center"/>
          </w:tcPr>
          <w:p w14:paraId="302D730F" w14:textId="77777777" w:rsidR="0076035B" w:rsidRPr="00D677ED" w:rsidRDefault="0076035B" w:rsidP="00966621">
            <w:pPr>
              <w:autoSpaceDE w:val="0"/>
              <w:autoSpaceDN w:val="0"/>
              <w:adjustRightInd w:val="0"/>
              <w:snapToGrid w:val="0"/>
              <w:spacing w:line="240" w:lineRule="auto"/>
              <w:jc w:val="center"/>
              <w:rPr>
                <w:rFonts w:eastAsia="Calibri"/>
                <w:color w:val="auto"/>
                <w:szCs w:val="22"/>
                <w:lang w:eastAsia="en-US"/>
              </w:rPr>
            </w:pPr>
            <w:r w:rsidRPr="00D677ED">
              <w:rPr>
                <w:rFonts w:eastAsia="Calibri"/>
                <w:color w:val="auto"/>
                <w:szCs w:val="22"/>
                <w:lang w:eastAsia="en-US"/>
              </w:rPr>
              <w:t>-</w:t>
            </w:r>
          </w:p>
        </w:tc>
        <w:tc>
          <w:tcPr>
            <w:tcW w:w="366" w:type="pct"/>
            <w:shd w:val="clear" w:color="auto" w:fill="auto"/>
            <w:vAlign w:val="center"/>
          </w:tcPr>
          <w:p w14:paraId="5AA3E276" w14:textId="171FDF45" w:rsidR="0076035B" w:rsidRPr="00D677ED" w:rsidRDefault="00294695" w:rsidP="00966621">
            <w:pPr>
              <w:autoSpaceDE w:val="0"/>
              <w:autoSpaceDN w:val="0"/>
              <w:adjustRightInd w:val="0"/>
              <w:snapToGrid w:val="0"/>
              <w:spacing w:line="240" w:lineRule="auto"/>
              <w:jc w:val="center"/>
              <w:rPr>
                <w:rFonts w:eastAsia="Calibri"/>
                <w:color w:val="auto"/>
                <w:szCs w:val="22"/>
                <w:lang w:eastAsia="en-US"/>
              </w:rPr>
            </w:pPr>
            <w:r w:rsidRPr="00D677ED">
              <w:rPr>
                <w:rFonts w:eastAsia="Calibri"/>
                <w:color w:val="auto"/>
                <w:szCs w:val="22"/>
                <w:lang w:eastAsia="en-US"/>
              </w:rPr>
              <w:t>0</w:t>
            </w:r>
            <w:r w:rsidR="0076035B" w:rsidRPr="00D677ED">
              <w:rPr>
                <w:rFonts w:eastAsia="Calibri"/>
                <w:color w:val="auto"/>
                <w:szCs w:val="22"/>
                <w:lang w:eastAsia="en-US"/>
              </w:rPr>
              <w:t>.58</w:t>
            </w:r>
            <w:r w:rsidR="00D677ED">
              <w:rPr>
                <w:rFonts w:eastAsia="Calibri"/>
                <w:color w:val="auto"/>
                <w:szCs w:val="22"/>
                <w:lang w:eastAsia="en-US"/>
              </w:rPr>
              <w:t xml:space="preserve"> </w:t>
            </w:r>
            <w:r w:rsidR="0076035B" w:rsidRPr="00D677ED">
              <w:rPr>
                <w:rFonts w:eastAsia="Calibri"/>
                <w:color w:val="auto"/>
                <w:szCs w:val="22"/>
                <w:lang w:eastAsia="en-US"/>
              </w:rPr>
              <w:t>**</w:t>
            </w:r>
          </w:p>
        </w:tc>
        <w:tc>
          <w:tcPr>
            <w:tcW w:w="366" w:type="pct"/>
            <w:shd w:val="clear" w:color="auto" w:fill="auto"/>
            <w:vAlign w:val="center"/>
          </w:tcPr>
          <w:p w14:paraId="5C33A4CE" w14:textId="059C10E1" w:rsidR="0076035B" w:rsidRPr="00D677ED" w:rsidRDefault="00294695" w:rsidP="00966621">
            <w:pPr>
              <w:autoSpaceDE w:val="0"/>
              <w:autoSpaceDN w:val="0"/>
              <w:adjustRightInd w:val="0"/>
              <w:snapToGrid w:val="0"/>
              <w:spacing w:line="240" w:lineRule="auto"/>
              <w:jc w:val="center"/>
              <w:rPr>
                <w:rFonts w:eastAsia="Calibri"/>
                <w:color w:val="auto"/>
                <w:szCs w:val="22"/>
                <w:lang w:eastAsia="en-US"/>
              </w:rPr>
            </w:pPr>
            <w:r w:rsidRPr="00D677ED">
              <w:rPr>
                <w:rFonts w:eastAsia="Calibri"/>
                <w:color w:val="auto"/>
                <w:szCs w:val="22"/>
                <w:lang w:eastAsia="en-US"/>
              </w:rPr>
              <w:t>0</w:t>
            </w:r>
            <w:r w:rsidR="0076035B" w:rsidRPr="00D677ED">
              <w:rPr>
                <w:rFonts w:eastAsia="Calibri"/>
                <w:color w:val="auto"/>
                <w:szCs w:val="22"/>
                <w:lang w:eastAsia="en-US"/>
              </w:rPr>
              <w:t>.48</w:t>
            </w:r>
            <w:r w:rsidR="00D677ED">
              <w:rPr>
                <w:rFonts w:eastAsia="Calibri"/>
                <w:color w:val="auto"/>
                <w:szCs w:val="22"/>
                <w:lang w:eastAsia="en-US"/>
              </w:rPr>
              <w:t xml:space="preserve"> </w:t>
            </w:r>
            <w:r w:rsidR="0076035B" w:rsidRPr="00D677ED">
              <w:rPr>
                <w:rFonts w:eastAsia="Calibri"/>
                <w:color w:val="auto"/>
                <w:szCs w:val="22"/>
                <w:lang w:eastAsia="en-US"/>
              </w:rPr>
              <w:t>**</w:t>
            </w:r>
          </w:p>
        </w:tc>
        <w:tc>
          <w:tcPr>
            <w:tcW w:w="609" w:type="pct"/>
            <w:shd w:val="clear" w:color="auto" w:fill="auto"/>
            <w:vAlign w:val="center"/>
          </w:tcPr>
          <w:p w14:paraId="444647CE" w14:textId="77777777" w:rsidR="0076035B" w:rsidRPr="00D677ED" w:rsidRDefault="0076035B" w:rsidP="00966621">
            <w:pPr>
              <w:autoSpaceDE w:val="0"/>
              <w:autoSpaceDN w:val="0"/>
              <w:adjustRightInd w:val="0"/>
              <w:snapToGrid w:val="0"/>
              <w:spacing w:line="240" w:lineRule="auto"/>
              <w:jc w:val="center"/>
              <w:rPr>
                <w:rFonts w:eastAsia="Calibri"/>
                <w:color w:val="auto"/>
                <w:szCs w:val="22"/>
                <w:lang w:eastAsia="en-US"/>
              </w:rPr>
            </w:pPr>
            <w:r w:rsidRPr="00D677ED">
              <w:rPr>
                <w:rFonts w:eastAsia="Calibri"/>
                <w:color w:val="auto"/>
                <w:szCs w:val="22"/>
                <w:lang w:eastAsia="en-US"/>
              </w:rPr>
              <w:t>13.58 (5.13)</w:t>
            </w:r>
          </w:p>
        </w:tc>
      </w:tr>
      <w:tr w:rsidR="00966621" w:rsidRPr="00966621" w14:paraId="6D2D8965" w14:textId="77777777" w:rsidTr="00966621">
        <w:trPr>
          <w:cantSplit/>
          <w:jc w:val="center"/>
        </w:trPr>
        <w:tc>
          <w:tcPr>
            <w:tcW w:w="874" w:type="pct"/>
            <w:shd w:val="clear" w:color="auto" w:fill="auto"/>
            <w:vAlign w:val="center"/>
          </w:tcPr>
          <w:p w14:paraId="6DD496CF" w14:textId="77777777" w:rsidR="0076035B" w:rsidRPr="00966621" w:rsidRDefault="0076035B" w:rsidP="00966621">
            <w:pPr>
              <w:autoSpaceDE w:val="0"/>
              <w:autoSpaceDN w:val="0"/>
              <w:adjustRightInd w:val="0"/>
              <w:snapToGrid w:val="0"/>
              <w:spacing w:line="240" w:lineRule="auto"/>
              <w:jc w:val="center"/>
              <w:rPr>
                <w:rFonts w:eastAsia="Calibri"/>
                <w:color w:val="auto"/>
                <w:szCs w:val="22"/>
                <w:lang w:eastAsia="en-US"/>
              </w:rPr>
            </w:pPr>
            <w:r w:rsidRPr="00966621">
              <w:rPr>
                <w:rFonts w:eastAsia="Calibri"/>
                <w:color w:val="auto"/>
                <w:szCs w:val="22"/>
                <w:lang w:eastAsia="en-US"/>
              </w:rPr>
              <w:t>10. T3 Stickability</w:t>
            </w:r>
          </w:p>
        </w:tc>
        <w:tc>
          <w:tcPr>
            <w:tcW w:w="295" w:type="pct"/>
            <w:shd w:val="clear" w:color="auto" w:fill="auto"/>
            <w:vAlign w:val="center"/>
          </w:tcPr>
          <w:p w14:paraId="0FAA85CD" w14:textId="77777777" w:rsidR="0076035B" w:rsidRPr="00966621" w:rsidRDefault="0076035B" w:rsidP="00966621">
            <w:pPr>
              <w:autoSpaceDE w:val="0"/>
              <w:autoSpaceDN w:val="0"/>
              <w:adjustRightInd w:val="0"/>
              <w:snapToGrid w:val="0"/>
              <w:spacing w:line="240" w:lineRule="auto"/>
              <w:jc w:val="center"/>
              <w:rPr>
                <w:rFonts w:eastAsia="Calibri"/>
                <w:color w:val="auto"/>
                <w:szCs w:val="22"/>
                <w:lang w:eastAsia="en-US"/>
              </w:rPr>
            </w:pPr>
          </w:p>
        </w:tc>
        <w:tc>
          <w:tcPr>
            <w:tcW w:w="310" w:type="pct"/>
            <w:shd w:val="clear" w:color="auto" w:fill="auto"/>
            <w:vAlign w:val="center"/>
          </w:tcPr>
          <w:p w14:paraId="1BDBD407" w14:textId="77777777" w:rsidR="0076035B" w:rsidRPr="00D677ED" w:rsidRDefault="0076035B" w:rsidP="00966621">
            <w:pPr>
              <w:autoSpaceDE w:val="0"/>
              <w:autoSpaceDN w:val="0"/>
              <w:adjustRightInd w:val="0"/>
              <w:snapToGrid w:val="0"/>
              <w:spacing w:line="240" w:lineRule="auto"/>
              <w:jc w:val="center"/>
              <w:rPr>
                <w:rFonts w:eastAsia="Calibri"/>
                <w:color w:val="auto"/>
                <w:szCs w:val="22"/>
                <w:lang w:eastAsia="en-US"/>
              </w:rPr>
            </w:pPr>
          </w:p>
        </w:tc>
        <w:tc>
          <w:tcPr>
            <w:tcW w:w="363" w:type="pct"/>
            <w:shd w:val="clear" w:color="auto" w:fill="auto"/>
            <w:vAlign w:val="center"/>
          </w:tcPr>
          <w:p w14:paraId="5B61E01E" w14:textId="77777777" w:rsidR="0076035B" w:rsidRPr="00D677ED" w:rsidRDefault="0076035B" w:rsidP="00966621">
            <w:pPr>
              <w:autoSpaceDE w:val="0"/>
              <w:autoSpaceDN w:val="0"/>
              <w:adjustRightInd w:val="0"/>
              <w:snapToGrid w:val="0"/>
              <w:spacing w:line="240" w:lineRule="auto"/>
              <w:jc w:val="center"/>
              <w:rPr>
                <w:rFonts w:eastAsia="Calibri"/>
                <w:color w:val="auto"/>
                <w:szCs w:val="22"/>
                <w:lang w:eastAsia="en-US"/>
              </w:rPr>
            </w:pPr>
          </w:p>
        </w:tc>
        <w:tc>
          <w:tcPr>
            <w:tcW w:w="363" w:type="pct"/>
            <w:shd w:val="clear" w:color="auto" w:fill="auto"/>
            <w:vAlign w:val="center"/>
          </w:tcPr>
          <w:p w14:paraId="54DFB4FD" w14:textId="77777777" w:rsidR="0076035B" w:rsidRPr="00D677ED" w:rsidRDefault="0076035B" w:rsidP="00966621">
            <w:pPr>
              <w:autoSpaceDE w:val="0"/>
              <w:autoSpaceDN w:val="0"/>
              <w:adjustRightInd w:val="0"/>
              <w:snapToGrid w:val="0"/>
              <w:spacing w:line="240" w:lineRule="auto"/>
              <w:jc w:val="center"/>
              <w:rPr>
                <w:rFonts w:eastAsia="Calibri"/>
                <w:color w:val="auto"/>
                <w:szCs w:val="22"/>
                <w:lang w:eastAsia="en-US"/>
              </w:rPr>
            </w:pPr>
          </w:p>
        </w:tc>
        <w:tc>
          <w:tcPr>
            <w:tcW w:w="364" w:type="pct"/>
            <w:shd w:val="clear" w:color="auto" w:fill="auto"/>
            <w:vAlign w:val="center"/>
          </w:tcPr>
          <w:p w14:paraId="252F42CD" w14:textId="77777777" w:rsidR="0076035B" w:rsidRPr="00D677ED" w:rsidRDefault="0076035B" w:rsidP="00966621">
            <w:pPr>
              <w:autoSpaceDE w:val="0"/>
              <w:autoSpaceDN w:val="0"/>
              <w:adjustRightInd w:val="0"/>
              <w:snapToGrid w:val="0"/>
              <w:spacing w:line="240" w:lineRule="auto"/>
              <w:jc w:val="center"/>
              <w:rPr>
                <w:rFonts w:eastAsia="Calibri"/>
                <w:color w:val="auto"/>
                <w:szCs w:val="22"/>
                <w:lang w:eastAsia="en-US"/>
              </w:rPr>
            </w:pPr>
          </w:p>
        </w:tc>
        <w:tc>
          <w:tcPr>
            <w:tcW w:w="364" w:type="pct"/>
            <w:shd w:val="clear" w:color="auto" w:fill="auto"/>
            <w:vAlign w:val="center"/>
          </w:tcPr>
          <w:p w14:paraId="212273BD" w14:textId="77777777" w:rsidR="0076035B" w:rsidRPr="00D677ED" w:rsidRDefault="0076035B" w:rsidP="00966621">
            <w:pPr>
              <w:autoSpaceDE w:val="0"/>
              <w:autoSpaceDN w:val="0"/>
              <w:adjustRightInd w:val="0"/>
              <w:snapToGrid w:val="0"/>
              <w:spacing w:line="240" w:lineRule="auto"/>
              <w:jc w:val="center"/>
              <w:rPr>
                <w:rFonts w:eastAsia="Calibri"/>
                <w:color w:val="auto"/>
                <w:szCs w:val="22"/>
                <w:lang w:eastAsia="en-US"/>
              </w:rPr>
            </w:pPr>
          </w:p>
        </w:tc>
        <w:tc>
          <w:tcPr>
            <w:tcW w:w="364" w:type="pct"/>
            <w:shd w:val="clear" w:color="auto" w:fill="auto"/>
            <w:vAlign w:val="center"/>
          </w:tcPr>
          <w:p w14:paraId="41BED527" w14:textId="77777777" w:rsidR="0076035B" w:rsidRPr="00D677ED" w:rsidRDefault="0076035B" w:rsidP="00966621">
            <w:pPr>
              <w:autoSpaceDE w:val="0"/>
              <w:autoSpaceDN w:val="0"/>
              <w:adjustRightInd w:val="0"/>
              <w:snapToGrid w:val="0"/>
              <w:spacing w:line="240" w:lineRule="auto"/>
              <w:jc w:val="center"/>
              <w:rPr>
                <w:rFonts w:eastAsia="Calibri"/>
                <w:color w:val="auto"/>
                <w:szCs w:val="22"/>
                <w:lang w:eastAsia="en-US"/>
              </w:rPr>
            </w:pPr>
          </w:p>
        </w:tc>
        <w:tc>
          <w:tcPr>
            <w:tcW w:w="364" w:type="pct"/>
            <w:shd w:val="clear" w:color="auto" w:fill="auto"/>
            <w:vAlign w:val="center"/>
          </w:tcPr>
          <w:p w14:paraId="51041B8C" w14:textId="77777777" w:rsidR="0076035B" w:rsidRPr="00D677ED" w:rsidRDefault="0076035B" w:rsidP="00966621">
            <w:pPr>
              <w:autoSpaceDE w:val="0"/>
              <w:autoSpaceDN w:val="0"/>
              <w:adjustRightInd w:val="0"/>
              <w:snapToGrid w:val="0"/>
              <w:spacing w:line="240" w:lineRule="auto"/>
              <w:jc w:val="center"/>
              <w:rPr>
                <w:rFonts w:eastAsia="Calibri"/>
                <w:color w:val="auto"/>
                <w:szCs w:val="22"/>
                <w:lang w:eastAsia="en-US"/>
              </w:rPr>
            </w:pPr>
          </w:p>
        </w:tc>
        <w:tc>
          <w:tcPr>
            <w:tcW w:w="366" w:type="pct"/>
            <w:shd w:val="clear" w:color="auto" w:fill="auto"/>
            <w:vAlign w:val="center"/>
          </w:tcPr>
          <w:p w14:paraId="25A1B6A8" w14:textId="77777777" w:rsidR="0076035B" w:rsidRPr="00D677ED" w:rsidRDefault="0076035B" w:rsidP="00966621">
            <w:pPr>
              <w:autoSpaceDE w:val="0"/>
              <w:autoSpaceDN w:val="0"/>
              <w:adjustRightInd w:val="0"/>
              <w:snapToGrid w:val="0"/>
              <w:spacing w:line="240" w:lineRule="auto"/>
              <w:jc w:val="center"/>
              <w:rPr>
                <w:rFonts w:eastAsia="Calibri"/>
                <w:color w:val="auto"/>
                <w:szCs w:val="22"/>
                <w:lang w:eastAsia="en-US"/>
              </w:rPr>
            </w:pPr>
            <w:r w:rsidRPr="00D677ED">
              <w:rPr>
                <w:rFonts w:eastAsia="Calibri"/>
                <w:color w:val="auto"/>
                <w:szCs w:val="22"/>
                <w:lang w:eastAsia="en-US"/>
              </w:rPr>
              <w:t>-</w:t>
            </w:r>
          </w:p>
        </w:tc>
        <w:tc>
          <w:tcPr>
            <w:tcW w:w="366" w:type="pct"/>
            <w:shd w:val="clear" w:color="auto" w:fill="auto"/>
            <w:vAlign w:val="center"/>
          </w:tcPr>
          <w:p w14:paraId="47E91AFB" w14:textId="4F4038E4" w:rsidR="0076035B" w:rsidRPr="00D677ED" w:rsidRDefault="00294695" w:rsidP="00966621">
            <w:pPr>
              <w:autoSpaceDE w:val="0"/>
              <w:autoSpaceDN w:val="0"/>
              <w:adjustRightInd w:val="0"/>
              <w:snapToGrid w:val="0"/>
              <w:spacing w:line="240" w:lineRule="auto"/>
              <w:jc w:val="center"/>
              <w:rPr>
                <w:rFonts w:eastAsia="Calibri"/>
                <w:color w:val="auto"/>
                <w:szCs w:val="22"/>
                <w:lang w:eastAsia="en-US"/>
              </w:rPr>
            </w:pPr>
            <w:r w:rsidRPr="00D677ED">
              <w:rPr>
                <w:rFonts w:eastAsia="Calibri"/>
                <w:color w:val="auto"/>
                <w:szCs w:val="22"/>
                <w:lang w:eastAsia="en-US"/>
              </w:rPr>
              <w:t>0</w:t>
            </w:r>
            <w:r w:rsidR="0076035B" w:rsidRPr="00D677ED">
              <w:rPr>
                <w:rFonts w:eastAsia="Calibri"/>
                <w:color w:val="auto"/>
                <w:szCs w:val="22"/>
                <w:lang w:eastAsia="en-US"/>
              </w:rPr>
              <w:t>.58</w:t>
            </w:r>
            <w:r w:rsidR="00D677ED">
              <w:rPr>
                <w:rFonts w:eastAsia="Calibri"/>
                <w:color w:val="auto"/>
                <w:szCs w:val="22"/>
                <w:lang w:eastAsia="en-US"/>
              </w:rPr>
              <w:t xml:space="preserve"> </w:t>
            </w:r>
            <w:r w:rsidR="0076035B" w:rsidRPr="00D677ED">
              <w:rPr>
                <w:rFonts w:eastAsia="Calibri"/>
                <w:color w:val="auto"/>
                <w:szCs w:val="22"/>
                <w:lang w:eastAsia="en-US"/>
              </w:rPr>
              <w:t>**</w:t>
            </w:r>
          </w:p>
        </w:tc>
        <w:tc>
          <w:tcPr>
            <w:tcW w:w="609" w:type="pct"/>
            <w:shd w:val="clear" w:color="auto" w:fill="auto"/>
            <w:vAlign w:val="center"/>
          </w:tcPr>
          <w:p w14:paraId="54BCE1C1" w14:textId="77777777" w:rsidR="0076035B" w:rsidRPr="00D677ED" w:rsidRDefault="0076035B" w:rsidP="00966621">
            <w:pPr>
              <w:autoSpaceDE w:val="0"/>
              <w:autoSpaceDN w:val="0"/>
              <w:adjustRightInd w:val="0"/>
              <w:snapToGrid w:val="0"/>
              <w:spacing w:line="240" w:lineRule="auto"/>
              <w:jc w:val="center"/>
              <w:rPr>
                <w:rFonts w:eastAsia="Calibri"/>
                <w:color w:val="auto"/>
                <w:szCs w:val="22"/>
                <w:lang w:eastAsia="en-US"/>
              </w:rPr>
            </w:pPr>
            <w:r w:rsidRPr="00D677ED">
              <w:rPr>
                <w:rFonts w:eastAsia="Calibri"/>
                <w:color w:val="auto"/>
                <w:szCs w:val="22"/>
                <w:lang w:eastAsia="en-US"/>
              </w:rPr>
              <w:t>13.48 (4.83)</w:t>
            </w:r>
          </w:p>
        </w:tc>
      </w:tr>
      <w:tr w:rsidR="00966621" w:rsidRPr="00966621" w14:paraId="101C80FD" w14:textId="77777777" w:rsidTr="00966621">
        <w:trPr>
          <w:cantSplit/>
          <w:jc w:val="center"/>
        </w:trPr>
        <w:tc>
          <w:tcPr>
            <w:tcW w:w="874" w:type="pct"/>
            <w:tcBorders>
              <w:bottom w:val="single" w:sz="8" w:space="0" w:color="auto"/>
            </w:tcBorders>
            <w:shd w:val="clear" w:color="auto" w:fill="auto"/>
            <w:vAlign w:val="center"/>
          </w:tcPr>
          <w:p w14:paraId="06FCD132" w14:textId="77777777" w:rsidR="0076035B" w:rsidRPr="00966621" w:rsidRDefault="0076035B" w:rsidP="00966621">
            <w:pPr>
              <w:autoSpaceDE w:val="0"/>
              <w:autoSpaceDN w:val="0"/>
              <w:adjustRightInd w:val="0"/>
              <w:snapToGrid w:val="0"/>
              <w:spacing w:line="240" w:lineRule="auto"/>
              <w:jc w:val="center"/>
              <w:rPr>
                <w:rFonts w:eastAsia="Calibri"/>
                <w:color w:val="auto"/>
                <w:szCs w:val="22"/>
                <w:lang w:eastAsia="en-US"/>
              </w:rPr>
            </w:pPr>
            <w:r w:rsidRPr="00966621">
              <w:rPr>
                <w:rFonts w:eastAsia="Calibri"/>
                <w:color w:val="auto"/>
                <w:szCs w:val="22"/>
                <w:lang w:eastAsia="en-US"/>
              </w:rPr>
              <w:t>11. T4 Stickability</w:t>
            </w:r>
          </w:p>
        </w:tc>
        <w:tc>
          <w:tcPr>
            <w:tcW w:w="295" w:type="pct"/>
            <w:tcBorders>
              <w:bottom w:val="single" w:sz="8" w:space="0" w:color="auto"/>
            </w:tcBorders>
            <w:shd w:val="clear" w:color="auto" w:fill="auto"/>
            <w:vAlign w:val="center"/>
          </w:tcPr>
          <w:p w14:paraId="2BF2150D" w14:textId="77777777" w:rsidR="0076035B" w:rsidRPr="00966621" w:rsidRDefault="0076035B" w:rsidP="00966621">
            <w:pPr>
              <w:autoSpaceDE w:val="0"/>
              <w:autoSpaceDN w:val="0"/>
              <w:adjustRightInd w:val="0"/>
              <w:snapToGrid w:val="0"/>
              <w:spacing w:line="240" w:lineRule="auto"/>
              <w:jc w:val="center"/>
              <w:rPr>
                <w:rFonts w:eastAsia="Calibri"/>
                <w:color w:val="auto"/>
                <w:szCs w:val="22"/>
                <w:lang w:eastAsia="en-US"/>
              </w:rPr>
            </w:pPr>
          </w:p>
        </w:tc>
        <w:tc>
          <w:tcPr>
            <w:tcW w:w="310" w:type="pct"/>
            <w:tcBorders>
              <w:bottom w:val="single" w:sz="8" w:space="0" w:color="auto"/>
            </w:tcBorders>
            <w:shd w:val="clear" w:color="auto" w:fill="auto"/>
            <w:vAlign w:val="center"/>
          </w:tcPr>
          <w:p w14:paraId="011E5BCF" w14:textId="77777777" w:rsidR="0076035B" w:rsidRPr="00966621" w:rsidRDefault="0076035B" w:rsidP="00966621">
            <w:pPr>
              <w:autoSpaceDE w:val="0"/>
              <w:autoSpaceDN w:val="0"/>
              <w:adjustRightInd w:val="0"/>
              <w:snapToGrid w:val="0"/>
              <w:spacing w:line="240" w:lineRule="auto"/>
              <w:jc w:val="center"/>
              <w:rPr>
                <w:rFonts w:eastAsia="Calibri"/>
                <w:color w:val="auto"/>
                <w:szCs w:val="22"/>
                <w:lang w:eastAsia="en-US"/>
              </w:rPr>
            </w:pPr>
          </w:p>
        </w:tc>
        <w:tc>
          <w:tcPr>
            <w:tcW w:w="363" w:type="pct"/>
            <w:tcBorders>
              <w:bottom w:val="single" w:sz="8" w:space="0" w:color="auto"/>
            </w:tcBorders>
            <w:shd w:val="clear" w:color="auto" w:fill="auto"/>
            <w:vAlign w:val="center"/>
          </w:tcPr>
          <w:p w14:paraId="04B4BDA3" w14:textId="77777777" w:rsidR="0076035B" w:rsidRPr="00966621" w:rsidRDefault="0076035B" w:rsidP="00966621">
            <w:pPr>
              <w:autoSpaceDE w:val="0"/>
              <w:autoSpaceDN w:val="0"/>
              <w:adjustRightInd w:val="0"/>
              <w:snapToGrid w:val="0"/>
              <w:spacing w:line="240" w:lineRule="auto"/>
              <w:jc w:val="center"/>
              <w:rPr>
                <w:rFonts w:eastAsia="Calibri"/>
                <w:color w:val="auto"/>
                <w:szCs w:val="22"/>
                <w:lang w:eastAsia="en-US"/>
              </w:rPr>
            </w:pPr>
          </w:p>
        </w:tc>
        <w:tc>
          <w:tcPr>
            <w:tcW w:w="363" w:type="pct"/>
            <w:tcBorders>
              <w:bottom w:val="single" w:sz="8" w:space="0" w:color="auto"/>
            </w:tcBorders>
            <w:shd w:val="clear" w:color="auto" w:fill="auto"/>
            <w:vAlign w:val="center"/>
          </w:tcPr>
          <w:p w14:paraId="24DBDADA" w14:textId="77777777" w:rsidR="0076035B" w:rsidRPr="00966621" w:rsidRDefault="0076035B" w:rsidP="00966621">
            <w:pPr>
              <w:autoSpaceDE w:val="0"/>
              <w:autoSpaceDN w:val="0"/>
              <w:adjustRightInd w:val="0"/>
              <w:snapToGrid w:val="0"/>
              <w:spacing w:line="240" w:lineRule="auto"/>
              <w:jc w:val="center"/>
              <w:rPr>
                <w:rFonts w:eastAsia="Calibri"/>
                <w:color w:val="auto"/>
                <w:szCs w:val="22"/>
                <w:lang w:eastAsia="en-US"/>
              </w:rPr>
            </w:pPr>
          </w:p>
        </w:tc>
        <w:tc>
          <w:tcPr>
            <w:tcW w:w="364" w:type="pct"/>
            <w:tcBorders>
              <w:bottom w:val="single" w:sz="8" w:space="0" w:color="auto"/>
            </w:tcBorders>
            <w:shd w:val="clear" w:color="auto" w:fill="auto"/>
            <w:vAlign w:val="center"/>
          </w:tcPr>
          <w:p w14:paraId="2167AADB" w14:textId="77777777" w:rsidR="0076035B" w:rsidRPr="00966621" w:rsidRDefault="0076035B" w:rsidP="00966621">
            <w:pPr>
              <w:autoSpaceDE w:val="0"/>
              <w:autoSpaceDN w:val="0"/>
              <w:adjustRightInd w:val="0"/>
              <w:snapToGrid w:val="0"/>
              <w:spacing w:line="240" w:lineRule="auto"/>
              <w:jc w:val="center"/>
              <w:rPr>
                <w:rFonts w:eastAsia="Calibri"/>
                <w:color w:val="auto"/>
                <w:szCs w:val="22"/>
                <w:lang w:eastAsia="en-US"/>
              </w:rPr>
            </w:pPr>
          </w:p>
        </w:tc>
        <w:tc>
          <w:tcPr>
            <w:tcW w:w="364" w:type="pct"/>
            <w:tcBorders>
              <w:bottom w:val="single" w:sz="8" w:space="0" w:color="auto"/>
            </w:tcBorders>
            <w:shd w:val="clear" w:color="auto" w:fill="auto"/>
            <w:vAlign w:val="center"/>
          </w:tcPr>
          <w:p w14:paraId="21125CF4" w14:textId="77777777" w:rsidR="0076035B" w:rsidRPr="00966621" w:rsidRDefault="0076035B" w:rsidP="00966621">
            <w:pPr>
              <w:autoSpaceDE w:val="0"/>
              <w:autoSpaceDN w:val="0"/>
              <w:adjustRightInd w:val="0"/>
              <w:snapToGrid w:val="0"/>
              <w:spacing w:line="240" w:lineRule="auto"/>
              <w:jc w:val="center"/>
              <w:rPr>
                <w:rFonts w:eastAsia="Calibri"/>
                <w:color w:val="auto"/>
                <w:szCs w:val="22"/>
                <w:lang w:eastAsia="en-US"/>
              </w:rPr>
            </w:pPr>
          </w:p>
        </w:tc>
        <w:tc>
          <w:tcPr>
            <w:tcW w:w="364" w:type="pct"/>
            <w:tcBorders>
              <w:bottom w:val="single" w:sz="8" w:space="0" w:color="auto"/>
            </w:tcBorders>
            <w:shd w:val="clear" w:color="auto" w:fill="auto"/>
            <w:vAlign w:val="center"/>
          </w:tcPr>
          <w:p w14:paraId="5884C01D" w14:textId="77777777" w:rsidR="0076035B" w:rsidRPr="00966621" w:rsidRDefault="0076035B" w:rsidP="00966621">
            <w:pPr>
              <w:autoSpaceDE w:val="0"/>
              <w:autoSpaceDN w:val="0"/>
              <w:adjustRightInd w:val="0"/>
              <w:snapToGrid w:val="0"/>
              <w:spacing w:line="240" w:lineRule="auto"/>
              <w:jc w:val="center"/>
              <w:rPr>
                <w:rFonts w:eastAsia="Calibri"/>
                <w:color w:val="auto"/>
                <w:szCs w:val="22"/>
                <w:lang w:eastAsia="en-US"/>
              </w:rPr>
            </w:pPr>
          </w:p>
        </w:tc>
        <w:tc>
          <w:tcPr>
            <w:tcW w:w="364" w:type="pct"/>
            <w:tcBorders>
              <w:bottom w:val="single" w:sz="8" w:space="0" w:color="auto"/>
            </w:tcBorders>
            <w:shd w:val="clear" w:color="auto" w:fill="auto"/>
            <w:vAlign w:val="center"/>
          </w:tcPr>
          <w:p w14:paraId="77CAF4F5" w14:textId="77777777" w:rsidR="0076035B" w:rsidRPr="00966621" w:rsidRDefault="0076035B" w:rsidP="00966621">
            <w:pPr>
              <w:autoSpaceDE w:val="0"/>
              <w:autoSpaceDN w:val="0"/>
              <w:adjustRightInd w:val="0"/>
              <w:snapToGrid w:val="0"/>
              <w:spacing w:line="240" w:lineRule="auto"/>
              <w:jc w:val="center"/>
              <w:rPr>
                <w:rFonts w:eastAsia="Calibri"/>
                <w:color w:val="auto"/>
                <w:szCs w:val="22"/>
                <w:lang w:eastAsia="en-US"/>
              </w:rPr>
            </w:pPr>
          </w:p>
        </w:tc>
        <w:tc>
          <w:tcPr>
            <w:tcW w:w="366" w:type="pct"/>
            <w:tcBorders>
              <w:bottom w:val="single" w:sz="8" w:space="0" w:color="auto"/>
            </w:tcBorders>
            <w:shd w:val="clear" w:color="auto" w:fill="auto"/>
            <w:vAlign w:val="center"/>
          </w:tcPr>
          <w:p w14:paraId="40244A0C" w14:textId="77777777" w:rsidR="0076035B" w:rsidRPr="00966621" w:rsidRDefault="0076035B" w:rsidP="00966621">
            <w:pPr>
              <w:autoSpaceDE w:val="0"/>
              <w:autoSpaceDN w:val="0"/>
              <w:adjustRightInd w:val="0"/>
              <w:snapToGrid w:val="0"/>
              <w:spacing w:line="240" w:lineRule="auto"/>
              <w:jc w:val="center"/>
              <w:rPr>
                <w:rFonts w:eastAsia="Calibri"/>
                <w:color w:val="auto"/>
                <w:szCs w:val="22"/>
                <w:lang w:eastAsia="en-US"/>
              </w:rPr>
            </w:pPr>
          </w:p>
        </w:tc>
        <w:tc>
          <w:tcPr>
            <w:tcW w:w="366" w:type="pct"/>
            <w:tcBorders>
              <w:bottom w:val="single" w:sz="8" w:space="0" w:color="auto"/>
            </w:tcBorders>
            <w:shd w:val="clear" w:color="auto" w:fill="auto"/>
            <w:vAlign w:val="center"/>
          </w:tcPr>
          <w:p w14:paraId="4B398FB1" w14:textId="77777777" w:rsidR="0076035B" w:rsidRPr="00966621" w:rsidRDefault="0076035B" w:rsidP="00966621">
            <w:pPr>
              <w:autoSpaceDE w:val="0"/>
              <w:autoSpaceDN w:val="0"/>
              <w:adjustRightInd w:val="0"/>
              <w:snapToGrid w:val="0"/>
              <w:spacing w:line="240" w:lineRule="auto"/>
              <w:jc w:val="center"/>
              <w:rPr>
                <w:rFonts w:eastAsia="Calibri"/>
                <w:color w:val="auto"/>
                <w:szCs w:val="22"/>
                <w:lang w:eastAsia="en-US"/>
              </w:rPr>
            </w:pPr>
            <w:r w:rsidRPr="00966621">
              <w:rPr>
                <w:rFonts w:eastAsia="Calibri"/>
                <w:color w:val="auto"/>
                <w:szCs w:val="22"/>
                <w:lang w:eastAsia="en-US"/>
              </w:rPr>
              <w:t>-</w:t>
            </w:r>
          </w:p>
        </w:tc>
        <w:tc>
          <w:tcPr>
            <w:tcW w:w="609" w:type="pct"/>
            <w:tcBorders>
              <w:bottom w:val="single" w:sz="8" w:space="0" w:color="auto"/>
            </w:tcBorders>
            <w:shd w:val="clear" w:color="auto" w:fill="auto"/>
            <w:vAlign w:val="center"/>
          </w:tcPr>
          <w:p w14:paraId="7A4A5143" w14:textId="77777777" w:rsidR="0076035B" w:rsidRPr="00966621" w:rsidRDefault="0076035B" w:rsidP="00966621">
            <w:pPr>
              <w:autoSpaceDE w:val="0"/>
              <w:autoSpaceDN w:val="0"/>
              <w:adjustRightInd w:val="0"/>
              <w:snapToGrid w:val="0"/>
              <w:spacing w:line="240" w:lineRule="auto"/>
              <w:jc w:val="center"/>
              <w:rPr>
                <w:rFonts w:eastAsia="Calibri"/>
                <w:color w:val="auto"/>
                <w:szCs w:val="22"/>
                <w:lang w:eastAsia="en-US"/>
              </w:rPr>
            </w:pPr>
            <w:r w:rsidRPr="00966621">
              <w:rPr>
                <w:rFonts w:eastAsia="Calibri"/>
                <w:color w:val="auto"/>
                <w:szCs w:val="22"/>
                <w:lang w:eastAsia="en-US"/>
              </w:rPr>
              <w:t>12.49 (5.20)</w:t>
            </w:r>
          </w:p>
        </w:tc>
      </w:tr>
    </w:tbl>
    <w:p w14:paraId="76886BEE" w14:textId="18EAAF89" w:rsidR="0076035B" w:rsidRPr="00C8300B" w:rsidRDefault="00966621" w:rsidP="00474D0A">
      <w:pPr>
        <w:pStyle w:val="MDPI43tablefooter"/>
        <w:ind w:left="425" w:right="425"/>
      </w:pPr>
      <w:r w:rsidRPr="00474D0A">
        <w:rPr>
          <w:i/>
          <w:iCs/>
        </w:rPr>
        <w:t>Notes</w:t>
      </w:r>
      <w:r w:rsidRPr="00474D0A">
        <w:t xml:space="preserve">. * = </w:t>
      </w:r>
      <w:r w:rsidRPr="00474D0A">
        <w:rPr>
          <w:i/>
        </w:rPr>
        <w:t>p</w:t>
      </w:r>
      <w:r w:rsidRPr="00474D0A">
        <w:t xml:space="preserve"> &lt; </w:t>
      </w:r>
      <w:r w:rsidR="0039402E" w:rsidRPr="00474D0A">
        <w:t>0</w:t>
      </w:r>
      <w:r w:rsidRPr="00474D0A">
        <w:t xml:space="preserve">.05, ** = </w:t>
      </w:r>
      <w:r w:rsidRPr="00474D0A">
        <w:rPr>
          <w:i/>
        </w:rPr>
        <w:t>p</w:t>
      </w:r>
      <w:r w:rsidRPr="00474D0A">
        <w:t xml:space="preserve"> &lt; </w:t>
      </w:r>
      <w:r w:rsidR="0039402E" w:rsidRPr="00474D0A">
        <w:t>0</w:t>
      </w:r>
      <w:r w:rsidRPr="00474D0A">
        <w:t>.01.  T = Time; FGA = Flexible Goal Adjustment; TGP = Tenacious Goal Pursuit; WEMWBS = Warwick-Edinburgh Mental Well-being Scale.</w:t>
      </w:r>
    </w:p>
    <w:p w14:paraId="72BAFCAB" w14:textId="77777777" w:rsidR="0076035B" w:rsidRPr="00C8300B" w:rsidRDefault="0076035B" w:rsidP="00A96E4B">
      <w:pPr>
        <w:pStyle w:val="MDPI41tablecaption"/>
        <w:rPr>
          <w:color w:val="auto"/>
        </w:rPr>
        <w:sectPr w:rsidR="0076035B" w:rsidRPr="00C8300B" w:rsidSect="0076035B">
          <w:pgSz w:w="16840" w:h="11909" w:orient="landscape"/>
          <w:pgMar w:top="720" w:right="1417" w:bottom="720" w:left="1077" w:header="1020" w:footer="340" w:gutter="0"/>
          <w:cols w:space="708"/>
          <w:docGrid w:linePitch="360"/>
        </w:sectPr>
      </w:pPr>
    </w:p>
    <w:p w14:paraId="3F4B8EA2" w14:textId="63705E42" w:rsidR="004863FA" w:rsidRPr="00EF7D34" w:rsidRDefault="00EF7D34" w:rsidP="00EF7D34">
      <w:pPr>
        <w:pStyle w:val="MDPI22heading2"/>
        <w:spacing w:before="240"/>
      </w:pPr>
      <w:r w:rsidRPr="00EF7D34">
        <w:lastRenderedPageBreak/>
        <w:t xml:space="preserve">3.3. </w:t>
      </w:r>
      <w:r w:rsidR="004863FA" w:rsidRPr="00EF7D34">
        <w:t xml:space="preserve">Do </w:t>
      </w:r>
      <w:r w:rsidRPr="00EF7D34">
        <w:t xml:space="preserve">Goal Tenacity </w:t>
      </w:r>
      <w:r w:rsidR="004863FA" w:rsidRPr="00EF7D34">
        <w:t xml:space="preserve">and </w:t>
      </w:r>
      <w:r w:rsidRPr="00EF7D34">
        <w:t xml:space="preserve">Flexibility Predict Mental Wellbeing </w:t>
      </w:r>
      <w:r w:rsidR="004863FA" w:rsidRPr="00EF7D34">
        <w:t xml:space="preserve">and </w:t>
      </w:r>
      <w:r w:rsidRPr="00EF7D34">
        <w:t>Exercise Resolution Stickability</w:t>
      </w:r>
      <w:r w:rsidR="004863FA" w:rsidRPr="00EF7D34">
        <w:t>?</w:t>
      </w:r>
    </w:p>
    <w:p w14:paraId="50ABA11C" w14:textId="6A42A5E4" w:rsidR="004863FA" w:rsidRPr="00C8300B" w:rsidRDefault="004863FA" w:rsidP="00EF7D34">
      <w:pPr>
        <w:pStyle w:val="MDPI31text"/>
      </w:pPr>
      <w:r w:rsidRPr="00C8300B">
        <w:t xml:space="preserve">To test our hypotheses, the first two hierarchical regressions examined if goal flexibility and goal tenacity at baseline (Time 1) independently predicted both mental wellbeing and then exercise-related New Year resolution stickability across time, while controlling for participant gender and age. We also tested whether the interaction between goal flexibility and tenacity made a significant contribution to mental wellbeing and stickability over-and-above the two independent goal variables. To aid interpretation of the interaction, variables were first mean </w:t>
      </w:r>
      <w:proofErr w:type="spellStart"/>
      <w:r w:rsidRPr="00C8300B">
        <w:t>centred</w:t>
      </w:r>
      <w:proofErr w:type="spellEnd"/>
      <w:r w:rsidRPr="00C8300B">
        <w:t xml:space="preserve">, before their product was calculated. Gender and age were entered into Step 1. Goal flexibility and tenacity were entered in Step 2, and the interaction between flexibility and tenacity was entered in Step 3. A Bonferroni correction was applied to control for multiple tests at each time point. Predictor variables were considered significant if probability fell </w:t>
      </w:r>
      <w:r w:rsidRPr="00EF7D34">
        <w:t xml:space="preserve">below </w:t>
      </w:r>
      <w:r w:rsidR="00EF7D34" w:rsidRPr="00EF7D34">
        <w:t>0</w:t>
      </w:r>
      <w:r w:rsidRPr="00EF7D34">
        <w:t xml:space="preserve">.0125 (i.e., </w:t>
      </w:r>
      <w:r w:rsidR="00EF7D34" w:rsidRPr="00EF7D34">
        <w:t>0</w:t>
      </w:r>
      <w:r w:rsidRPr="00EF7D34">
        <w:t xml:space="preserve">.05/4) when predicting mental wellbeing across the four time points, and </w:t>
      </w:r>
      <w:r w:rsidR="00EF7D34" w:rsidRPr="00EF7D34">
        <w:t>0</w:t>
      </w:r>
      <w:r w:rsidRPr="00EF7D34">
        <w:t xml:space="preserve">.0167 (i.e., </w:t>
      </w:r>
      <w:r w:rsidR="00EF7D34" w:rsidRPr="00EF7D34">
        <w:t>0</w:t>
      </w:r>
      <w:r w:rsidRPr="00EF7D34">
        <w:t>.05/3) for</w:t>
      </w:r>
      <w:r w:rsidRPr="00C8300B">
        <w:t xml:space="preserve"> exercise resolution stickability across three time points.</w:t>
      </w:r>
    </w:p>
    <w:p w14:paraId="63509B37" w14:textId="6FA9001B" w:rsidR="004863FA" w:rsidRPr="00C8300B" w:rsidRDefault="004863FA" w:rsidP="00EF7D34">
      <w:pPr>
        <w:pStyle w:val="MDPI31text"/>
      </w:pPr>
      <w:r w:rsidRPr="00C8300B">
        <w:t>The first hierarchical regression analysis tested whether goal flexibility and tenacity predicted mental wellbeing across time (see Table 2 for results). As predicted, goal flexibility significantly predicted mental wellbeing at all time points, as did goal tenacity except for Time 3. The interaction between goal flexibility and tenacity, however, did not significantly predict increased mental wellbeing at any time point.</w:t>
      </w:r>
    </w:p>
    <w:p w14:paraId="09795DE0" w14:textId="77777777" w:rsidR="00630D0F" w:rsidRPr="00C8300B" w:rsidRDefault="00630D0F" w:rsidP="00A96E4B">
      <w:pPr>
        <w:snapToGrid w:val="0"/>
        <w:spacing w:line="480" w:lineRule="auto"/>
        <w:ind w:firstLine="720"/>
        <w:rPr>
          <w:color w:val="auto"/>
          <w:sz w:val="16"/>
          <w:szCs w:val="16"/>
        </w:rPr>
        <w:sectPr w:rsidR="00630D0F" w:rsidRPr="00C8300B" w:rsidSect="00A96E4B">
          <w:pgSz w:w="11909" w:h="16840"/>
          <w:pgMar w:top="1417" w:right="720" w:bottom="1077" w:left="720" w:header="1020" w:footer="340" w:gutter="0"/>
          <w:cols w:space="708"/>
          <w:docGrid w:linePitch="360"/>
        </w:sectPr>
      </w:pPr>
    </w:p>
    <w:p w14:paraId="2C84D2D4" w14:textId="274F2E23" w:rsidR="00630D0F" w:rsidRPr="00C8300B" w:rsidRDefault="000504C8" w:rsidP="000504C8">
      <w:pPr>
        <w:pStyle w:val="MDPI41tablecaption"/>
      </w:pPr>
      <w:r w:rsidRPr="00D17656">
        <w:rPr>
          <w:b/>
          <w:bCs/>
        </w:rPr>
        <w:lastRenderedPageBreak/>
        <w:t>Table 2.</w:t>
      </w:r>
      <w:r w:rsidRPr="000504C8">
        <w:rPr>
          <w:b/>
          <w:bCs/>
        </w:rPr>
        <w:t xml:space="preserve"> </w:t>
      </w:r>
      <w:r w:rsidR="00630D0F" w:rsidRPr="00C8300B">
        <w:t>Tenacious goal pursuit and flexible goal adjustment as predictors of mental wellbeing from Time 1 to Time 4.</w:t>
      </w:r>
    </w:p>
    <w:tbl>
      <w:tblPr>
        <w:tblW w:w="5000" w:type="pct"/>
        <w:jc w:val="center"/>
        <w:shd w:val="clear" w:color="auto" w:fill="FFFFFF" w:themeFill="background1"/>
        <w:tblCellMar>
          <w:left w:w="0" w:type="dxa"/>
          <w:right w:w="0" w:type="dxa"/>
        </w:tblCellMar>
        <w:tblLook w:val="04A0" w:firstRow="1" w:lastRow="0" w:firstColumn="1" w:lastColumn="0" w:noHBand="0" w:noVBand="1"/>
      </w:tblPr>
      <w:tblGrid>
        <w:gridCol w:w="898"/>
        <w:gridCol w:w="646"/>
        <w:gridCol w:w="683"/>
        <w:gridCol w:w="651"/>
        <w:gridCol w:w="654"/>
        <w:gridCol w:w="703"/>
        <w:gridCol w:w="557"/>
        <w:gridCol w:w="714"/>
        <w:gridCol w:w="714"/>
        <w:gridCol w:w="663"/>
        <w:gridCol w:w="706"/>
        <w:gridCol w:w="557"/>
        <w:gridCol w:w="798"/>
        <w:gridCol w:w="714"/>
        <w:gridCol w:w="663"/>
        <w:gridCol w:w="683"/>
        <w:gridCol w:w="565"/>
        <w:gridCol w:w="697"/>
        <w:gridCol w:w="614"/>
        <w:gridCol w:w="663"/>
        <w:gridCol w:w="803"/>
      </w:tblGrid>
      <w:tr w:rsidR="000504C8" w:rsidRPr="009E66BF" w14:paraId="6F3DA1D0" w14:textId="77777777" w:rsidTr="009E66BF">
        <w:trPr>
          <w:cantSplit/>
          <w:jc w:val="center"/>
        </w:trPr>
        <w:tc>
          <w:tcPr>
            <w:tcW w:w="313" w:type="pct"/>
            <w:tcBorders>
              <w:top w:val="single" w:sz="8" w:space="0" w:color="auto"/>
              <w:bottom w:val="single" w:sz="4" w:space="0" w:color="auto"/>
            </w:tcBorders>
            <w:shd w:val="clear" w:color="auto" w:fill="FFFFFF" w:themeFill="background1"/>
            <w:vAlign w:val="center"/>
          </w:tcPr>
          <w:p w14:paraId="615B4413" w14:textId="77777777" w:rsidR="00630D0F" w:rsidRPr="000504C8" w:rsidRDefault="00630D0F" w:rsidP="000504C8">
            <w:pPr>
              <w:autoSpaceDE w:val="0"/>
              <w:autoSpaceDN w:val="0"/>
              <w:adjustRightInd w:val="0"/>
              <w:snapToGrid w:val="0"/>
              <w:spacing w:line="240" w:lineRule="auto"/>
              <w:jc w:val="center"/>
              <w:rPr>
                <w:b/>
                <w:color w:val="auto"/>
                <w:szCs w:val="18"/>
              </w:rPr>
            </w:pPr>
          </w:p>
        </w:tc>
        <w:tc>
          <w:tcPr>
            <w:tcW w:w="1163" w:type="pct"/>
            <w:gridSpan w:val="5"/>
            <w:tcBorders>
              <w:top w:val="single" w:sz="8" w:space="0" w:color="auto"/>
            </w:tcBorders>
            <w:shd w:val="clear" w:color="auto" w:fill="FFFFFF" w:themeFill="background1"/>
            <w:vAlign w:val="center"/>
          </w:tcPr>
          <w:p w14:paraId="054F66BF" w14:textId="77777777" w:rsidR="00630D0F" w:rsidRPr="009E66BF" w:rsidRDefault="00630D0F" w:rsidP="000504C8">
            <w:pPr>
              <w:autoSpaceDE w:val="0"/>
              <w:autoSpaceDN w:val="0"/>
              <w:adjustRightInd w:val="0"/>
              <w:snapToGrid w:val="0"/>
              <w:spacing w:line="240" w:lineRule="auto"/>
              <w:jc w:val="center"/>
              <w:rPr>
                <w:b/>
                <w:bCs/>
                <w:color w:val="auto"/>
                <w:szCs w:val="18"/>
              </w:rPr>
            </w:pPr>
            <w:r w:rsidRPr="009E66BF">
              <w:rPr>
                <w:b/>
                <w:bCs/>
                <w:color w:val="auto"/>
                <w:szCs w:val="18"/>
              </w:rPr>
              <w:t>T1 WEMWBS (</w:t>
            </w:r>
            <w:r w:rsidRPr="009E66BF">
              <w:rPr>
                <w:b/>
                <w:bCs/>
                <w:i/>
                <w:iCs/>
                <w:color w:val="auto"/>
                <w:szCs w:val="18"/>
              </w:rPr>
              <w:t>n</w:t>
            </w:r>
            <w:r w:rsidRPr="009E66BF">
              <w:rPr>
                <w:b/>
                <w:bCs/>
                <w:color w:val="auto"/>
                <w:szCs w:val="18"/>
              </w:rPr>
              <w:t xml:space="preserve"> = 294)</w:t>
            </w:r>
          </w:p>
        </w:tc>
        <w:tc>
          <w:tcPr>
            <w:tcW w:w="1169" w:type="pct"/>
            <w:gridSpan w:val="5"/>
            <w:tcBorders>
              <w:top w:val="single" w:sz="8" w:space="0" w:color="auto"/>
            </w:tcBorders>
            <w:shd w:val="clear" w:color="auto" w:fill="FFFFFF" w:themeFill="background1"/>
            <w:vAlign w:val="center"/>
          </w:tcPr>
          <w:p w14:paraId="522558B2" w14:textId="77777777" w:rsidR="00630D0F" w:rsidRPr="009E66BF" w:rsidRDefault="00630D0F" w:rsidP="000504C8">
            <w:pPr>
              <w:autoSpaceDE w:val="0"/>
              <w:autoSpaceDN w:val="0"/>
              <w:adjustRightInd w:val="0"/>
              <w:snapToGrid w:val="0"/>
              <w:spacing w:line="240" w:lineRule="auto"/>
              <w:jc w:val="center"/>
              <w:rPr>
                <w:b/>
                <w:bCs/>
                <w:color w:val="auto"/>
                <w:szCs w:val="18"/>
              </w:rPr>
            </w:pPr>
            <w:r w:rsidRPr="009E66BF">
              <w:rPr>
                <w:b/>
                <w:bCs/>
                <w:color w:val="auto"/>
                <w:szCs w:val="18"/>
              </w:rPr>
              <w:t>T2 WEMWBS (</w:t>
            </w:r>
            <w:r w:rsidRPr="009E66BF">
              <w:rPr>
                <w:b/>
                <w:bCs/>
                <w:i/>
                <w:iCs/>
                <w:color w:val="auto"/>
                <w:szCs w:val="18"/>
              </w:rPr>
              <w:t>n</w:t>
            </w:r>
            <w:r w:rsidRPr="009E66BF">
              <w:rPr>
                <w:b/>
                <w:bCs/>
                <w:color w:val="auto"/>
                <w:szCs w:val="18"/>
              </w:rPr>
              <w:t xml:space="preserve"> = 176)</w:t>
            </w:r>
          </w:p>
        </w:tc>
        <w:tc>
          <w:tcPr>
            <w:tcW w:w="1190" w:type="pct"/>
            <w:gridSpan w:val="5"/>
            <w:tcBorders>
              <w:top w:val="single" w:sz="8" w:space="0" w:color="auto"/>
            </w:tcBorders>
            <w:shd w:val="clear" w:color="auto" w:fill="FFFFFF" w:themeFill="background1"/>
            <w:vAlign w:val="center"/>
          </w:tcPr>
          <w:p w14:paraId="7DC87E0D" w14:textId="77777777" w:rsidR="00630D0F" w:rsidRPr="009E66BF" w:rsidRDefault="00630D0F" w:rsidP="000504C8">
            <w:pPr>
              <w:autoSpaceDE w:val="0"/>
              <w:autoSpaceDN w:val="0"/>
              <w:adjustRightInd w:val="0"/>
              <w:snapToGrid w:val="0"/>
              <w:spacing w:line="240" w:lineRule="auto"/>
              <w:jc w:val="center"/>
              <w:rPr>
                <w:b/>
                <w:bCs/>
                <w:color w:val="auto"/>
                <w:szCs w:val="18"/>
              </w:rPr>
            </w:pPr>
            <w:r w:rsidRPr="009E66BF">
              <w:rPr>
                <w:b/>
                <w:bCs/>
                <w:color w:val="auto"/>
                <w:szCs w:val="18"/>
              </w:rPr>
              <w:t>T3 WEMWBS (</w:t>
            </w:r>
            <w:r w:rsidRPr="009E66BF">
              <w:rPr>
                <w:b/>
                <w:bCs/>
                <w:i/>
                <w:iCs/>
                <w:color w:val="auto"/>
                <w:szCs w:val="18"/>
              </w:rPr>
              <w:t>n</w:t>
            </w:r>
            <w:r w:rsidRPr="009E66BF">
              <w:rPr>
                <w:b/>
                <w:bCs/>
                <w:color w:val="auto"/>
                <w:szCs w:val="18"/>
              </w:rPr>
              <w:t xml:space="preserve"> = 133)</w:t>
            </w:r>
          </w:p>
        </w:tc>
        <w:tc>
          <w:tcPr>
            <w:tcW w:w="1165" w:type="pct"/>
            <w:gridSpan w:val="5"/>
            <w:tcBorders>
              <w:top w:val="single" w:sz="8" w:space="0" w:color="auto"/>
            </w:tcBorders>
            <w:shd w:val="clear" w:color="auto" w:fill="FFFFFF" w:themeFill="background1"/>
            <w:vAlign w:val="center"/>
          </w:tcPr>
          <w:p w14:paraId="0F98AD50" w14:textId="77777777" w:rsidR="00630D0F" w:rsidRPr="009E66BF" w:rsidRDefault="00630D0F" w:rsidP="000504C8">
            <w:pPr>
              <w:autoSpaceDE w:val="0"/>
              <w:autoSpaceDN w:val="0"/>
              <w:adjustRightInd w:val="0"/>
              <w:snapToGrid w:val="0"/>
              <w:spacing w:line="240" w:lineRule="auto"/>
              <w:jc w:val="center"/>
              <w:rPr>
                <w:b/>
                <w:bCs/>
                <w:color w:val="auto"/>
                <w:szCs w:val="18"/>
              </w:rPr>
            </w:pPr>
            <w:r w:rsidRPr="009E66BF">
              <w:rPr>
                <w:b/>
                <w:bCs/>
                <w:color w:val="auto"/>
                <w:szCs w:val="18"/>
              </w:rPr>
              <w:t>T4 WEMWBS (</w:t>
            </w:r>
            <w:r w:rsidRPr="009E66BF">
              <w:rPr>
                <w:b/>
                <w:bCs/>
                <w:i/>
                <w:iCs/>
                <w:color w:val="auto"/>
                <w:szCs w:val="18"/>
              </w:rPr>
              <w:t>n</w:t>
            </w:r>
            <w:r w:rsidRPr="009E66BF">
              <w:rPr>
                <w:b/>
                <w:bCs/>
                <w:color w:val="auto"/>
                <w:szCs w:val="18"/>
              </w:rPr>
              <w:t xml:space="preserve"> = 112)</w:t>
            </w:r>
          </w:p>
        </w:tc>
      </w:tr>
      <w:tr w:rsidR="000504C8" w:rsidRPr="009E66BF" w14:paraId="2B95A5BC" w14:textId="77777777" w:rsidTr="009E66BF">
        <w:trPr>
          <w:cantSplit/>
          <w:jc w:val="center"/>
        </w:trPr>
        <w:tc>
          <w:tcPr>
            <w:tcW w:w="313" w:type="pct"/>
            <w:tcBorders>
              <w:top w:val="single" w:sz="4" w:space="0" w:color="auto"/>
              <w:bottom w:val="single" w:sz="4" w:space="0" w:color="auto"/>
            </w:tcBorders>
            <w:shd w:val="clear" w:color="auto" w:fill="FFFFFF" w:themeFill="background1"/>
            <w:vAlign w:val="center"/>
          </w:tcPr>
          <w:p w14:paraId="2A759AE8" w14:textId="77777777" w:rsidR="00630D0F" w:rsidRPr="009E66BF" w:rsidRDefault="00630D0F" w:rsidP="000504C8">
            <w:pPr>
              <w:autoSpaceDE w:val="0"/>
              <w:autoSpaceDN w:val="0"/>
              <w:adjustRightInd w:val="0"/>
              <w:snapToGrid w:val="0"/>
              <w:spacing w:line="240" w:lineRule="auto"/>
              <w:jc w:val="center"/>
              <w:rPr>
                <w:b/>
                <w:color w:val="auto"/>
                <w:szCs w:val="18"/>
              </w:rPr>
            </w:pPr>
            <w:r w:rsidRPr="009E66BF">
              <w:rPr>
                <w:b/>
                <w:bCs/>
                <w:color w:val="auto"/>
                <w:szCs w:val="18"/>
              </w:rPr>
              <w:t>Variable</w:t>
            </w:r>
          </w:p>
        </w:tc>
        <w:tc>
          <w:tcPr>
            <w:tcW w:w="225" w:type="pct"/>
            <w:tcBorders>
              <w:top w:val="single" w:sz="4" w:space="0" w:color="auto"/>
              <w:bottom w:val="single" w:sz="4" w:space="0" w:color="auto"/>
            </w:tcBorders>
            <w:shd w:val="clear" w:color="auto" w:fill="FFFFFF" w:themeFill="background1"/>
            <w:vAlign w:val="center"/>
          </w:tcPr>
          <w:p w14:paraId="7CC470F2" w14:textId="45A63A54" w:rsidR="00630D0F" w:rsidRPr="009E66BF" w:rsidRDefault="00574BF3" w:rsidP="000504C8">
            <w:pPr>
              <w:autoSpaceDE w:val="0"/>
              <w:autoSpaceDN w:val="0"/>
              <w:adjustRightInd w:val="0"/>
              <w:snapToGrid w:val="0"/>
              <w:spacing w:line="240" w:lineRule="auto"/>
              <w:jc w:val="center"/>
              <w:rPr>
                <w:b/>
                <w:i/>
                <w:iCs/>
                <w:color w:val="auto"/>
                <w:szCs w:val="18"/>
              </w:rPr>
            </w:pPr>
            <w:r w:rsidRPr="009E66BF">
              <w:rPr>
                <w:b/>
                <w:bCs/>
                <w:i/>
                <w:iCs/>
                <w:color w:val="auto"/>
                <w:szCs w:val="18"/>
              </w:rPr>
              <w:t>β</w:t>
            </w:r>
          </w:p>
        </w:tc>
        <w:tc>
          <w:tcPr>
            <w:tcW w:w="238" w:type="pct"/>
            <w:tcBorders>
              <w:top w:val="single" w:sz="4" w:space="0" w:color="auto"/>
              <w:bottom w:val="single" w:sz="4" w:space="0" w:color="auto"/>
            </w:tcBorders>
            <w:shd w:val="clear" w:color="auto" w:fill="FFFFFF" w:themeFill="background1"/>
            <w:vAlign w:val="center"/>
          </w:tcPr>
          <w:p w14:paraId="172DFCBC" w14:textId="77777777" w:rsidR="00630D0F" w:rsidRPr="009E66BF" w:rsidRDefault="00630D0F" w:rsidP="000504C8">
            <w:pPr>
              <w:autoSpaceDE w:val="0"/>
              <w:autoSpaceDN w:val="0"/>
              <w:adjustRightInd w:val="0"/>
              <w:snapToGrid w:val="0"/>
              <w:spacing w:line="240" w:lineRule="auto"/>
              <w:jc w:val="center"/>
              <w:rPr>
                <w:b/>
                <w:color w:val="auto"/>
                <w:szCs w:val="18"/>
              </w:rPr>
            </w:pPr>
            <w:r w:rsidRPr="009E66BF">
              <w:rPr>
                <w:b/>
                <w:bCs/>
                <w:i/>
                <w:iCs/>
                <w:color w:val="auto"/>
                <w:szCs w:val="18"/>
              </w:rPr>
              <w:t>b(SE)</w:t>
            </w:r>
          </w:p>
        </w:tc>
        <w:tc>
          <w:tcPr>
            <w:tcW w:w="227" w:type="pct"/>
            <w:tcBorders>
              <w:top w:val="single" w:sz="4" w:space="0" w:color="auto"/>
              <w:bottom w:val="single" w:sz="4" w:space="0" w:color="auto"/>
            </w:tcBorders>
            <w:shd w:val="clear" w:color="auto" w:fill="FFFFFF" w:themeFill="background1"/>
            <w:vAlign w:val="center"/>
          </w:tcPr>
          <w:p w14:paraId="5A4585D9" w14:textId="77777777" w:rsidR="00630D0F" w:rsidRPr="009E66BF" w:rsidRDefault="00630D0F" w:rsidP="000504C8">
            <w:pPr>
              <w:autoSpaceDE w:val="0"/>
              <w:autoSpaceDN w:val="0"/>
              <w:adjustRightInd w:val="0"/>
              <w:snapToGrid w:val="0"/>
              <w:spacing w:line="240" w:lineRule="auto"/>
              <w:jc w:val="center"/>
              <w:rPr>
                <w:b/>
                <w:color w:val="auto"/>
                <w:szCs w:val="18"/>
              </w:rPr>
            </w:pPr>
            <w:r w:rsidRPr="009E66BF">
              <w:rPr>
                <w:b/>
                <w:bCs/>
                <w:color w:val="auto"/>
                <w:szCs w:val="18"/>
              </w:rPr>
              <w:t>95% CIs</w:t>
            </w:r>
          </w:p>
        </w:tc>
        <w:tc>
          <w:tcPr>
            <w:tcW w:w="228" w:type="pct"/>
            <w:tcBorders>
              <w:top w:val="single" w:sz="4" w:space="0" w:color="auto"/>
              <w:bottom w:val="single" w:sz="4" w:space="0" w:color="auto"/>
            </w:tcBorders>
            <w:shd w:val="clear" w:color="auto" w:fill="FFFFFF" w:themeFill="background1"/>
            <w:vAlign w:val="center"/>
          </w:tcPr>
          <w:p w14:paraId="382CAF99" w14:textId="77777777" w:rsidR="00630D0F" w:rsidRPr="009E66BF" w:rsidRDefault="00630D0F" w:rsidP="000504C8">
            <w:pPr>
              <w:autoSpaceDE w:val="0"/>
              <w:autoSpaceDN w:val="0"/>
              <w:adjustRightInd w:val="0"/>
              <w:snapToGrid w:val="0"/>
              <w:spacing w:line="240" w:lineRule="auto"/>
              <w:jc w:val="center"/>
              <w:rPr>
                <w:b/>
                <w:color w:val="auto"/>
                <w:szCs w:val="18"/>
              </w:rPr>
            </w:pPr>
            <w:r w:rsidRPr="009E66BF">
              <w:rPr>
                <w:b/>
                <w:bCs/>
                <w:i/>
                <w:iCs/>
                <w:color w:val="auto"/>
                <w:szCs w:val="18"/>
              </w:rPr>
              <w:t>t</w:t>
            </w:r>
          </w:p>
        </w:tc>
        <w:tc>
          <w:tcPr>
            <w:tcW w:w="245" w:type="pct"/>
            <w:tcBorders>
              <w:top w:val="single" w:sz="4" w:space="0" w:color="auto"/>
              <w:bottom w:val="single" w:sz="4" w:space="0" w:color="auto"/>
            </w:tcBorders>
            <w:shd w:val="clear" w:color="auto" w:fill="FFFFFF" w:themeFill="background1"/>
            <w:vAlign w:val="center"/>
          </w:tcPr>
          <w:p w14:paraId="25594B4A" w14:textId="77777777" w:rsidR="00630D0F" w:rsidRPr="009E66BF" w:rsidRDefault="00630D0F" w:rsidP="000504C8">
            <w:pPr>
              <w:autoSpaceDE w:val="0"/>
              <w:autoSpaceDN w:val="0"/>
              <w:adjustRightInd w:val="0"/>
              <w:snapToGrid w:val="0"/>
              <w:spacing w:line="240" w:lineRule="auto"/>
              <w:jc w:val="center"/>
              <w:rPr>
                <w:b/>
                <w:color w:val="auto"/>
                <w:szCs w:val="18"/>
              </w:rPr>
            </w:pPr>
            <w:r w:rsidRPr="009E66BF">
              <w:rPr>
                <w:b/>
                <w:bCs/>
                <w:i/>
                <w:iCs/>
                <w:color w:val="auto"/>
                <w:szCs w:val="18"/>
              </w:rPr>
              <w:t>p</w:t>
            </w:r>
          </w:p>
        </w:tc>
        <w:tc>
          <w:tcPr>
            <w:tcW w:w="194" w:type="pct"/>
            <w:tcBorders>
              <w:top w:val="single" w:sz="4" w:space="0" w:color="auto"/>
              <w:bottom w:val="single" w:sz="4" w:space="0" w:color="auto"/>
            </w:tcBorders>
            <w:shd w:val="clear" w:color="auto" w:fill="FFFFFF" w:themeFill="background1"/>
            <w:vAlign w:val="center"/>
          </w:tcPr>
          <w:p w14:paraId="6DAA0D07" w14:textId="768930F4" w:rsidR="00630D0F" w:rsidRPr="009E66BF" w:rsidRDefault="00574BF3" w:rsidP="000504C8">
            <w:pPr>
              <w:autoSpaceDE w:val="0"/>
              <w:autoSpaceDN w:val="0"/>
              <w:adjustRightInd w:val="0"/>
              <w:snapToGrid w:val="0"/>
              <w:spacing w:line="240" w:lineRule="auto"/>
              <w:jc w:val="center"/>
              <w:rPr>
                <w:b/>
                <w:i/>
                <w:iCs/>
                <w:color w:val="auto"/>
                <w:szCs w:val="18"/>
              </w:rPr>
            </w:pPr>
            <w:r w:rsidRPr="009E66BF">
              <w:rPr>
                <w:b/>
                <w:bCs/>
                <w:i/>
                <w:iCs/>
                <w:color w:val="auto"/>
                <w:szCs w:val="18"/>
              </w:rPr>
              <w:t>β</w:t>
            </w:r>
          </w:p>
        </w:tc>
        <w:tc>
          <w:tcPr>
            <w:tcW w:w="249" w:type="pct"/>
            <w:tcBorders>
              <w:top w:val="single" w:sz="4" w:space="0" w:color="auto"/>
              <w:bottom w:val="single" w:sz="4" w:space="0" w:color="auto"/>
            </w:tcBorders>
            <w:shd w:val="clear" w:color="auto" w:fill="FFFFFF" w:themeFill="background1"/>
            <w:vAlign w:val="center"/>
          </w:tcPr>
          <w:p w14:paraId="2FC2B9C2" w14:textId="77777777" w:rsidR="00630D0F" w:rsidRPr="009E66BF" w:rsidRDefault="00630D0F" w:rsidP="000504C8">
            <w:pPr>
              <w:autoSpaceDE w:val="0"/>
              <w:autoSpaceDN w:val="0"/>
              <w:adjustRightInd w:val="0"/>
              <w:snapToGrid w:val="0"/>
              <w:spacing w:line="240" w:lineRule="auto"/>
              <w:jc w:val="center"/>
              <w:rPr>
                <w:b/>
                <w:bCs/>
                <w:i/>
                <w:iCs/>
                <w:color w:val="auto"/>
                <w:szCs w:val="18"/>
              </w:rPr>
            </w:pPr>
            <w:r w:rsidRPr="009E66BF">
              <w:rPr>
                <w:b/>
                <w:bCs/>
                <w:i/>
                <w:iCs/>
                <w:color w:val="auto"/>
                <w:szCs w:val="18"/>
              </w:rPr>
              <w:t>b(SE)</w:t>
            </w:r>
          </w:p>
        </w:tc>
        <w:tc>
          <w:tcPr>
            <w:tcW w:w="249" w:type="pct"/>
            <w:tcBorders>
              <w:top w:val="single" w:sz="4" w:space="0" w:color="auto"/>
              <w:bottom w:val="single" w:sz="4" w:space="0" w:color="auto"/>
            </w:tcBorders>
            <w:shd w:val="clear" w:color="auto" w:fill="FFFFFF" w:themeFill="background1"/>
            <w:vAlign w:val="center"/>
          </w:tcPr>
          <w:p w14:paraId="5C5D16D3" w14:textId="77777777" w:rsidR="00630D0F" w:rsidRPr="009E66BF" w:rsidRDefault="00630D0F" w:rsidP="000504C8">
            <w:pPr>
              <w:autoSpaceDE w:val="0"/>
              <w:autoSpaceDN w:val="0"/>
              <w:adjustRightInd w:val="0"/>
              <w:snapToGrid w:val="0"/>
              <w:spacing w:line="240" w:lineRule="auto"/>
              <w:jc w:val="center"/>
              <w:rPr>
                <w:b/>
                <w:bCs/>
                <w:i/>
                <w:iCs/>
                <w:color w:val="auto"/>
                <w:szCs w:val="18"/>
              </w:rPr>
            </w:pPr>
            <w:r w:rsidRPr="009E66BF">
              <w:rPr>
                <w:b/>
                <w:bCs/>
                <w:color w:val="auto"/>
                <w:szCs w:val="18"/>
              </w:rPr>
              <w:t>95% CIs</w:t>
            </w:r>
          </w:p>
        </w:tc>
        <w:tc>
          <w:tcPr>
            <w:tcW w:w="231" w:type="pct"/>
            <w:tcBorders>
              <w:top w:val="single" w:sz="4" w:space="0" w:color="auto"/>
              <w:bottom w:val="single" w:sz="4" w:space="0" w:color="auto"/>
            </w:tcBorders>
            <w:shd w:val="clear" w:color="auto" w:fill="FFFFFF" w:themeFill="background1"/>
            <w:vAlign w:val="center"/>
          </w:tcPr>
          <w:p w14:paraId="7A418433" w14:textId="77777777" w:rsidR="00630D0F" w:rsidRPr="009E66BF" w:rsidRDefault="00630D0F" w:rsidP="000504C8">
            <w:pPr>
              <w:autoSpaceDE w:val="0"/>
              <w:autoSpaceDN w:val="0"/>
              <w:adjustRightInd w:val="0"/>
              <w:snapToGrid w:val="0"/>
              <w:spacing w:line="240" w:lineRule="auto"/>
              <w:jc w:val="center"/>
              <w:rPr>
                <w:b/>
                <w:bCs/>
                <w:i/>
                <w:iCs/>
                <w:color w:val="auto"/>
                <w:szCs w:val="18"/>
              </w:rPr>
            </w:pPr>
            <w:r w:rsidRPr="009E66BF">
              <w:rPr>
                <w:b/>
                <w:bCs/>
                <w:i/>
                <w:iCs/>
                <w:color w:val="auto"/>
                <w:szCs w:val="18"/>
              </w:rPr>
              <w:t>t</w:t>
            </w:r>
          </w:p>
        </w:tc>
        <w:tc>
          <w:tcPr>
            <w:tcW w:w="246" w:type="pct"/>
            <w:tcBorders>
              <w:top w:val="single" w:sz="4" w:space="0" w:color="auto"/>
              <w:bottom w:val="single" w:sz="4" w:space="0" w:color="auto"/>
            </w:tcBorders>
            <w:shd w:val="clear" w:color="auto" w:fill="FFFFFF" w:themeFill="background1"/>
            <w:vAlign w:val="center"/>
          </w:tcPr>
          <w:p w14:paraId="3E7999C7" w14:textId="77777777" w:rsidR="00630D0F" w:rsidRPr="009E66BF" w:rsidRDefault="00630D0F" w:rsidP="000504C8">
            <w:pPr>
              <w:autoSpaceDE w:val="0"/>
              <w:autoSpaceDN w:val="0"/>
              <w:adjustRightInd w:val="0"/>
              <w:snapToGrid w:val="0"/>
              <w:spacing w:line="240" w:lineRule="auto"/>
              <w:jc w:val="center"/>
              <w:rPr>
                <w:b/>
                <w:bCs/>
                <w:i/>
                <w:iCs/>
                <w:color w:val="auto"/>
                <w:szCs w:val="18"/>
              </w:rPr>
            </w:pPr>
            <w:r w:rsidRPr="009E66BF">
              <w:rPr>
                <w:b/>
                <w:bCs/>
                <w:i/>
                <w:iCs/>
                <w:color w:val="auto"/>
                <w:szCs w:val="18"/>
              </w:rPr>
              <w:t>p</w:t>
            </w:r>
          </w:p>
        </w:tc>
        <w:tc>
          <w:tcPr>
            <w:tcW w:w="194" w:type="pct"/>
            <w:tcBorders>
              <w:top w:val="single" w:sz="4" w:space="0" w:color="auto"/>
              <w:bottom w:val="single" w:sz="4" w:space="0" w:color="auto"/>
            </w:tcBorders>
            <w:shd w:val="clear" w:color="auto" w:fill="FFFFFF" w:themeFill="background1"/>
            <w:vAlign w:val="center"/>
          </w:tcPr>
          <w:p w14:paraId="5A0D4DDE" w14:textId="7E65364A" w:rsidR="00630D0F" w:rsidRPr="009E66BF" w:rsidRDefault="00574BF3" w:rsidP="000504C8">
            <w:pPr>
              <w:autoSpaceDE w:val="0"/>
              <w:autoSpaceDN w:val="0"/>
              <w:adjustRightInd w:val="0"/>
              <w:snapToGrid w:val="0"/>
              <w:spacing w:line="240" w:lineRule="auto"/>
              <w:jc w:val="center"/>
              <w:rPr>
                <w:b/>
                <w:bCs/>
                <w:i/>
                <w:iCs/>
                <w:color w:val="auto"/>
                <w:szCs w:val="18"/>
              </w:rPr>
            </w:pPr>
            <w:r w:rsidRPr="009E66BF">
              <w:rPr>
                <w:b/>
                <w:bCs/>
                <w:i/>
                <w:iCs/>
                <w:color w:val="auto"/>
                <w:szCs w:val="18"/>
              </w:rPr>
              <w:t>β</w:t>
            </w:r>
          </w:p>
        </w:tc>
        <w:tc>
          <w:tcPr>
            <w:tcW w:w="278" w:type="pct"/>
            <w:tcBorders>
              <w:top w:val="single" w:sz="4" w:space="0" w:color="auto"/>
              <w:bottom w:val="single" w:sz="4" w:space="0" w:color="auto"/>
            </w:tcBorders>
            <w:shd w:val="clear" w:color="auto" w:fill="FFFFFF" w:themeFill="background1"/>
            <w:vAlign w:val="center"/>
          </w:tcPr>
          <w:p w14:paraId="4B71310A" w14:textId="77777777" w:rsidR="00630D0F" w:rsidRPr="009E66BF" w:rsidRDefault="00630D0F" w:rsidP="000504C8">
            <w:pPr>
              <w:autoSpaceDE w:val="0"/>
              <w:autoSpaceDN w:val="0"/>
              <w:adjustRightInd w:val="0"/>
              <w:snapToGrid w:val="0"/>
              <w:spacing w:line="240" w:lineRule="auto"/>
              <w:jc w:val="center"/>
              <w:rPr>
                <w:b/>
                <w:bCs/>
                <w:i/>
                <w:iCs/>
                <w:color w:val="auto"/>
                <w:szCs w:val="18"/>
              </w:rPr>
            </w:pPr>
            <w:r w:rsidRPr="009E66BF">
              <w:rPr>
                <w:b/>
                <w:bCs/>
                <w:i/>
                <w:iCs/>
                <w:color w:val="auto"/>
                <w:szCs w:val="18"/>
              </w:rPr>
              <w:t>b(SE)</w:t>
            </w:r>
          </w:p>
        </w:tc>
        <w:tc>
          <w:tcPr>
            <w:tcW w:w="249" w:type="pct"/>
            <w:tcBorders>
              <w:top w:val="single" w:sz="4" w:space="0" w:color="auto"/>
              <w:bottom w:val="single" w:sz="4" w:space="0" w:color="auto"/>
            </w:tcBorders>
            <w:shd w:val="clear" w:color="auto" w:fill="FFFFFF" w:themeFill="background1"/>
            <w:vAlign w:val="center"/>
          </w:tcPr>
          <w:p w14:paraId="50731BFB" w14:textId="77777777" w:rsidR="00630D0F" w:rsidRPr="009E66BF" w:rsidRDefault="00630D0F" w:rsidP="000504C8">
            <w:pPr>
              <w:autoSpaceDE w:val="0"/>
              <w:autoSpaceDN w:val="0"/>
              <w:adjustRightInd w:val="0"/>
              <w:snapToGrid w:val="0"/>
              <w:spacing w:line="240" w:lineRule="auto"/>
              <w:jc w:val="center"/>
              <w:rPr>
                <w:b/>
                <w:bCs/>
                <w:i/>
                <w:iCs/>
                <w:color w:val="auto"/>
                <w:szCs w:val="18"/>
              </w:rPr>
            </w:pPr>
            <w:r w:rsidRPr="009E66BF">
              <w:rPr>
                <w:b/>
                <w:bCs/>
                <w:color w:val="auto"/>
                <w:szCs w:val="18"/>
              </w:rPr>
              <w:t>95% CIs</w:t>
            </w:r>
          </w:p>
        </w:tc>
        <w:tc>
          <w:tcPr>
            <w:tcW w:w="231" w:type="pct"/>
            <w:tcBorders>
              <w:top w:val="single" w:sz="4" w:space="0" w:color="auto"/>
              <w:bottom w:val="single" w:sz="4" w:space="0" w:color="auto"/>
            </w:tcBorders>
            <w:shd w:val="clear" w:color="auto" w:fill="FFFFFF" w:themeFill="background1"/>
            <w:vAlign w:val="center"/>
          </w:tcPr>
          <w:p w14:paraId="6B0553BB" w14:textId="77777777" w:rsidR="00630D0F" w:rsidRPr="009E66BF" w:rsidRDefault="00630D0F" w:rsidP="000504C8">
            <w:pPr>
              <w:autoSpaceDE w:val="0"/>
              <w:autoSpaceDN w:val="0"/>
              <w:adjustRightInd w:val="0"/>
              <w:snapToGrid w:val="0"/>
              <w:spacing w:line="240" w:lineRule="auto"/>
              <w:jc w:val="center"/>
              <w:rPr>
                <w:b/>
                <w:bCs/>
                <w:i/>
                <w:iCs/>
                <w:color w:val="auto"/>
                <w:szCs w:val="18"/>
              </w:rPr>
            </w:pPr>
            <w:r w:rsidRPr="009E66BF">
              <w:rPr>
                <w:b/>
                <w:bCs/>
                <w:i/>
                <w:iCs/>
                <w:color w:val="auto"/>
                <w:szCs w:val="18"/>
              </w:rPr>
              <w:t>t</w:t>
            </w:r>
          </w:p>
        </w:tc>
        <w:tc>
          <w:tcPr>
            <w:tcW w:w="238" w:type="pct"/>
            <w:tcBorders>
              <w:top w:val="single" w:sz="4" w:space="0" w:color="auto"/>
              <w:bottom w:val="single" w:sz="4" w:space="0" w:color="auto"/>
            </w:tcBorders>
            <w:shd w:val="clear" w:color="auto" w:fill="FFFFFF" w:themeFill="background1"/>
            <w:vAlign w:val="center"/>
          </w:tcPr>
          <w:p w14:paraId="466A2E2F" w14:textId="77777777" w:rsidR="00630D0F" w:rsidRPr="009E66BF" w:rsidRDefault="00630D0F" w:rsidP="000504C8">
            <w:pPr>
              <w:autoSpaceDE w:val="0"/>
              <w:autoSpaceDN w:val="0"/>
              <w:adjustRightInd w:val="0"/>
              <w:snapToGrid w:val="0"/>
              <w:spacing w:line="240" w:lineRule="auto"/>
              <w:jc w:val="center"/>
              <w:rPr>
                <w:b/>
                <w:bCs/>
                <w:i/>
                <w:iCs/>
                <w:color w:val="auto"/>
                <w:szCs w:val="18"/>
              </w:rPr>
            </w:pPr>
            <w:r w:rsidRPr="009E66BF">
              <w:rPr>
                <w:b/>
                <w:bCs/>
                <w:i/>
                <w:iCs/>
                <w:color w:val="auto"/>
                <w:szCs w:val="18"/>
              </w:rPr>
              <w:t>p</w:t>
            </w:r>
          </w:p>
        </w:tc>
        <w:tc>
          <w:tcPr>
            <w:tcW w:w="197" w:type="pct"/>
            <w:tcBorders>
              <w:top w:val="single" w:sz="4" w:space="0" w:color="auto"/>
              <w:bottom w:val="single" w:sz="4" w:space="0" w:color="auto"/>
            </w:tcBorders>
            <w:shd w:val="clear" w:color="auto" w:fill="FFFFFF" w:themeFill="background1"/>
            <w:vAlign w:val="center"/>
          </w:tcPr>
          <w:p w14:paraId="727AA7A6" w14:textId="44B59427" w:rsidR="00630D0F" w:rsidRPr="009E66BF" w:rsidRDefault="00574BF3" w:rsidP="000504C8">
            <w:pPr>
              <w:autoSpaceDE w:val="0"/>
              <w:autoSpaceDN w:val="0"/>
              <w:adjustRightInd w:val="0"/>
              <w:snapToGrid w:val="0"/>
              <w:spacing w:line="240" w:lineRule="auto"/>
              <w:jc w:val="center"/>
              <w:rPr>
                <w:b/>
                <w:bCs/>
                <w:i/>
                <w:iCs/>
                <w:color w:val="auto"/>
                <w:szCs w:val="18"/>
              </w:rPr>
            </w:pPr>
            <w:r w:rsidRPr="009E66BF">
              <w:rPr>
                <w:b/>
                <w:bCs/>
                <w:i/>
                <w:iCs/>
                <w:color w:val="auto"/>
                <w:szCs w:val="18"/>
              </w:rPr>
              <w:t>β</w:t>
            </w:r>
          </w:p>
        </w:tc>
        <w:tc>
          <w:tcPr>
            <w:tcW w:w="243" w:type="pct"/>
            <w:tcBorders>
              <w:top w:val="single" w:sz="4" w:space="0" w:color="auto"/>
              <w:bottom w:val="single" w:sz="4" w:space="0" w:color="auto"/>
            </w:tcBorders>
            <w:shd w:val="clear" w:color="auto" w:fill="FFFFFF" w:themeFill="background1"/>
            <w:vAlign w:val="center"/>
          </w:tcPr>
          <w:p w14:paraId="667E7EB1" w14:textId="77777777" w:rsidR="00630D0F" w:rsidRPr="009E66BF" w:rsidRDefault="00630D0F" w:rsidP="000504C8">
            <w:pPr>
              <w:autoSpaceDE w:val="0"/>
              <w:autoSpaceDN w:val="0"/>
              <w:adjustRightInd w:val="0"/>
              <w:snapToGrid w:val="0"/>
              <w:spacing w:line="240" w:lineRule="auto"/>
              <w:jc w:val="center"/>
              <w:rPr>
                <w:b/>
                <w:bCs/>
                <w:i/>
                <w:iCs/>
                <w:color w:val="auto"/>
                <w:szCs w:val="18"/>
              </w:rPr>
            </w:pPr>
            <w:r w:rsidRPr="009E66BF">
              <w:rPr>
                <w:b/>
                <w:bCs/>
                <w:i/>
                <w:iCs/>
                <w:color w:val="auto"/>
                <w:szCs w:val="18"/>
              </w:rPr>
              <w:t>b(SE)</w:t>
            </w:r>
          </w:p>
        </w:tc>
        <w:tc>
          <w:tcPr>
            <w:tcW w:w="214" w:type="pct"/>
            <w:tcBorders>
              <w:top w:val="single" w:sz="4" w:space="0" w:color="auto"/>
              <w:bottom w:val="single" w:sz="4" w:space="0" w:color="auto"/>
            </w:tcBorders>
            <w:shd w:val="clear" w:color="auto" w:fill="FFFFFF" w:themeFill="background1"/>
            <w:vAlign w:val="center"/>
          </w:tcPr>
          <w:p w14:paraId="1DCF4204" w14:textId="77777777" w:rsidR="00630D0F" w:rsidRPr="009E66BF" w:rsidRDefault="00630D0F" w:rsidP="000504C8">
            <w:pPr>
              <w:autoSpaceDE w:val="0"/>
              <w:autoSpaceDN w:val="0"/>
              <w:adjustRightInd w:val="0"/>
              <w:snapToGrid w:val="0"/>
              <w:spacing w:line="240" w:lineRule="auto"/>
              <w:jc w:val="center"/>
              <w:rPr>
                <w:b/>
                <w:bCs/>
                <w:i/>
                <w:iCs/>
                <w:color w:val="auto"/>
                <w:szCs w:val="18"/>
              </w:rPr>
            </w:pPr>
            <w:r w:rsidRPr="009E66BF">
              <w:rPr>
                <w:b/>
                <w:bCs/>
                <w:color w:val="auto"/>
                <w:szCs w:val="18"/>
              </w:rPr>
              <w:t>95% CIs</w:t>
            </w:r>
          </w:p>
        </w:tc>
        <w:tc>
          <w:tcPr>
            <w:tcW w:w="231" w:type="pct"/>
            <w:tcBorders>
              <w:top w:val="single" w:sz="4" w:space="0" w:color="auto"/>
              <w:bottom w:val="single" w:sz="4" w:space="0" w:color="auto"/>
            </w:tcBorders>
            <w:shd w:val="clear" w:color="auto" w:fill="FFFFFF" w:themeFill="background1"/>
            <w:vAlign w:val="center"/>
          </w:tcPr>
          <w:p w14:paraId="332454A4" w14:textId="77777777" w:rsidR="00630D0F" w:rsidRPr="009E66BF" w:rsidRDefault="00630D0F" w:rsidP="000504C8">
            <w:pPr>
              <w:autoSpaceDE w:val="0"/>
              <w:autoSpaceDN w:val="0"/>
              <w:adjustRightInd w:val="0"/>
              <w:snapToGrid w:val="0"/>
              <w:spacing w:line="240" w:lineRule="auto"/>
              <w:jc w:val="center"/>
              <w:rPr>
                <w:b/>
                <w:bCs/>
                <w:i/>
                <w:iCs/>
                <w:color w:val="auto"/>
                <w:szCs w:val="18"/>
              </w:rPr>
            </w:pPr>
            <w:r w:rsidRPr="009E66BF">
              <w:rPr>
                <w:b/>
                <w:bCs/>
                <w:i/>
                <w:iCs/>
                <w:color w:val="auto"/>
                <w:szCs w:val="18"/>
              </w:rPr>
              <w:t>t</w:t>
            </w:r>
          </w:p>
        </w:tc>
        <w:tc>
          <w:tcPr>
            <w:tcW w:w="280" w:type="pct"/>
            <w:tcBorders>
              <w:top w:val="single" w:sz="4" w:space="0" w:color="auto"/>
              <w:bottom w:val="single" w:sz="4" w:space="0" w:color="auto"/>
            </w:tcBorders>
            <w:shd w:val="clear" w:color="auto" w:fill="FFFFFF" w:themeFill="background1"/>
            <w:vAlign w:val="center"/>
          </w:tcPr>
          <w:p w14:paraId="13CFF278" w14:textId="77777777" w:rsidR="00630D0F" w:rsidRPr="009E66BF" w:rsidRDefault="00630D0F" w:rsidP="000504C8">
            <w:pPr>
              <w:autoSpaceDE w:val="0"/>
              <w:autoSpaceDN w:val="0"/>
              <w:adjustRightInd w:val="0"/>
              <w:snapToGrid w:val="0"/>
              <w:spacing w:line="240" w:lineRule="auto"/>
              <w:jc w:val="center"/>
              <w:rPr>
                <w:b/>
                <w:bCs/>
                <w:i/>
                <w:iCs/>
                <w:color w:val="auto"/>
                <w:szCs w:val="18"/>
              </w:rPr>
            </w:pPr>
            <w:r w:rsidRPr="009E66BF">
              <w:rPr>
                <w:b/>
                <w:bCs/>
                <w:i/>
                <w:iCs/>
                <w:color w:val="auto"/>
                <w:szCs w:val="18"/>
              </w:rPr>
              <w:t>p</w:t>
            </w:r>
          </w:p>
        </w:tc>
      </w:tr>
      <w:tr w:rsidR="000504C8" w:rsidRPr="009E66BF" w14:paraId="18DA751C" w14:textId="77777777" w:rsidTr="009E66BF">
        <w:trPr>
          <w:cantSplit/>
          <w:jc w:val="center"/>
        </w:trPr>
        <w:tc>
          <w:tcPr>
            <w:tcW w:w="313" w:type="pct"/>
            <w:tcBorders>
              <w:top w:val="single" w:sz="4" w:space="0" w:color="auto"/>
            </w:tcBorders>
            <w:shd w:val="clear" w:color="auto" w:fill="FFFFFF" w:themeFill="background1"/>
            <w:vAlign w:val="center"/>
          </w:tcPr>
          <w:p w14:paraId="2703E35B" w14:textId="77777777" w:rsidR="00630D0F" w:rsidRPr="009E66BF" w:rsidRDefault="00630D0F" w:rsidP="000504C8">
            <w:pPr>
              <w:autoSpaceDE w:val="0"/>
              <w:autoSpaceDN w:val="0"/>
              <w:adjustRightInd w:val="0"/>
              <w:snapToGrid w:val="0"/>
              <w:spacing w:line="240" w:lineRule="auto"/>
              <w:jc w:val="center"/>
              <w:rPr>
                <w:color w:val="auto"/>
                <w:szCs w:val="18"/>
              </w:rPr>
            </w:pPr>
            <w:r w:rsidRPr="009E66BF">
              <w:rPr>
                <w:color w:val="auto"/>
                <w:szCs w:val="18"/>
              </w:rPr>
              <w:t>Step 1</w:t>
            </w:r>
          </w:p>
        </w:tc>
        <w:tc>
          <w:tcPr>
            <w:tcW w:w="1163" w:type="pct"/>
            <w:gridSpan w:val="5"/>
            <w:tcBorders>
              <w:top w:val="single" w:sz="4" w:space="0" w:color="auto"/>
            </w:tcBorders>
            <w:shd w:val="clear" w:color="auto" w:fill="FFFFFF" w:themeFill="background1"/>
            <w:vAlign w:val="center"/>
          </w:tcPr>
          <w:p w14:paraId="5B35ED87" w14:textId="7E814731" w:rsidR="00630D0F" w:rsidRPr="009E66BF" w:rsidRDefault="00630D0F" w:rsidP="000504C8">
            <w:pPr>
              <w:autoSpaceDE w:val="0"/>
              <w:autoSpaceDN w:val="0"/>
              <w:adjustRightInd w:val="0"/>
              <w:snapToGrid w:val="0"/>
              <w:spacing w:line="240" w:lineRule="auto"/>
              <w:jc w:val="center"/>
              <w:rPr>
                <w:color w:val="auto"/>
                <w:szCs w:val="18"/>
              </w:rPr>
            </w:pPr>
            <w:r w:rsidRPr="009E66BF">
              <w:rPr>
                <w:i/>
                <w:iCs/>
                <w:color w:val="auto"/>
                <w:szCs w:val="18"/>
              </w:rPr>
              <w:sym w:font="Symbol" w:char="F044"/>
            </w:r>
            <w:r w:rsidRPr="009E66BF">
              <w:rPr>
                <w:i/>
                <w:iCs/>
                <w:color w:val="auto"/>
                <w:szCs w:val="18"/>
              </w:rPr>
              <w:t>R</w:t>
            </w:r>
            <w:r w:rsidRPr="009E66BF">
              <w:rPr>
                <w:i/>
                <w:iCs/>
                <w:color w:val="auto"/>
                <w:szCs w:val="18"/>
                <w:vertAlign w:val="superscript"/>
              </w:rPr>
              <w:t>2</w:t>
            </w:r>
            <w:r w:rsidRPr="009E66BF">
              <w:rPr>
                <w:color w:val="auto"/>
                <w:szCs w:val="18"/>
              </w:rPr>
              <w:t xml:space="preserve"> = </w:t>
            </w:r>
            <w:r w:rsidR="00574BF3" w:rsidRPr="009E66BF">
              <w:rPr>
                <w:color w:val="auto"/>
                <w:szCs w:val="18"/>
              </w:rPr>
              <w:t>0</w:t>
            </w:r>
            <w:r w:rsidRPr="009E66BF">
              <w:rPr>
                <w:color w:val="auto"/>
                <w:szCs w:val="18"/>
              </w:rPr>
              <w:t xml:space="preserve">.24, </w:t>
            </w:r>
            <w:r w:rsidRPr="009E66BF">
              <w:rPr>
                <w:i/>
                <w:iCs/>
                <w:color w:val="auto"/>
                <w:szCs w:val="18"/>
              </w:rPr>
              <w:sym w:font="Symbol" w:char="F044"/>
            </w:r>
            <w:r w:rsidRPr="009E66BF">
              <w:rPr>
                <w:i/>
                <w:iCs/>
                <w:color w:val="auto"/>
                <w:szCs w:val="18"/>
              </w:rPr>
              <w:t>F</w:t>
            </w:r>
            <w:r w:rsidRPr="009E66BF">
              <w:rPr>
                <w:color w:val="auto"/>
                <w:szCs w:val="18"/>
              </w:rPr>
              <w:t xml:space="preserve"> = 3.64, </w:t>
            </w:r>
            <w:r w:rsidRPr="009E66BF">
              <w:rPr>
                <w:i/>
                <w:iCs/>
                <w:color w:val="auto"/>
                <w:szCs w:val="18"/>
              </w:rPr>
              <w:t>p</w:t>
            </w:r>
            <w:r w:rsidRPr="009E66BF">
              <w:rPr>
                <w:color w:val="auto"/>
                <w:szCs w:val="18"/>
              </w:rPr>
              <w:t xml:space="preserve"> =</w:t>
            </w:r>
            <w:r w:rsidR="008B3F57" w:rsidRPr="009E66BF">
              <w:rPr>
                <w:color w:val="auto"/>
                <w:szCs w:val="18"/>
              </w:rPr>
              <w:t xml:space="preserve"> 0.</w:t>
            </w:r>
            <w:r w:rsidRPr="009E66BF">
              <w:rPr>
                <w:color w:val="auto"/>
                <w:szCs w:val="18"/>
              </w:rPr>
              <w:t>027</w:t>
            </w:r>
          </w:p>
        </w:tc>
        <w:tc>
          <w:tcPr>
            <w:tcW w:w="1169" w:type="pct"/>
            <w:gridSpan w:val="5"/>
            <w:tcBorders>
              <w:top w:val="single" w:sz="4" w:space="0" w:color="auto"/>
            </w:tcBorders>
            <w:shd w:val="clear" w:color="auto" w:fill="FFFFFF" w:themeFill="background1"/>
            <w:vAlign w:val="center"/>
          </w:tcPr>
          <w:p w14:paraId="3EE63B38" w14:textId="1D49D6DF" w:rsidR="00630D0F" w:rsidRPr="009E66BF" w:rsidRDefault="00630D0F" w:rsidP="000504C8">
            <w:pPr>
              <w:autoSpaceDE w:val="0"/>
              <w:autoSpaceDN w:val="0"/>
              <w:adjustRightInd w:val="0"/>
              <w:snapToGrid w:val="0"/>
              <w:spacing w:line="240" w:lineRule="auto"/>
              <w:jc w:val="center"/>
              <w:rPr>
                <w:i/>
                <w:iCs/>
                <w:color w:val="auto"/>
                <w:szCs w:val="18"/>
              </w:rPr>
            </w:pPr>
            <w:r w:rsidRPr="009E66BF">
              <w:rPr>
                <w:i/>
                <w:iCs/>
                <w:color w:val="auto"/>
                <w:szCs w:val="18"/>
              </w:rPr>
              <w:sym w:font="Symbol" w:char="F044"/>
            </w:r>
            <w:r w:rsidRPr="009E66BF">
              <w:rPr>
                <w:i/>
                <w:iCs/>
                <w:color w:val="auto"/>
                <w:szCs w:val="18"/>
              </w:rPr>
              <w:t>R</w:t>
            </w:r>
            <w:r w:rsidRPr="009E66BF">
              <w:rPr>
                <w:i/>
                <w:iCs/>
                <w:color w:val="auto"/>
                <w:szCs w:val="18"/>
                <w:vertAlign w:val="superscript"/>
              </w:rPr>
              <w:t>2</w:t>
            </w:r>
            <w:r w:rsidRPr="009E66BF">
              <w:rPr>
                <w:color w:val="auto"/>
                <w:szCs w:val="18"/>
              </w:rPr>
              <w:t xml:space="preserve"> =</w:t>
            </w:r>
            <w:r w:rsidR="008B3F57" w:rsidRPr="009E66BF">
              <w:rPr>
                <w:color w:val="auto"/>
                <w:szCs w:val="18"/>
              </w:rPr>
              <w:t xml:space="preserve"> 0.</w:t>
            </w:r>
            <w:r w:rsidRPr="009E66BF">
              <w:rPr>
                <w:color w:val="auto"/>
                <w:szCs w:val="18"/>
              </w:rPr>
              <w:t xml:space="preserve">05, </w:t>
            </w:r>
            <w:r w:rsidRPr="009E66BF">
              <w:rPr>
                <w:i/>
                <w:iCs/>
                <w:color w:val="auto"/>
                <w:szCs w:val="18"/>
              </w:rPr>
              <w:sym w:font="Symbol" w:char="F044"/>
            </w:r>
            <w:r w:rsidRPr="009E66BF">
              <w:rPr>
                <w:i/>
                <w:iCs/>
                <w:color w:val="auto"/>
                <w:szCs w:val="18"/>
              </w:rPr>
              <w:t>F</w:t>
            </w:r>
            <w:r w:rsidRPr="009E66BF">
              <w:rPr>
                <w:color w:val="auto"/>
                <w:szCs w:val="18"/>
              </w:rPr>
              <w:t xml:space="preserve"> = 4.55, </w:t>
            </w:r>
            <w:r w:rsidRPr="009E66BF">
              <w:rPr>
                <w:i/>
                <w:iCs/>
                <w:color w:val="auto"/>
                <w:szCs w:val="18"/>
              </w:rPr>
              <w:t>p</w:t>
            </w:r>
            <w:r w:rsidRPr="009E66BF">
              <w:rPr>
                <w:color w:val="auto"/>
                <w:szCs w:val="18"/>
              </w:rPr>
              <w:t xml:space="preserve"> =</w:t>
            </w:r>
            <w:r w:rsidR="008B3F57" w:rsidRPr="009E66BF">
              <w:rPr>
                <w:color w:val="auto"/>
                <w:szCs w:val="18"/>
              </w:rPr>
              <w:t xml:space="preserve"> 0.</w:t>
            </w:r>
            <w:r w:rsidRPr="009E66BF">
              <w:rPr>
                <w:color w:val="auto"/>
                <w:szCs w:val="18"/>
              </w:rPr>
              <w:t>012</w:t>
            </w:r>
          </w:p>
        </w:tc>
        <w:tc>
          <w:tcPr>
            <w:tcW w:w="1190" w:type="pct"/>
            <w:gridSpan w:val="5"/>
            <w:tcBorders>
              <w:top w:val="single" w:sz="4" w:space="0" w:color="auto"/>
            </w:tcBorders>
            <w:shd w:val="clear" w:color="auto" w:fill="FFFFFF" w:themeFill="background1"/>
            <w:vAlign w:val="center"/>
          </w:tcPr>
          <w:p w14:paraId="217AB1C1" w14:textId="6E83EBA5" w:rsidR="00630D0F" w:rsidRPr="009E66BF" w:rsidRDefault="00630D0F" w:rsidP="000504C8">
            <w:pPr>
              <w:autoSpaceDE w:val="0"/>
              <w:autoSpaceDN w:val="0"/>
              <w:adjustRightInd w:val="0"/>
              <w:snapToGrid w:val="0"/>
              <w:spacing w:line="240" w:lineRule="auto"/>
              <w:jc w:val="center"/>
              <w:rPr>
                <w:i/>
                <w:iCs/>
                <w:color w:val="auto"/>
                <w:szCs w:val="18"/>
              </w:rPr>
            </w:pPr>
            <w:r w:rsidRPr="009E66BF">
              <w:rPr>
                <w:i/>
                <w:iCs/>
                <w:color w:val="auto"/>
                <w:szCs w:val="18"/>
              </w:rPr>
              <w:sym w:font="Symbol" w:char="F044"/>
            </w:r>
            <w:r w:rsidRPr="009E66BF">
              <w:rPr>
                <w:i/>
                <w:iCs/>
                <w:color w:val="auto"/>
                <w:szCs w:val="18"/>
              </w:rPr>
              <w:t>R</w:t>
            </w:r>
            <w:r w:rsidRPr="009E66BF">
              <w:rPr>
                <w:i/>
                <w:iCs/>
                <w:color w:val="auto"/>
                <w:szCs w:val="18"/>
                <w:vertAlign w:val="superscript"/>
              </w:rPr>
              <w:t>2</w:t>
            </w:r>
            <w:r w:rsidRPr="009E66BF">
              <w:rPr>
                <w:color w:val="auto"/>
                <w:szCs w:val="18"/>
              </w:rPr>
              <w:t xml:space="preserve"> =</w:t>
            </w:r>
            <w:r w:rsidR="008B3F57" w:rsidRPr="009E66BF">
              <w:rPr>
                <w:color w:val="auto"/>
                <w:szCs w:val="18"/>
              </w:rPr>
              <w:t xml:space="preserve"> 0.</w:t>
            </w:r>
            <w:r w:rsidRPr="009E66BF">
              <w:rPr>
                <w:color w:val="auto"/>
                <w:szCs w:val="18"/>
              </w:rPr>
              <w:t xml:space="preserve">06, </w:t>
            </w:r>
            <w:r w:rsidRPr="009E66BF">
              <w:rPr>
                <w:i/>
                <w:iCs/>
                <w:color w:val="auto"/>
                <w:szCs w:val="18"/>
              </w:rPr>
              <w:sym w:font="Symbol" w:char="F044"/>
            </w:r>
            <w:r w:rsidRPr="009E66BF">
              <w:rPr>
                <w:i/>
                <w:iCs/>
                <w:color w:val="auto"/>
                <w:szCs w:val="18"/>
              </w:rPr>
              <w:t>F</w:t>
            </w:r>
            <w:r w:rsidRPr="009E66BF">
              <w:rPr>
                <w:color w:val="auto"/>
                <w:szCs w:val="18"/>
              </w:rPr>
              <w:t xml:space="preserve"> = 4.21, </w:t>
            </w:r>
            <w:r w:rsidRPr="009E66BF">
              <w:rPr>
                <w:i/>
                <w:iCs/>
                <w:color w:val="auto"/>
                <w:szCs w:val="18"/>
              </w:rPr>
              <w:t>p</w:t>
            </w:r>
            <w:r w:rsidRPr="009E66BF">
              <w:rPr>
                <w:color w:val="auto"/>
                <w:szCs w:val="18"/>
              </w:rPr>
              <w:t xml:space="preserve"> =</w:t>
            </w:r>
            <w:r w:rsidR="008B3F57" w:rsidRPr="009E66BF">
              <w:rPr>
                <w:color w:val="auto"/>
                <w:szCs w:val="18"/>
              </w:rPr>
              <w:t xml:space="preserve"> 0.</w:t>
            </w:r>
            <w:r w:rsidRPr="009E66BF">
              <w:rPr>
                <w:color w:val="auto"/>
                <w:szCs w:val="18"/>
              </w:rPr>
              <w:t>017</w:t>
            </w:r>
          </w:p>
        </w:tc>
        <w:tc>
          <w:tcPr>
            <w:tcW w:w="1165" w:type="pct"/>
            <w:gridSpan w:val="5"/>
            <w:tcBorders>
              <w:top w:val="single" w:sz="4" w:space="0" w:color="auto"/>
            </w:tcBorders>
            <w:shd w:val="clear" w:color="auto" w:fill="FFFFFF" w:themeFill="background1"/>
            <w:vAlign w:val="center"/>
          </w:tcPr>
          <w:p w14:paraId="7B020DDB" w14:textId="126DC3D8" w:rsidR="00630D0F" w:rsidRPr="009E66BF" w:rsidRDefault="00630D0F" w:rsidP="000504C8">
            <w:pPr>
              <w:autoSpaceDE w:val="0"/>
              <w:autoSpaceDN w:val="0"/>
              <w:adjustRightInd w:val="0"/>
              <w:snapToGrid w:val="0"/>
              <w:spacing w:line="240" w:lineRule="auto"/>
              <w:jc w:val="center"/>
              <w:rPr>
                <w:i/>
                <w:iCs/>
                <w:color w:val="auto"/>
                <w:szCs w:val="18"/>
              </w:rPr>
            </w:pPr>
            <w:r w:rsidRPr="009E66BF">
              <w:rPr>
                <w:i/>
                <w:iCs/>
                <w:color w:val="auto"/>
                <w:szCs w:val="18"/>
              </w:rPr>
              <w:sym w:font="Symbol" w:char="F044"/>
            </w:r>
            <w:r w:rsidRPr="009E66BF">
              <w:rPr>
                <w:i/>
                <w:iCs/>
                <w:color w:val="auto"/>
                <w:szCs w:val="18"/>
              </w:rPr>
              <w:t>R</w:t>
            </w:r>
            <w:r w:rsidRPr="009E66BF">
              <w:rPr>
                <w:i/>
                <w:iCs/>
                <w:color w:val="auto"/>
                <w:szCs w:val="18"/>
                <w:vertAlign w:val="superscript"/>
              </w:rPr>
              <w:t>2</w:t>
            </w:r>
            <w:r w:rsidRPr="009E66BF">
              <w:rPr>
                <w:color w:val="auto"/>
                <w:szCs w:val="18"/>
              </w:rPr>
              <w:t xml:space="preserve"> =</w:t>
            </w:r>
            <w:r w:rsidR="008B3F57" w:rsidRPr="009E66BF">
              <w:rPr>
                <w:color w:val="auto"/>
                <w:szCs w:val="18"/>
              </w:rPr>
              <w:t xml:space="preserve"> 0.</w:t>
            </w:r>
            <w:r w:rsidRPr="009E66BF">
              <w:rPr>
                <w:color w:val="auto"/>
                <w:szCs w:val="18"/>
              </w:rPr>
              <w:t xml:space="preserve">03, </w:t>
            </w:r>
            <w:r w:rsidRPr="009E66BF">
              <w:rPr>
                <w:i/>
                <w:iCs/>
                <w:color w:val="auto"/>
                <w:szCs w:val="18"/>
              </w:rPr>
              <w:sym w:font="Symbol" w:char="F044"/>
            </w:r>
            <w:r w:rsidRPr="009E66BF">
              <w:rPr>
                <w:i/>
                <w:iCs/>
                <w:color w:val="auto"/>
                <w:szCs w:val="18"/>
              </w:rPr>
              <w:t>F</w:t>
            </w:r>
            <w:r w:rsidRPr="009E66BF">
              <w:rPr>
                <w:color w:val="auto"/>
                <w:szCs w:val="18"/>
              </w:rPr>
              <w:t xml:space="preserve"> = 1.57, </w:t>
            </w:r>
            <w:r w:rsidRPr="009E66BF">
              <w:rPr>
                <w:i/>
                <w:iCs/>
                <w:color w:val="auto"/>
                <w:szCs w:val="18"/>
              </w:rPr>
              <w:t>p</w:t>
            </w:r>
            <w:r w:rsidRPr="009E66BF">
              <w:rPr>
                <w:color w:val="auto"/>
                <w:szCs w:val="18"/>
              </w:rPr>
              <w:t xml:space="preserve"> =</w:t>
            </w:r>
            <w:r w:rsidR="008B3F57" w:rsidRPr="009E66BF">
              <w:rPr>
                <w:color w:val="auto"/>
                <w:szCs w:val="18"/>
              </w:rPr>
              <w:t xml:space="preserve"> 0.</w:t>
            </w:r>
            <w:r w:rsidRPr="009E66BF">
              <w:rPr>
                <w:color w:val="auto"/>
                <w:szCs w:val="18"/>
              </w:rPr>
              <w:t>213</w:t>
            </w:r>
          </w:p>
        </w:tc>
      </w:tr>
      <w:tr w:rsidR="000504C8" w:rsidRPr="009E66BF" w14:paraId="0EBC6BC7" w14:textId="77777777" w:rsidTr="009E66BF">
        <w:trPr>
          <w:cantSplit/>
          <w:jc w:val="center"/>
        </w:trPr>
        <w:tc>
          <w:tcPr>
            <w:tcW w:w="313" w:type="pct"/>
            <w:shd w:val="clear" w:color="auto" w:fill="FFFFFF" w:themeFill="background1"/>
            <w:vAlign w:val="center"/>
          </w:tcPr>
          <w:p w14:paraId="0FCB720A" w14:textId="77777777" w:rsidR="00630D0F" w:rsidRPr="009E66BF" w:rsidRDefault="00630D0F" w:rsidP="000504C8">
            <w:pPr>
              <w:autoSpaceDE w:val="0"/>
              <w:autoSpaceDN w:val="0"/>
              <w:adjustRightInd w:val="0"/>
              <w:snapToGrid w:val="0"/>
              <w:spacing w:line="240" w:lineRule="auto"/>
              <w:jc w:val="center"/>
              <w:rPr>
                <w:color w:val="auto"/>
                <w:szCs w:val="18"/>
              </w:rPr>
            </w:pPr>
            <w:r w:rsidRPr="009E66BF">
              <w:rPr>
                <w:color w:val="auto"/>
                <w:szCs w:val="18"/>
              </w:rPr>
              <w:t>Age</w:t>
            </w:r>
          </w:p>
        </w:tc>
        <w:tc>
          <w:tcPr>
            <w:tcW w:w="225" w:type="pct"/>
            <w:shd w:val="clear" w:color="auto" w:fill="FFFFFF" w:themeFill="background1"/>
            <w:vAlign w:val="center"/>
          </w:tcPr>
          <w:p w14:paraId="0AE2AC53" w14:textId="49992060" w:rsidR="00630D0F" w:rsidRPr="009E66BF" w:rsidRDefault="00624EE7" w:rsidP="000504C8">
            <w:pPr>
              <w:autoSpaceDE w:val="0"/>
              <w:autoSpaceDN w:val="0"/>
              <w:adjustRightInd w:val="0"/>
              <w:snapToGrid w:val="0"/>
              <w:spacing w:line="240" w:lineRule="auto"/>
              <w:jc w:val="center"/>
              <w:rPr>
                <w:color w:val="auto"/>
                <w:szCs w:val="18"/>
              </w:rPr>
            </w:pPr>
            <w:r w:rsidRPr="009E66BF">
              <w:rPr>
                <w:color w:val="auto"/>
                <w:szCs w:val="18"/>
              </w:rPr>
              <w:t>0</w:t>
            </w:r>
            <w:r w:rsidR="00630D0F" w:rsidRPr="009E66BF">
              <w:rPr>
                <w:color w:val="auto"/>
                <w:szCs w:val="18"/>
              </w:rPr>
              <w:t>.11</w:t>
            </w:r>
          </w:p>
        </w:tc>
        <w:tc>
          <w:tcPr>
            <w:tcW w:w="238" w:type="pct"/>
            <w:shd w:val="clear" w:color="auto" w:fill="FFFFFF" w:themeFill="background1"/>
            <w:vAlign w:val="center"/>
          </w:tcPr>
          <w:p w14:paraId="34F99297" w14:textId="77777777" w:rsidR="00630D0F" w:rsidRPr="009E66BF" w:rsidRDefault="00630D0F" w:rsidP="000504C8">
            <w:pPr>
              <w:autoSpaceDE w:val="0"/>
              <w:autoSpaceDN w:val="0"/>
              <w:adjustRightInd w:val="0"/>
              <w:snapToGrid w:val="0"/>
              <w:spacing w:line="240" w:lineRule="auto"/>
              <w:jc w:val="center"/>
              <w:rPr>
                <w:color w:val="auto"/>
                <w:szCs w:val="18"/>
              </w:rPr>
            </w:pPr>
            <w:r w:rsidRPr="009E66BF">
              <w:rPr>
                <w:color w:val="auto"/>
                <w:szCs w:val="18"/>
              </w:rPr>
              <w:t>0.07 (0.04)</w:t>
            </w:r>
          </w:p>
        </w:tc>
        <w:tc>
          <w:tcPr>
            <w:tcW w:w="227" w:type="pct"/>
            <w:shd w:val="clear" w:color="auto" w:fill="FFFFFF" w:themeFill="background1"/>
            <w:vAlign w:val="center"/>
          </w:tcPr>
          <w:p w14:paraId="65798BA9" w14:textId="76A67482" w:rsidR="00630D0F" w:rsidRPr="009E66BF" w:rsidRDefault="006255D2" w:rsidP="000504C8">
            <w:pPr>
              <w:autoSpaceDE w:val="0"/>
              <w:autoSpaceDN w:val="0"/>
              <w:adjustRightInd w:val="0"/>
              <w:snapToGrid w:val="0"/>
              <w:spacing w:line="240" w:lineRule="auto"/>
              <w:jc w:val="center"/>
              <w:rPr>
                <w:color w:val="auto"/>
                <w:szCs w:val="18"/>
              </w:rPr>
            </w:pPr>
            <w:r w:rsidRPr="009E66BF">
              <w:rPr>
                <w:color w:val="auto"/>
                <w:szCs w:val="18"/>
              </w:rPr>
              <w:t>−</w:t>
            </w:r>
            <w:r w:rsidR="00630D0F" w:rsidRPr="009E66BF">
              <w:rPr>
                <w:color w:val="auto"/>
                <w:szCs w:val="18"/>
              </w:rPr>
              <w:t>0.00, 0.15</w:t>
            </w:r>
          </w:p>
        </w:tc>
        <w:tc>
          <w:tcPr>
            <w:tcW w:w="228" w:type="pct"/>
            <w:shd w:val="clear" w:color="auto" w:fill="FFFFFF" w:themeFill="background1"/>
            <w:vAlign w:val="center"/>
          </w:tcPr>
          <w:p w14:paraId="02EFC650" w14:textId="77777777" w:rsidR="00630D0F" w:rsidRPr="009E66BF" w:rsidRDefault="00630D0F" w:rsidP="000504C8">
            <w:pPr>
              <w:autoSpaceDE w:val="0"/>
              <w:autoSpaceDN w:val="0"/>
              <w:adjustRightInd w:val="0"/>
              <w:snapToGrid w:val="0"/>
              <w:spacing w:line="240" w:lineRule="auto"/>
              <w:jc w:val="center"/>
              <w:rPr>
                <w:color w:val="auto"/>
                <w:szCs w:val="18"/>
              </w:rPr>
            </w:pPr>
            <w:r w:rsidRPr="009E66BF">
              <w:rPr>
                <w:color w:val="auto"/>
                <w:szCs w:val="18"/>
              </w:rPr>
              <w:t>1.81</w:t>
            </w:r>
          </w:p>
        </w:tc>
        <w:tc>
          <w:tcPr>
            <w:tcW w:w="245" w:type="pct"/>
            <w:shd w:val="clear" w:color="auto" w:fill="FFFFFF" w:themeFill="background1"/>
            <w:vAlign w:val="center"/>
          </w:tcPr>
          <w:p w14:paraId="43979E77" w14:textId="447DAE48" w:rsidR="00630D0F" w:rsidRPr="009E66BF" w:rsidRDefault="00624EE7" w:rsidP="000504C8">
            <w:pPr>
              <w:autoSpaceDE w:val="0"/>
              <w:autoSpaceDN w:val="0"/>
              <w:adjustRightInd w:val="0"/>
              <w:snapToGrid w:val="0"/>
              <w:spacing w:line="240" w:lineRule="auto"/>
              <w:jc w:val="center"/>
              <w:rPr>
                <w:color w:val="auto"/>
                <w:szCs w:val="18"/>
              </w:rPr>
            </w:pPr>
            <w:r w:rsidRPr="009E66BF">
              <w:rPr>
                <w:color w:val="auto"/>
                <w:szCs w:val="18"/>
              </w:rPr>
              <w:t>0</w:t>
            </w:r>
            <w:r w:rsidR="00630D0F" w:rsidRPr="009E66BF">
              <w:rPr>
                <w:color w:val="auto"/>
                <w:szCs w:val="18"/>
              </w:rPr>
              <w:t>.071</w:t>
            </w:r>
          </w:p>
        </w:tc>
        <w:tc>
          <w:tcPr>
            <w:tcW w:w="194" w:type="pct"/>
            <w:shd w:val="clear" w:color="auto" w:fill="FFFFFF" w:themeFill="background1"/>
            <w:vAlign w:val="center"/>
          </w:tcPr>
          <w:p w14:paraId="2AA705F0" w14:textId="2493DE91" w:rsidR="00630D0F" w:rsidRPr="009E66BF" w:rsidRDefault="00624EE7" w:rsidP="000504C8">
            <w:pPr>
              <w:autoSpaceDE w:val="0"/>
              <w:autoSpaceDN w:val="0"/>
              <w:adjustRightInd w:val="0"/>
              <w:snapToGrid w:val="0"/>
              <w:spacing w:line="240" w:lineRule="auto"/>
              <w:jc w:val="center"/>
              <w:rPr>
                <w:color w:val="auto"/>
                <w:szCs w:val="18"/>
              </w:rPr>
            </w:pPr>
            <w:r w:rsidRPr="009E66BF">
              <w:rPr>
                <w:color w:val="auto"/>
                <w:szCs w:val="18"/>
              </w:rPr>
              <w:t>0</w:t>
            </w:r>
            <w:r w:rsidR="00630D0F" w:rsidRPr="009E66BF">
              <w:rPr>
                <w:color w:val="auto"/>
                <w:szCs w:val="18"/>
              </w:rPr>
              <w:t>.16</w:t>
            </w:r>
          </w:p>
        </w:tc>
        <w:tc>
          <w:tcPr>
            <w:tcW w:w="249" w:type="pct"/>
            <w:shd w:val="clear" w:color="auto" w:fill="FFFFFF" w:themeFill="background1"/>
            <w:vAlign w:val="center"/>
          </w:tcPr>
          <w:p w14:paraId="649B9656" w14:textId="77777777" w:rsidR="00630D0F" w:rsidRPr="009E66BF" w:rsidRDefault="00630D0F" w:rsidP="000504C8">
            <w:pPr>
              <w:autoSpaceDE w:val="0"/>
              <w:autoSpaceDN w:val="0"/>
              <w:adjustRightInd w:val="0"/>
              <w:snapToGrid w:val="0"/>
              <w:spacing w:line="240" w:lineRule="auto"/>
              <w:jc w:val="center"/>
              <w:rPr>
                <w:color w:val="auto"/>
                <w:szCs w:val="18"/>
              </w:rPr>
            </w:pPr>
            <w:r w:rsidRPr="009E66BF">
              <w:rPr>
                <w:color w:val="auto"/>
                <w:szCs w:val="18"/>
              </w:rPr>
              <w:t>0.10 (0.05)</w:t>
            </w:r>
          </w:p>
        </w:tc>
        <w:tc>
          <w:tcPr>
            <w:tcW w:w="249" w:type="pct"/>
            <w:shd w:val="clear" w:color="auto" w:fill="FFFFFF" w:themeFill="background1"/>
            <w:vAlign w:val="center"/>
          </w:tcPr>
          <w:p w14:paraId="3FE34C64" w14:textId="77777777" w:rsidR="00630D0F" w:rsidRPr="009E66BF" w:rsidRDefault="00630D0F" w:rsidP="000504C8">
            <w:pPr>
              <w:autoSpaceDE w:val="0"/>
              <w:autoSpaceDN w:val="0"/>
              <w:adjustRightInd w:val="0"/>
              <w:snapToGrid w:val="0"/>
              <w:spacing w:line="240" w:lineRule="auto"/>
              <w:jc w:val="center"/>
              <w:rPr>
                <w:color w:val="auto"/>
                <w:szCs w:val="18"/>
              </w:rPr>
            </w:pPr>
            <w:r w:rsidRPr="009E66BF">
              <w:rPr>
                <w:color w:val="auto"/>
                <w:szCs w:val="18"/>
              </w:rPr>
              <w:t>0.01, 0.19</w:t>
            </w:r>
          </w:p>
        </w:tc>
        <w:tc>
          <w:tcPr>
            <w:tcW w:w="231" w:type="pct"/>
            <w:shd w:val="clear" w:color="auto" w:fill="FFFFFF" w:themeFill="background1"/>
            <w:vAlign w:val="center"/>
          </w:tcPr>
          <w:p w14:paraId="0DF6686E" w14:textId="77777777" w:rsidR="00630D0F" w:rsidRPr="009E66BF" w:rsidRDefault="00630D0F" w:rsidP="000504C8">
            <w:pPr>
              <w:autoSpaceDE w:val="0"/>
              <w:autoSpaceDN w:val="0"/>
              <w:adjustRightInd w:val="0"/>
              <w:snapToGrid w:val="0"/>
              <w:spacing w:line="240" w:lineRule="auto"/>
              <w:jc w:val="center"/>
              <w:rPr>
                <w:color w:val="auto"/>
                <w:szCs w:val="18"/>
              </w:rPr>
            </w:pPr>
            <w:r w:rsidRPr="009E66BF">
              <w:rPr>
                <w:color w:val="auto"/>
                <w:szCs w:val="18"/>
              </w:rPr>
              <w:t>2.12</w:t>
            </w:r>
          </w:p>
        </w:tc>
        <w:tc>
          <w:tcPr>
            <w:tcW w:w="246" w:type="pct"/>
            <w:shd w:val="clear" w:color="auto" w:fill="FFFFFF" w:themeFill="background1"/>
            <w:vAlign w:val="center"/>
          </w:tcPr>
          <w:p w14:paraId="4110FE1B" w14:textId="27C58735" w:rsidR="00630D0F" w:rsidRPr="009E66BF" w:rsidRDefault="00CE3392" w:rsidP="000504C8">
            <w:pPr>
              <w:autoSpaceDE w:val="0"/>
              <w:autoSpaceDN w:val="0"/>
              <w:adjustRightInd w:val="0"/>
              <w:snapToGrid w:val="0"/>
              <w:spacing w:line="240" w:lineRule="auto"/>
              <w:jc w:val="center"/>
              <w:rPr>
                <w:color w:val="auto"/>
                <w:szCs w:val="18"/>
              </w:rPr>
            </w:pPr>
            <w:r w:rsidRPr="009E66BF">
              <w:rPr>
                <w:color w:val="auto"/>
                <w:szCs w:val="18"/>
              </w:rPr>
              <w:t>0</w:t>
            </w:r>
            <w:r w:rsidR="00630D0F" w:rsidRPr="009E66BF">
              <w:rPr>
                <w:color w:val="auto"/>
                <w:szCs w:val="18"/>
              </w:rPr>
              <w:t>.035</w:t>
            </w:r>
          </w:p>
        </w:tc>
        <w:tc>
          <w:tcPr>
            <w:tcW w:w="194" w:type="pct"/>
            <w:shd w:val="clear" w:color="auto" w:fill="FFFFFF" w:themeFill="background1"/>
            <w:vAlign w:val="center"/>
          </w:tcPr>
          <w:p w14:paraId="43F129D9" w14:textId="5FE0BAF8" w:rsidR="00630D0F" w:rsidRPr="009E66BF" w:rsidRDefault="00CE3392" w:rsidP="000504C8">
            <w:pPr>
              <w:autoSpaceDE w:val="0"/>
              <w:autoSpaceDN w:val="0"/>
              <w:adjustRightInd w:val="0"/>
              <w:snapToGrid w:val="0"/>
              <w:spacing w:line="240" w:lineRule="auto"/>
              <w:jc w:val="center"/>
              <w:rPr>
                <w:color w:val="auto"/>
                <w:szCs w:val="18"/>
              </w:rPr>
            </w:pPr>
            <w:r w:rsidRPr="009E66BF">
              <w:rPr>
                <w:color w:val="auto"/>
                <w:szCs w:val="18"/>
              </w:rPr>
              <w:t>0</w:t>
            </w:r>
            <w:r w:rsidR="00630D0F" w:rsidRPr="009E66BF">
              <w:rPr>
                <w:color w:val="auto"/>
                <w:szCs w:val="18"/>
              </w:rPr>
              <w:t>.24</w:t>
            </w:r>
          </w:p>
        </w:tc>
        <w:tc>
          <w:tcPr>
            <w:tcW w:w="278" w:type="pct"/>
            <w:shd w:val="clear" w:color="auto" w:fill="FFFFFF" w:themeFill="background1"/>
            <w:vAlign w:val="center"/>
          </w:tcPr>
          <w:p w14:paraId="15DF5415" w14:textId="77777777" w:rsidR="00630D0F" w:rsidRPr="009E66BF" w:rsidRDefault="00630D0F" w:rsidP="000504C8">
            <w:pPr>
              <w:autoSpaceDE w:val="0"/>
              <w:autoSpaceDN w:val="0"/>
              <w:adjustRightInd w:val="0"/>
              <w:snapToGrid w:val="0"/>
              <w:spacing w:line="240" w:lineRule="auto"/>
              <w:jc w:val="center"/>
              <w:rPr>
                <w:color w:val="auto"/>
                <w:szCs w:val="18"/>
              </w:rPr>
            </w:pPr>
            <w:r w:rsidRPr="009E66BF">
              <w:rPr>
                <w:color w:val="auto"/>
                <w:szCs w:val="18"/>
              </w:rPr>
              <w:t>0.14 (0.05)</w:t>
            </w:r>
          </w:p>
        </w:tc>
        <w:tc>
          <w:tcPr>
            <w:tcW w:w="249" w:type="pct"/>
            <w:shd w:val="clear" w:color="auto" w:fill="FFFFFF" w:themeFill="background1"/>
            <w:vAlign w:val="center"/>
          </w:tcPr>
          <w:p w14:paraId="33A972D6" w14:textId="77777777" w:rsidR="00630D0F" w:rsidRPr="009E66BF" w:rsidRDefault="00630D0F" w:rsidP="000504C8">
            <w:pPr>
              <w:autoSpaceDE w:val="0"/>
              <w:autoSpaceDN w:val="0"/>
              <w:adjustRightInd w:val="0"/>
              <w:snapToGrid w:val="0"/>
              <w:spacing w:line="240" w:lineRule="auto"/>
              <w:jc w:val="center"/>
              <w:rPr>
                <w:color w:val="auto"/>
                <w:szCs w:val="18"/>
              </w:rPr>
            </w:pPr>
            <w:r w:rsidRPr="009E66BF">
              <w:rPr>
                <w:color w:val="auto"/>
                <w:szCs w:val="18"/>
              </w:rPr>
              <w:t>0.04, 0.24</w:t>
            </w:r>
          </w:p>
        </w:tc>
        <w:tc>
          <w:tcPr>
            <w:tcW w:w="231" w:type="pct"/>
            <w:shd w:val="clear" w:color="auto" w:fill="FFFFFF" w:themeFill="background1"/>
            <w:vAlign w:val="center"/>
          </w:tcPr>
          <w:p w14:paraId="06A740FB" w14:textId="77777777" w:rsidR="00630D0F" w:rsidRPr="009E66BF" w:rsidRDefault="00630D0F" w:rsidP="000504C8">
            <w:pPr>
              <w:autoSpaceDE w:val="0"/>
              <w:autoSpaceDN w:val="0"/>
              <w:adjustRightInd w:val="0"/>
              <w:snapToGrid w:val="0"/>
              <w:spacing w:line="240" w:lineRule="auto"/>
              <w:jc w:val="center"/>
              <w:rPr>
                <w:color w:val="auto"/>
                <w:szCs w:val="18"/>
              </w:rPr>
            </w:pPr>
            <w:r w:rsidRPr="009E66BF">
              <w:rPr>
                <w:color w:val="auto"/>
                <w:szCs w:val="18"/>
              </w:rPr>
              <w:t>2.84</w:t>
            </w:r>
          </w:p>
        </w:tc>
        <w:tc>
          <w:tcPr>
            <w:tcW w:w="238" w:type="pct"/>
            <w:shd w:val="clear" w:color="auto" w:fill="FFFFFF" w:themeFill="background1"/>
            <w:vAlign w:val="center"/>
          </w:tcPr>
          <w:p w14:paraId="59748A5D" w14:textId="6ADA0D5E" w:rsidR="00630D0F" w:rsidRPr="009E66BF" w:rsidRDefault="00CE3392" w:rsidP="000504C8">
            <w:pPr>
              <w:autoSpaceDE w:val="0"/>
              <w:autoSpaceDN w:val="0"/>
              <w:adjustRightInd w:val="0"/>
              <w:snapToGrid w:val="0"/>
              <w:spacing w:line="240" w:lineRule="auto"/>
              <w:jc w:val="center"/>
              <w:rPr>
                <w:color w:val="auto"/>
                <w:szCs w:val="18"/>
              </w:rPr>
            </w:pPr>
            <w:r w:rsidRPr="009E66BF">
              <w:rPr>
                <w:color w:val="auto"/>
                <w:szCs w:val="18"/>
              </w:rPr>
              <w:t>0</w:t>
            </w:r>
            <w:r w:rsidR="00630D0F" w:rsidRPr="009E66BF">
              <w:rPr>
                <w:color w:val="auto"/>
                <w:szCs w:val="18"/>
              </w:rPr>
              <w:t>.005</w:t>
            </w:r>
          </w:p>
        </w:tc>
        <w:tc>
          <w:tcPr>
            <w:tcW w:w="197" w:type="pct"/>
            <w:shd w:val="clear" w:color="auto" w:fill="FFFFFF" w:themeFill="background1"/>
            <w:vAlign w:val="center"/>
          </w:tcPr>
          <w:p w14:paraId="66ECFFED" w14:textId="4A3FB859" w:rsidR="00630D0F" w:rsidRPr="009E66BF" w:rsidRDefault="00CE3392" w:rsidP="000504C8">
            <w:pPr>
              <w:autoSpaceDE w:val="0"/>
              <w:autoSpaceDN w:val="0"/>
              <w:adjustRightInd w:val="0"/>
              <w:snapToGrid w:val="0"/>
              <w:spacing w:line="240" w:lineRule="auto"/>
              <w:jc w:val="center"/>
              <w:rPr>
                <w:color w:val="auto"/>
                <w:szCs w:val="18"/>
              </w:rPr>
            </w:pPr>
            <w:r w:rsidRPr="009E66BF">
              <w:rPr>
                <w:color w:val="auto"/>
                <w:szCs w:val="18"/>
              </w:rPr>
              <w:t>0</w:t>
            </w:r>
            <w:r w:rsidR="00630D0F" w:rsidRPr="009E66BF">
              <w:rPr>
                <w:color w:val="auto"/>
                <w:szCs w:val="18"/>
              </w:rPr>
              <w:t>.13</w:t>
            </w:r>
          </w:p>
        </w:tc>
        <w:tc>
          <w:tcPr>
            <w:tcW w:w="243" w:type="pct"/>
            <w:shd w:val="clear" w:color="auto" w:fill="FFFFFF" w:themeFill="background1"/>
            <w:vAlign w:val="center"/>
          </w:tcPr>
          <w:p w14:paraId="2D2327C0" w14:textId="77777777" w:rsidR="00630D0F" w:rsidRPr="009E66BF" w:rsidRDefault="00630D0F" w:rsidP="000504C8">
            <w:pPr>
              <w:autoSpaceDE w:val="0"/>
              <w:autoSpaceDN w:val="0"/>
              <w:adjustRightInd w:val="0"/>
              <w:snapToGrid w:val="0"/>
              <w:spacing w:line="240" w:lineRule="auto"/>
              <w:jc w:val="center"/>
              <w:rPr>
                <w:color w:val="auto"/>
                <w:szCs w:val="18"/>
              </w:rPr>
            </w:pPr>
            <w:r w:rsidRPr="009E66BF">
              <w:rPr>
                <w:color w:val="auto"/>
                <w:szCs w:val="18"/>
              </w:rPr>
              <w:t>0.08 (0.06)</w:t>
            </w:r>
          </w:p>
        </w:tc>
        <w:tc>
          <w:tcPr>
            <w:tcW w:w="214" w:type="pct"/>
            <w:shd w:val="clear" w:color="auto" w:fill="FFFFFF" w:themeFill="background1"/>
            <w:vAlign w:val="center"/>
          </w:tcPr>
          <w:p w14:paraId="38B8C5DF" w14:textId="5CE65A4B" w:rsidR="00630D0F" w:rsidRPr="009E66BF" w:rsidRDefault="006255D2" w:rsidP="000504C8">
            <w:pPr>
              <w:autoSpaceDE w:val="0"/>
              <w:autoSpaceDN w:val="0"/>
              <w:adjustRightInd w:val="0"/>
              <w:snapToGrid w:val="0"/>
              <w:spacing w:line="240" w:lineRule="auto"/>
              <w:jc w:val="center"/>
              <w:rPr>
                <w:color w:val="auto"/>
                <w:szCs w:val="18"/>
              </w:rPr>
            </w:pPr>
            <w:r w:rsidRPr="009E66BF">
              <w:rPr>
                <w:color w:val="auto"/>
                <w:szCs w:val="18"/>
              </w:rPr>
              <w:t>−</w:t>
            </w:r>
            <w:r w:rsidR="00630D0F" w:rsidRPr="009E66BF">
              <w:rPr>
                <w:color w:val="auto"/>
                <w:szCs w:val="18"/>
              </w:rPr>
              <w:t>0.04, 0.20</w:t>
            </w:r>
          </w:p>
        </w:tc>
        <w:tc>
          <w:tcPr>
            <w:tcW w:w="231" w:type="pct"/>
            <w:shd w:val="clear" w:color="auto" w:fill="FFFFFF" w:themeFill="background1"/>
            <w:vAlign w:val="center"/>
          </w:tcPr>
          <w:p w14:paraId="238BBCAD" w14:textId="77777777" w:rsidR="00630D0F" w:rsidRPr="009E66BF" w:rsidRDefault="00630D0F" w:rsidP="000504C8">
            <w:pPr>
              <w:autoSpaceDE w:val="0"/>
              <w:autoSpaceDN w:val="0"/>
              <w:adjustRightInd w:val="0"/>
              <w:snapToGrid w:val="0"/>
              <w:spacing w:line="240" w:lineRule="auto"/>
              <w:jc w:val="center"/>
              <w:rPr>
                <w:color w:val="auto"/>
                <w:szCs w:val="18"/>
              </w:rPr>
            </w:pPr>
            <w:r w:rsidRPr="009E66BF">
              <w:rPr>
                <w:color w:val="auto"/>
                <w:szCs w:val="18"/>
              </w:rPr>
              <w:t>1.39</w:t>
            </w:r>
          </w:p>
        </w:tc>
        <w:tc>
          <w:tcPr>
            <w:tcW w:w="280" w:type="pct"/>
            <w:shd w:val="clear" w:color="auto" w:fill="FFFFFF" w:themeFill="background1"/>
            <w:vAlign w:val="center"/>
          </w:tcPr>
          <w:p w14:paraId="42D20952" w14:textId="38A8F510" w:rsidR="00630D0F" w:rsidRPr="009E66BF" w:rsidRDefault="00400AAD" w:rsidP="000504C8">
            <w:pPr>
              <w:autoSpaceDE w:val="0"/>
              <w:autoSpaceDN w:val="0"/>
              <w:adjustRightInd w:val="0"/>
              <w:snapToGrid w:val="0"/>
              <w:spacing w:line="240" w:lineRule="auto"/>
              <w:jc w:val="center"/>
              <w:rPr>
                <w:color w:val="auto"/>
                <w:szCs w:val="18"/>
              </w:rPr>
            </w:pPr>
            <w:r w:rsidRPr="009E66BF">
              <w:rPr>
                <w:color w:val="auto"/>
                <w:szCs w:val="18"/>
              </w:rPr>
              <w:t>0</w:t>
            </w:r>
            <w:r w:rsidR="00630D0F" w:rsidRPr="009E66BF">
              <w:rPr>
                <w:color w:val="auto"/>
                <w:szCs w:val="18"/>
              </w:rPr>
              <w:t>.169</w:t>
            </w:r>
          </w:p>
        </w:tc>
      </w:tr>
      <w:tr w:rsidR="000504C8" w:rsidRPr="009E66BF" w14:paraId="7622B498" w14:textId="77777777" w:rsidTr="009E66BF">
        <w:trPr>
          <w:cantSplit/>
          <w:jc w:val="center"/>
        </w:trPr>
        <w:tc>
          <w:tcPr>
            <w:tcW w:w="313" w:type="pct"/>
            <w:tcBorders>
              <w:bottom w:val="single" w:sz="4" w:space="0" w:color="auto"/>
            </w:tcBorders>
            <w:shd w:val="clear" w:color="auto" w:fill="FFFFFF" w:themeFill="background1"/>
            <w:vAlign w:val="center"/>
          </w:tcPr>
          <w:p w14:paraId="6D7F74BA" w14:textId="77777777" w:rsidR="00630D0F" w:rsidRPr="009E66BF" w:rsidRDefault="00630D0F" w:rsidP="000504C8">
            <w:pPr>
              <w:autoSpaceDE w:val="0"/>
              <w:autoSpaceDN w:val="0"/>
              <w:adjustRightInd w:val="0"/>
              <w:snapToGrid w:val="0"/>
              <w:spacing w:line="240" w:lineRule="auto"/>
              <w:jc w:val="center"/>
              <w:rPr>
                <w:color w:val="auto"/>
                <w:szCs w:val="18"/>
              </w:rPr>
            </w:pPr>
            <w:r w:rsidRPr="009E66BF">
              <w:rPr>
                <w:color w:val="auto"/>
                <w:szCs w:val="18"/>
              </w:rPr>
              <w:t>Gender</w:t>
            </w:r>
          </w:p>
        </w:tc>
        <w:tc>
          <w:tcPr>
            <w:tcW w:w="225" w:type="pct"/>
            <w:tcBorders>
              <w:bottom w:val="single" w:sz="4" w:space="0" w:color="auto"/>
            </w:tcBorders>
            <w:shd w:val="clear" w:color="auto" w:fill="FFFFFF" w:themeFill="background1"/>
            <w:vAlign w:val="center"/>
          </w:tcPr>
          <w:p w14:paraId="4DADEFB1" w14:textId="32576B50" w:rsidR="00630D0F" w:rsidRPr="009E66BF" w:rsidRDefault="006255D2" w:rsidP="000504C8">
            <w:pPr>
              <w:autoSpaceDE w:val="0"/>
              <w:autoSpaceDN w:val="0"/>
              <w:adjustRightInd w:val="0"/>
              <w:snapToGrid w:val="0"/>
              <w:spacing w:line="240" w:lineRule="auto"/>
              <w:jc w:val="center"/>
              <w:rPr>
                <w:color w:val="auto"/>
                <w:szCs w:val="18"/>
              </w:rPr>
            </w:pPr>
            <w:r w:rsidRPr="009E66BF">
              <w:rPr>
                <w:color w:val="auto"/>
                <w:szCs w:val="18"/>
              </w:rPr>
              <w:t>−</w:t>
            </w:r>
            <w:r w:rsidR="00624EE7" w:rsidRPr="009E66BF">
              <w:rPr>
                <w:color w:val="auto"/>
                <w:szCs w:val="18"/>
              </w:rPr>
              <w:t>0</w:t>
            </w:r>
            <w:r w:rsidR="00630D0F" w:rsidRPr="009E66BF">
              <w:rPr>
                <w:color w:val="auto"/>
                <w:szCs w:val="18"/>
              </w:rPr>
              <w:t>.11</w:t>
            </w:r>
          </w:p>
        </w:tc>
        <w:tc>
          <w:tcPr>
            <w:tcW w:w="238" w:type="pct"/>
            <w:tcBorders>
              <w:bottom w:val="single" w:sz="4" w:space="0" w:color="auto"/>
            </w:tcBorders>
            <w:shd w:val="clear" w:color="auto" w:fill="FFFFFF" w:themeFill="background1"/>
            <w:vAlign w:val="center"/>
          </w:tcPr>
          <w:p w14:paraId="24D13756" w14:textId="08AC6FD1" w:rsidR="00630D0F" w:rsidRPr="009E66BF" w:rsidRDefault="006255D2" w:rsidP="000504C8">
            <w:pPr>
              <w:autoSpaceDE w:val="0"/>
              <w:autoSpaceDN w:val="0"/>
              <w:adjustRightInd w:val="0"/>
              <w:snapToGrid w:val="0"/>
              <w:spacing w:line="240" w:lineRule="auto"/>
              <w:jc w:val="center"/>
              <w:rPr>
                <w:color w:val="auto"/>
                <w:szCs w:val="18"/>
              </w:rPr>
            </w:pPr>
            <w:r w:rsidRPr="009E66BF">
              <w:rPr>
                <w:color w:val="auto"/>
                <w:szCs w:val="18"/>
              </w:rPr>
              <w:t>−</w:t>
            </w:r>
            <w:r w:rsidR="00630D0F" w:rsidRPr="009E66BF">
              <w:rPr>
                <w:color w:val="auto"/>
                <w:szCs w:val="18"/>
              </w:rPr>
              <w:t>2.56 (1.33)</w:t>
            </w:r>
          </w:p>
        </w:tc>
        <w:tc>
          <w:tcPr>
            <w:tcW w:w="227" w:type="pct"/>
            <w:tcBorders>
              <w:bottom w:val="single" w:sz="4" w:space="0" w:color="auto"/>
            </w:tcBorders>
            <w:shd w:val="clear" w:color="auto" w:fill="FFFFFF" w:themeFill="background1"/>
            <w:vAlign w:val="center"/>
          </w:tcPr>
          <w:p w14:paraId="0944B683" w14:textId="240D9160" w:rsidR="00630D0F" w:rsidRPr="009E66BF" w:rsidRDefault="006255D2" w:rsidP="000504C8">
            <w:pPr>
              <w:autoSpaceDE w:val="0"/>
              <w:autoSpaceDN w:val="0"/>
              <w:adjustRightInd w:val="0"/>
              <w:snapToGrid w:val="0"/>
              <w:spacing w:line="240" w:lineRule="auto"/>
              <w:jc w:val="center"/>
              <w:rPr>
                <w:color w:val="auto"/>
                <w:szCs w:val="18"/>
              </w:rPr>
            </w:pPr>
            <w:r w:rsidRPr="009E66BF">
              <w:rPr>
                <w:color w:val="auto"/>
                <w:szCs w:val="18"/>
              </w:rPr>
              <w:t>−</w:t>
            </w:r>
            <w:r w:rsidR="00630D0F" w:rsidRPr="009E66BF">
              <w:rPr>
                <w:color w:val="auto"/>
                <w:szCs w:val="18"/>
              </w:rPr>
              <w:t xml:space="preserve">5.43, </w:t>
            </w:r>
            <w:r w:rsidRPr="009E66BF">
              <w:rPr>
                <w:color w:val="auto"/>
                <w:szCs w:val="18"/>
              </w:rPr>
              <w:t>−</w:t>
            </w:r>
            <w:r w:rsidR="00630D0F" w:rsidRPr="009E66BF">
              <w:rPr>
                <w:color w:val="auto"/>
                <w:szCs w:val="18"/>
              </w:rPr>
              <w:t>0.35</w:t>
            </w:r>
          </w:p>
        </w:tc>
        <w:tc>
          <w:tcPr>
            <w:tcW w:w="228" w:type="pct"/>
            <w:tcBorders>
              <w:bottom w:val="single" w:sz="4" w:space="0" w:color="auto"/>
            </w:tcBorders>
            <w:shd w:val="clear" w:color="auto" w:fill="FFFFFF" w:themeFill="background1"/>
            <w:vAlign w:val="center"/>
          </w:tcPr>
          <w:p w14:paraId="2C1A7205" w14:textId="7EB1D9C8" w:rsidR="00630D0F" w:rsidRPr="009E66BF" w:rsidRDefault="006255D2" w:rsidP="000504C8">
            <w:pPr>
              <w:autoSpaceDE w:val="0"/>
              <w:autoSpaceDN w:val="0"/>
              <w:adjustRightInd w:val="0"/>
              <w:snapToGrid w:val="0"/>
              <w:spacing w:line="240" w:lineRule="auto"/>
              <w:jc w:val="center"/>
              <w:rPr>
                <w:color w:val="auto"/>
                <w:szCs w:val="18"/>
              </w:rPr>
            </w:pPr>
            <w:r w:rsidRPr="009E66BF">
              <w:rPr>
                <w:color w:val="auto"/>
                <w:szCs w:val="18"/>
              </w:rPr>
              <w:t>−</w:t>
            </w:r>
            <w:r w:rsidR="00630D0F" w:rsidRPr="009E66BF">
              <w:rPr>
                <w:color w:val="auto"/>
                <w:szCs w:val="18"/>
              </w:rPr>
              <w:t>1.93</w:t>
            </w:r>
          </w:p>
        </w:tc>
        <w:tc>
          <w:tcPr>
            <w:tcW w:w="245" w:type="pct"/>
            <w:tcBorders>
              <w:bottom w:val="single" w:sz="4" w:space="0" w:color="auto"/>
            </w:tcBorders>
            <w:shd w:val="clear" w:color="auto" w:fill="FFFFFF" w:themeFill="background1"/>
            <w:vAlign w:val="center"/>
          </w:tcPr>
          <w:p w14:paraId="0D94E6A9" w14:textId="448BDBD7" w:rsidR="00630D0F" w:rsidRPr="009E66BF" w:rsidRDefault="00624EE7" w:rsidP="000504C8">
            <w:pPr>
              <w:autoSpaceDE w:val="0"/>
              <w:autoSpaceDN w:val="0"/>
              <w:adjustRightInd w:val="0"/>
              <w:snapToGrid w:val="0"/>
              <w:spacing w:line="240" w:lineRule="auto"/>
              <w:jc w:val="center"/>
              <w:rPr>
                <w:color w:val="auto"/>
                <w:szCs w:val="18"/>
              </w:rPr>
            </w:pPr>
            <w:r w:rsidRPr="009E66BF">
              <w:rPr>
                <w:color w:val="auto"/>
                <w:szCs w:val="18"/>
              </w:rPr>
              <w:t>0</w:t>
            </w:r>
            <w:r w:rsidR="00630D0F" w:rsidRPr="009E66BF">
              <w:rPr>
                <w:color w:val="auto"/>
                <w:szCs w:val="18"/>
              </w:rPr>
              <w:t>.054</w:t>
            </w:r>
          </w:p>
        </w:tc>
        <w:tc>
          <w:tcPr>
            <w:tcW w:w="194" w:type="pct"/>
            <w:tcBorders>
              <w:bottom w:val="single" w:sz="4" w:space="0" w:color="auto"/>
            </w:tcBorders>
            <w:shd w:val="clear" w:color="auto" w:fill="FFFFFF" w:themeFill="background1"/>
            <w:vAlign w:val="center"/>
          </w:tcPr>
          <w:p w14:paraId="2461A7C1" w14:textId="0738F0D8" w:rsidR="00630D0F" w:rsidRPr="009E66BF" w:rsidRDefault="006255D2" w:rsidP="000504C8">
            <w:pPr>
              <w:autoSpaceDE w:val="0"/>
              <w:autoSpaceDN w:val="0"/>
              <w:adjustRightInd w:val="0"/>
              <w:snapToGrid w:val="0"/>
              <w:spacing w:line="240" w:lineRule="auto"/>
              <w:jc w:val="center"/>
              <w:rPr>
                <w:color w:val="auto"/>
                <w:szCs w:val="18"/>
              </w:rPr>
            </w:pPr>
            <w:r w:rsidRPr="009E66BF">
              <w:rPr>
                <w:color w:val="auto"/>
                <w:szCs w:val="18"/>
              </w:rPr>
              <w:t>−</w:t>
            </w:r>
            <w:r w:rsidR="00624EE7" w:rsidRPr="009E66BF">
              <w:rPr>
                <w:color w:val="auto"/>
                <w:szCs w:val="18"/>
              </w:rPr>
              <w:t>0</w:t>
            </w:r>
            <w:r w:rsidR="00630D0F" w:rsidRPr="009E66BF">
              <w:rPr>
                <w:color w:val="auto"/>
                <w:szCs w:val="18"/>
              </w:rPr>
              <w:t>.16</w:t>
            </w:r>
          </w:p>
        </w:tc>
        <w:tc>
          <w:tcPr>
            <w:tcW w:w="249" w:type="pct"/>
            <w:tcBorders>
              <w:bottom w:val="single" w:sz="4" w:space="0" w:color="auto"/>
            </w:tcBorders>
            <w:shd w:val="clear" w:color="auto" w:fill="FFFFFF" w:themeFill="background1"/>
            <w:vAlign w:val="center"/>
          </w:tcPr>
          <w:p w14:paraId="516D6018" w14:textId="7053CE93" w:rsidR="00630D0F" w:rsidRPr="009E66BF" w:rsidRDefault="006255D2" w:rsidP="000504C8">
            <w:pPr>
              <w:autoSpaceDE w:val="0"/>
              <w:autoSpaceDN w:val="0"/>
              <w:adjustRightInd w:val="0"/>
              <w:snapToGrid w:val="0"/>
              <w:spacing w:line="240" w:lineRule="auto"/>
              <w:jc w:val="center"/>
              <w:rPr>
                <w:color w:val="auto"/>
                <w:szCs w:val="18"/>
              </w:rPr>
            </w:pPr>
            <w:r w:rsidRPr="009E66BF">
              <w:rPr>
                <w:color w:val="auto"/>
                <w:szCs w:val="18"/>
              </w:rPr>
              <w:t>−</w:t>
            </w:r>
            <w:r w:rsidR="00630D0F" w:rsidRPr="009E66BF">
              <w:rPr>
                <w:color w:val="auto"/>
                <w:szCs w:val="18"/>
              </w:rPr>
              <w:t>3.90 (1.87)</w:t>
            </w:r>
          </w:p>
        </w:tc>
        <w:tc>
          <w:tcPr>
            <w:tcW w:w="249" w:type="pct"/>
            <w:tcBorders>
              <w:bottom w:val="single" w:sz="4" w:space="0" w:color="auto"/>
            </w:tcBorders>
            <w:shd w:val="clear" w:color="auto" w:fill="FFFFFF" w:themeFill="background1"/>
            <w:vAlign w:val="center"/>
          </w:tcPr>
          <w:p w14:paraId="6C0C4F69" w14:textId="6AD34B9C" w:rsidR="00630D0F" w:rsidRPr="009E66BF" w:rsidRDefault="006255D2" w:rsidP="000504C8">
            <w:pPr>
              <w:autoSpaceDE w:val="0"/>
              <w:autoSpaceDN w:val="0"/>
              <w:adjustRightInd w:val="0"/>
              <w:snapToGrid w:val="0"/>
              <w:spacing w:line="240" w:lineRule="auto"/>
              <w:jc w:val="center"/>
              <w:rPr>
                <w:color w:val="auto"/>
                <w:szCs w:val="18"/>
              </w:rPr>
            </w:pPr>
            <w:r w:rsidRPr="009E66BF">
              <w:rPr>
                <w:color w:val="auto"/>
                <w:szCs w:val="18"/>
              </w:rPr>
              <w:t>−</w:t>
            </w:r>
            <w:r w:rsidR="00630D0F" w:rsidRPr="009E66BF">
              <w:rPr>
                <w:color w:val="auto"/>
                <w:szCs w:val="18"/>
              </w:rPr>
              <w:t xml:space="preserve">7.59, </w:t>
            </w:r>
          </w:p>
          <w:p w14:paraId="2F4F4F0E" w14:textId="2FB0D44B" w:rsidR="00630D0F" w:rsidRPr="009E66BF" w:rsidRDefault="006255D2" w:rsidP="000504C8">
            <w:pPr>
              <w:autoSpaceDE w:val="0"/>
              <w:autoSpaceDN w:val="0"/>
              <w:adjustRightInd w:val="0"/>
              <w:snapToGrid w:val="0"/>
              <w:spacing w:line="240" w:lineRule="auto"/>
              <w:jc w:val="center"/>
              <w:rPr>
                <w:color w:val="auto"/>
                <w:szCs w:val="18"/>
              </w:rPr>
            </w:pPr>
            <w:r w:rsidRPr="009E66BF">
              <w:rPr>
                <w:color w:val="auto"/>
                <w:szCs w:val="18"/>
              </w:rPr>
              <w:t>−</w:t>
            </w:r>
            <w:r w:rsidR="00630D0F" w:rsidRPr="009E66BF">
              <w:rPr>
                <w:color w:val="auto"/>
                <w:szCs w:val="18"/>
              </w:rPr>
              <w:t>0.21</w:t>
            </w:r>
          </w:p>
        </w:tc>
        <w:tc>
          <w:tcPr>
            <w:tcW w:w="231" w:type="pct"/>
            <w:tcBorders>
              <w:bottom w:val="single" w:sz="4" w:space="0" w:color="auto"/>
            </w:tcBorders>
            <w:shd w:val="clear" w:color="auto" w:fill="FFFFFF" w:themeFill="background1"/>
            <w:vAlign w:val="center"/>
          </w:tcPr>
          <w:p w14:paraId="109892BF" w14:textId="30EE08A8" w:rsidR="00630D0F" w:rsidRPr="009E66BF" w:rsidRDefault="006255D2" w:rsidP="000504C8">
            <w:pPr>
              <w:autoSpaceDE w:val="0"/>
              <w:autoSpaceDN w:val="0"/>
              <w:adjustRightInd w:val="0"/>
              <w:snapToGrid w:val="0"/>
              <w:spacing w:line="240" w:lineRule="auto"/>
              <w:jc w:val="center"/>
              <w:rPr>
                <w:color w:val="auto"/>
                <w:szCs w:val="18"/>
              </w:rPr>
            </w:pPr>
            <w:r w:rsidRPr="009E66BF">
              <w:rPr>
                <w:color w:val="auto"/>
                <w:szCs w:val="18"/>
              </w:rPr>
              <w:t>−</w:t>
            </w:r>
            <w:r w:rsidR="00630D0F" w:rsidRPr="009E66BF">
              <w:rPr>
                <w:color w:val="auto"/>
                <w:szCs w:val="18"/>
              </w:rPr>
              <w:t>2.08</w:t>
            </w:r>
          </w:p>
        </w:tc>
        <w:tc>
          <w:tcPr>
            <w:tcW w:w="246" w:type="pct"/>
            <w:tcBorders>
              <w:bottom w:val="single" w:sz="4" w:space="0" w:color="auto"/>
            </w:tcBorders>
            <w:shd w:val="clear" w:color="auto" w:fill="FFFFFF" w:themeFill="background1"/>
            <w:vAlign w:val="center"/>
          </w:tcPr>
          <w:p w14:paraId="484267E0" w14:textId="4B719735" w:rsidR="00630D0F" w:rsidRPr="009E66BF" w:rsidRDefault="00CE3392" w:rsidP="000504C8">
            <w:pPr>
              <w:autoSpaceDE w:val="0"/>
              <w:autoSpaceDN w:val="0"/>
              <w:adjustRightInd w:val="0"/>
              <w:snapToGrid w:val="0"/>
              <w:spacing w:line="240" w:lineRule="auto"/>
              <w:jc w:val="center"/>
              <w:rPr>
                <w:color w:val="auto"/>
                <w:szCs w:val="18"/>
              </w:rPr>
            </w:pPr>
            <w:r w:rsidRPr="009E66BF">
              <w:rPr>
                <w:color w:val="auto"/>
                <w:szCs w:val="18"/>
              </w:rPr>
              <w:t>0</w:t>
            </w:r>
            <w:r w:rsidR="00630D0F" w:rsidRPr="009E66BF">
              <w:rPr>
                <w:color w:val="auto"/>
                <w:szCs w:val="18"/>
              </w:rPr>
              <w:t>.039</w:t>
            </w:r>
          </w:p>
        </w:tc>
        <w:tc>
          <w:tcPr>
            <w:tcW w:w="194" w:type="pct"/>
            <w:tcBorders>
              <w:bottom w:val="single" w:sz="4" w:space="0" w:color="auto"/>
            </w:tcBorders>
            <w:shd w:val="clear" w:color="auto" w:fill="FFFFFF" w:themeFill="background1"/>
            <w:vAlign w:val="center"/>
          </w:tcPr>
          <w:p w14:paraId="3697E8F2" w14:textId="39B7A951" w:rsidR="00630D0F" w:rsidRPr="009E66BF" w:rsidRDefault="006255D2" w:rsidP="000504C8">
            <w:pPr>
              <w:autoSpaceDE w:val="0"/>
              <w:autoSpaceDN w:val="0"/>
              <w:adjustRightInd w:val="0"/>
              <w:snapToGrid w:val="0"/>
              <w:spacing w:line="240" w:lineRule="auto"/>
              <w:jc w:val="center"/>
              <w:rPr>
                <w:color w:val="auto"/>
                <w:szCs w:val="18"/>
              </w:rPr>
            </w:pPr>
            <w:r w:rsidRPr="009E66BF">
              <w:rPr>
                <w:color w:val="auto"/>
                <w:szCs w:val="18"/>
              </w:rPr>
              <w:t>−</w:t>
            </w:r>
            <w:r w:rsidR="00CE3392" w:rsidRPr="009E66BF">
              <w:rPr>
                <w:color w:val="auto"/>
                <w:szCs w:val="18"/>
              </w:rPr>
              <w:t>0</w:t>
            </w:r>
            <w:r w:rsidR="00630D0F" w:rsidRPr="009E66BF">
              <w:rPr>
                <w:color w:val="auto"/>
                <w:szCs w:val="18"/>
              </w:rPr>
              <w:t>.03</w:t>
            </w:r>
          </w:p>
        </w:tc>
        <w:tc>
          <w:tcPr>
            <w:tcW w:w="278" w:type="pct"/>
            <w:tcBorders>
              <w:bottom w:val="single" w:sz="4" w:space="0" w:color="auto"/>
            </w:tcBorders>
            <w:shd w:val="clear" w:color="auto" w:fill="FFFFFF" w:themeFill="background1"/>
            <w:vAlign w:val="center"/>
          </w:tcPr>
          <w:p w14:paraId="7CD06D51" w14:textId="27784A79" w:rsidR="00630D0F" w:rsidRPr="009E66BF" w:rsidRDefault="006255D2" w:rsidP="000504C8">
            <w:pPr>
              <w:autoSpaceDE w:val="0"/>
              <w:autoSpaceDN w:val="0"/>
              <w:adjustRightInd w:val="0"/>
              <w:snapToGrid w:val="0"/>
              <w:spacing w:line="240" w:lineRule="auto"/>
              <w:jc w:val="center"/>
              <w:rPr>
                <w:color w:val="auto"/>
                <w:szCs w:val="18"/>
              </w:rPr>
            </w:pPr>
            <w:r w:rsidRPr="009E66BF">
              <w:rPr>
                <w:color w:val="auto"/>
                <w:szCs w:val="18"/>
              </w:rPr>
              <w:t>−</w:t>
            </w:r>
            <w:r w:rsidR="00630D0F" w:rsidRPr="009E66BF">
              <w:rPr>
                <w:color w:val="auto"/>
                <w:szCs w:val="18"/>
              </w:rPr>
              <w:t>0.87 (2.16)</w:t>
            </w:r>
          </w:p>
        </w:tc>
        <w:tc>
          <w:tcPr>
            <w:tcW w:w="249" w:type="pct"/>
            <w:tcBorders>
              <w:bottom w:val="single" w:sz="4" w:space="0" w:color="auto"/>
            </w:tcBorders>
            <w:shd w:val="clear" w:color="auto" w:fill="FFFFFF" w:themeFill="background1"/>
            <w:vAlign w:val="center"/>
          </w:tcPr>
          <w:p w14:paraId="62FEC1B9" w14:textId="0F0520D4" w:rsidR="00630D0F" w:rsidRPr="009E66BF" w:rsidRDefault="006255D2" w:rsidP="000504C8">
            <w:pPr>
              <w:autoSpaceDE w:val="0"/>
              <w:autoSpaceDN w:val="0"/>
              <w:adjustRightInd w:val="0"/>
              <w:snapToGrid w:val="0"/>
              <w:spacing w:line="240" w:lineRule="auto"/>
              <w:jc w:val="center"/>
              <w:rPr>
                <w:color w:val="auto"/>
                <w:szCs w:val="18"/>
              </w:rPr>
            </w:pPr>
            <w:r w:rsidRPr="009E66BF">
              <w:rPr>
                <w:color w:val="auto"/>
                <w:szCs w:val="18"/>
              </w:rPr>
              <w:t>−</w:t>
            </w:r>
            <w:r w:rsidR="00630D0F" w:rsidRPr="009E66BF">
              <w:rPr>
                <w:color w:val="auto"/>
                <w:szCs w:val="18"/>
              </w:rPr>
              <w:t>5.14, 3.41</w:t>
            </w:r>
          </w:p>
        </w:tc>
        <w:tc>
          <w:tcPr>
            <w:tcW w:w="231" w:type="pct"/>
            <w:tcBorders>
              <w:bottom w:val="single" w:sz="4" w:space="0" w:color="auto"/>
            </w:tcBorders>
            <w:shd w:val="clear" w:color="auto" w:fill="FFFFFF" w:themeFill="background1"/>
            <w:vAlign w:val="center"/>
          </w:tcPr>
          <w:p w14:paraId="625AB570" w14:textId="0B696129" w:rsidR="00630D0F" w:rsidRPr="009E66BF" w:rsidRDefault="006255D2" w:rsidP="000504C8">
            <w:pPr>
              <w:autoSpaceDE w:val="0"/>
              <w:autoSpaceDN w:val="0"/>
              <w:adjustRightInd w:val="0"/>
              <w:snapToGrid w:val="0"/>
              <w:spacing w:line="240" w:lineRule="auto"/>
              <w:jc w:val="center"/>
              <w:rPr>
                <w:color w:val="auto"/>
                <w:szCs w:val="18"/>
              </w:rPr>
            </w:pPr>
            <w:r w:rsidRPr="009E66BF">
              <w:rPr>
                <w:color w:val="auto"/>
                <w:szCs w:val="18"/>
              </w:rPr>
              <w:t>−</w:t>
            </w:r>
            <w:r w:rsidR="00630D0F" w:rsidRPr="009E66BF">
              <w:rPr>
                <w:color w:val="auto"/>
                <w:szCs w:val="18"/>
              </w:rPr>
              <w:t>0.40</w:t>
            </w:r>
          </w:p>
        </w:tc>
        <w:tc>
          <w:tcPr>
            <w:tcW w:w="238" w:type="pct"/>
            <w:tcBorders>
              <w:bottom w:val="single" w:sz="4" w:space="0" w:color="auto"/>
            </w:tcBorders>
            <w:shd w:val="clear" w:color="auto" w:fill="FFFFFF" w:themeFill="background1"/>
            <w:vAlign w:val="center"/>
          </w:tcPr>
          <w:p w14:paraId="4CEF84B8" w14:textId="4CD8D1D3" w:rsidR="00630D0F" w:rsidRPr="009E66BF" w:rsidRDefault="00CE3392" w:rsidP="000504C8">
            <w:pPr>
              <w:autoSpaceDE w:val="0"/>
              <w:autoSpaceDN w:val="0"/>
              <w:adjustRightInd w:val="0"/>
              <w:snapToGrid w:val="0"/>
              <w:spacing w:line="240" w:lineRule="auto"/>
              <w:jc w:val="center"/>
              <w:rPr>
                <w:color w:val="auto"/>
                <w:szCs w:val="18"/>
              </w:rPr>
            </w:pPr>
            <w:r w:rsidRPr="009E66BF">
              <w:rPr>
                <w:color w:val="auto"/>
                <w:szCs w:val="18"/>
              </w:rPr>
              <w:t>0</w:t>
            </w:r>
            <w:r w:rsidR="00630D0F" w:rsidRPr="009E66BF">
              <w:rPr>
                <w:color w:val="auto"/>
                <w:szCs w:val="18"/>
              </w:rPr>
              <w:t>.690</w:t>
            </w:r>
          </w:p>
        </w:tc>
        <w:tc>
          <w:tcPr>
            <w:tcW w:w="197" w:type="pct"/>
            <w:tcBorders>
              <w:bottom w:val="single" w:sz="4" w:space="0" w:color="auto"/>
            </w:tcBorders>
            <w:shd w:val="clear" w:color="auto" w:fill="FFFFFF" w:themeFill="background1"/>
            <w:vAlign w:val="center"/>
          </w:tcPr>
          <w:p w14:paraId="1BC36A6D" w14:textId="5D91985D" w:rsidR="00630D0F" w:rsidRPr="009E66BF" w:rsidRDefault="006255D2" w:rsidP="000504C8">
            <w:pPr>
              <w:autoSpaceDE w:val="0"/>
              <w:autoSpaceDN w:val="0"/>
              <w:adjustRightInd w:val="0"/>
              <w:snapToGrid w:val="0"/>
              <w:spacing w:line="240" w:lineRule="auto"/>
              <w:jc w:val="center"/>
              <w:rPr>
                <w:color w:val="auto"/>
                <w:szCs w:val="18"/>
              </w:rPr>
            </w:pPr>
            <w:r w:rsidRPr="009E66BF">
              <w:rPr>
                <w:color w:val="auto"/>
                <w:szCs w:val="18"/>
              </w:rPr>
              <w:t>−</w:t>
            </w:r>
            <w:r w:rsidR="00CE3392" w:rsidRPr="009E66BF">
              <w:rPr>
                <w:color w:val="auto"/>
                <w:szCs w:val="18"/>
              </w:rPr>
              <w:t>0</w:t>
            </w:r>
            <w:r w:rsidR="00630D0F" w:rsidRPr="009E66BF">
              <w:rPr>
                <w:color w:val="auto"/>
                <w:szCs w:val="18"/>
              </w:rPr>
              <w:t>.10</w:t>
            </w:r>
          </w:p>
        </w:tc>
        <w:tc>
          <w:tcPr>
            <w:tcW w:w="243" w:type="pct"/>
            <w:tcBorders>
              <w:bottom w:val="single" w:sz="4" w:space="0" w:color="auto"/>
            </w:tcBorders>
            <w:shd w:val="clear" w:color="auto" w:fill="FFFFFF" w:themeFill="background1"/>
            <w:vAlign w:val="center"/>
          </w:tcPr>
          <w:p w14:paraId="32D69A6F" w14:textId="4DC7A00F" w:rsidR="00630D0F" w:rsidRPr="009E66BF" w:rsidRDefault="006255D2" w:rsidP="000504C8">
            <w:pPr>
              <w:autoSpaceDE w:val="0"/>
              <w:autoSpaceDN w:val="0"/>
              <w:adjustRightInd w:val="0"/>
              <w:snapToGrid w:val="0"/>
              <w:spacing w:line="240" w:lineRule="auto"/>
              <w:jc w:val="center"/>
              <w:rPr>
                <w:color w:val="auto"/>
                <w:szCs w:val="18"/>
              </w:rPr>
            </w:pPr>
            <w:r w:rsidRPr="009E66BF">
              <w:rPr>
                <w:color w:val="auto"/>
                <w:szCs w:val="18"/>
              </w:rPr>
              <w:t>−</w:t>
            </w:r>
            <w:r w:rsidR="00630D0F" w:rsidRPr="009E66BF">
              <w:rPr>
                <w:color w:val="auto"/>
                <w:szCs w:val="18"/>
              </w:rPr>
              <w:t>2.53 (2.53)</w:t>
            </w:r>
          </w:p>
        </w:tc>
        <w:tc>
          <w:tcPr>
            <w:tcW w:w="214" w:type="pct"/>
            <w:tcBorders>
              <w:bottom w:val="single" w:sz="4" w:space="0" w:color="auto"/>
            </w:tcBorders>
            <w:shd w:val="clear" w:color="auto" w:fill="FFFFFF" w:themeFill="background1"/>
            <w:vAlign w:val="center"/>
          </w:tcPr>
          <w:p w14:paraId="6DEF6F0F" w14:textId="0103F39A" w:rsidR="00630D0F" w:rsidRPr="009E66BF" w:rsidRDefault="006255D2" w:rsidP="000504C8">
            <w:pPr>
              <w:autoSpaceDE w:val="0"/>
              <w:autoSpaceDN w:val="0"/>
              <w:adjustRightInd w:val="0"/>
              <w:snapToGrid w:val="0"/>
              <w:spacing w:line="240" w:lineRule="auto"/>
              <w:jc w:val="center"/>
              <w:rPr>
                <w:color w:val="auto"/>
                <w:szCs w:val="18"/>
              </w:rPr>
            </w:pPr>
            <w:r w:rsidRPr="009E66BF">
              <w:rPr>
                <w:color w:val="auto"/>
                <w:szCs w:val="18"/>
              </w:rPr>
              <w:t>−</w:t>
            </w:r>
            <w:r w:rsidR="00630D0F" w:rsidRPr="009E66BF">
              <w:rPr>
                <w:color w:val="auto"/>
                <w:szCs w:val="18"/>
              </w:rPr>
              <w:t>7.54, 2.49</w:t>
            </w:r>
          </w:p>
        </w:tc>
        <w:tc>
          <w:tcPr>
            <w:tcW w:w="231" w:type="pct"/>
            <w:tcBorders>
              <w:bottom w:val="single" w:sz="4" w:space="0" w:color="auto"/>
            </w:tcBorders>
            <w:shd w:val="clear" w:color="auto" w:fill="FFFFFF" w:themeFill="background1"/>
            <w:vAlign w:val="center"/>
          </w:tcPr>
          <w:p w14:paraId="15849161" w14:textId="48892988" w:rsidR="00630D0F" w:rsidRPr="009E66BF" w:rsidRDefault="006255D2" w:rsidP="000504C8">
            <w:pPr>
              <w:autoSpaceDE w:val="0"/>
              <w:autoSpaceDN w:val="0"/>
              <w:adjustRightInd w:val="0"/>
              <w:snapToGrid w:val="0"/>
              <w:spacing w:line="240" w:lineRule="auto"/>
              <w:jc w:val="center"/>
              <w:rPr>
                <w:color w:val="auto"/>
                <w:szCs w:val="18"/>
              </w:rPr>
            </w:pPr>
            <w:r w:rsidRPr="009E66BF">
              <w:rPr>
                <w:color w:val="auto"/>
                <w:szCs w:val="18"/>
              </w:rPr>
              <w:t>−</w:t>
            </w:r>
            <w:r w:rsidR="00630D0F" w:rsidRPr="009E66BF">
              <w:rPr>
                <w:color w:val="auto"/>
                <w:szCs w:val="18"/>
              </w:rPr>
              <w:t>1.00</w:t>
            </w:r>
          </w:p>
        </w:tc>
        <w:tc>
          <w:tcPr>
            <w:tcW w:w="280" w:type="pct"/>
            <w:tcBorders>
              <w:bottom w:val="single" w:sz="4" w:space="0" w:color="auto"/>
            </w:tcBorders>
            <w:shd w:val="clear" w:color="auto" w:fill="FFFFFF" w:themeFill="background1"/>
            <w:vAlign w:val="center"/>
          </w:tcPr>
          <w:p w14:paraId="19CA04B1" w14:textId="44CE2680" w:rsidR="00630D0F" w:rsidRPr="009E66BF" w:rsidRDefault="00400AAD" w:rsidP="000504C8">
            <w:pPr>
              <w:autoSpaceDE w:val="0"/>
              <w:autoSpaceDN w:val="0"/>
              <w:adjustRightInd w:val="0"/>
              <w:snapToGrid w:val="0"/>
              <w:spacing w:line="240" w:lineRule="auto"/>
              <w:jc w:val="center"/>
              <w:rPr>
                <w:color w:val="auto"/>
                <w:szCs w:val="18"/>
              </w:rPr>
            </w:pPr>
            <w:r w:rsidRPr="009E66BF">
              <w:rPr>
                <w:color w:val="auto"/>
                <w:szCs w:val="18"/>
              </w:rPr>
              <w:t>0</w:t>
            </w:r>
            <w:r w:rsidR="00630D0F" w:rsidRPr="009E66BF">
              <w:rPr>
                <w:color w:val="auto"/>
                <w:szCs w:val="18"/>
              </w:rPr>
              <w:t>.320</w:t>
            </w:r>
          </w:p>
        </w:tc>
      </w:tr>
      <w:tr w:rsidR="000504C8" w:rsidRPr="009E66BF" w14:paraId="05CEB5FA" w14:textId="77777777" w:rsidTr="009E66BF">
        <w:trPr>
          <w:cantSplit/>
          <w:jc w:val="center"/>
        </w:trPr>
        <w:tc>
          <w:tcPr>
            <w:tcW w:w="313" w:type="pct"/>
            <w:tcBorders>
              <w:top w:val="single" w:sz="4" w:space="0" w:color="auto"/>
            </w:tcBorders>
            <w:shd w:val="clear" w:color="auto" w:fill="FFFFFF" w:themeFill="background1"/>
            <w:vAlign w:val="center"/>
          </w:tcPr>
          <w:p w14:paraId="2C771133" w14:textId="77777777" w:rsidR="00630D0F" w:rsidRPr="009E66BF" w:rsidRDefault="00630D0F" w:rsidP="000504C8">
            <w:pPr>
              <w:autoSpaceDE w:val="0"/>
              <w:autoSpaceDN w:val="0"/>
              <w:adjustRightInd w:val="0"/>
              <w:snapToGrid w:val="0"/>
              <w:spacing w:line="240" w:lineRule="auto"/>
              <w:jc w:val="center"/>
              <w:rPr>
                <w:color w:val="auto"/>
                <w:szCs w:val="18"/>
              </w:rPr>
            </w:pPr>
            <w:r w:rsidRPr="009E66BF">
              <w:rPr>
                <w:color w:val="auto"/>
                <w:szCs w:val="18"/>
              </w:rPr>
              <w:t>Step 2</w:t>
            </w:r>
          </w:p>
        </w:tc>
        <w:tc>
          <w:tcPr>
            <w:tcW w:w="1163" w:type="pct"/>
            <w:gridSpan w:val="5"/>
            <w:tcBorders>
              <w:top w:val="single" w:sz="4" w:space="0" w:color="auto"/>
            </w:tcBorders>
            <w:shd w:val="clear" w:color="auto" w:fill="FFFFFF" w:themeFill="background1"/>
            <w:vAlign w:val="center"/>
          </w:tcPr>
          <w:p w14:paraId="6EDB8D3E" w14:textId="7FBFA3A9" w:rsidR="00630D0F" w:rsidRPr="009E66BF" w:rsidRDefault="00630D0F" w:rsidP="000504C8">
            <w:pPr>
              <w:autoSpaceDE w:val="0"/>
              <w:autoSpaceDN w:val="0"/>
              <w:adjustRightInd w:val="0"/>
              <w:snapToGrid w:val="0"/>
              <w:spacing w:line="240" w:lineRule="auto"/>
              <w:jc w:val="center"/>
              <w:rPr>
                <w:color w:val="auto"/>
                <w:szCs w:val="18"/>
              </w:rPr>
            </w:pPr>
            <w:r w:rsidRPr="009E66BF">
              <w:rPr>
                <w:i/>
                <w:iCs/>
                <w:color w:val="auto"/>
                <w:szCs w:val="18"/>
              </w:rPr>
              <w:sym w:font="Symbol" w:char="F044"/>
            </w:r>
            <w:r w:rsidRPr="009E66BF">
              <w:rPr>
                <w:i/>
                <w:iCs/>
                <w:color w:val="auto"/>
                <w:szCs w:val="18"/>
              </w:rPr>
              <w:t>R</w:t>
            </w:r>
            <w:r w:rsidRPr="009E66BF">
              <w:rPr>
                <w:i/>
                <w:iCs/>
                <w:color w:val="auto"/>
                <w:szCs w:val="18"/>
                <w:vertAlign w:val="superscript"/>
              </w:rPr>
              <w:t>2</w:t>
            </w:r>
            <w:r w:rsidRPr="009E66BF">
              <w:rPr>
                <w:color w:val="auto"/>
                <w:szCs w:val="18"/>
              </w:rPr>
              <w:t xml:space="preserve"> =</w:t>
            </w:r>
            <w:r w:rsidR="008B3F57" w:rsidRPr="009E66BF">
              <w:rPr>
                <w:color w:val="auto"/>
                <w:szCs w:val="18"/>
              </w:rPr>
              <w:t xml:space="preserve"> 0.</w:t>
            </w:r>
            <w:r w:rsidRPr="009E66BF">
              <w:rPr>
                <w:color w:val="auto"/>
                <w:szCs w:val="18"/>
              </w:rPr>
              <w:t xml:space="preserve">28, </w:t>
            </w:r>
            <w:r w:rsidRPr="009E66BF">
              <w:rPr>
                <w:i/>
                <w:iCs/>
                <w:color w:val="auto"/>
                <w:szCs w:val="18"/>
              </w:rPr>
              <w:sym w:font="Symbol" w:char="F044"/>
            </w:r>
            <w:r w:rsidRPr="009E66BF">
              <w:rPr>
                <w:i/>
                <w:iCs/>
                <w:color w:val="auto"/>
                <w:szCs w:val="18"/>
              </w:rPr>
              <w:t>F</w:t>
            </w:r>
            <w:r w:rsidRPr="009E66BF">
              <w:rPr>
                <w:color w:val="auto"/>
                <w:szCs w:val="18"/>
              </w:rPr>
              <w:t xml:space="preserve"> = 55.02, </w:t>
            </w:r>
            <w:r w:rsidRPr="009E66BF">
              <w:rPr>
                <w:i/>
                <w:iCs/>
                <w:color w:val="auto"/>
                <w:szCs w:val="18"/>
              </w:rPr>
              <w:t>p</w:t>
            </w:r>
            <w:r w:rsidRPr="009E66BF">
              <w:rPr>
                <w:color w:val="auto"/>
                <w:szCs w:val="18"/>
              </w:rPr>
              <w:t xml:space="preserve"> &lt;</w:t>
            </w:r>
            <w:r w:rsidR="008B3F57" w:rsidRPr="009E66BF">
              <w:rPr>
                <w:color w:val="auto"/>
                <w:szCs w:val="18"/>
              </w:rPr>
              <w:t xml:space="preserve"> 0.</w:t>
            </w:r>
            <w:r w:rsidRPr="009E66BF">
              <w:rPr>
                <w:color w:val="auto"/>
                <w:szCs w:val="18"/>
              </w:rPr>
              <w:t>001</w:t>
            </w:r>
          </w:p>
        </w:tc>
        <w:tc>
          <w:tcPr>
            <w:tcW w:w="1169" w:type="pct"/>
            <w:gridSpan w:val="5"/>
            <w:tcBorders>
              <w:top w:val="single" w:sz="4" w:space="0" w:color="auto"/>
            </w:tcBorders>
            <w:shd w:val="clear" w:color="auto" w:fill="FFFFFF" w:themeFill="background1"/>
            <w:vAlign w:val="center"/>
          </w:tcPr>
          <w:p w14:paraId="77C67ACE" w14:textId="0C9634B8" w:rsidR="00630D0F" w:rsidRPr="009E66BF" w:rsidRDefault="00630D0F" w:rsidP="000504C8">
            <w:pPr>
              <w:autoSpaceDE w:val="0"/>
              <w:autoSpaceDN w:val="0"/>
              <w:adjustRightInd w:val="0"/>
              <w:snapToGrid w:val="0"/>
              <w:spacing w:line="240" w:lineRule="auto"/>
              <w:jc w:val="center"/>
              <w:rPr>
                <w:color w:val="auto"/>
                <w:szCs w:val="18"/>
              </w:rPr>
            </w:pPr>
            <w:r w:rsidRPr="009E66BF">
              <w:rPr>
                <w:i/>
                <w:iCs/>
                <w:color w:val="auto"/>
                <w:szCs w:val="18"/>
              </w:rPr>
              <w:sym w:font="Symbol" w:char="F044"/>
            </w:r>
            <w:r w:rsidRPr="009E66BF">
              <w:rPr>
                <w:i/>
                <w:iCs/>
                <w:color w:val="auto"/>
                <w:szCs w:val="18"/>
              </w:rPr>
              <w:t>R</w:t>
            </w:r>
            <w:r w:rsidRPr="009E66BF">
              <w:rPr>
                <w:i/>
                <w:iCs/>
                <w:color w:val="auto"/>
                <w:szCs w:val="18"/>
                <w:vertAlign w:val="superscript"/>
              </w:rPr>
              <w:t>2</w:t>
            </w:r>
            <w:r w:rsidRPr="009E66BF">
              <w:rPr>
                <w:color w:val="auto"/>
                <w:szCs w:val="18"/>
              </w:rPr>
              <w:t xml:space="preserve"> =</w:t>
            </w:r>
            <w:r w:rsidR="008B3F57" w:rsidRPr="009E66BF">
              <w:rPr>
                <w:color w:val="auto"/>
                <w:szCs w:val="18"/>
              </w:rPr>
              <w:t xml:space="preserve"> 0.</w:t>
            </w:r>
            <w:r w:rsidRPr="009E66BF">
              <w:rPr>
                <w:color w:val="auto"/>
                <w:szCs w:val="18"/>
              </w:rPr>
              <w:t xml:space="preserve">25, </w:t>
            </w:r>
            <w:r w:rsidRPr="009E66BF">
              <w:rPr>
                <w:i/>
                <w:iCs/>
                <w:color w:val="auto"/>
                <w:szCs w:val="18"/>
              </w:rPr>
              <w:sym w:font="Symbol" w:char="F044"/>
            </w:r>
            <w:r w:rsidRPr="009E66BF">
              <w:rPr>
                <w:i/>
                <w:iCs/>
                <w:color w:val="auto"/>
                <w:szCs w:val="18"/>
              </w:rPr>
              <w:t>F</w:t>
            </w:r>
            <w:r w:rsidRPr="009E66BF">
              <w:rPr>
                <w:color w:val="auto"/>
                <w:szCs w:val="18"/>
              </w:rPr>
              <w:t xml:space="preserve"> = 30.36, </w:t>
            </w:r>
            <w:r w:rsidRPr="009E66BF">
              <w:rPr>
                <w:i/>
                <w:iCs/>
                <w:color w:val="auto"/>
                <w:szCs w:val="18"/>
              </w:rPr>
              <w:t>p</w:t>
            </w:r>
            <w:r w:rsidRPr="009E66BF">
              <w:rPr>
                <w:color w:val="auto"/>
                <w:szCs w:val="18"/>
              </w:rPr>
              <w:t xml:space="preserve"> &lt;</w:t>
            </w:r>
            <w:r w:rsidR="00CE3392" w:rsidRPr="009E66BF">
              <w:rPr>
                <w:color w:val="auto"/>
                <w:szCs w:val="18"/>
              </w:rPr>
              <w:t xml:space="preserve"> 0</w:t>
            </w:r>
            <w:r w:rsidRPr="009E66BF">
              <w:rPr>
                <w:color w:val="auto"/>
                <w:szCs w:val="18"/>
              </w:rPr>
              <w:t>.001</w:t>
            </w:r>
          </w:p>
        </w:tc>
        <w:tc>
          <w:tcPr>
            <w:tcW w:w="1190" w:type="pct"/>
            <w:gridSpan w:val="5"/>
            <w:tcBorders>
              <w:top w:val="single" w:sz="4" w:space="0" w:color="auto"/>
            </w:tcBorders>
            <w:shd w:val="clear" w:color="auto" w:fill="FFFFFF" w:themeFill="background1"/>
            <w:vAlign w:val="center"/>
          </w:tcPr>
          <w:p w14:paraId="146237A3" w14:textId="735FCE61" w:rsidR="00630D0F" w:rsidRPr="009E66BF" w:rsidRDefault="00630D0F" w:rsidP="000504C8">
            <w:pPr>
              <w:autoSpaceDE w:val="0"/>
              <w:autoSpaceDN w:val="0"/>
              <w:adjustRightInd w:val="0"/>
              <w:snapToGrid w:val="0"/>
              <w:spacing w:line="240" w:lineRule="auto"/>
              <w:jc w:val="center"/>
              <w:rPr>
                <w:color w:val="auto"/>
                <w:szCs w:val="18"/>
              </w:rPr>
            </w:pPr>
            <w:r w:rsidRPr="009E66BF">
              <w:rPr>
                <w:i/>
                <w:iCs/>
                <w:color w:val="auto"/>
                <w:szCs w:val="18"/>
              </w:rPr>
              <w:sym w:font="Symbol" w:char="F044"/>
            </w:r>
            <w:r w:rsidRPr="009E66BF">
              <w:rPr>
                <w:i/>
                <w:iCs/>
                <w:color w:val="auto"/>
                <w:szCs w:val="18"/>
              </w:rPr>
              <w:t>R</w:t>
            </w:r>
            <w:r w:rsidRPr="009E66BF">
              <w:rPr>
                <w:i/>
                <w:iCs/>
                <w:color w:val="auto"/>
                <w:szCs w:val="18"/>
                <w:vertAlign w:val="superscript"/>
              </w:rPr>
              <w:t>2</w:t>
            </w:r>
            <w:r w:rsidRPr="009E66BF">
              <w:rPr>
                <w:color w:val="auto"/>
                <w:szCs w:val="18"/>
              </w:rPr>
              <w:t xml:space="preserve"> =</w:t>
            </w:r>
            <w:r w:rsidR="008B3F57" w:rsidRPr="009E66BF">
              <w:rPr>
                <w:color w:val="auto"/>
                <w:szCs w:val="18"/>
              </w:rPr>
              <w:t xml:space="preserve"> 0.</w:t>
            </w:r>
            <w:r w:rsidRPr="009E66BF">
              <w:rPr>
                <w:color w:val="auto"/>
                <w:szCs w:val="18"/>
              </w:rPr>
              <w:t xml:space="preserve">18, </w:t>
            </w:r>
            <w:r w:rsidRPr="009E66BF">
              <w:rPr>
                <w:i/>
                <w:iCs/>
                <w:color w:val="auto"/>
                <w:szCs w:val="18"/>
              </w:rPr>
              <w:sym w:font="Symbol" w:char="F044"/>
            </w:r>
            <w:r w:rsidRPr="009E66BF">
              <w:rPr>
                <w:i/>
                <w:iCs/>
                <w:color w:val="auto"/>
                <w:szCs w:val="18"/>
              </w:rPr>
              <w:t>F</w:t>
            </w:r>
            <w:r w:rsidRPr="009E66BF">
              <w:rPr>
                <w:color w:val="auto"/>
                <w:szCs w:val="18"/>
              </w:rPr>
              <w:t xml:space="preserve"> =14.68, </w:t>
            </w:r>
            <w:r w:rsidRPr="009E66BF">
              <w:rPr>
                <w:i/>
                <w:iCs/>
                <w:color w:val="auto"/>
                <w:szCs w:val="18"/>
              </w:rPr>
              <w:t>p</w:t>
            </w:r>
            <w:r w:rsidRPr="009E66BF">
              <w:rPr>
                <w:color w:val="auto"/>
                <w:szCs w:val="18"/>
              </w:rPr>
              <w:t xml:space="preserve"> &lt;</w:t>
            </w:r>
            <w:r w:rsidR="008B3F57" w:rsidRPr="009E66BF">
              <w:rPr>
                <w:color w:val="auto"/>
                <w:szCs w:val="18"/>
              </w:rPr>
              <w:t xml:space="preserve"> 0.</w:t>
            </w:r>
            <w:r w:rsidRPr="009E66BF">
              <w:rPr>
                <w:color w:val="auto"/>
                <w:szCs w:val="18"/>
              </w:rPr>
              <w:t>001</w:t>
            </w:r>
          </w:p>
        </w:tc>
        <w:tc>
          <w:tcPr>
            <w:tcW w:w="1165" w:type="pct"/>
            <w:gridSpan w:val="5"/>
            <w:tcBorders>
              <w:top w:val="single" w:sz="4" w:space="0" w:color="auto"/>
            </w:tcBorders>
            <w:shd w:val="clear" w:color="auto" w:fill="FFFFFF" w:themeFill="background1"/>
            <w:vAlign w:val="center"/>
          </w:tcPr>
          <w:p w14:paraId="16FD1300" w14:textId="4B1B3F27" w:rsidR="00630D0F" w:rsidRPr="009E66BF" w:rsidRDefault="00630D0F" w:rsidP="000504C8">
            <w:pPr>
              <w:autoSpaceDE w:val="0"/>
              <w:autoSpaceDN w:val="0"/>
              <w:adjustRightInd w:val="0"/>
              <w:snapToGrid w:val="0"/>
              <w:spacing w:line="240" w:lineRule="auto"/>
              <w:jc w:val="center"/>
              <w:rPr>
                <w:color w:val="auto"/>
                <w:szCs w:val="18"/>
              </w:rPr>
            </w:pPr>
            <w:r w:rsidRPr="009E66BF">
              <w:rPr>
                <w:i/>
                <w:iCs/>
                <w:color w:val="auto"/>
                <w:szCs w:val="18"/>
              </w:rPr>
              <w:sym w:font="Symbol" w:char="F044"/>
            </w:r>
            <w:r w:rsidRPr="009E66BF">
              <w:rPr>
                <w:i/>
                <w:iCs/>
                <w:color w:val="auto"/>
                <w:szCs w:val="18"/>
              </w:rPr>
              <w:t>R</w:t>
            </w:r>
            <w:r w:rsidRPr="009E66BF">
              <w:rPr>
                <w:i/>
                <w:iCs/>
                <w:color w:val="auto"/>
                <w:szCs w:val="18"/>
                <w:vertAlign w:val="superscript"/>
              </w:rPr>
              <w:t>2</w:t>
            </w:r>
            <w:r w:rsidRPr="009E66BF">
              <w:rPr>
                <w:color w:val="auto"/>
                <w:szCs w:val="18"/>
              </w:rPr>
              <w:t xml:space="preserve"> =</w:t>
            </w:r>
            <w:r w:rsidR="008B3F57" w:rsidRPr="009E66BF">
              <w:rPr>
                <w:color w:val="auto"/>
                <w:szCs w:val="18"/>
              </w:rPr>
              <w:t xml:space="preserve"> 0.</w:t>
            </w:r>
            <w:r w:rsidRPr="009E66BF">
              <w:rPr>
                <w:color w:val="auto"/>
                <w:szCs w:val="18"/>
              </w:rPr>
              <w:t xml:space="preserve">27, </w:t>
            </w:r>
            <w:r w:rsidRPr="009E66BF">
              <w:rPr>
                <w:i/>
                <w:iCs/>
                <w:color w:val="auto"/>
                <w:szCs w:val="18"/>
              </w:rPr>
              <w:sym w:font="Symbol" w:char="F044"/>
            </w:r>
            <w:r w:rsidRPr="009E66BF">
              <w:rPr>
                <w:i/>
                <w:iCs/>
                <w:color w:val="auto"/>
                <w:szCs w:val="18"/>
              </w:rPr>
              <w:t>F</w:t>
            </w:r>
            <w:r w:rsidRPr="009E66BF">
              <w:rPr>
                <w:color w:val="auto"/>
                <w:szCs w:val="18"/>
              </w:rPr>
              <w:t xml:space="preserve"> = 20.11, </w:t>
            </w:r>
            <w:r w:rsidRPr="009E66BF">
              <w:rPr>
                <w:i/>
                <w:iCs/>
                <w:color w:val="auto"/>
                <w:szCs w:val="18"/>
              </w:rPr>
              <w:t>p</w:t>
            </w:r>
            <w:r w:rsidRPr="009E66BF">
              <w:rPr>
                <w:color w:val="auto"/>
                <w:szCs w:val="18"/>
              </w:rPr>
              <w:t xml:space="preserve"> &lt;</w:t>
            </w:r>
            <w:r w:rsidR="00400AAD" w:rsidRPr="009E66BF">
              <w:rPr>
                <w:color w:val="auto"/>
                <w:szCs w:val="18"/>
              </w:rPr>
              <w:t xml:space="preserve"> 0</w:t>
            </w:r>
            <w:r w:rsidRPr="009E66BF">
              <w:rPr>
                <w:color w:val="auto"/>
                <w:szCs w:val="18"/>
              </w:rPr>
              <w:t>.001</w:t>
            </w:r>
          </w:p>
        </w:tc>
      </w:tr>
      <w:tr w:rsidR="000504C8" w:rsidRPr="009E66BF" w14:paraId="54F1E888" w14:textId="77777777" w:rsidTr="009E66BF">
        <w:trPr>
          <w:cantSplit/>
          <w:jc w:val="center"/>
        </w:trPr>
        <w:tc>
          <w:tcPr>
            <w:tcW w:w="313" w:type="pct"/>
            <w:shd w:val="clear" w:color="auto" w:fill="FFFFFF" w:themeFill="background1"/>
            <w:vAlign w:val="center"/>
          </w:tcPr>
          <w:p w14:paraId="6627FC87" w14:textId="77777777" w:rsidR="00630D0F" w:rsidRPr="009E66BF" w:rsidRDefault="00630D0F" w:rsidP="000504C8">
            <w:pPr>
              <w:autoSpaceDE w:val="0"/>
              <w:autoSpaceDN w:val="0"/>
              <w:adjustRightInd w:val="0"/>
              <w:snapToGrid w:val="0"/>
              <w:spacing w:line="240" w:lineRule="auto"/>
              <w:jc w:val="center"/>
              <w:rPr>
                <w:color w:val="auto"/>
                <w:szCs w:val="18"/>
              </w:rPr>
            </w:pPr>
            <w:r w:rsidRPr="009E66BF">
              <w:rPr>
                <w:color w:val="auto"/>
                <w:szCs w:val="18"/>
              </w:rPr>
              <w:t>Age</w:t>
            </w:r>
          </w:p>
        </w:tc>
        <w:tc>
          <w:tcPr>
            <w:tcW w:w="225" w:type="pct"/>
            <w:shd w:val="clear" w:color="auto" w:fill="FFFFFF" w:themeFill="background1"/>
            <w:vAlign w:val="center"/>
          </w:tcPr>
          <w:p w14:paraId="270FB68A" w14:textId="317B02B3" w:rsidR="00630D0F" w:rsidRPr="009E66BF" w:rsidRDefault="006255D2" w:rsidP="000504C8">
            <w:pPr>
              <w:autoSpaceDE w:val="0"/>
              <w:autoSpaceDN w:val="0"/>
              <w:adjustRightInd w:val="0"/>
              <w:snapToGrid w:val="0"/>
              <w:spacing w:line="240" w:lineRule="auto"/>
              <w:jc w:val="center"/>
              <w:rPr>
                <w:color w:val="auto"/>
                <w:szCs w:val="18"/>
              </w:rPr>
            </w:pPr>
            <w:r w:rsidRPr="009E66BF">
              <w:rPr>
                <w:color w:val="auto"/>
                <w:szCs w:val="18"/>
              </w:rPr>
              <w:t>−</w:t>
            </w:r>
            <w:r w:rsidR="00624EE7" w:rsidRPr="009E66BF">
              <w:rPr>
                <w:color w:val="auto"/>
                <w:szCs w:val="18"/>
              </w:rPr>
              <w:t>0</w:t>
            </w:r>
            <w:r w:rsidR="00630D0F" w:rsidRPr="009E66BF">
              <w:rPr>
                <w:color w:val="auto"/>
                <w:szCs w:val="18"/>
              </w:rPr>
              <w:t>.01</w:t>
            </w:r>
          </w:p>
        </w:tc>
        <w:tc>
          <w:tcPr>
            <w:tcW w:w="238" w:type="pct"/>
            <w:shd w:val="clear" w:color="auto" w:fill="FFFFFF" w:themeFill="background1"/>
            <w:vAlign w:val="center"/>
          </w:tcPr>
          <w:p w14:paraId="20DA8A67" w14:textId="01094889" w:rsidR="00630D0F" w:rsidRPr="009E66BF" w:rsidRDefault="006255D2" w:rsidP="000504C8">
            <w:pPr>
              <w:autoSpaceDE w:val="0"/>
              <w:autoSpaceDN w:val="0"/>
              <w:adjustRightInd w:val="0"/>
              <w:snapToGrid w:val="0"/>
              <w:spacing w:line="240" w:lineRule="auto"/>
              <w:jc w:val="center"/>
              <w:rPr>
                <w:color w:val="auto"/>
                <w:szCs w:val="18"/>
              </w:rPr>
            </w:pPr>
            <w:r w:rsidRPr="009E66BF">
              <w:rPr>
                <w:color w:val="auto"/>
                <w:szCs w:val="18"/>
              </w:rPr>
              <w:t>−</w:t>
            </w:r>
            <w:r w:rsidR="00630D0F" w:rsidRPr="009E66BF">
              <w:rPr>
                <w:color w:val="auto"/>
                <w:szCs w:val="18"/>
              </w:rPr>
              <w:t>0.01 (0.03)</w:t>
            </w:r>
          </w:p>
        </w:tc>
        <w:tc>
          <w:tcPr>
            <w:tcW w:w="227" w:type="pct"/>
            <w:shd w:val="clear" w:color="auto" w:fill="FFFFFF" w:themeFill="background1"/>
            <w:vAlign w:val="center"/>
          </w:tcPr>
          <w:p w14:paraId="7AFC42B8" w14:textId="47BDF52A" w:rsidR="00630D0F" w:rsidRPr="009E66BF" w:rsidRDefault="006255D2" w:rsidP="000504C8">
            <w:pPr>
              <w:autoSpaceDE w:val="0"/>
              <w:autoSpaceDN w:val="0"/>
              <w:adjustRightInd w:val="0"/>
              <w:snapToGrid w:val="0"/>
              <w:spacing w:line="240" w:lineRule="auto"/>
              <w:jc w:val="center"/>
              <w:rPr>
                <w:color w:val="auto"/>
                <w:szCs w:val="18"/>
              </w:rPr>
            </w:pPr>
            <w:r w:rsidRPr="009E66BF">
              <w:rPr>
                <w:color w:val="auto"/>
                <w:szCs w:val="18"/>
              </w:rPr>
              <w:t>−</w:t>
            </w:r>
            <w:r w:rsidR="00630D0F" w:rsidRPr="009E66BF">
              <w:rPr>
                <w:color w:val="auto"/>
                <w:szCs w:val="18"/>
              </w:rPr>
              <w:t>0.07, 0.06</w:t>
            </w:r>
          </w:p>
        </w:tc>
        <w:tc>
          <w:tcPr>
            <w:tcW w:w="228" w:type="pct"/>
            <w:shd w:val="clear" w:color="auto" w:fill="FFFFFF" w:themeFill="background1"/>
            <w:vAlign w:val="center"/>
          </w:tcPr>
          <w:p w14:paraId="3A987A9D" w14:textId="236FD6F1" w:rsidR="00630D0F" w:rsidRPr="009E66BF" w:rsidRDefault="006255D2" w:rsidP="000504C8">
            <w:pPr>
              <w:autoSpaceDE w:val="0"/>
              <w:autoSpaceDN w:val="0"/>
              <w:adjustRightInd w:val="0"/>
              <w:snapToGrid w:val="0"/>
              <w:spacing w:line="240" w:lineRule="auto"/>
              <w:jc w:val="center"/>
              <w:rPr>
                <w:color w:val="auto"/>
                <w:szCs w:val="18"/>
              </w:rPr>
            </w:pPr>
            <w:r w:rsidRPr="009E66BF">
              <w:rPr>
                <w:color w:val="auto"/>
                <w:szCs w:val="18"/>
              </w:rPr>
              <w:t>−</w:t>
            </w:r>
            <w:r w:rsidR="00630D0F" w:rsidRPr="009E66BF">
              <w:rPr>
                <w:color w:val="auto"/>
                <w:szCs w:val="18"/>
              </w:rPr>
              <w:t>0.27</w:t>
            </w:r>
          </w:p>
        </w:tc>
        <w:tc>
          <w:tcPr>
            <w:tcW w:w="245" w:type="pct"/>
            <w:shd w:val="clear" w:color="auto" w:fill="FFFFFF" w:themeFill="background1"/>
            <w:vAlign w:val="center"/>
          </w:tcPr>
          <w:p w14:paraId="06A4B6ED" w14:textId="094C05EC" w:rsidR="00630D0F" w:rsidRPr="009E66BF" w:rsidRDefault="00624EE7" w:rsidP="000504C8">
            <w:pPr>
              <w:autoSpaceDE w:val="0"/>
              <w:autoSpaceDN w:val="0"/>
              <w:adjustRightInd w:val="0"/>
              <w:snapToGrid w:val="0"/>
              <w:spacing w:line="240" w:lineRule="auto"/>
              <w:jc w:val="center"/>
              <w:rPr>
                <w:color w:val="auto"/>
                <w:szCs w:val="18"/>
              </w:rPr>
            </w:pPr>
            <w:r w:rsidRPr="009E66BF">
              <w:rPr>
                <w:color w:val="auto"/>
                <w:szCs w:val="18"/>
              </w:rPr>
              <w:t>0</w:t>
            </w:r>
            <w:r w:rsidR="00630D0F" w:rsidRPr="009E66BF">
              <w:rPr>
                <w:color w:val="auto"/>
                <w:szCs w:val="18"/>
              </w:rPr>
              <w:t>.788</w:t>
            </w:r>
          </w:p>
        </w:tc>
        <w:tc>
          <w:tcPr>
            <w:tcW w:w="194" w:type="pct"/>
            <w:shd w:val="clear" w:color="auto" w:fill="FFFFFF" w:themeFill="background1"/>
            <w:vAlign w:val="center"/>
          </w:tcPr>
          <w:p w14:paraId="780A460F" w14:textId="1105098C" w:rsidR="00630D0F" w:rsidRPr="009E66BF" w:rsidRDefault="00624EE7" w:rsidP="000504C8">
            <w:pPr>
              <w:autoSpaceDE w:val="0"/>
              <w:autoSpaceDN w:val="0"/>
              <w:adjustRightInd w:val="0"/>
              <w:snapToGrid w:val="0"/>
              <w:spacing w:line="240" w:lineRule="auto"/>
              <w:jc w:val="center"/>
              <w:rPr>
                <w:color w:val="auto"/>
                <w:szCs w:val="18"/>
              </w:rPr>
            </w:pPr>
            <w:r w:rsidRPr="009E66BF">
              <w:rPr>
                <w:color w:val="auto"/>
                <w:szCs w:val="18"/>
              </w:rPr>
              <w:t>0</w:t>
            </w:r>
            <w:r w:rsidR="00630D0F" w:rsidRPr="009E66BF">
              <w:rPr>
                <w:color w:val="auto"/>
                <w:szCs w:val="18"/>
              </w:rPr>
              <w:t>.09</w:t>
            </w:r>
          </w:p>
        </w:tc>
        <w:tc>
          <w:tcPr>
            <w:tcW w:w="249" w:type="pct"/>
            <w:shd w:val="clear" w:color="auto" w:fill="FFFFFF" w:themeFill="background1"/>
            <w:vAlign w:val="center"/>
          </w:tcPr>
          <w:p w14:paraId="3D2EB4D8" w14:textId="77777777" w:rsidR="00630D0F" w:rsidRPr="009E66BF" w:rsidRDefault="00630D0F" w:rsidP="000504C8">
            <w:pPr>
              <w:autoSpaceDE w:val="0"/>
              <w:autoSpaceDN w:val="0"/>
              <w:adjustRightInd w:val="0"/>
              <w:snapToGrid w:val="0"/>
              <w:spacing w:line="240" w:lineRule="auto"/>
              <w:jc w:val="center"/>
              <w:rPr>
                <w:color w:val="auto"/>
                <w:szCs w:val="18"/>
              </w:rPr>
            </w:pPr>
            <w:r w:rsidRPr="009E66BF">
              <w:rPr>
                <w:color w:val="auto"/>
                <w:szCs w:val="18"/>
              </w:rPr>
              <w:t>0.06 (0.04)</w:t>
            </w:r>
          </w:p>
        </w:tc>
        <w:tc>
          <w:tcPr>
            <w:tcW w:w="249" w:type="pct"/>
            <w:shd w:val="clear" w:color="auto" w:fill="FFFFFF" w:themeFill="background1"/>
            <w:vAlign w:val="center"/>
          </w:tcPr>
          <w:p w14:paraId="43DCA500" w14:textId="490CEC2C" w:rsidR="00630D0F" w:rsidRPr="009E66BF" w:rsidRDefault="006255D2" w:rsidP="000504C8">
            <w:pPr>
              <w:autoSpaceDE w:val="0"/>
              <w:autoSpaceDN w:val="0"/>
              <w:adjustRightInd w:val="0"/>
              <w:snapToGrid w:val="0"/>
              <w:spacing w:line="240" w:lineRule="auto"/>
              <w:jc w:val="center"/>
              <w:rPr>
                <w:color w:val="auto"/>
                <w:szCs w:val="18"/>
              </w:rPr>
            </w:pPr>
            <w:r w:rsidRPr="009E66BF">
              <w:rPr>
                <w:color w:val="auto"/>
                <w:szCs w:val="18"/>
              </w:rPr>
              <w:t>−</w:t>
            </w:r>
            <w:r w:rsidR="00630D0F" w:rsidRPr="009E66BF">
              <w:rPr>
                <w:color w:val="auto"/>
                <w:szCs w:val="18"/>
              </w:rPr>
              <w:t>0.02, 0.14</w:t>
            </w:r>
          </w:p>
        </w:tc>
        <w:tc>
          <w:tcPr>
            <w:tcW w:w="231" w:type="pct"/>
            <w:shd w:val="clear" w:color="auto" w:fill="FFFFFF" w:themeFill="background1"/>
            <w:vAlign w:val="center"/>
          </w:tcPr>
          <w:p w14:paraId="02B2C560" w14:textId="77777777" w:rsidR="00630D0F" w:rsidRPr="009E66BF" w:rsidRDefault="00630D0F" w:rsidP="000504C8">
            <w:pPr>
              <w:autoSpaceDE w:val="0"/>
              <w:autoSpaceDN w:val="0"/>
              <w:adjustRightInd w:val="0"/>
              <w:snapToGrid w:val="0"/>
              <w:spacing w:line="240" w:lineRule="auto"/>
              <w:jc w:val="center"/>
              <w:rPr>
                <w:color w:val="auto"/>
                <w:szCs w:val="18"/>
              </w:rPr>
            </w:pPr>
            <w:r w:rsidRPr="009E66BF">
              <w:rPr>
                <w:color w:val="auto"/>
                <w:szCs w:val="18"/>
              </w:rPr>
              <w:t>1.38</w:t>
            </w:r>
          </w:p>
        </w:tc>
        <w:tc>
          <w:tcPr>
            <w:tcW w:w="246" w:type="pct"/>
            <w:shd w:val="clear" w:color="auto" w:fill="FFFFFF" w:themeFill="background1"/>
            <w:vAlign w:val="center"/>
          </w:tcPr>
          <w:p w14:paraId="1F4A9538" w14:textId="79712D17" w:rsidR="00630D0F" w:rsidRPr="009E66BF" w:rsidRDefault="00CE3392" w:rsidP="000504C8">
            <w:pPr>
              <w:autoSpaceDE w:val="0"/>
              <w:autoSpaceDN w:val="0"/>
              <w:adjustRightInd w:val="0"/>
              <w:snapToGrid w:val="0"/>
              <w:spacing w:line="240" w:lineRule="auto"/>
              <w:jc w:val="center"/>
              <w:rPr>
                <w:color w:val="auto"/>
                <w:szCs w:val="18"/>
              </w:rPr>
            </w:pPr>
            <w:r w:rsidRPr="009E66BF">
              <w:rPr>
                <w:color w:val="auto"/>
                <w:szCs w:val="18"/>
              </w:rPr>
              <w:t>0</w:t>
            </w:r>
            <w:r w:rsidR="00630D0F" w:rsidRPr="009E66BF">
              <w:rPr>
                <w:color w:val="auto"/>
                <w:szCs w:val="18"/>
              </w:rPr>
              <w:t>.169</w:t>
            </w:r>
          </w:p>
        </w:tc>
        <w:tc>
          <w:tcPr>
            <w:tcW w:w="194" w:type="pct"/>
            <w:shd w:val="clear" w:color="auto" w:fill="FFFFFF" w:themeFill="background1"/>
            <w:vAlign w:val="center"/>
          </w:tcPr>
          <w:p w14:paraId="0B4B58AB" w14:textId="05DBB8AE" w:rsidR="00630D0F" w:rsidRPr="009E66BF" w:rsidRDefault="00CE3392" w:rsidP="000504C8">
            <w:pPr>
              <w:autoSpaceDE w:val="0"/>
              <w:autoSpaceDN w:val="0"/>
              <w:adjustRightInd w:val="0"/>
              <w:snapToGrid w:val="0"/>
              <w:spacing w:line="240" w:lineRule="auto"/>
              <w:jc w:val="center"/>
              <w:rPr>
                <w:color w:val="auto"/>
                <w:szCs w:val="18"/>
              </w:rPr>
            </w:pPr>
            <w:r w:rsidRPr="009E66BF">
              <w:rPr>
                <w:color w:val="auto"/>
                <w:szCs w:val="18"/>
              </w:rPr>
              <w:t>0</w:t>
            </w:r>
            <w:r w:rsidR="00630D0F" w:rsidRPr="009E66BF">
              <w:rPr>
                <w:color w:val="auto"/>
                <w:szCs w:val="18"/>
              </w:rPr>
              <w:t>.20</w:t>
            </w:r>
          </w:p>
        </w:tc>
        <w:tc>
          <w:tcPr>
            <w:tcW w:w="278" w:type="pct"/>
            <w:shd w:val="clear" w:color="auto" w:fill="FFFFFF" w:themeFill="background1"/>
            <w:vAlign w:val="center"/>
          </w:tcPr>
          <w:p w14:paraId="64956200" w14:textId="77777777" w:rsidR="00630D0F" w:rsidRPr="009E66BF" w:rsidRDefault="00630D0F" w:rsidP="000504C8">
            <w:pPr>
              <w:autoSpaceDE w:val="0"/>
              <w:autoSpaceDN w:val="0"/>
              <w:adjustRightInd w:val="0"/>
              <w:snapToGrid w:val="0"/>
              <w:spacing w:line="240" w:lineRule="auto"/>
              <w:jc w:val="center"/>
              <w:rPr>
                <w:color w:val="auto"/>
                <w:szCs w:val="18"/>
              </w:rPr>
            </w:pPr>
            <w:r w:rsidRPr="009E66BF">
              <w:rPr>
                <w:color w:val="auto"/>
                <w:szCs w:val="18"/>
              </w:rPr>
              <w:t>0.12 (0.05)</w:t>
            </w:r>
          </w:p>
        </w:tc>
        <w:tc>
          <w:tcPr>
            <w:tcW w:w="249" w:type="pct"/>
            <w:shd w:val="clear" w:color="auto" w:fill="FFFFFF" w:themeFill="background1"/>
            <w:vAlign w:val="center"/>
          </w:tcPr>
          <w:p w14:paraId="51DD7796" w14:textId="77777777" w:rsidR="00630D0F" w:rsidRPr="009E66BF" w:rsidRDefault="00630D0F" w:rsidP="000504C8">
            <w:pPr>
              <w:autoSpaceDE w:val="0"/>
              <w:autoSpaceDN w:val="0"/>
              <w:adjustRightInd w:val="0"/>
              <w:snapToGrid w:val="0"/>
              <w:spacing w:line="240" w:lineRule="auto"/>
              <w:jc w:val="center"/>
              <w:rPr>
                <w:color w:val="auto"/>
                <w:szCs w:val="18"/>
              </w:rPr>
            </w:pPr>
            <w:r w:rsidRPr="009E66BF">
              <w:rPr>
                <w:color w:val="auto"/>
                <w:szCs w:val="18"/>
              </w:rPr>
              <w:t>0.03, 0.21</w:t>
            </w:r>
          </w:p>
        </w:tc>
        <w:tc>
          <w:tcPr>
            <w:tcW w:w="231" w:type="pct"/>
            <w:shd w:val="clear" w:color="auto" w:fill="FFFFFF" w:themeFill="background1"/>
            <w:vAlign w:val="center"/>
          </w:tcPr>
          <w:p w14:paraId="38418A50" w14:textId="77777777" w:rsidR="00630D0F" w:rsidRPr="009E66BF" w:rsidRDefault="00630D0F" w:rsidP="000504C8">
            <w:pPr>
              <w:autoSpaceDE w:val="0"/>
              <w:autoSpaceDN w:val="0"/>
              <w:adjustRightInd w:val="0"/>
              <w:snapToGrid w:val="0"/>
              <w:spacing w:line="240" w:lineRule="auto"/>
              <w:jc w:val="center"/>
              <w:rPr>
                <w:color w:val="auto"/>
                <w:szCs w:val="18"/>
              </w:rPr>
            </w:pPr>
            <w:r w:rsidRPr="009E66BF">
              <w:rPr>
                <w:color w:val="auto"/>
                <w:szCs w:val="18"/>
              </w:rPr>
              <w:t>2.55</w:t>
            </w:r>
          </w:p>
        </w:tc>
        <w:tc>
          <w:tcPr>
            <w:tcW w:w="238" w:type="pct"/>
            <w:shd w:val="clear" w:color="auto" w:fill="FFFFFF" w:themeFill="background1"/>
            <w:vAlign w:val="center"/>
          </w:tcPr>
          <w:p w14:paraId="4563EA37" w14:textId="47B42093" w:rsidR="00630D0F" w:rsidRPr="009E66BF" w:rsidRDefault="00CE3392" w:rsidP="000504C8">
            <w:pPr>
              <w:autoSpaceDE w:val="0"/>
              <w:autoSpaceDN w:val="0"/>
              <w:adjustRightInd w:val="0"/>
              <w:snapToGrid w:val="0"/>
              <w:spacing w:line="240" w:lineRule="auto"/>
              <w:jc w:val="center"/>
              <w:rPr>
                <w:color w:val="auto"/>
                <w:szCs w:val="18"/>
              </w:rPr>
            </w:pPr>
            <w:r w:rsidRPr="009E66BF">
              <w:rPr>
                <w:color w:val="auto"/>
                <w:szCs w:val="18"/>
              </w:rPr>
              <w:t>0</w:t>
            </w:r>
            <w:r w:rsidR="00630D0F" w:rsidRPr="009E66BF">
              <w:rPr>
                <w:color w:val="auto"/>
                <w:szCs w:val="18"/>
              </w:rPr>
              <w:t>.012</w:t>
            </w:r>
          </w:p>
        </w:tc>
        <w:tc>
          <w:tcPr>
            <w:tcW w:w="197" w:type="pct"/>
            <w:shd w:val="clear" w:color="auto" w:fill="FFFFFF" w:themeFill="background1"/>
            <w:vAlign w:val="center"/>
          </w:tcPr>
          <w:p w14:paraId="251D20F1" w14:textId="64528583" w:rsidR="00630D0F" w:rsidRPr="009E66BF" w:rsidRDefault="00CE3392" w:rsidP="000504C8">
            <w:pPr>
              <w:autoSpaceDE w:val="0"/>
              <w:autoSpaceDN w:val="0"/>
              <w:adjustRightInd w:val="0"/>
              <w:snapToGrid w:val="0"/>
              <w:spacing w:line="240" w:lineRule="auto"/>
              <w:jc w:val="center"/>
              <w:rPr>
                <w:color w:val="auto"/>
                <w:szCs w:val="18"/>
              </w:rPr>
            </w:pPr>
            <w:r w:rsidRPr="009E66BF">
              <w:rPr>
                <w:color w:val="auto"/>
                <w:szCs w:val="18"/>
              </w:rPr>
              <w:t>0</w:t>
            </w:r>
            <w:r w:rsidR="00630D0F" w:rsidRPr="009E66BF">
              <w:rPr>
                <w:color w:val="auto"/>
                <w:szCs w:val="18"/>
              </w:rPr>
              <w:t>.10</w:t>
            </w:r>
          </w:p>
        </w:tc>
        <w:tc>
          <w:tcPr>
            <w:tcW w:w="243" w:type="pct"/>
            <w:shd w:val="clear" w:color="auto" w:fill="FFFFFF" w:themeFill="background1"/>
            <w:vAlign w:val="center"/>
          </w:tcPr>
          <w:p w14:paraId="698572AC" w14:textId="77777777" w:rsidR="00630D0F" w:rsidRPr="009E66BF" w:rsidRDefault="00630D0F" w:rsidP="000504C8">
            <w:pPr>
              <w:autoSpaceDE w:val="0"/>
              <w:autoSpaceDN w:val="0"/>
              <w:adjustRightInd w:val="0"/>
              <w:snapToGrid w:val="0"/>
              <w:spacing w:line="240" w:lineRule="auto"/>
              <w:jc w:val="center"/>
              <w:rPr>
                <w:color w:val="auto"/>
                <w:szCs w:val="18"/>
              </w:rPr>
            </w:pPr>
            <w:r w:rsidRPr="009E66BF">
              <w:rPr>
                <w:color w:val="auto"/>
                <w:szCs w:val="18"/>
              </w:rPr>
              <w:t>0.07 (0.05)</w:t>
            </w:r>
          </w:p>
        </w:tc>
        <w:tc>
          <w:tcPr>
            <w:tcW w:w="214" w:type="pct"/>
            <w:shd w:val="clear" w:color="auto" w:fill="FFFFFF" w:themeFill="background1"/>
            <w:vAlign w:val="center"/>
          </w:tcPr>
          <w:p w14:paraId="3F8D285F" w14:textId="4C3BB6A5" w:rsidR="00630D0F" w:rsidRPr="009E66BF" w:rsidRDefault="006255D2" w:rsidP="000504C8">
            <w:pPr>
              <w:autoSpaceDE w:val="0"/>
              <w:autoSpaceDN w:val="0"/>
              <w:adjustRightInd w:val="0"/>
              <w:snapToGrid w:val="0"/>
              <w:spacing w:line="240" w:lineRule="auto"/>
              <w:jc w:val="center"/>
              <w:rPr>
                <w:color w:val="auto"/>
                <w:szCs w:val="18"/>
              </w:rPr>
            </w:pPr>
            <w:r w:rsidRPr="009E66BF">
              <w:rPr>
                <w:color w:val="auto"/>
                <w:szCs w:val="18"/>
              </w:rPr>
              <w:t>−</w:t>
            </w:r>
            <w:r w:rsidR="00630D0F" w:rsidRPr="009E66BF">
              <w:rPr>
                <w:color w:val="auto"/>
                <w:szCs w:val="18"/>
              </w:rPr>
              <w:t>0.04, 0.17</w:t>
            </w:r>
          </w:p>
        </w:tc>
        <w:tc>
          <w:tcPr>
            <w:tcW w:w="231" w:type="pct"/>
            <w:shd w:val="clear" w:color="auto" w:fill="FFFFFF" w:themeFill="background1"/>
            <w:vAlign w:val="center"/>
          </w:tcPr>
          <w:p w14:paraId="25528FF7" w14:textId="77777777" w:rsidR="00630D0F" w:rsidRPr="009E66BF" w:rsidRDefault="00630D0F" w:rsidP="000504C8">
            <w:pPr>
              <w:autoSpaceDE w:val="0"/>
              <w:autoSpaceDN w:val="0"/>
              <w:adjustRightInd w:val="0"/>
              <w:snapToGrid w:val="0"/>
              <w:spacing w:line="240" w:lineRule="auto"/>
              <w:jc w:val="center"/>
              <w:rPr>
                <w:color w:val="auto"/>
                <w:szCs w:val="18"/>
              </w:rPr>
            </w:pPr>
            <w:r w:rsidRPr="009E66BF">
              <w:rPr>
                <w:color w:val="auto"/>
                <w:szCs w:val="18"/>
              </w:rPr>
              <w:t>1.26</w:t>
            </w:r>
          </w:p>
        </w:tc>
        <w:tc>
          <w:tcPr>
            <w:tcW w:w="280" w:type="pct"/>
            <w:shd w:val="clear" w:color="auto" w:fill="FFFFFF" w:themeFill="background1"/>
            <w:vAlign w:val="center"/>
          </w:tcPr>
          <w:p w14:paraId="6B69CD32" w14:textId="6F52A018" w:rsidR="00630D0F" w:rsidRPr="009E66BF" w:rsidRDefault="00400AAD" w:rsidP="000504C8">
            <w:pPr>
              <w:autoSpaceDE w:val="0"/>
              <w:autoSpaceDN w:val="0"/>
              <w:adjustRightInd w:val="0"/>
              <w:snapToGrid w:val="0"/>
              <w:spacing w:line="240" w:lineRule="auto"/>
              <w:jc w:val="center"/>
              <w:rPr>
                <w:color w:val="auto"/>
                <w:szCs w:val="18"/>
              </w:rPr>
            </w:pPr>
            <w:r w:rsidRPr="009E66BF">
              <w:rPr>
                <w:color w:val="auto"/>
                <w:szCs w:val="18"/>
              </w:rPr>
              <w:t>0</w:t>
            </w:r>
            <w:r w:rsidR="00630D0F" w:rsidRPr="009E66BF">
              <w:rPr>
                <w:color w:val="auto"/>
                <w:szCs w:val="18"/>
              </w:rPr>
              <w:t>.210</w:t>
            </w:r>
          </w:p>
        </w:tc>
      </w:tr>
      <w:tr w:rsidR="000504C8" w:rsidRPr="009E66BF" w14:paraId="7639999B" w14:textId="77777777" w:rsidTr="009E66BF">
        <w:trPr>
          <w:cantSplit/>
          <w:jc w:val="center"/>
        </w:trPr>
        <w:tc>
          <w:tcPr>
            <w:tcW w:w="313" w:type="pct"/>
            <w:shd w:val="clear" w:color="auto" w:fill="FFFFFF" w:themeFill="background1"/>
            <w:vAlign w:val="center"/>
          </w:tcPr>
          <w:p w14:paraId="5F727C80" w14:textId="77777777" w:rsidR="00630D0F" w:rsidRPr="009E66BF" w:rsidRDefault="00630D0F" w:rsidP="000504C8">
            <w:pPr>
              <w:autoSpaceDE w:val="0"/>
              <w:autoSpaceDN w:val="0"/>
              <w:adjustRightInd w:val="0"/>
              <w:snapToGrid w:val="0"/>
              <w:spacing w:line="240" w:lineRule="auto"/>
              <w:jc w:val="center"/>
              <w:rPr>
                <w:color w:val="auto"/>
                <w:szCs w:val="18"/>
              </w:rPr>
            </w:pPr>
            <w:r w:rsidRPr="009E66BF">
              <w:rPr>
                <w:color w:val="auto"/>
                <w:szCs w:val="18"/>
              </w:rPr>
              <w:t>Gender</w:t>
            </w:r>
          </w:p>
        </w:tc>
        <w:tc>
          <w:tcPr>
            <w:tcW w:w="225" w:type="pct"/>
            <w:shd w:val="clear" w:color="auto" w:fill="FFFFFF" w:themeFill="background1"/>
            <w:vAlign w:val="center"/>
          </w:tcPr>
          <w:p w14:paraId="461F2533" w14:textId="4630B3D6" w:rsidR="00630D0F" w:rsidRPr="009E66BF" w:rsidRDefault="006255D2" w:rsidP="000504C8">
            <w:pPr>
              <w:autoSpaceDE w:val="0"/>
              <w:autoSpaceDN w:val="0"/>
              <w:adjustRightInd w:val="0"/>
              <w:snapToGrid w:val="0"/>
              <w:spacing w:line="240" w:lineRule="auto"/>
              <w:jc w:val="center"/>
              <w:rPr>
                <w:color w:val="auto"/>
                <w:szCs w:val="18"/>
              </w:rPr>
            </w:pPr>
            <w:r w:rsidRPr="009E66BF">
              <w:rPr>
                <w:color w:val="auto"/>
                <w:szCs w:val="18"/>
              </w:rPr>
              <w:t>−</w:t>
            </w:r>
            <w:r w:rsidR="00624EE7" w:rsidRPr="009E66BF">
              <w:rPr>
                <w:color w:val="auto"/>
                <w:szCs w:val="18"/>
              </w:rPr>
              <w:t>0</w:t>
            </w:r>
            <w:r w:rsidR="00630D0F" w:rsidRPr="009E66BF">
              <w:rPr>
                <w:color w:val="auto"/>
                <w:szCs w:val="18"/>
              </w:rPr>
              <w:t>.08</w:t>
            </w:r>
          </w:p>
        </w:tc>
        <w:tc>
          <w:tcPr>
            <w:tcW w:w="238" w:type="pct"/>
            <w:shd w:val="clear" w:color="auto" w:fill="FFFFFF" w:themeFill="background1"/>
            <w:vAlign w:val="center"/>
          </w:tcPr>
          <w:p w14:paraId="33E2E22E" w14:textId="433B69FB" w:rsidR="00630D0F" w:rsidRPr="009E66BF" w:rsidRDefault="006255D2" w:rsidP="000504C8">
            <w:pPr>
              <w:autoSpaceDE w:val="0"/>
              <w:autoSpaceDN w:val="0"/>
              <w:adjustRightInd w:val="0"/>
              <w:snapToGrid w:val="0"/>
              <w:spacing w:line="240" w:lineRule="auto"/>
              <w:jc w:val="center"/>
              <w:rPr>
                <w:color w:val="auto"/>
                <w:szCs w:val="18"/>
              </w:rPr>
            </w:pPr>
            <w:r w:rsidRPr="009E66BF">
              <w:rPr>
                <w:color w:val="auto"/>
                <w:szCs w:val="18"/>
              </w:rPr>
              <w:t>−</w:t>
            </w:r>
            <w:r w:rsidR="00630D0F" w:rsidRPr="009E66BF">
              <w:rPr>
                <w:color w:val="auto"/>
                <w:szCs w:val="18"/>
              </w:rPr>
              <w:t>1.92 (1.16)</w:t>
            </w:r>
          </w:p>
        </w:tc>
        <w:tc>
          <w:tcPr>
            <w:tcW w:w="227" w:type="pct"/>
            <w:shd w:val="clear" w:color="auto" w:fill="FFFFFF" w:themeFill="background1"/>
            <w:vAlign w:val="center"/>
          </w:tcPr>
          <w:p w14:paraId="220BD195" w14:textId="781A79A2" w:rsidR="00630D0F" w:rsidRPr="009E66BF" w:rsidRDefault="006255D2" w:rsidP="000504C8">
            <w:pPr>
              <w:autoSpaceDE w:val="0"/>
              <w:autoSpaceDN w:val="0"/>
              <w:adjustRightInd w:val="0"/>
              <w:snapToGrid w:val="0"/>
              <w:spacing w:line="240" w:lineRule="auto"/>
              <w:jc w:val="center"/>
              <w:rPr>
                <w:color w:val="auto"/>
                <w:szCs w:val="18"/>
              </w:rPr>
            </w:pPr>
            <w:r w:rsidRPr="009E66BF">
              <w:rPr>
                <w:color w:val="auto"/>
                <w:szCs w:val="18"/>
              </w:rPr>
              <w:t>−</w:t>
            </w:r>
            <w:r w:rsidR="00630D0F" w:rsidRPr="009E66BF">
              <w:rPr>
                <w:color w:val="auto"/>
                <w:szCs w:val="18"/>
              </w:rPr>
              <w:t>4.20, 0.35</w:t>
            </w:r>
          </w:p>
        </w:tc>
        <w:tc>
          <w:tcPr>
            <w:tcW w:w="228" w:type="pct"/>
            <w:shd w:val="clear" w:color="auto" w:fill="FFFFFF" w:themeFill="background1"/>
            <w:vAlign w:val="center"/>
          </w:tcPr>
          <w:p w14:paraId="3A7416EC" w14:textId="1C64B7BD" w:rsidR="00630D0F" w:rsidRPr="009E66BF" w:rsidRDefault="006255D2" w:rsidP="000504C8">
            <w:pPr>
              <w:autoSpaceDE w:val="0"/>
              <w:autoSpaceDN w:val="0"/>
              <w:adjustRightInd w:val="0"/>
              <w:snapToGrid w:val="0"/>
              <w:spacing w:line="240" w:lineRule="auto"/>
              <w:jc w:val="center"/>
              <w:rPr>
                <w:color w:val="auto"/>
                <w:szCs w:val="18"/>
              </w:rPr>
            </w:pPr>
            <w:r w:rsidRPr="009E66BF">
              <w:rPr>
                <w:color w:val="auto"/>
                <w:szCs w:val="18"/>
              </w:rPr>
              <w:t>−</w:t>
            </w:r>
            <w:r w:rsidR="00630D0F" w:rsidRPr="009E66BF">
              <w:rPr>
                <w:color w:val="auto"/>
                <w:szCs w:val="18"/>
              </w:rPr>
              <w:t>1.66</w:t>
            </w:r>
          </w:p>
        </w:tc>
        <w:tc>
          <w:tcPr>
            <w:tcW w:w="245" w:type="pct"/>
            <w:shd w:val="clear" w:color="auto" w:fill="FFFFFF" w:themeFill="background1"/>
            <w:vAlign w:val="center"/>
          </w:tcPr>
          <w:p w14:paraId="12A034C1" w14:textId="27EE41F4" w:rsidR="00630D0F" w:rsidRPr="009E66BF" w:rsidRDefault="00624EE7" w:rsidP="000504C8">
            <w:pPr>
              <w:autoSpaceDE w:val="0"/>
              <w:autoSpaceDN w:val="0"/>
              <w:adjustRightInd w:val="0"/>
              <w:snapToGrid w:val="0"/>
              <w:spacing w:line="240" w:lineRule="auto"/>
              <w:jc w:val="center"/>
              <w:rPr>
                <w:color w:val="auto"/>
                <w:szCs w:val="18"/>
              </w:rPr>
            </w:pPr>
            <w:r w:rsidRPr="009E66BF">
              <w:rPr>
                <w:color w:val="auto"/>
                <w:szCs w:val="18"/>
              </w:rPr>
              <w:t>0</w:t>
            </w:r>
            <w:r w:rsidR="00630D0F" w:rsidRPr="009E66BF">
              <w:rPr>
                <w:color w:val="auto"/>
                <w:szCs w:val="18"/>
              </w:rPr>
              <w:t>.097</w:t>
            </w:r>
          </w:p>
        </w:tc>
        <w:tc>
          <w:tcPr>
            <w:tcW w:w="194" w:type="pct"/>
            <w:shd w:val="clear" w:color="auto" w:fill="FFFFFF" w:themeFill="background1"/>
            <w:vAlign w:val="center"/>
          </w:tcPr>
          <w:p w14:paraId="27147B80" w14:textId="413C742B" w:rsidR="00630D0F" w:rsidRPr="009E66BF" w:rsidRDefault="006255D2" w:rsidP="000504C8">
            <w:pPr>
              <w:autoSpaceDE w:val="0"/>
              <w:autoSpaceDN w:val="0"/>
              <w:adjustRightInd w:val="0"/>
              <w:snapToGrid w:val="0"/>
              <w:spacing w:line="240" w:lineRule="auto"/>
              <w:jc w:val="center"/>
              <w:rPr>
                <w:color w:val="auto"/>
                <w:szCs w:val="18"/>
              </w:rPr>
            </w:pPr>
            <w:r w:rsidRPr="009E66BF">
              <w:rPr>
                <w:color w:val="auto"/>
                <w:szCs w:val="18"/>
              </w:rPr>
              <w:t>−</w:t>
            </w:r>
            <w:r w:rsidR="00624EE7" w:rsidRPr="009E66BF">
              <w:rPr>
                <w:color w:val="auto"/>
                <w:szCs w:val="18"/>
              </w:rPr>
              <w:t>0</w:t>
            </w:r>
            <w:r w:rsidR="00630D0F" w:rsidRPr="009E66BF">
              <w:rPr>
                <w:color w:val="auto"/>
                <w:szCs w:val="18"/>
              </w:rPr>
              <w:t>.10</w:t>
            </w:r>
          </w:p>
        </w:tc>
        <w:tc>
          <w:tcPr>
            <w:tcW w:w="249" w:type="pct"/>
            <w:shd w:val="clear" w:color="auto" w:fill="FFFFFF" w:themeFill="background1"/>
            <w:vAlign w:val="center"/>
          </w:tcPr>
          <w:p w14:paraId="57D2977E" w14:textId="349A30D3" w:rsidR="00630D0F" w:rsidRPr="009E66BF" w:rsidRDefault="006255D2" w:rsidP="000504C8">
            <w:pPr>
              <w:autoSpaceDE w:val="0"/>
              <w:autoSpaceDN w:val="0"/>
              <w:adjustRightInd w:val="0"/>
              <w:snapToGrid w:val="0"/>
              <w:spacing w:line="240" w:lineRule="auto"/>
              <w:jc w:val="center"/>
              <w:rPr>
                <w:color w:val="auto"/>
                <w:szCs w:val="18"/>
              </w:rPr>
            </w:pPr>
            <w:r w:rsidRPr="009E66BF">
              <w:rPr>
                <w:color w:val="auto"/>
                <w:szCs w:val="18"/>
              </w:rPr>
              <w:t>−</w:t>
            </w:r>
            <w:r w:rsidR="00630D0F" w:rsidRPr="009E66BF">
              <w:rPr>
                <w:color w:val="auto"/>
                <w:szCs w:val="18"/>
              </w:rPr>
              <w:t>2.43 (1.65)</w:t>
            </w:r>
          </w:p>
        </w:tc>
        <w:tc>
          <w:tcPr>
            <w:tcW w:w="249" w:type="pct"/>
            <w:shd w:val="clear" w:color="auto" w:fill="FFFFFF" w:themeFill="background1"/>
            <w:vAlign w:val="center"/>
          </w:tcPr>
          <w:p w14:paraId="450AAD3E" w14:textId="050D2D2B" w:rsidR="00630D0F" w:rsidRPr="009E66BF" w:rsidRDefault="006255D2" w:rsidP="000504C8">
            <w:pPr>
              <w:autoSpaceDE w:val="0"/>
              <w:autoSpaceDN w:val="0"/>
              <w:adjustRightInd w:val="0"/>
              <w:snapToGrid w:val="0"/>
              <w:spacing w:line="240" w:lineRule="auto"/>
              <w:jc w:val="center"/>
              <w:rPr>
                <w:color w:val="auto"/>
                <w:szCs w:val="18"/>
              </w:rPr>
            </w:pPr>
            <w:r w:rsidRPr="009E66BF">
              <w:rPr>
                <w:color w:val="auto"/>
                <w:szCs w:val="18"/>
              </w:rPr>
              <w:t>−</w:t>
            </w:r>
            <w:r w:rsidR="00630D0F" w:rsidRPr="009E66BF">
              <w:rPr>
                <w:color w:val="auto"/>
                <w:szCs w:val="18"/>
              </w:rPr>
              <w:t>5.68, 0.83</w:t>
            </w:r>
          </w:p>
        </w:tc>
        <w:tc>
          <w:tcPr>
            <w:tcW w:w="231" w:type="pct"/>
            <w:shd w:val="clear" w:color="auto" w:fill="FFFFFF" w:themeFill="background1"/>
            <w:vAlign w:val="center"/>
          </w:tcPr>
          <w:p w14:paraId="45A4EFA7" w14:textId="0B624A49" w:rsidR="00630D0F" w:rsidRPr="009E66BF" w:rsidRDefault="006255D2" w:rsidP="000504C8">
            <w:pPr>
              <w:autoSpaceDE w:val="0"/>
              <w:autoSpaceDN w:val="0"/>
              <w:adjustRightInd w:val="0"/>
              <w:snapToGrid w:val="0"/>
              <w:spacing w:line="240" w:lineRule="auto"/>
              <w:jc w:val="center"/>
              <w:rPr>
                <w:color w:val="auto"/>
                <w:szCs w:val="18"/>
              </w:rPr>
            </w:pPr>
            <w:r w:rsidRPr="009E66BF">
              <w:rPr>
                <w:color w:val="auto"/>
                <w:szCs w:val="18"/>
              </w:rPr>
              <w:t>−</w:t>
            </w:r>
            <w:r w:rsidR="00630D0F" w:rsidRPr="009E66BF">
              <w:rPr>
                <w:color w:val="auto"/>
                <w:szCs w:val="18"/>
              </w:rPr>
              <w:t>1.47</w:t>
            </w:r>
          </w:p>
        </w:tc>
        <w:tc>
          <w:tcPr>
            <w:tcW w:w="246" w:type="pct"/>
            <w:shd w:val="clear" w:color="auto" w:fill="FFFFFF" w:themeFill="background1"/>
            <w:vAlign w:val="center"/>
          </w:tcPr>
          <w:p w14:paraId="638AA21F" w14:textId="59489F49" w:rsidR="00630D0F" w:rsidRPr="009E66BF" w:rsidRDefault="00CE3392" w:rsidP="000504C8">
            <w:pPr>
              <w:autoSpaceDE w:val="0"/>
              <w:autoSpaceDN w:val="0"/>
              <w:adjustRightInd w:val="0"/>
              <w:snapToGrid w:val="0"/>
              <w:spacing w:line="240" w:lineRule="auto"/>
              <w:jc w:val="center"/>
              <w:rPr>
                <w:color w:val="auto"/>
                <w:szCs w:val="18"/>
              </w:rPr>
            </w:pPr>
            <w:r w:rsidRPr="009E66BF">
              <w:rPr>
                <w:color w:val="auto"/>
                <w:szCs w:val="18"/>
              </w:rPr>
              <w:t>0</w:t>
            </w:r>
            <w:r w:rsidR="00630D0F" w:rsidRPr="009E66BF">
              <w:rPr>
                <w:color w:val="auto"/>
                <w:szCs w:val="18"/>
              </w:rPr>
              <w:t>.143</w:t>
            </w:r>
          </w:p>
        </w:tc>
        <w:tc>
          <w:tcPr>
            <w:tcW w:w="194" w:type="pct"/>
            <w:shd w:val="clear" w:color="auto" w:fill="FFFFFF" w:themeFill="background1"/>
            <w:vAlign w:val="center"/>
          </w:tcPr>
          <w:p w14:paraId="587A71E7" w14:textId="2CFCEB79" w:rsidR="00630D0F" w:rsidRPr="009E66BF" w:rsidRDefault="006255D2" w:rsidP="000504C8">
            <w:pPr>
              <w:autoSpaceDE w:val="0"/>
              <w:autoSpaceDN w:val="0"/>
              <w:adjustRightInd w:val="0"/>
              <w:snapToGrid w:val="0"/>
              <w:spacing w:line="240" w:lineRule="auto"/>
              <w:jc w:val="center"/>
              <w:rPr>
                <w:color w:val="auto"/>
                <w:szCs w:val="18"/>
              </w:rPr>
            </w:pPr>
            <w:r w:rsidRPr="009E66BF">
              <w:rPr>
                <w:color w:val="auto"/>
                <w:szCs w:val="18"/>
              </w:rPr>
              <w:t>−</w:t>
            </w:r>
            <w:r w:rsidR="00CE3392" w:rsidRPr="009E66BF">
              <w:rPr>
                <w:color w:val="auto"/>
                <w:szCs w:val="18"/>
              </w:rPr>
              <w:t>0</w:t>
            </w:r>
            <w:r w:rsidR="00630D0F" w:rsidRPr="009E66BF">
              <w:rPr>
                <w:color w:val="auto"/>
                <w:szCs w:val="18"/>
              </w:rPr>
              <w:t>.02</w:t>
            </w:r>
          </w:p>
        </w:tc>
        <w:tc>
          <w:tcPr>
            <w:tcW w:w="278" w:type="pct"/>
            <w:shd w:val="clear" w:color="auto" w:fill="FFFFFF" w:themeFill="background1"/>
            <w:vAlign w:val="center"/>
          </w:tcPr>
          <w:p w14:paraId="6C70814F" w14:textId="6CD99746" w:rsidR="00630D0F" w:rsidRPr="009E66BF" w:rsidRDefault="006255D2" w:rsidP="000504C8">
            <w:pPr>
              <w:autoSpaceDE w:val="0"/>
              <w:autoSpaceDN w:val="0"/>
              <w:adjustRightInd w:val="0"/>
              <w:snapToGrid w:val="0"/>
              <w:spacing w:line="240" w:lineRule="auto"/>
              <w:jc w:val="center"/>
              <w:rPr>
                <w:color w:val="auto"/>
                <w:szCs w:val="18"/>
              </w:rPr>
            </w:pPr>
            <w:r w:rsidRPr="009E66BF">
              <w:rPr>
                <w:color w:val="auto"/>
                <w:szCs w:val="18"/>
              </w:rPr>
              <w:t>−</w:t>
            </w:r>
            <w:r w:rsidR="00630D0F" w:rsidRPr="009E66BF">
              <w:rPr>
                <w:color w:val="auto"/>
                <w:szCs w:val="18"/>
              </w:rPr>
              <w:t>0.48 (2.01)</w:t>
            </w:r>
          </w:p>
        </w:tc>
        <w:tc>
          <w:tcPr>
            <w:tcW w:w="249" w:type="pct"/>
            <w:shd w:val="clear" w:color="auto" w:fill="FFFFFF" w:themeFill="background1"/>
            <w:vAlign w:val="center"/>
          </w:tcPr>
          <w:p w14:paraId="331D9E19" w14:textId="327A1D04" w:rsidR="00630D0F" w:rsidRPr="009E66BF" w:rsidRDefault="006255D2" w:rsidP="000504C8">
            <w:pPr>
              <w:autoSpaceDE w:val="0"/>
              <w:autoSpaceDN w:val="0"/>
              <w:adjustRightInd w:val="0"/>
              <w:snapToGrid w:val="0"/>
              <w:spacing w:line="240" w:lineRule="auto"/>
              <w:jc w:val="center"/>
              <w:rPr>
                <w:color w:val="auto"/>
                <w:szCs w:val="18"/>
              </w:rPr>
            </w:pPr>
            <w:r w:rsidRPr="009E66BF">
              <w:rPr>
                <w:color w:val="auto"/>
                <w:szCs w:val="18"/>
              </w:rPr>
              <w:t>−</w:t>
            </w:r>
            <w:r w:rsidR="00630D0F" w:rsidRPr="009E66BF">
              <w:rPr>
                <w:color w:val="auto"/>
                <w:szCs w:val="18"/>
              </w:rPr>
              <w:t>4.46, 3.50</w:t>
            </w:r>
          </w:p>
        </w:tc>
        <w:tc>
          <w:tcPr>
            <w:tcW w:w="231" w:type="pct"/>
            <w:shd w:val="clear" w:color="auto" w:fill="FFFFFF" w:themeFill="background1"/>
            <w:vAlign w:val="center"/>
          </w:tcPr>
          <w:p w14:paraId="1246FC3A" w14:textId="575FBD0F" w:rsidR="00630D0F" w:rsidRPr="009E66BF" w:rsidRDefault="006255D2" w:rsidP="000504C8">
            <w:pPr>
              <w:autoSpaceDE w:val="0"/>
              <w:autoSpaceDN w:val="0"/>
              <w:adjustRightInd w:val="0"/>
              <w:snapToGrid w:val="0"/>
              <w:spacing w:line="240" w:lineRule="auto"/>
              <w:jc w:val="center"/>
              <w:rPr>
                <w:color w:val="auto"/>
                <w:szCs w:val="18"/>
              </w:rPr>
            </w:pPr>
            <w:r w:rsidRPr="009E66BF">
              <w:rPr>
                <w:color w:val="auto"/>
                <w:szCs w:val="18"/>
              </w:rPr>
              <w:t>−</w:t>
            </w:r>
            <w:r w:rsidR="00630D0F" w:rsidRPr="009E66BF">
              <w:rPr>
                <w:color w:val="auto"/>
                <w:szCs w:val="18"/>
              </w:rPr>
              <w:t>0.24</w:t>
            </w:r>
          </w:p>
        </w:tc>
        <w:tc>
          <w:tcPr>
            <w:tcW w:w="238" w:type="pct"/>
            <w:shd w:val="clear" w:color="auto" w:fill="FFFFFF" w:themeFill="background1"/>
            <w:vAlign w:val="center"/>
          </w:tcPr>
          <w:p w14:paraId="4846FA10" w14:textId="109538E3" w:rsidR="00630D0F" w:rsidRPr="009E66BF" w:rsidRDefault="00CE3392" w:rsidP="000504C8">
            <w:pPr>
              <w:autoSpaceDE w:val="0"/>
              <w:autoSpaceDN w:val="0"/>
              <w:adjustRightInd w:val="0"/>
              <w:snapToGrid w:val="0"/>
              <w:spacing w:line="240" w:lineRule="auto"/>
              <w:jc w:val="center"/>
              <w:rPr>
                <w:color w:val="auto"/>
                <w:szCs w:val="18"/>
              </w:rPr>
            </w:pPr>
            <w:r w:rsidRPr="009E66BF">
              <w:rPr>
                <w:color w:val="auto"/>
                <w:szCs w:val="18"/>
              </w:rPr>
              <w:t>0</w:t>
            </w:r>
            <w:r w:rsidR="00630D0F" w:rsidRPr="009E66BF">
              <w:rPr>
                <w:color w:val="auto"/>
                <w:szCs w:val="18"/>
              </w:rPr>
              <w:t>.812</w:t>
            </w:r>
          </w:p>
        </w:tc>
        <w:tc>
          <w:tcPr>
            <w:tcW w:w="197" w:type="pct"/>
            <w:shd w:val="clear" w:color="auto" w:fill="FFFFFF" w:themeFill="background1"/>
            <w:vAlign w:val="center"/>
          </w:tcPr>
          <w:p w14:paraId="65F40C1B" w14:textId="7AFE0B88" w:rsidR="00630D0F" w:rsidRPr="009E66BF" w:rsidRDefault="006255D2" w:rsidP="000504C8">
            <w:pPr>
              <w:autoSpaceDE w:val="0"/>
              <w:autoSpaceDN w:val="0"/>
              <w:adjustRightInd w:val="0"/>
              <w:snapToGrid w:val="0"/>
              <w:spacing w:line="240" w:lineRule="auto"/>
              <w:jc w:val="center"/>
              <w:rPr>
                <w:color w:val="auto"/>
                <w:szCs w:val="18"/>
              </w:rPr>
            </w:pPr>
            <w:r w:rsidRPr="009E66BF">
              <w:rPr>
                <w:color w:val="auto"/>
                <w:szCs w:val="18"/>
              </w:rPr>
              <w:t>−</w:t>
            </w:r>
            <w:r w:rsidR="00CE3392" w:rsidRPr="009E66BF">
              <w:rPr>
                <w:color w:val="auto"/>
                <w:szCs w:val="18"/>
              </w:rPr>
              <w:t>0</w:t>
            </w:r>
            <w:r w:rsidR="00630D0F" w:rsidRPr="009E66BF">
              <w:rPr>
                <w:color w:val="auto"/>
                <w:szCs w:val="18"/>
              </w:rPr>
              <w:t>.06</w:t>
            </w:r>
          </w:p>
        </w:tc>
        <w:tc>
          <w:tcPr>
            <w:tcW w:w="243" w:type="pct"/>
            <w:shd w:val="clear" w:color="auto" w:fill="FFFFFF" w:themeFill="background1"/>
            <w:vAlign w:val="center"/>
          </w:tcPr>
          <w:p w14:paraId="5E814EE9" w14:textId="3E7C9B37" w:rsidR="00630D0F" w:rsidRPr="009E66BF" w:rsidRDefault="006255D2" w:rsidP="000504C8">
            <w:pPr>
              <w:autoSpaceDE w:val="0"/>
              <w:autoSpaceDN w:val="0"/>
              <w:adjustRightInd w:val="0"/>
              <w:snapToGrid w:val="0"/>
              <w:spacing w:line="240" w:lineRule="auto"/>
              <w:jc w:val="center"/>
              <w:rPr>
                <w:color w:val="auto"/>
                <w:szCs w:val="18"/>
              </w:rPr>
            </w:pPr>
            <w:r w:rsidRPr="009E66BF">
              <w:rPr>
                <w:color w:val="auto"/>
                <w:szCs w:val="18"/>
              </w:rPr>
              <w:t>−</w:t>
            </w:r>
            <w:r w:rsidR="00630D0F" w:rsidRPr="009E66BF">
              <w:rPr>
                <w:color w:val="auto"/>
                <w:szCs w:val="18"/>
              </w:rPr>
              <w:t>1.57 (2.21)</w:t>
            </w:r>
          </w:p>
        </w:tc>
        <w:tc>
          <w:tcPr>
            <w:tcW w:w="214" w:type="pct"/>
            <w:shd w:val="clear" w:color="auto" w:fill="FFFFFF" w:themeFill="background1"/>
            <w:vAlign w:val="center"/>
          </w:tcPr>
          <w:p w14:paraId="21BD1817" w14:textId="4381FA9F" w:rsidR="00630D0F" w:rsidRPr="009E66BF" w:rsidRDefault="006255D2" w:rsidP="000504C8">
            <w:pPr>
              <w:autoSpaceDE w:val="0"/>
              <w:autoSpaceDN w:val="0"/>
              <w:adjustRightInd w:val="0"/>
              <w:snapToGrid w:val="0"/>
              <w:spacing w:line="240" w:lineRule="auto"/>
              <w:jc w:val="center"/>
              <w:rPr>
                <w:color w:val="auto"/>
                <w:szCs w:val="18"/>
              </w:rPr>
            </w:pPr>
            <w:r w:rsidRPr="009E66BF">
              <w:rPr>
                <w:color w:val="auto"/>
                <w:szCs w:val="18"/>
              </w:rPr>
              <w:t>−</w:t>
            </w:r>
            <w:r w:rsidR="00630D0F" w:rsidRPr="009E66BF">
              <w:rPr>
                <w:color w:val="auto"/>
                <w:szCs w:val="18"/>
              </w:rPr>
              <w:t>5.95, 2.81</w:t>
            </w:r>
          </w:p>
        </w:tc>
        <w:tc>
          <w:tcPr>
            <w:tcW w:w="231" w:type="pct"/>
            <w:shd w:val="clear" w:color="auto" w:fill="FFFFFF" w:themeFill="background1"/>
            <w:vAlign w:val="center"/>
          </w:tcPr>
          <w:p w14:paraId="6E51DCDB" w14:textId="647C575C" w:rsidR="00630D0F" w:rsidRPr="009E66BF" w:rsidRDefault="006255D2" w:rsidP="000504C8">
            <w:pPr>
              <w:autoSpaceDE w:val="0"/>
              <w:autoSpaceDN w:val="0"/>
              <w:adjustRightInd w:val="0"/>
              <w:snapToGrid w:val="0"/>
              <w:spacing w:line="240" w:lineRule="auto"/>
              <w:jc w:val="center"/>
              <w:rPr>
                <w:color w:val="auto"/>
                <w:szCs w:val="18"/>
              </w:rPr>
            </w:pPr>
            <w:r w:rsidRPr="009E66BF">
              <w:rPr>
                <w:color w:val="auto"/>
                <w:szCs w:val="18"/>
              </w:rPr>
              <w:t>−</w:t>
            </w:r>
            <w:r w:rsidR="00630D0F" w:rsidRPr="009E66BF">
              <w:rPr>
                <w:color w:val="auto"/>
                <w:szCs w:val="18"/>
              </w:rPr>
              <w:t>0.71</w:t>
            </w:r>
          </w:p>
        </w:tc>
        <w:tc>
          <w:tcPr>
            <w:tcW w:w="280" w:type="pct"/>
            <w:shd w:val="clear" w:color="auto" w:fill="FFFFFF" w:themeFill="background1"/>
            <w:vAlign w:val="center"/>
          </w:tcPr>
          <w:p w14:paraId="5592A7BB" w14:textId="4FD4AC42" w:rsidR="00630D0F" w:rsidRPr="009E66BF" w:rsidRDefault="00400AAD" w:rsidP="000504C8">
            <w:pPr>
              <w:autoSpaceDE w:val="0"/>
              <w:autoSpaceDN w:val="0"/>
              <w:adjustRightInd w:val="0"/>
              <w:snapToGrid w:val="0"/>
              <w:spacing w:line="240" w:lineRule="auto"/>
              <w:jc w:val="center"/>
              <w:rPr>
                <w:color w:val="auto"/>
                <w:szCs w:val="18"/>
              </w:rPr>
            </w:pPr>
            <w:r w:rsidRPr="009E66BF">
              <w:rPr>
                <w:color w:val="auto"/>
                <w:szCs w:val="18"/>
              </w:rPr>
              <w:t>0</w:t>
            </w:r>
            <w:r w:rsidR="00630D0F" w:rsidRPr="009E66BF">
              <w:rPr>
                <w:color w:val="auto"/>
                <w:szCs w:val="18"/>
              </w:rPr>
              <w:t>.478</w:t>
            </w:r>
          </w:p>
        </w:tc>
      </w:tr>
      <w:tr w:rsidR="000504C8" w:rsidRPr="009E66BF" w14:paraId="3886038B" w14:textId="77777777" w:rsidTr="009E66BF">
        <w:trPr>
          <w:cantSplit/>
          <w:jc w:val="center"/>
        </w:trPr>
        <w:tc>
          <w:tcPr>
            <w:tcW w:w="313" w:type="pct"/>
            <w:shd w:val="clear" w:color="auto" w:fill="FFFFFF" w:themeFill="background1"/>
            <w:vAlign w:val="center"/>
          </w:tcPr>
          <w:p w14:paraId="1AC6C5FF" w14:textId="77777777" w:rsidR="00630D0F" w:rsidRPr="009E66BF" w:rsidRDefault="00630D0F" w:rsidP="000504C8">
            <w:pPr>
              <w:autoSpaceDE w:val="0"/>
              <w:autoSpaceDN w:val="0"/>
              <w:adjustRightInd w:val="0"/>
              <w:snapToGrid w:val="0"/>
              <w:spacing w:line="240" w:lineRule="auto"/>
              <w:jc w:val="center"/>
              <w:rPr>
                <w:color w:val="auto"/>
                <w:szCs w:val="18"/>
              </w:rPr>
            </w:pPr>
            <w:r w:rsidRPr="009E66BF">
              <w:rPr>
                <w:color w:val="auto"/>
                <w:szCs w:val="18"/>
              </w:rPr>
              <w:t>T1 FGA</w:t>
            </w:r>
          </w:p>
        </w:tc>
        <w:tc>
          <w:tcPr>
            <w:tcW w:w="225" w:type="pct"/>
            <w:shd w:val="clear" w:color="auto" w:fill="FFFFFF" w:themeFill="background1"/>
            <w:vAlign w:val="center"/>
          </w:tcPr>
          <w:p w14:paraId="56A696AF" w14:textId="615F1996" w:rsidR="00630D0F" w:rsidRPr="009E66BF" w:rsidRDefault="00624EE7" w:rsidP="000504C8">
            <w:pPr>
              <w:autoSpaceDE w:val="0"/>
              <w:autoSpaceDN w:val="0"/>
              <w:adjustRightInd w:val="0"/>
              <w:snapToGrid w:val="0"/>
              <w:spacing w:line="240" w:lineRule="auto"/>
              <w:jc w:val="center"/>
              <w:rPr>
                <w:color w:val="auto"/>
                <w:szCs w:val="18"/>
              </w:rPr>
            </w:pPr>
            <w:r w:rsidRPr="009E66BF">
              <w:rPr>
                <w:color w:val="auto"/>
                <w:szCs w:val="18"/>
              </w:rPr>
              <w:t>0</w:t>
            </w:r>
            <w:r w:rsidR="00630D0F" w:rsidRPr="009E66BF">
              <w:rPr>
                <w:color w:val="auto"/>
                <w:szCs w:val="18"/>
              </w:rPr>
              <w:t>.45</w:t>
            </w:r>
          </w:p>
        </w:tc>
        <w:tc>
          <w:tcPr>
            <w:tcW w:w="238" w:type="pct"/>
            <w:shd w:val="clear" w:color="auto" w:fill="FFFFFF" w:themeFill="background1"/>
            <w:vAlign w:val="center"/>
          </w:tcPr>
          <w:p w14:paraId="4FEFA99D" w14:textId="77777777" w:rsidR="00630D0F" w:rsidRPr="009E66BF" w:rsidRDefault="00630D0F" w:rsidP="000504C8">
            <w:pPr>
              <w:autoSpaceDE w:val="0"/>
              <w:autoSpaceDN w:val="0"/>
              <w:adjustRightInd w:val="0"/>
              <w:snapToGrid w:val="0"/>
              <w:spacing w:line="240" w:lineRule="auto"/>
              <w:jc w:val="center"/>
              <w:rPr>
                <w:color w:val="auto"/>
                <w:szCs w:val="18"/>
              </w:rPr>
            </w:pPr>
            <w:r w:rsidRPr="009E66BF">
              <w:rPr>
                <w:color w:val="auto"/>
                <w:szCs w:val="18"/>
              </w:rPr>
              <w:t>0.59 (0.07)</w:t>
            </w:r>
          </w:p>
        </w:tc>
        <w:tc>
          <w:tcPr>
            <w:tcW w:w="227" w:type="pct"/>
            <w:shd w:val="clear" w:color="auto" w:fill="FFFFFF" w:themeFill="background1"/>
            <w:vAlign w:val="center"/>
          </w:tcPr>
          <w:p w14:paraId="384AD768" w14:textId="77777777" w:rsidR="00630D0F" w:rsidRPr="009E66BF" w:rsidRDefault="00630D0F" w:rsidP="000504C8">
            <w:pPr>
              <w:autoSpaceDE w:val="0"/>
              <w:autoSpaceDN w:val="0"/>
              <w:adjustRightInd w:val="0"/>
              <w:snapToGrid w:val="0"/>
              <w:spacing w:line="240" w:lineRule="auto"/>
              <w:jc w:val="center"/>
              <w:rPr>
                <w:color w:val="auto"/>
                <w:szCs w:val="18"/>
              </w:rPr>
            </w:pPr>
            <w:r w:rsidRPr="009E66BF">
              <w:rPr>
                <w:color w:val="auto"/>
                <w:szCs w:val="18"/>
              </w:rPr>
              <w:t>0.46, 0.73</w:t>
            </w:r>
          </w:p>
        </w:tc>
        <w:tc>
          <w:tcPr>
            <w:tcW w:w="228" w:type="pct"/>
            <w:shd w:val="clear" w:color="auto" w:fill="FFFFFF" w:themeFill="background1"/>
            <w:vAlign w:val="center"/>
          </w:tcPr>
          <w:p w14:paraId="2A3695C9" w14:textId="77777777" w:rsidR="00630D0F" w:rsidRPr="009E66BF" w:rsidRDefault="00630D0F" w:rsidP="000504C8">
            <w:pPr>
              <w:autoSpaceDE w:val="0"/>
              <w:autoSpaceDN w:val="0"/>
              <w:adjustRightInd w:val="0"/>
              <w:snapToGrid w:val="0"/>
              <w:spacing w:line="240" w:lineRule="auto"/>
              <w:jc w:val="center"/>
              <w:rPr>
                <w:color w:val="auto"/>
                <w:szCs w:val="18"/>
              </w:rPr>
            </w:pPr>
            <w:r w:rsidRPr="009E66BF">
              <w:rPr>
                <w:color w:val="auto"/>
                <w:szCs w:val="18"/>
              </w:rPr>
              <w:t>8.60</w:t>
            </w:r>
          </w:p>
        </w:tc>
        <w:tc>
          <w:tcPr>
            <w:tcW w:w="245" w:type="pct"/>
            <w:shd w:val="clear" w:color="auto" w:fill="FFFFFF" w:themeFill="background1"/>
            <w:vAlign w:val="center"/>
          </w:tcPr>
          <w:p w14:paraId="0B1D142B" w14:textId="383D6F94" w:rsidR="00630D0F" w:rsidRPr="009E66BF" w:rsidRDefault="00630D0F" w:rsidP="000504C8">
            <w:pPr>
              <w:autoSpaceDE w:val="0"/>
              <w:autoSpaceDN w:val="0"/>
              <w:adjustRightInd w:val="0"/>
              <w:snapToGrid w:val="0"/>
              <w:spacing w:line="240" w:lineRule="auto"/>
              <w:jc w:val="center"/>
              <w:rPr>
                <w:color w:val="auto"/>
                <w:szCs w:val="18"/>
              </w:rPr>
            </w:pPr>
            <w:r w:rsidRPr="009E66BF">
              <w:rPr>
                <w:color w:val="auto"/>
                <w:szCs w:val="18"/>
              </w:rPr>
              <w:t>&lt;</w:t>
            </w:r>
            <w:r w:rsidR="00624EE7" w:rsidRPr="009E66BF">
              <w:rPr>
                <w:color w:val="auto"/>
                <w:szCs w:val="18"/>
              </w:rPr>
              <w:t>0</w:t>
            </w:r>
            <w:r w:rsidRPr="009E66BF">
              <w:rPr>
                <w:color w:val="auto"/>
                <w:szCs w:val="18"/>
              </w:rPr>
              <w:t>.001</w:t>
            </w:r>
          </w:p>
        </w:tc>
        <w:tc>
          <w:tcPr>
            <w:tcW w:w="194" w:type="pct"/>
            <w:shd w:val="clear" w:color="auto" w:fill="FFFFFF" w:themeFill="background1"/>
            <w:vAlign w:val="center"/>
          </w:tcPr>
          <w:p w14:paraId="759B686B" w14:textId="0AD56983" w:rsidR="00630D0F" w:rsidRPr="009E66BF" w:rsidRDefault="00624EE7" w:rsidP="000504C8">
            <w:pPr>
              <w:autoSpaceDE w:val="0"/>
              <w:autoSpaceDN w:val="0"/>
              <w:adjustRightInd w:val="0"/>
              <w:snapToGrid w:val="0"/>
              <w:spacing w:line="240" w:lineRule="auto"/>
              <w:jc w:val="center"/>
              <w:rPr>
                <w:color w:val="auto"/>
                <w:szCs w:val="18"/>
              </w:rPr>
            </w:pPr>
            <w:r w:rsidRPr="009E66BF">
              <w:rPr>
                <w:color w:val="auto"/>
                <w:szCs w:val="18"/>
              </w:rPr>
              <w:t>0</w:t>
            </w:r>
            <w:r w:rsidR="00630D0F" w:rsidRPr="009E66BF">
              <w:rPr>
                <w:color w:val="auto"/>
                <w:szCs w:val="18"/>
              </w:rPr>
              <w:t>.38</w:t>
            </w:r>
          </w:p>
        </w:tc>
        <w:tc>
          <w:tcPr>
            <w:tcW w:w="249" w:type="pct"/>
            <w:shd w:val="clear" w:color="auto" w:fill="FFFFFF" w:themeFill="background1"/>
            <w:vAlign w:val="center"/>
          </w:tcPr>
          <w:p w14:paraId="6601D6EA" w14:textId="77777777" w:rsidR="00630D0F" w:rsidRPr="009E66BF" w:rsidRDefault="00630D0F" w:rsidP="000504C8">
            <w:pPr>
              <w:autoSpaceDE w:val="0"/>
              <w:autoSpaceDN w:val="0"/>
              <w:adjustRightInd w:val="0"/>
              <w:snapToGrid w:val="0"/>
              <w:spacing w:line="240" w:lineRule="auto"/>
              <w:jc w:val="center"/>
              <w:rPr>
                <w:color w:val="auto"/>
                <w:szCs w:val="18"/>
              </w:rPr>
            </w:pPr>
            <w:r w:rsidRPr="009E66BF">
              <w:rPr>
                <w:color w:val="auto"/>
                <w:szCs w:val="18"/>
              </w:rPr>
              <w:t>0.51 (0.09)</w:t>
            </w:r>
          </w:p>
        </w:tc>
        <w:tc>
          <w:tcPr>
            <w:tcW w:w="249" w:type="pct"/>
            <w:shd w:val="clear" w:color="auto" w:fill="FFFFFF" w:themeFill="background1"/>
            <w:vAlign w:val="center"/>
          </w:tcPr>
          <w:p w14:paraId="6F9ECD8F" w14:textId="77777777" w:rsidR="00630D0F" w:rsidRPr="009E66BF" w:rsidRDefault="00630D0F" w:rsidP="000504C8">
            <w:pPr>
              <w:autoSpaceDE w:val="0"/>
              <w:autoSpaceDN w:val="0"/>
              <w:adjustRightInd w:val="0"/>
              <w:snapToGrid w:val="0"/>
              <w:spacing w:line="240" w:lineRule="auto"/>
              <w:jc w:val="center"/>
              <w:rPr>
                <w:color w:val="auto"/>
                <w:szCs w:val="18"/>
              </w:rPr>
            </w:pPr>
            <w:r w:rsidRPr="009E66BF">
              <w:rPr>
                <w:color w:val="auto"/>
                <w:szCs w:val="18"/>
              </w:rPr>
              <w:t>0.34, 0.69</w:t>
            </w:r>
          </w:p>
        </w:tc>
        <w:tc>
          <w:tcPr>
            <w:tcW w:w="231" w:type="pct"/>
            <w:shd w:val="clear" w:color="auto" w:fill="FFFFFF" w:themeFill="background1"/>
            <w:vAlign w:val="center"/>
          </w:tcPr>
          <w:p w14:paraId="3A40DF23" w14:textId="77777777" w:rsidR="00630D0F" w:rsidRPr="009E66BF" w:rsidRDefault="00630D0F" w:rsidP="000504C8">
            <w:pPr>
              <w:autoSpaceDE w:val="0"/>
              <w:autoSpaceDN w:val="0"/>
              <w:adjustRightInd w:val="0"/>
              <w:snapToGrid w:val="0"/>
              <w:spacing w:line="240" w:lineRule="auto"/>
              <w:jc w:val="center"/>
              <w:rPr>
                <w:color w:val="auto"/>
                <w:szCs w:val="18"/>
              </w:rPr>
            </w:pPr>
            <w:r w:rsidRPr="009E66BF">
              <w:rPr>
                <w:color w:val="auto"/>
                <w:szCs w:val="18"/>
              </w:rPr>
              <w:t>5.73</w:t>
            </w:r>
          </w:p>
        </w:tc>
        <w:tc>
          <w:tcPr>
            <w:tcW w:w="246" w:type="pct"/>
            <w:shd w:val="clear" w:color="auto" w:fill="FFFFFF" w:themeFill="background1"/>
            <w:vAlign w:val="center"/>
          </w:tcPr>
          <w:p w14:paraId="65BD02AD" w14:textId="54846430" w:rsidR="00630D0F" w:rsidRPr="009E66BF" w:rsidRDefault="00630D0F" w:rsidP="000504C8">
            <w:pPr>
              <w:autoSpaceDE w:val="0"/>
              <w:autoSpaceDN w:val="0"/>
              <w:adjustRightInd w:val="0"/>
              <w:snapToGrid w:val="0"/>
              <w:spacing w:line="240" w:lineRule="auto"/>
              <w:jc w:val="center"/>
              <w:rPr>
                <w:color w:val="auto"/>
                <w:szCs w:val="18"/>
              </w:rPr>
            </w:pPr>
            <w:r w:rsidRPr="009E66BF">
              <w:rPr>
                <w:color w:val="auto"/>
                <w:szCs w:val="18"/>
              </w:rPr>
              <w:t>&lt;</w:t>
            </w:r>
            <w:r w:rsidR="00CE3392" w:rsidRPr="009E66BF">
              <w:rPr>
                <w:color w:val="auto"/>
                <w:szCs w:val="18"/>
              </w:rPr>
              <w:t>0</w:t>
            </w:r>
            <w:r w:rsidRPr="009E66BF">
              <w:rPr>
                <w:color w:val="auto"/>
                <w:szCs w:val="18"/>
              </w:rPr>
              <w:t>.001</w:t>
            </w:r>
          </w:p>
        </w:tc>
        <w:tc>
          <w:tcPr>
            <w:tcW w:w="194" w:type="pct"/>
            <w:shd w:val="clear" w:color="auto" w:fill="FFFFFF" w:themeFill="background1"/>
            <w:vAlign w:val="center"/>
          </w:tcPr>
          <w:p w14:paraId="1F1C9332" w14:textId="760456A8" w:rsidR="00630D0F" w:rsidRPr="009E66BF" w:rsidRDefault="00CE3392" w:rsidP="000504C8">
            <w:pPr>
              <w:autoSpaceDE w:val="0"/>
              <w:autoSpaceDN w:val="0"/>
              <w:adjustRightInd w:val="0"/>
              <w:snapToGrid w:val="0"/>
              <w:spacing w:line="240" w:lineRule="auto"/>
              <w:jc w:val="center"/>
              <w:rPr>
                <w:color w:val="auto"/>
                <w:szCs w:val="18"/>
              </w:rPr>
            </w:pPr>
            <w:r w:rsidRPr="009E66BF">
              <w:rPr>
                <w:color w:val="auto"/>
                <w:szCs w:val="18"/>
              </w:rPr>
              <w:t>0</w:t>
            </w:r>
            <w:r w:rsidR="00630D0F" w:rsidRPr="009E66BF">
              <w:rPr>
                <w:color w:val="auto"/>
                <w:szCs w:val="18"/>
              </w:rPr>
              <w:t>.37</w:t>
            </w:r>
          </w:p>
        </w:tc>
        <w:tc>
          <w:tcPr>
            <w:tcW w:w="278" w:type="pct"/>
            <w:shd w:val="clear" w:color="auto" w:fill="FFFFFF" w:themeFill="background1"/>
            <w:vAlign w:val="center"/>
          </w:tcPr>
          <w:p w14:paraId="2647B1AB" w14:textId="77777777" w:rsidR="00630D0F" w:rsidRPr="009E66BF" w:rsidRDefault="00630D0F" w:rsidP="000504C8">
            <w:pPr>
              <w:autoSpaceDE w:val="0"/>
              <w:autoSpaceDN w:val="0"/>
              <w:adjustRightInd w:val="0"/>
              <w:snapToGrid w:val="0"/>
              <w:spacing w:line="240" w:lineRule="auto"/>
              <w:jc w:val="center"/>
              <w:rPr>
                <w:color w:val="auto"/>
                <w:szCs w:val="18"/>
              </w:rPr>
            </w:pPr>
            <w:r w:rsidRPr="009E66BF">
              <w:rPr>
                <w:color w:val="auto"/>
                <w:szCs w:val="18"/>
              </w:rPr>
              <w:t>0.47 (0.10)</w:t>
            </w:r>
          </w:p>
        </w:tc>
        <w:tc>
          <w:tcPr>
            <w:tcW w:w="249" w:type="pct"/>
            <w:shd w:val="clear" w:color="auto" w:fill="FFFFFF" w:themeFill="background1"/>
            <w:vAlign w:val="center"/>
          </w:tcPr>
          <w:p w14:paraId="2777B20F" w14:textId="77777777" w:rsidR="00630D0F" w:rsidRPr="009E66BF" w:rsidRDefault="00630D0F" w:rsidP="000504C8">
            <w:pPr>
              <w:autoSpaceDE w:val="0"/>
              <w:autoSpaceDN w:val="0"/>
              <w:adjustRightInd w:val="0"/>
              <w:snapToGrid w:val="0"/>
              <w:spacing w:line="240" w:lineRule="auto"/>
              <w:jc w:val="center"/>
              <w:rPr>
                <w:color w:val="auto"/>
                <w:szCs w:val="18"/>
              </w:rPr>
            </w:pPr>
            <w:r w:rsidRPr="009E66BF">
              <w:rPr>
                <w:color w:val="auto"/>
                <w:szCs w:val="18"/>
              </w:rPr>
              <w:t>0.26, 0.67</w:t>
            </w:r>
          </w:p>
        </w:tc>
        <w:tc>
          <w:tcPr>
            <w:tcW w:w="231" w:type="pct"/>
            <w:shd w:val="clear" w:color="auto" w:fill="FFFFFF" w:themeFill="background1"/>
            <w:vAlign w:val="center"/>
          </w:tcPr>
          <w:p w14:paraId="35F6A11F" w14:textId="77777777" w:rsidR="00630D0F" w:rsidRPr="009E66BF" w:rsidRDefault="00630D0F" w:rsidP="000504C8">
            <w:pPr>
              <w:autoSpaceDE w:val="0"/>
              <w:autoSpaceDN w:val="0"/>
              <w:adjustRightInd w:val="0"/>
              <w:snapToGrid w:val="0"/>
              <w:spacing w:line="240" w:lineRule="auto"/>
              <w:jc w:val="center"/>
              <w:rPr>
                <w:color w:val="auto"/>
                <w:szCs w:val="18"/>
              </w:rPr>
            </w:pPr>
            <w:r w:rsidRPr="009E66BF">
              <w:rPr>
                <w:color w:val="auto"/>
                <w:szCs w:val="18"/>
              </w:rPr>
              <w:t>4.52</w:t>
            </w:r>
          </w:p>
        </w:tc>
        <w:tc>
          <w:tcPr>
            <w:tcW w:w="238" w:type="pct"/>
            <w:shd w:val="clear" w:color="auto" w:fill="FFFFFF" w:themeFill="background1"/>
            <w:vAlign w:val="center"/>
          </w:tcPr>
          <w:p w14:paraId="518FFA87" w14:textId="7B85BB61" w:rsidR="00630D0F" w:rsidRPr="009E66BF" w:rsidRDefault="00630D0F" w:rsidP="000504C8">
            <w:pPr>
              <w:autoSpaceDE w:val="0"/>
              <w:autoSpaceDN w:val="0"/>
              <w:adjustRightInd w:val="0"/>
              <w:snapToGrid w:val="0"/>
              <w:spacing w:line="240" w:lineRule="auto"/>
              <w:jc w:val="center"/>
              <w:rPr>
                <w:color w:val="auto"/>
                <w:szCs w:val="18"/>
              </w:rPr>
            </w:pPr>
            <w:r w:rsidRPr="009E66BF">
              <w:rPr>
                <w:color w:val="auto"/>
                <w:szCs w:val="18"/>
              </w:rPr>
              <w:t>&lt;</w:t>
            </w:r>
            <w:r w:rsidR="00CE3392" w:rsidRPr="009E66BF">
              <w:rPr>
                <w:color w:val="auto"/>
                <w:szCs w:val="18"/>
              </w:rPr>
              <w:t>0</w:t>
            </w:r>
            <w:r w:rsidRPr="009E66BF">
              <w:rPr>
                <w:color w:val="auto"/>
                <w:szCs w:val="18"/>
              </w:rPr>
              <w:t>.001</w:t>
            </w:r>
          </w:p>
        </w:tc>
        <w:tc>
          <w:tcPr>
            <w:tcW w:w="197" w:type="pct"/>
            <w:shd w:val="clear" w:color="auto" w:fill="FFFFFF" w:themeFill="background1"/>
            <w:vAlign w:val="center"/>
          </w:tcPr>
          <w:p w14:paraId="1B8AE5D6" w14:textId="54727811" w:rsidR="00630D0F" w:rsidRPr="009E66BF" w:rsidRDefault="00CE3392" w:rsidP="000504C8">
            <w:pPr>
              <w:autoSpaceDE w:val="0"/>
              <w:autoSpaceDN w:val="0"/>
              <w:adjustRightInd w:val="0"/>
              <w:snapToGrid w:val="0"/>
              <w:spacing w:line="240" w:lineRule="auto"/>
              <w:jc w:val="center"/>
              <w:rPr>
                <w:color w:val="auto"/>
                <w:szCs w:val="18"/>
              </w:rPr>
            </w:pPr>
            <w:r w:rsidRPr="009E66BF">
              <w:rPr>
                <w:color w:val="auto"/>
                <w:szCs w:val="18"/>
              </w:rPr>
              <w:t>0</w:t>
            </w:r>
            <w:r w:rsidR="00630D0F" w:rsidRPr="009E66BF">
              <w:rPr>
                <w:color w:val="auto"/>
                <w:szCs w:val="18"/>
              </w:rPr>
              <w:t>.42</w:t>
            </w:r>
          </w:p>
        </w:tc>
        <w:tc>
          <w:tcPr>
            <w:tcW w:w="243" w:type="pct"/>
            <w:shd w:val="clear" w:color="auto" w:fill="FFFFFF" w:themeFill="background1"/>
            <w:vAlign w:val="center"/>
          </w:tcPr>
          <w:p w14:paraId="3A9FFF96" w14:textId="77777777" w:rsidR="00630D0F" w:rsidRPr="009E66BF" w:rsidRDefault="00630D0F" w:rsidP="000504C8">
            <w:pPr>
              <w:autoSpaceDE w:val="0"/>
              <w:autoSpaceDN w:val="0"/>
              <w:adjustRightInd w:val="0"/>
              <w:snapToGrid w:val="0"/>
              <w:spacing w:line="240" w:lineRule="auto"/>
              <w:jc w:val="center"/>
              <w:rPr>
                <w:color w:val="auto"/>
                <w:szCs w:val="18"/>
              </w:rPr>
            </w:pPr>
            <w:r w:rsidRPr="009E66BF">
              <w:rPr>
                <w:color w:val="auto"/>
                <w:szCs w:val="18"/>
              </w:rPr>
              <w:t>0.58 (0.12)</w:t>
            </w:r>
          </w:p>
        </w:tc>
        <w:tc>
          <w:tcPr>
            <w:tcW w:w="214" w:type="pct"/>
            <w:shd w:val="clear" w:color="auto" w:fill="FFFFFF" w:themeFill="background1"/>
            <w:vAlign w:val="center"/>
          </w:tcPr>
          <w:p w14:paraId="271CE3DA" w14:textId="77777777" w:rsidR="00630D0F" w:rsidRPr="009E66BF" w:rsidRDefault="00630D0F" w:rsidP="000504C8">
            <w:pPr>
              <w:autoSpaceDE w:val="0"/>
              <w:autoSpaceDN w:val="0"/>
              <w:adjustRightInd w:val="0"/>
              <w:snapToGrid w:val="0"/>
              <w:spacing w:line="240" w:lineRule="auto"/>
              <w:jc w:val="center"/>
              <w:rPr>
                <w:color w:val="auto"/>
                <w:szCs w:val="18"/>
              </w:rPr>
            </w:pPr>
            <w:r w:rsidRPr="009E66BF">
              <w:rPr>
                <w:color w:val="auto"/>
                <w:szCs w:val="18"/>
              </w:rPr>
              <w:t>0.34, 0.81</w:t>
            </w:r>
          </w:p>
        </w:tc>
        <w:tc>
          <w:tcPr>
            <w:tcW w:w="231" w:type="pct"/>
            <w:shd w:val="clear" w:color="auto" w:fill="FFFFFF" w:themeFill="background1"/>
            <w:vAlign w:val="center"/>
          </w:tcPr>
          <w:p w14:paraId="1A5DEB2E" w14:textId="77777777" w:rsidR="00630D0F" w:rsidRPr="009E66BF" w:rsidRDefault="00630D0F" w:rsidP="000504C8">
            <w:pPr>
              <w:autoSpaceDE w:val="0"/>
              <w:autoSpaceDN w:val="0"/>
              <w:adjustRightInd w:val="0"/>
              <w:snapToGrid w:val="0"/>
              <w:spacing w:line="240" w:lineRule="auto"/>
              <w:jc w:val="center"/>
              <w:rPr>
                <w:color w:val="auto"/>
                <w:szCs w:val="18"/>
              </w:rPr>
            </w:pPr>
            <w:r w:rsidRPr="009E66BF">
              <w:rPr>
                <w:color w:val="auto"/>
                <w:szCs w:val="18"/>
              </w:rPr>
              <w:t>4.93</w:t>
            </w:r>
          </w:p>
        </w:tc>
        <w:tc>
          <w:tcPr>
            <w:tcW w:w="280" w:type="pct"/>
            <w:shd w:val="clear" w:color="auto" w:fill="FFFFFF" w:themeFill="background1"/>
            <w:vAlign w:val="center"/>
          </w:tcPr>
          <w:p w14:paraId="2013F40B" w14:textId="5A975AB0" w:rsidR="00630D0F" w:rsidRPr="009E66BF" w:rsidRDefault="00400AAD" w:rsidP="000504C8">
            <w:pPr>
              <w:autoSpaceDE w:val="0"/>
              <w:autoSpaceDN w:val="0"/>
              <w:adjustRightInd w:val="0"/>
              <w:snapToGrid w:val="0"/>
              <w:spacing w:line="240" w:lineRule="auto"/>
              <w:jc w:val="center"/>
              <w:rPr>
                <w:color w:val="auto"/>
                <w:szCs w:val="18"/>
              </w:rPr>
            </w:pPr>
            <w:r w:rsidRPr="009E66BF">
              <w:rPr>
                <w:color w:val="auto"/>
                <w:szCs w:val="18"/>
              </w:rPr>
              <w:t>0</w:t>
            </w:r>
            <w:r w:rsidR="00630D0F" w:rsidRPr="009E66BF">
              <w:rPr>
                <w:color w:val="auto"/>
                <w:szCs w:val="18"/>
              </w:rPr>
              <w:t>&lt;</w:t>
            </w:r>
            <w:r w:rsidR="00012FD4" w:rsidRPr="009E66BF">
              <w:rPr>
                <w:color w:val="auto"/>
                <w:szCs w:val="18"/>
              </w:rPr>
              <w:t xml:space="preserve"> 0</w:t>
            </w:r>
            <w:r w:rsidR="00630D0F" w:rsidRPr="009E66BF">
              <w:rPr>
                <w:color w:val="auto"/>
                <w:szCs w:val="18"/>
              </w:rPr>
              <w:t>.001</w:t>
            </w:r>
          </w:p>
        </w:tc>
      </w:tr>
      <w:tr w:rsidR="000504C8" w:rsidRPr="009E66BF" w14:paraId="39FC97E3" w14:textId="77777777" w:rsidTr="009E66BF">
        <w:trPr>
          <w:cantSplit/>
          <w:jc w:val="center"/>
        </w:trPr>
        <w:tc>
          <w:tcPr>
            <w:tcW w:w="313" w:type="pct"/>
            <w:tcBorders>
              <w:bottom w:val="single" w:sz="4" w:space="0" w:color="auto"/>
            </w:tcBorders>
            <w:shd w:val="clear" w:color="auto" w:fill="FFFFFF" w:themeFill="background1"/>
            <w:vAlign w:val="center"/>
          </w:tcPr>
          <w:p w14:paraId="0842B228" w14:textId="77777777" w:rsidR="00630D0F" w:rsidRPr="009E66BF" w:rsidRDefault="00630D0F" w:rsidP="000504C8">
            <w:pPr>
              <w:autoSpaceDE w:val="0"/>
              <w:autoSpaceDN w:val="0"/>
              <w:adjustRightInd w:val="0"/>
              <w:snapToGrid w:val="0"/>
              <w:spacing w:line="240" w:lineRule="auto"/>
              <w:jc w:val="center"/>
              <w:rPr>
                <w:color w:val="auto"/>
                <w:szCs w:val="18"/>
              </w:rPr>
            </w:pPr>
            <w:r w:rsidRPr="009E66BF">
              <w:rPr>
                <w:color w:val="auto"/>
                <w:szCs w:val="18"/>
              </w:rPr>
              <w:t>T1 TGP</w:t>
            </w:r>
          </w:p>
        </w:tc>
        <w:tc>
          <w:tcPr>
            <w:tcW w:w="225" w:type="pct"/>
            <w:tcBorders>
              <w:bottom w:val="single" w:sz="4" w:space="0" w:color="auto"/>
            </w:tcBorders>
            <w:shd w:val="clear" w:color="auto" w:fill="FFFFFF" w:themeFill="background1"/>
            <w:vAlign w:val="center"/>
          </w:tcPr>
          <w:p w14:paraId="01B96707" w14:textId="18656A28" w:rsidR="00630D0F" w:rsidRPr="009E66BF" w:rsidRDefault="00624EE7" w:rsidP="000504C8">
            <w:pPr>
              <w:autoSpaceDE w:val="0"/>
              <w:autoSpaceDN w:val="0"/>
              <w:adjustRightInd w:val="0"/>
              <w:snapToGrid w:val="0"/>
              <w:spacing w:line="240" w:lineRule="auto"/>
              <w:jc w:val="center"/>
              <w:rPr>
                <w:color w:val="auto"/>
                <w:szCs w:val="18"/>
              </w:rPr>
            </w:pPr>
            <w:r w:rsidRPr="009E66BF">
              <w:rPr>
                <w:color w:val="auto"/>
                <w:szCs w:val="18"/>
              </w:rPr>
              <w:t>0</w:t>
            </w:r>
            <w:r w:rsidR="00630D0F" w:rsidRPr="009E66BF">
              <w:rPr>
                <w:color w:val="auto"/>
                <w:szCs w:val="18"/>
              </w:rPr>
              <w:t>.19</w:t>
            </w:r>
          </w:p>
        </w:tc>
        <w:tc>
          <w:tcPr>
            <w:tcW w:w="238" w:type="pct"/>
            <w:tcBorders>
              <w:bottom w:val="single" w:sz="4" w:space="0" w:color="auto"/>
            </w:tcBorders>
            <w:shd w:val="clear" w:color="auto" w:fill="FFFFFF" w:themeFill="background1"/>
            <w:vAlign w:val="center"/>
          </w:tcPr>
          <w:p w14:paraId="40B21763" w14:textId="77777777" w:rsidR="00630D0F" w:rsidRPr="009E66BF" w:rsidRDefault="00630D0F" w:rsidP="000504C8">
            <w:pPr>
              <w:autoSpaceDE w:val="0"/>
              <w:autoSpaceDN w:val="0"/>
              <w:adjustRightInd w:val="0"/>
              <w:snapToGrid w:val="0"/>
              <w:spacing w:line="240" w:lineRule="auto"/>
              <w:jc w:val="center"/>
              <w:rPr>
                <w:color w:val="auto"/>
                <w:szCs w:val="18"/>
              </w:rPr>
            </w:pPr>
            <w:r w:rsidRPr="009E66BF">
              <w:rPr>
                <w:color w:val="auto"/>
                <w:szCs w:val="18"/>
              </w:rPr>
              <w:t>0.23</w:t>
            </w:r>
          </w:p>
          <w:p w14:paraId="0B381261" w14:textId="77777777" w:rsidR="00630D0F" w:rsidRPr="009E66BF" w:rsidRDefault="00630D0F" w:rsidP="000504C8">
            <w:pPr>
              <w:autoSpaceDE w:val="0"/>
              <w:autoSpaceDN w:val="0"/>
              <w:adjustRightInd w:val="0"/>
              <w:snapToGrid w:val="0"/>
              <w:spacing w:line="240" w:lineRule="auto"/>
              <w:jc w:val="center"/>
              <w:rPr>
                <w:color w:val="auto"/>
                <w:szCs w:val="18"/>
              </w:rPr>
            </w:pPr>
            <w:r w:rsidRPr="009E66BF">
              <w:rPr>
                <w:color w:val="auto"/>
                <w:szCs w:val="18"/>
              </w:rPr>
              <w:t>(0.06)</w:t>
            </w:r>
          </w:p>
        </w:tc>
        <w:tc>
          <w:tcPr>
            <w:tcW w:w="227" w:type="pct"/>
            <w:tcBorders>
              <w:bottom w:val="single" w:sz="4" w:space="0" w:color="auto"/>
            </w:tcBorders>
            <w:shd w:val="clear" w:color="auto" w:fill="FFFFFF" w:themeFill="background1"/>
            <w:vAlign w:val="center"/>
          </w:tcPr>
          <w:p w14:paraId="0125BC74" w14:textId="77777777" w:rsidR="00630D0F" w:rsidRPr="009E66BF" w:rsidRDefault="00630D0F" w:rsidP="000504C8">
            <w:pPr>
              <w:autoSpaceDE w:val="0"/>
              <w:autoSpaceDN w:val="0"/>
              <w:adjustRightInd w:val="0"/>
              <w:snapToGrid w:val="0"/>
              <w:spacing w:line="240" w:lineRule="auto"/>
              <w:jc w:val="center"/>
              <w:rPr>
                <w:color w:val="auto"/>
                <w:szCs w:val="18"/>
              </w:rPr>
            </w:pPr>
            <w:r w:rsidRPr="009E66BF">
              <w:rPr>
                <w:color w:val="auto"/>
                <w:szCs w:val="18"/>
              </w:rPr>
              <w:t>0.10, 0.35</w:t>
            </w:r>
          </w:p>
        </w:tc>
        <w:tc>
          <w:tcPr>
            <w:tcW w:w="228" w:type="pct"/>
            <w:tcBorders>
              <w:bottom w:val="single" w:sz="4" w:space="0" w:color="auto"/>
            </w:tcBorders>
            <w:shd w:val="clear" w:color="auto" w:fill="FFFFFF" w:themeFill="background1"/>
            <w:vAlign w:val="center"/>
          </w:tcPr>
          <w:p w14:paraId="1FBB5DDF" w14:textId="77777777" w:rsidR="00630D0F" w:rsidRPr="009E66BF" w:rsidRDefault="00630D0F" w:rsidP="000504C8">
            <w:pPr>
              <w:autoSpaceDE w:val="0"/>
              <w:autoSpaceDN w:val="0"/>
              <w:adjustRightInd w:val="0"/>
              <w:snapToGrid w:val="0"/>
              <w:spacing w:line="240" w:lineRule="auto"/>
              <w:jc w:val="center"/>
              <w:rPr>
                <w:color w:val="auto"/>
                <w:szCs w:val="18"/>
              </w:rPr>
            </w:pPr>
            <w:r w:rsidRPr="009E66BF">
              <w:rPr>
                <w:color w:val="auto"/>
                <w:szCs w:val="18"/>
              </w:rPr>
              <w:t>3.64</w:t>
            </w:r>
          </w:p>
        </w:tc>
        <w:tc>
          <w:tcPr>
            <w:tcW w:w="245" w:type="pct"/>
            <w:tcBorders>
              <w:bottom w:val="single" w:sz="4" w:space="0" w:color="auto"/>
            </w:tcBorders>
            <w:shd w:val="clear" w:color="auto" w:fill="FFFFFF" w:themeFill="background1"/>
            <w:vAlign w:val="center"/>
          </w:tcPr>
          <w:p w14:paraId="720D0289" w14:textId="1D16EA80" w:rsidR="00630D0F" w:rsidRPr="009E66BF" w:rsidRDefault="00630D0F" w:rsidP="000504C8">
            <w:pPr>
              <w:autoSpaceDE w:val="0"/>
              <w:autoSpaceDN w:val="0"/>
              <w:adjustRightInd w:val="0"/>
              <w:snapToGrid w:val="0"/>
              <w:spacing w:line="240" w:lineRule="auto"/>
              <w:jc w:val="center"/>
              <w:rPr>
                <w:color w:val="auto"/>
                <w:szCs w:val="18"/>
              </w:rPr>
            </w:pPr>
            <w:r w:rsidRPr="009E66BF">
              <w:rPr>
                <w:color w:val="auto"/>
                <w:szCs w:val="18"/>
              </w:rPr>
              <w:t>&lt;</w:t>
            </w:r>
            <w:r w:rsidR="00624EE7" w:rsidRPr="009E66BF">
              <w:rPr>
                <w:color w:val="auto"/>
                <w:szCs w:val="18"/>
              </w:rPr>
              <w:t>0</w:t>
            </w:r>
            <w:r w:rsidRPr="009E66BF">
              <w:rPr>
                <w:color w:val="auto"/>
                <w:szCs w:val="18"/>
              </w:rPr>
              <w:t>.001</w:t>
            </w:r>
          </w:p>
        </w:tc>
        <w:tc>
          <w:tcPr>
            <w:tcW w:w="194" w:type="pct"/>
            <w:tcBorders>
              <w:bottom w:val="single" w:sz="4" w:space="0" w:color="auto"/>
            </w:tcBorders>
            <w:shd w:val="clear" w:color="auto" w:fill="FFFFFF" w:themeFill="background1"/>
            <w:vAlign w:val="center"/>
          </w:tcPr>
          <w:p w14:paraId="782734E5" w14:textId="132EF0B7" w:rsidR="00630D0F" w:rsidRPr="009E66BF" w:rsidRDefault="00624EE7" w:rsidP="000504C8">
            <w:pPr>
              <w:autoSpaceDE w:val="0"/>
              <w:autoSpaceDN w:val="0"/>
              <w:adjustRightInd w:val="0"/>
              <w:snapToGrid w:val="0"/>
              <w:spacing w:line="240" w:lineRule="auto"/>
              <w:jc w:val="center"/>
              <w:rPr>
                <w:color w:val="auto"/>
                <w:szCs w:val="18"/>
              </w:rPr>
            </w:pPr>
            <w:r w:rsidRPr="009E66BF">
              <w:rPr>
                <w:color w:val="auto"/>
                <w:szCs w:val="18"/>
              </w:rPr>
              <w:t>0</w:t>
            </w:r>
            <w:r w:rsidR="00630D0F" w:rsidRPr="009E66BF">
              <w:rPr>
                <w:color w:val="auto"/>
                <w:szCs w:val="18"/>
              </w:rPr>
              <w:t>.26</w:t>
            </w:r>
          </w:p>
        </w:tc>
        <w:tc>
          <w:tcPr>
            <w:tcW w:w="249" w:type="pct"/>
            <w:tcBorders>
              <w:bottom w:val="single" w:sz="4" w:space="0" w:color="auto"/>
            </w:tcBorders>
            <w:shd w:val="clear" w:color="auto" w:fill="FFFFFF" w:themeFill="background1"/>
            <w:vAlign w:val="center"/>
          </w:tcPr>
          <w:p w14:paraId="132525D0" w14:textId="77777777" w:rsidR="00630D0F" w:rsidRPr="009E66BF" w:rsidRDefault="00630D0F" w:rsidP="000504C8">
            <w:pPr>
              <w:autoSpaceDE w:val="0"/>
              <w:autoSpaceDN w:val="0"/>
              <w:adjustRightInd w:val="0"/>
              <w:snapToGrid w:val="0"/>
              <w:spacing w:line="240" w:lineRule="auto"/>
              <w:jc w:val="center"/>
              <w:rPr>
                <w:color w:val="auto"/>
                <w:szCs w:val="18"/>
              </w:rPr>
            </w:pPr>
            <w:r w:rsidRPr="009E66BF">
              <w:rPr>
                <w:color w:val="auto"/>
                <w:szCs w:val="18"/>
              </w:rPr>
              <w:t>0.32 (0.08)</w:t>
            </w:r>
          </w:p>
        </w:tc>
        <w:tc>
          <w:tcPr>
            <w:tcW w:w="249" w:type="pct"/>
            <w:tcBorders>
              <w:bottom w:val="single" w:sz="4" w:space="0" w:color="auto"/>
            </w:tcBorders>
            <w:shd w:val="clear" w:color="auto" w:fill="FFFFFF" w:themeFill="background1"/>
            <w:vAlign w:val="center"/>
          </w:tcPr>
          <w:p w14:paraId="13285057" w14:textId="77777777" w:rsidR="00630D0F" w:rsidRPr="009E66BF" w:rsidRDefault="00630D0F" w:rsidP="000504C8">
            <w:pPr>
              <w:autoSpaceDE w:val="0"/>
              <w:autoSpaceDN w:val="0"/>
              <w:adjustRightInd w:val="0"/>
              <w:snapToGrid w:val="0"/>
              <w:spacing w:line="240" w:lineRule="auto"/>
              <w:jc w:val="center"/>
              <w:rPr>
                <w:color w:val="auto"/>
                <w:szCs w:val="18"/>
              </w:rPr>
            </w:pPr>
            <w:r w:rsidRPr="009E66BF">
              <w:rPr>
                <w:color w:val="auto"/>
                <w:szCs w:val="18"/>
              </w:rPr>
              <w:t>0.16, 0.49</w:t>
            </w:r>
          </w:p>
        </w:tc>
        <w:tc>
          <w:tcPr>
            <w:tcW w:w="231" w:type="pct"/>
            <w:tcBorders>
              <w:bottom w:val="single" w:sz="4" w:space="0" w:color="auto"/>
            </w:tcBorders>
            <w:shd w:val="clear" w:color="auto" w:fill="FFFFFF" w:themeFill="background1"/>
            <w:vAlign w:val="center"/>
          </w:tcPr>
          <w:p w14:paraId="0C9EE0CA" w14:textId="77777777" w:rsidR="00630D0F" w:rsidRPr="009E66BF" w:rsidRDefault="00630D0F" w:rsidP="000504C8">
            <w:pPr>
              <w:autoSpaceDE w:val="0"/>
              <w:autoSpaceDN w:val="0"/>
              <w:adjustRightInd w:val="0"/>
              <w:snapToGrid w:val="0"/>
              <w:spacing w:line="240" w:lineRule="auto"/>
              <w:jc w:val="center"/>
              <w:rPr>
                <w:color w:val="auto"/>
                <w:szCs w:val="18"/>
              </w:rPr>
            </w:pPr>
            <w:r w:rsidRPr="009E66BF">
              <w:rPr>
                <w:color w:val="auto"/>
                <w:szCs w:val="18"/>
              </w:rPr>
              <w:t>3.85</w:t>
            </w:r>
          </w:p>
        </w:tc>
        <w:tc>
          <w:tcPr>
            <w:tcW w:w="246" w:type="pct"/>
            <w:tcBorders>
              <w:bottom w:val="single" w:sz="4" w:space="0" w:color="auto"/>
            </w:tcBorders>
            <w:shd w:val="clear" w:color="auto" w:fill="FFFFFF" w:themeFill="background1"/>
            <w:vAlign w:val="center"/>
          </w:tcPr>
          <w:p w14:paraId="46226E4A" w14:textId="28F23545" w:rsidR="00630D0F" w:rsidRPr="009E66BF" w:rsidRDefault="00630D0F" w:rsidP="000504C8">
            <w:pPr>
              <w:autoSpaceDE w:val="0"/>
              <w:autoSpaceDN w:val="0"/>
              <w:adjustRightInd w:val="0"/>
              <w:snapToGrid w:val="0"/>
              <w:spacing w:line="240" w:lineRule="auto"/>
              <w:jc w:val="center"/>
              <w:rPr>
                <w:color w:val="auto"/>
                <w:szCs w:val="18"/>
              </w:rPr>
            </w:pPr>
            <w:r w:rsidRPr="009E66BF">
              <w:rPr>
                <w:color w:val="auto"/>
                <w:szCs w:val="18"/>
              </w:rPr>
              <w:t>&lt;</w:t>
            </w:r>
            <w:r w:rsidR="00CE3392" w:rsidRPr="009E66BF">
              <w:rPr>
                <w:color w:val="auto"/>
                <w:szCs w:val="18"/>
              </w:rPr>
              <w:t>0</w:t>
            </w:r>
            <w:r w:rsidRPr="009E66BF">
              <w:rPr>
                <w:color w:val="auto"/>
                <w:szCs w:val="18"/>
              </w:rPr>
              <w:t>.001</w:t>
            </w:r>
          </w:p>
        </w:tc>
        <w:tc>
          <w:tcPr>
            <w:tcW w:w="194" w:type="pct"/>
            <w:tcBorders>
              <w:bottom w:val="single" w:sz="4" w:space="0" w:color="auto"/>
            </w:tcBorders>
            <w:shd w:val="clear" w:color="auto" w:fill="FFFFFF" w:themeFill="background1"/>
            <w:vAlign w:val="center"/>
          </w:tcPr>
          <w:p w14:paraId="31EDDC9C" w14:textId="1F7D6757" w:rsidR="00630D0F" w:rsidRPr="009E66BF" w:rsidRDefault="00CE3392" w:rsidP="000504C8">
            <w:pPr>
              <w:autoSpaceDE w:val="0"/>
              <w:autoSpaceDN w:val="0"/>
              <w:adjustRightInd w:val="0"/>
              <w:snapToGrid w:val="0"/>
              <w:spacing w:line="240" w:lineRule="auto"/>
              <w:jc w:val="center"/>
              <w:rPr>
                <w:color w:val="auto"/>
                <w:szCs w:val="18"/>
              </w:rPr>
            </w:pPr>
            <w:r w:rsidRPr="009E66BF">
              <w:rPr>
                <w:color w:val="auto"/>
                <w:szCs w:val="18"/>
              </w:rPr>
              <w:t>0</w:t>
            </w:r>
            <w:r w:rsidR="00630D0F" w:rsidRPr="009E66BF">
              <w:rPr>
                <w:color w:val="auto"/>
                <w:szCs w:val="18"/>
              </w:rPr>
              <w:t>.13</w:t>
            </w:r>
          </w:p>
        </w:tc>
        <w:tc>
          <w:tcPr>
            <w:tcW w:w="278" w:type="pct"/>
            <w:tcBorders>
              <w:bottom w:val="single" w:sz="4" w:space="0" w:color="auto"/>
            </w:tcBorders>
            <w:shd w:val="clear" w:color="auto" w:fill="FFFFFF" w:themeFill="background1"/>
            <w:vAlign w:val="center"/>
          </w:tcPr>
          <w:p w14:paraId="0D350A57" w14:textId="77777777" w:rsidR="00630D0F" w:rsidRPr="009E66BF" w:rsidRDefault="00630D0F" w:rsidP="000504C8">
            <w:pPr>
              <w:autoSpaceDE w:val="0"/>
              <w:autoSpaceDN w:val="0"/>
              <w:adjustRightInd w:val="0"/>
              <w:snapToGrid w:val="0"/>
              <w:spacing w:line="240" w:lineRule="auto"/>
              <w:jc w:val="center"/>
              <w:rPr>
                <w:color w:val="auto"/>
                <w:szCs w:val="18"/>
              </w:rPr>
            </w:pPr>
            <w:r w:rsidRPr="009E66BF">
              <w:rPr>
                <w:color w:val="auto"/>
                <w:szCs w:val="18"/>
              </w:rPr>
              <w:t>0.16 (0.10)</w:t>
            </w:r>
          </w:p>
        </w:tc>
        <w:tc>
          <w:tcPr>
            <w:tcW w:w="249" w:type="pct"/>
            <w:tcBorders>
              <w:bottom w:val="single" w:sz="4" w:space="0" w:color="auto"/>
            </w:tcBorders>
            <w:shd w:val="clear" w:color="auto" w:fill="FFFFFF" w:themeFill="background1"/>
            <w:vAlign w:val="center"/>
          </w:tcPr>
          <w:p w14:paraId="46DA71E3" w14:textId="042A527F" w:rsidR="00630D0F" w:rsidRPr="009E66BF" w:rsidRDefault="006255D2" w:rsidP="000504C8">
            <w:pPr>
              <w:autoSpaceDE w:val="0"/>
              <w:autoSpaceDN w:val="0"/>
              <w:adjustRightInd w:val="0"/>
              <w:snapToGrid w:val="0"/>
              <w:spacing w:line="240" w:lineRule="auto"/>
              <w:jc w:val="center"/>
              <w:rPr>
                <w:color w:val="auto"/>
                <w:szCs w:val="18"/>
              </w:rPr>
            </w:pPr>
            <w:r w:rsidRPr="009E66BF">
              <w:rPr>
                <w:color w:val="auto"/>
                <w:szCs w:val="18"/>
              </w:rPr>
              <w:t>−</w:t>
            </w:r>
            <w:r w:rsidR="00630D0F" w:rsidRPr="009E66BF">
              <w:rPr>
                <w:color w:val="auto"/>
                <w:szCs w:val="18"/>
              </w:rPr>
              <w:t>0.03, 0.35</w:t>
            </w:r>
          </w:p>
        </w:tc>
        <w:tc>
          <w:tcPr>
            <w:tcW w:w="231" w:type="pct"/>
            <w:tcBorders>
              <w:bottom w:val="single" w:sz="4" w:space="0" w:color="auto"/>
            </w:tcBorders>
            <w:shd w:val="clear" w:color="auto" w:fill="FFFFFF" w:themeFill="background1"/>
            <w:vAlign w:val="center"/>
          </w:tcPr>
          <w:p w14:paraId="454FF9D7" w14:textId="77777777" w:rsidR="00630D0F" w:rsidRPr="009E66BF" w:rsidRDefault="00630D0F" w:rsidP="000504C8">
            <w:pPr>
              <w:autoSpaceDE w:val="0"/>
              <w:autoSpaceDN w:val="0"/>
              <w:adjustRightInd w:val="0"/>
              <w:snapToGrid w:val="0"/>
              <w:spacing w:line="240" w:lineRule="auto"/>
              <w:jc w:val="center"/>
              <w:rPr>
                <w:color w:val="auto"/>
                <w:szCs w:val="18"/>
              </w:rPr>
            </w:pPr>
            <w:r w:rsidRPr="009E66BF">
              <w:rPr>
                <w:color w:val="auto"/>
                <w:szCs w:val="18"/>
              </w:rPr>
              <w:t>1.64</w:t>
            </w:r>
          </w:p>
        </w:tc>
        <w:tc>
          <w:tcPr>
            <w:tcW w:w="238" w:type="pct"/>
            <w:tcBorders>
              <w:bottom w:val="single" w:sz="4" w:space="0" w:color="auto"/>
            </w:tcBorders>
            <w:shd w:val="clear" w:color="auto" w:fill="FFFFFF" w:themeFill="background1"/>
            <w:vAlign w:val="center"/>
          </w:tcPr>
          <w:p w14:paraId="283087EC" w14:textId="4399BA1D" w:rsidR="00630D0F" w:rsidRPr="009E66BF" w:rsidRDefault="00CE3392" w:rsidP="000504C8">
            <w:pPr>
              <w:autoSpaceDE w:val="0"/>
              <w:autoSpaceDN w:val="0"/>
              <w:adjustRightInd w:val="0"/>
              <w:snapToGrid w:val="0"/>
              <w:spacing w:line="240" w:lineRule="auto"/>
              <w:jc w:val="center"/>
              <w:rPr>
                <w:color w:val="auto"/>
                <w:szCs w:val="18"/>
              </w:rPr>
            </w:pPr>
            <w:r w:rsidRPr="009E66BF">
              <w:rPr>
                <w:color w:val="auto"/>
                <w:szCs w:val="18"/>
              </w:rPr>
              <w:t>0</w:t>
            </w:r>
            <w:r w:rsidR="00630D0F" w:rsidRPr="009E66BF">
              <w:rPr>
                <w:color w:val="auto"/>
                <w:szCs w:val="18"/>
              </w:rPr>
              <w:t>.104</w:t>
            </w:r>
          </w:p>
        </w:tc>
        <w:tc>
          <w:tcPr>
            <w:tcW w:w="197" w:type="pct"/>
            <w:tcBorders>
              <w:bottom w:val="single" w:sz="4" w:space="0" w:color="auto"/>
            </w:tcBorders>
            <w:shd w:val="clear" w:color="auto" w:fill="FFFFFF" w:themeFill="background1"/>
            <w:vAlign w:val="center"/>
          </w:tcPr>
          <w:p w14:paraId="68DB21E7" w14:textId="72D3D4DB" w:rsidR="00630D0F" w:rsidRPr="009E66BF" w:rsidRDefault="00CE3392" w:rsidP="000504C8">
            <w:pPr>
              <w:autoSpaceDE w:val="0"/>
              <w:autoSpaceDN w:val="0"/>
              <w:adjustRightInd w:val="0"/>
              <w:snapToGrid w:val="0"/>
              <w:spacing w:line="240" w:lineRule="auto"/>
              <w:jc w:val="center"/>
              <w:rPr>
                <w:color w:val="auto"/>
                <w:szCs w:val="18"/>
              </w:rPr>
            </w:pPr>
            <w:r w:rsidRPr="009E66BF">
              <w:rPr>
                <w:color w:val="auto"/>
                <w:szCs w:val="18"/>
              </w:rPr>
              <w:t>0</w:t>
            </w:r>
            <w:r w:rsidR="00630D0F" w:rsidRPr="009E66BF">
              <w:rPr>
                <w:color w:val="auto"/>
                <w:szCs w:val="18"/>
              </w:rPr>
              <w:t>.23</w:t>
            </w:r>
          </w:p>
        </w:tc>
        <w:tc>
          <w:tcPr>
            <w:tcW w:w="243" w:type="pct"/>
            <w:tcBorders>
              <w:bottom w:val="single" w:sz="4" w:space="0" w:color="auto"/>
            </w:tcBorders>
            <w:shd w:val="clear" w:color="auto" w:fill="FFFFFF" w:themeFill="background1"/>
            <w:vAlign w:val="center"/>
          </w:tcPr>
          <w:p w14:paraId="39B08B76" w14:textId="77777777" w:rsidR="00630D0F" w:rsidRPr="009E66BF" w:rsidRDefault="00630D0F" w:rsidP="000504C8">
            <w:pPr>
              <w:autoSpaceDE w:val="0"/>
              <w:autoSpaceDN w:val="0"/>
              <w:adjustRightInd w:val="0"/>
              <w:snapToGrid w:val="0"/>
              <w:spacing w:line="240" w:lineRule="auto"/>
              <w:jc w:val="center"/>
              <w:rPr>
                <w:color w:val="auto"/>
                <w:szCs w:val="18"/>
              </w:rPr>
            </w:pPr>
            <w:r w:rsidRPr="009E66BF">
              <w:rPr>
                <w:color w:val="auto"/>
                <w:szCs w:val="18"/>
              </w:rPr>
              <w:t>0.28 (0.11)</w:t>
            </w:r>
          </w:p>
        </w:tc>
        <w:tc>
          <w:tcPr>
            <w:tcW w:w="214" w:type="pct"/>
            <w:tcBorders>
              <w:bottom w:val="single" w:sz="4" w:space="0" w:color="auto"/>
            </w:tcBorders>
            <w:shd w:val="clear" w:color="auto" w:fill="FFFFFF" w:themeFill="background1"/>
            <w:vAlign w:val="center"/>
          </w:tcPr>
          <w:p w14:paraId="44E300F6" w14:textId="77777777" w:rsidR="00630D0F" w:rsidRPr="009E66BF" w:rsidRDefault="00630D0F" w:rsidP="000504C8">
            <w:pPr>
              <w:autoSpaceDE w:val="0"/>
              <w:autoSpaceDN w:val="0"/>
              <w:adjustRightInd w:val="0"/>
              <w:snapToGrid w:val="0"/>
              <w:spacing w:line="240" w:lineRule="auto"/>
              <w:jc w:val="center"/>
              <w:rPr>
                <w:color w:val="auto"/>
                <w:szCs w:val="18"/>
              </w:rPr>
            </w:pPr>
            <w:r w:rsidRPr="009E66BF">
              <w:rPr>
                <w:color w:val="auto"/>
                <w:szCs w:val="18"/>
              </w:rPr>
              <w:t>0.07, 0.50</w:t>
            </w:r>
          </w:p>
        </w:tc>
        <w:tc>
          <w:tcPr>
            <w:tcW w:w="231" w:type="pct"/>
            <w:tcBorders>
              <w:bottom w:val="single" w:sz="4" w:space="0" w:color="auto"/>
            </w:tcBorders>
            <w:shd w:val="clear" w:color="auto" w:fill="FFFFFF" w:themeFill="background1"/>
            <w:vAlign w:val="center"/>
          </w:tcPr>
          <w:p w14:paraId="53A8C810" w14:textId="77777777" w:rsidR="00630D0F" w:rsidRPr="009E66BF" w:rsidRDefault="00630D0F" w:rsidP="000504C8">
            <w:pPr>
              <w:autoSpaceDE w:val="0"/>
              <w:autoSpaceDN w:val="0"/>
              <w:adjustRightInd w:val="0"/>
              <w:snapToGrid w:val="0"/>
              <w:spacing w:line="240" w:lineRule="auto"/>
              <w:jc w:val="center"/>
              <w:rPr>
                <w:color w:val="auto"/>
                <w:szCs w:val="18"/>
              </w:rPr>
            </w:pPr>
            <w:r w:rsidRPr="009E66BF">
              <w:rPr>
                <w:color w:val="auto"/>
                <w:szCs w:val="18"/>
              </w:rPr>
              <w:t>2.66</w:t>
            </w:r>
          </w:p>
        </w:tc>
        <w:tc>
          <w:tcPr>
            <w:tcW w:w="280" w:type="pct"/>
            <w:tcBorders>
              <w:bottom w:val="single" w:sz="4" w:space="0" w:color="auto"/>
            </w:tcBorders>
            <w:shd w:val="clear" w:color="auto" w:fill="FFFFFF" w:themeFill="background1"/>
            <w:vAlign w:val="center"/>
          </w:tcPr>
          <w:p w14:paraId="0D1000D5" w14:textId="57FDD264" w:rsidR="00630D0F" w:rsidRPr="009E66BF" w:rsidRDefault="00400AAD" w:rsidP="000504C8">
            <w:pPr>
              <w:autoSpaceDE w:val="0"/>
              <w:autoSpaceDN w:val="0"/>
              <w:adjustRightInd w:val="0"/>
              <w:snapToGrid w:val="0"/>
              <w:spacing w:line="240" w:lineRule="auto"/>
              <w:jc w:val="center"/>
              <w:rPr>
                <w:color w:val="auto"/>
                <w:szCs w:val="18"/>
              </w:rPr>
            </w:pPr>
            <w:r w:rsidRPr="009E66BF">
              <w:rPr>
                <w:color w:val="auto"/>
                <w:szCs w:val="18"/>
              </w:rPr>
              <w:t>0</w:t>
            </w:r>
            <w:r w:rsidR="00630D0F" w:rsidRPr="009E66BF">
              <w:rPr>
                <w:color w:val="auto"/>
                <w:szCs w:val="18"/>
              </w:rPr>
              <w:t>.009</w:t>
            </w:r>
          </w:p>
        </w:tc>
      </w:tr>
      <w:tr w:rsidR="000504C8" w:rsidRPr="009E66BF" w14:paraId="6BCDAD44" w14:textId="77777777" w:rsidTr="009E66BF">
        <w:trPr>
          <w:cantSplit/>
          <w:jc w:val="center"/>
        </w:trPr>
        <w:tc>
          <w:tcPr>
            <w:tcW w:w="313" w:type="pct"/>
            <w:tcBorders>
              <w:top w:val="single" w:sz="4" w:space="0" w:color="auto"/>
            </w:tcBorders>
            <w:shd w:val="clear" w:color="auto" w:fill="FFFFFF" w:themeFill="background1"/>
            <w:vAlign w:val="center"/>
          </w:tcPr>
          <w:p w14:paraId="2A5BB542" w14:textId="77777777" w:rsidR="00630D0F" w:rsidRPr="009E66BF" w:rsidRDefault="00630D0F" w:rsidP="000504C8">
            <w:pPr>
              <w:autoSpaceDE w:val="0"/>
              <w:autoSpaceDN w:val="0"/>
              <w:adjustRightInd w:val="0"/>
              <w:snapToGrid w:val="0"/>
              <w:spacing w:line="240" w:lineRule="auto"/>
              <w:jc w:val="center"/>
              <w:rPr>
                <w:color w:val="auto"/>
                <w:szCs w:val="18"/>
              </w:rPr>
            </w:pPr>
            <w:r w:rsidRPr="009E66BF">
              <w:rPr>
                <w:color w:val="auto"/>
                <w:szCs w:val="18"/>
              </w:rPr>
              <w:t>Step 3</w:t>
            </w:r>
          </w:p>
        </w:tc>
        <w:tc>
          <w:tcPr>
            <w:tcW w:w="1163" w:type="pct"/>
            <w:gridSpan w:val="5"/>
            <w:tcBorders>
              <w:top w:val="single" w:sz="4" w:space="0" w:color="auto"/>
            </w:tcBorders>
            <w:shd w:val="clear" w:color="auto" w:fill="FFFFFF" w:themeFill="background1"/>
            <w:vAlign w:val="center"/>
          </w:tcPr>
          <w:p w14:paraId="1B457DFE" w14:textId="6D4AD811" w:rsidR="00630D0F" w:rsidRPr="009E66BF" w:rsidRDefault="00630D0F" w:rsidP="000504C8">
            <w:pPr>
              <w:autoSpaceDE w:val="0"/>
              <w:autoSpaceDN w:val="0"/>
              <w:adjustRightInd w:val="0"/>
              <w:snapToGrid w:val="0"/>
              <w:spacing w:line="240" w:lineRule="auto"/>
              <w:jc w:val="center"/>
              <w:rPr>
                <w:color w:val="auto"/>
                <w:szCs w:val="18"/>
              </w:rPr>
            </w:pPr>
            <w:r w:rsidRPr="009E66BF">
              <w:rPr>
                <w:i/>
                <w:iCs/>
                <w:color w:val="auto"/>
                <w:szCs w:val="18"/>
              </w:rPr>
              <w:sym w:font="Symbol" w:char="F044"/>
            </w:r>
            <w:r w:rsidRPr="009E66BF">
              <w:rPr>
                <w:i/>
                <w:iCs/>
                <w:color w:val="auto"/>
                <w:szCs w:val="18"/>
              </w:rPr>
              <w:t>R</w:t>
            </w:r>
            <w:r w:rsidRPr="009E66BF">
              <w:rPr>
                <w:i/>
                <w:iCs/>
                <w:color w:val="auto"/>
                <w:szCs w:val="18"/>
                <w:vertAlign w:val="superscript"/>
              </w:rPr>
              <w:t>2</w:t>
            </w:r>
            <w:r w:rsidRPr="009E66BF">
              <w:rPr>
                <w:color w:val="auto"/>
                <w:szCs w:val="18"/>
              </w:rPr>
              <w:t xml:space="preserve"> =</w:t>
            </w:r>
            <w:r w:rsidR="008B3F57" w:rsidRPr="009E66BF">
              <w:rPr>
                <w:color w:val="auto"/>
                <w:szCs w:val="18"/>
              </w:rPr>
              <w:t xml:space="preserve"> 0.</w:t>
            </w:r>
            <w:r w:rsidRPr="009E66BF">
              <w:rPr>
                <w:color w:val="auto"/>
                <w:szCs w:val="18"/>
              </w:rPr>
              <w:t xml:space="preserve">00, </w:t>
            </w:r>
            <w:r w:rsidRPr="009E66BF">
              <w:rPr>
                <w:i/>
                <w:iCs/>
                <w:color w:val="auto"/>
                <w:szCs w:val="18"/>
              </w:rPr>
              <w:sym w:font="Symbol" w:char="F044"/>
            </w:r>
            <w:r w:rsidRPr="009E66BF">
              <w:rPr>
                <w:i/>
                <w:iCs/>
                <w:color w:val="auto"/>
                <w:szCs w:val="18"/>
              </w:rPr>
              <w:t>F</w:t>
            </w:r>
            <w:r w:rsidRPr="009E66BF">
              <w:rPr>
                <w:color w:val="auto"/>
                <w:szCs w:val="18"/>
              </w:rPr>
              <w:t xml:space="preserve"> = 0.02, </w:t>
            </w:r>
            <w:r w:rsidRPr="009E66BF">
              <w:rPr>
                <w:i/>
                <w:iCs/>
                <w:color w:val="auto"/>
                <w:szCs w:val="18"/>
              </w:rPr>
              <w:t>p</w:t>
            </w:r>
            <w:r w:rsidRPr="009E66BF">
              <w:rPr>
                <w:color w:val="auto"/>
                <w:szCs w:val="18"/>
              </w:rPr>
              <w:t xml:space="preserve"> =</w:t>
            </w:r>
            <w:r w:rsidR="008B3F57" w:rsidRPr="009E66BF">
              <w:rPr>
                <w:color w:val="auto"/>
                <w:szCs w:val="18"/>
              </w:rPr>
              <w:t xml:space="preserve"> 0.</w:t>
            </w:r>
            <w:r w:rsidRPr="009E66BF">
              <w:rPr>
                <w:color w:val="auto"/>
                <w:szCs w:val="18"/>
              </w:rPr>
              <w:t>876</w:t>
            </w:r>
          </w:p>
        </w:tc>
        <w:tc>
          <w:tcPr>
            <w:tcW w:w="1169" w:type="pct"/>
            <w:gridSpan w:val="5"/>
            <w:tcBorders>
              <w:top w:val="single" w:sz="4" w:space="0" w:color="auto"/>
            </w:tcBorders>
            <w:shd w:val="clear" w:color="auto" w:fill="FFFFFF" w:themeFill="background1"/>
            <w:vAlign w:val="center"/>
          </w:tcPr>
          <w:p w14:paraId="53FF4B05" w14:textId="6DFE76FC" w:rsidR="00630D0F" w:rsidRPr="009E66BF" w:rsidRDefault="00630D0F" w:rsidP="000504C8">
            <w:pPr>
              <w:autoSpaceDE w:val="0"/>
              <w:autoSpaceDN w:val="0"/>
              <w:adjustRightInd w:val="0"/>
              <w:snapToGrid w:val="0"/>
              <w:spacing w:line="240" w:lineRule="auto"/>
              <w:jc w:val="center"/>
              <w:rPr>
                <w:color w:val="auto"/>
                <w:szCs w:val="18"/>
              </w:rPr>
            </w:pPr>
            <w:r w:rsidRPr="009E66BF">
              <w:rPr>
                <w:i/>
                <w:iCs/>
                <w:color w:val="auto"/>
                <w:szCs w:val="18"/>
              </w:rPr>
              <w:sym w:font="Symbol" w:char="F044"/>
            </w:r>
            <w:r w:rsidRPr="009E66BF">
              <w:rPr>
                <w:i/>
                <w:iCs/>
                <w:color w:val="auto"/>
                <w:szCs w:val="18"/>
              </w:rPr>
              <w:t>R</w:t>
            </w:r>
            <w:r w:rsidRPr="009E66BF">
              <w:rPr>
                <w:i/>
                <w:iCs/>
                <w:color w:val="auto"/>
                <w:szCs w:val="18"/>
                <w:vertAlign w:val="superscript"/>
              </w:rPr>
              <w:t>2</w:t>
            </w:r>
            <w:r w:rsidRPr="009E66BF">
              <w:rPr>
                <w:color w:val="auto"/>
                <w:szCs w:val="18"/>
              </w:rPr>
              <w:t xml:space="preserve"> =</w:t>
            </w:r>
            <w:r w:rsidR="008B3F57" w:rsidRPr="009E66BF">
              <w:rPr>
                <w:color w:val="auto"/>
                <w:szCs w:val="18"/>
              </w:rPr>
              <w:t xml:space="preserve"> 0.</w:t>
            </w:r>
            <w:r w:rsidRPr="009E66BF">
              <w:rPr>
                <w:color w:val="auto"/>
                <w:szCs w:val="18"/>
              </w:rPr>
              <w:t xml:space="preserve">01, </w:t>
            </w:r>
            <w:r w:rsidRPr="009E66BF">
              <w:rPr>
                <w:i/>
                <w:iCs/>
                <w:color w:val="auto"/>
                <w:szCs w:val="18"/>
              </w:rPr>
              <w:sym w:font="Symbol" w:char="F044"/>
            </w:r>
            <w:r w:rsidRPr="009E66BF">
              <w:rPr>
                <w:i/>
                <w:iCs/>
                <w:color w:val="auto"/>
                <w:szCs w:val="18"/>
              </w:rPr>
              <w:t>F</w:t>
            </w:r>
            <w:r w:rsidRPr="009E66BF">
              <w:rPr>
                <w:color w:val="auto"/>
                <w:szCs w:val="18"/>
              </w:rPr>
              <w:t xml:space="preserve"> = 1.98, </w:t>
            </w:r>
            <w:r w:rsidRPr="009E66BF">
              <w:rPr>
                <w:i/>
                <w:iCs/>
                <w:color w:val="auto"/>
                <w:szCs w:val="18"/>
              </w:rPr>
              <w:t>p</w:t>
            </w:r>
            <w:r w:rsidRPr="009E66BF">
              <w:rPr>
                <w:color w:val="auto"/>
                <w:szCs w:val="18"/>
              </w:rPr>
              <w:t xml:space="preserve"> =</w:t>
            </w:r>
            <w:r w:rsidR="008B3F57" w:rsidRPr="009E66BF">
              <w:rPr>
                <w:color w:val="auto"/>
                <w:szCs w:val="18"/>
              </w:rPr>
              <w:t xml:space="preserve"> 0.</w:t>
            </w:r>
            <w:r w:rsidRPr="009E66BF">
              <w:rPr>
                <w:color w:val="auto"/>
                <w:szCs w:val="18"/>
              </w:rPr>
              <w:t>161</w:t>
            </w:r>
          </w:p>
        </w:tc>
        <w:tc>
          <w:tcPr>
            <w:tcW w:w="1190" w:type="pct"/>
            <w:gridSpan w:val="5"/>
            <w:tcBorders>
              <w:top w:val="single" w:sz="4" w:space="0" w:color="auto"/>
            </w:tcBorders>
            <w:shd w:val="clear" w:color="auto" w:fill="FFFFFF" w:themeFill="background1"/>
            <w:vAlign w:val="center"/>
          </w:tcPr>
          <w:p w14:paraId="03EDDF2E" w14:textId="0F5BEE6C" w:rsidR="00630D0F" w:rsidRPr="009E66BF" w:rsidRDefault="00630D0F" w:rsidP="000504C8">
            <w:pPr>
              <w:autoSpaceDE w:val="0"/>
              <w:autoSpaceDN w:val="0"/>
              <w:adjustRightInd w:val="0"/>
              <w:snapToGrid w:val="0"/>
              <w:spacing w:line="240" w:lineRule="auto"/>
              <w:jc w:val="center"/>
              <w:rPr>
                <w:color w:val="auto"/>
                <w:szCs w:val="18"/>
              </w:rPr>
            </w:pPr>
            <w:r w:rsidRPr="009E66BF">
              <w:rPr>
                <w:i/>
                <w:iCs/>
                <w:color w:val="auto"/>
                <w:szCs w:val="18"/>
              </w:rPr>
              <w:sym w:font="Symbol" w:char="F044"/>
            </w:r>
            <w:r w:rsidRPr="009E66BF">
              <w:rPr>
                <w:i/>
                <w:iCs/>
                <w:color w:val="auto"/>
                <w:szCs w:val="18"/>
              </w:rPr>
              <w:t>R</w:t>
            </w:r>
            <w:r w:rsidRPr="009E66BF">
              <w:rPr>
                <w:i/>
                <w:iCs/>
                <w:color w:val="auto"/>
                <w:szCs w:val="18"/>
                <w:vertAlign w:val="superscript"/>
              </w:rPr>
              <w:t>2</w:t>
            </w:r>
            <w:r w:rsidRPr="009E66BF">
              <w:rPr>
                <w:color w:val="auto"/>
                <w:szCs w:val="18"/>
              </w:rPr>
              <w:t xml:space="preserve"> =</w:t>
            </w:r>
            <w:r w:rsidR="008B3F57" w:rsidRPr="009E66BF">
              <w:rPr>
                <w:color w:val="auto"/>
                <w:szCs w:val="18"/>
              </w:rPr>
              <w:t xml:space="preserve"> 0.</w:t>
            </w:r>
            <w:r w:rsidRPr="009E66BF">
              <w:rPr>
                <w:color w:val="auto"/>
                <w:szCs w:val="18"/>
              </w:rPr>
              <w:t xml:space="preserve">00, </w:t>
            </w:r>
            <w:r w:rsidRPr="009E66BF">
              <w:rPr>
                <w:i/>
                <w:iCs/>
                <w:color w:val="auto"/>
                <w:szCs w:val="18"/>
              </w:rPr>
              <w:sym w:font="Symbol" w:char="F044"/>
            </w:r>
            <w:r w:rsidRPr="009E66BF">
              <w:rPr>
                <w:i/>
                <w:iCs/>
                <w:color w:val="auto"/>
                <w:szCs w:val="18"/>
              </w:rPr>
              <w:t>F</w:t>
            </w:r>
            <w:r w:rsidRPr="009E66BF">
              <w:rPr>
                <w:color w:val="auto"/>
                <w:szCs w:val="18"/>
              </w:rPr>
              <w:t xml:space="preserve"> = 0.00, </w:t>
            </w:r>
            <w:r w:rsidRPr="009E66BF">
              <w:rPr>
                <w:i/>
                <w:iCs/>
                <w:color w:val="auto"/>
                <w:szCs w:val="18"/>
              </w:rPr>
              <w:t>p</w:t>
            </w:r>
            <w:r w:rsidRPr="009E66BF">
              <w:rPr>
                <w:color w:val="auto"/>
                <w:szCs w:val="18"/>
              </w:rPr>
              <w:t xml:space="preserve"> =</w:t>
            </w:r>
            <w:r w:rsidR="008B3F57" w:rsidRPr="009E66BF">
              <w:rPr>
                <w:color w:val="auto"/>
                <w:szCs w:val="18"/>
              </w:rPr>
              <w:t xml:space="preserve"> 0.</w:t>
            </w:r>
            <w:r w:rsidRPr="009E66BF">
              <w:rPr>
                <w:color w:val="auto"/>
                <w:szCs w:val="18"/>
              </w:rPr>
              <w:t>973</w:t>
            </w:r>
          </w:p>
        </w:tc>
        <w:tc>
          <w:tcPr>
            <w:tcW w:w="1165" w:type="pct"/>
            <w:gridSpan w:val="5"/>
            <w:tcBorders>
              <w:top w:val="single" w:sz="4" w:space="0" w:color="auto"/>
            </w:tcBorders>
            <w:shd w:val="clear" w:color="auto" w:fill="FFFFFF" w:themeFill="background1"/>
            <w:vAlign w:val="center"/>
          </w:tcPr>
          <w:p w14:paraId="57978B73" w14:textId="532A2315" w:rsidR="00630D0F" w:rsidRPr="009E66BF" w:rsidRDefault="00630D0F" w:rsidP="000504C8">
            <w:pPr>
              <w:autoSpaceDE w:val="0"/>
              <w:autoSpaceDN w:val="0"/>
              <w:adjustRightInd w:val="0"/>
              <w:snapToGrid w:val="0"/>
              <w:spacing w:line="240" w:lineRule="auto"/>
              <w:jc w:val="center"/>
              <w:rPr>
                <w:color w:val="auto"/>
                <w:szCs w:val="18"/>
              </w:rPr>
            </w:pPr>
            <w:r w:rsidRPr="009E66BF">
              <w:rPr>
                <w:i/>
                <w:iCs/>
                <w:color w:val="auto"/>
                <w:szCs w:val="18"/>
              </w:rPr>
              <w:sym w:font="Symbol" w:char="F044"/>
            </w:r>
            <w:r w:rsidRPr="009E66BF">
              <w:rPr>
                <w:i/>
                <w:iCs/>
                <w:color w:val="auto"/>
                <w:szCs w:val="18"/>
              </w:rPr>
              <w:t>R</w:t>
            </w:r>
            <w:r w:rsidRPr="009E66BF">
              <w:rPr>
                <w:i/>
                <w:iCs/>
                <w:color w:val="auto"/>
                <w:szCs w:val="18"/>
                <w:vertAlign w:val="superscript"/>
              </w:rPr>
              <w:t>2</w:t>
            </w:r>
            <w:r w:rsidRPr="009E66BF">
              <w:rPr>
                <w:color w:val="auto"/>
                <w:szCs w:val="18"/>
              </w:rPr>
              <w:t xml:space="preserve"> =</w:t>
            </w:r>
            <w:r w:rsidR="008B3F57" w:rsidRPr="009E66BF">
              <w:rPr>
                <w:color w:val="auto"/>
                <w:szCs w:val="18"/>
              </w:rPr>
              <w:t xml:space="preserve"> 0.</w:t>
            </w:r>
            <w:r w:rsidRPr="009E66BF">
              <w:rPr>
                <w:color w:val="auto"/>
                <w:szCs w:val="18"/>
              </w:rPr>
              <w:t xml:space="preserve">00, </w:t>
            </w:r>
            <w:r w:rsidRPr="009E66BF">
              <w:rPr>
                <w:i/>
                <w:iCs/>
                <w:color w:val="auto"/>
                <w:szCs w:val="18"/>
              </w:rPr>
              <w:sym w:font="Symbol" w:char="F044"/>
            </w:r>
            <w:r w:rsidRPr="009E66BF">
              <w:rPr>
                <w:i/>
                <w:iCs/>
                <w:color w:val="auto"/>
                <w:szCs w:val="18"/>
              </w:rPr>
              <w:t>F</w:t>
            </w:r>
            <w:r w:rsidRPr="009E66BF">
              <w:rPr>
                <w:color w:val="auto"/>
                <w:szCs w:val="18"/>
              </w:rPr>
              <w:t xml:space="preserve"> = 0.22, </w:t>
            </w:r>
            <w:r w:rsidRPr="009E66BF">
              <w:rPr>
                <w:i/>
                <w:iCs/>
                <w:color w:val="auto"/>
                <w:szCs w:val="18"/>
              </w:rPr>
              <w:t>p</w:t>
            </w:r>
            <w:r w:rsidRPr="009E66BF">
              <w:rPr>
                <w:color w:val="auto"/>
                <w:szCs w:val="18"/>
              </w:rPr>
              <w:t xml:space="preserve"> =</w:t>
            </w:r>
            <w:r w:rsidR="008B3F57" w:rsidRPr="009E66BF">
              <w:rPr>
                <w:color w:val="auto"/>
                <w:szCs w:val="18"/>
              </w:rPr>
              <w:t xml:space="preserve"> 0.</w:t>
            </w:r>
            <w:r w:rsidRPr="009E66BF">
              <w:rPr>
                <w:color w:val="auto"/>
                <w:szCs w:val="18"/>
              </w:rPr>
              <w:t>641</w:t>
            </w:r>
          </w:p>
        </w:tc>
      </w:tr>
      <w:tr w:rsidR="000504C8" w:rsidRPr="009E66BF" w14:paraId="29ABE046" w14:textId="77777777" w:rsidTr="009E66BF">
        <w:trPr>
          <w:cantSplit/>
          <w:jc w:val="center"/>
        </w:trPr>
        <w:tc>
          <w:tcPr>
            <w:tcW w:w="313" w:type="pct"/>
            <w:shd w:val="clear" w:color="auto" w:fill="FFFFFF" w:themeFill="background1"/>
            <w:vAlign w:val="center"/>
          </w:tcPr>
          <w:p w14:paraId="4C7CF886" w14:textId="77777777" w:rsidR="00630D0F" w:rsidRPr="009E66BF" w:rsidRDefault="00630D0F" w:rsidP="000504C8">
            <w:pPr>
              <w:autoSpaceDE w:val="0"/>
              <w:autoSpaceDN w:val="0"/>
              <w:adjustRightInd w:val="0"/>
              <w:snapToGrid w:val="0"/>
              <w:spacing w:line="240" w:lineRule="auto"/>
              <w:jc w:val="center"/>
              <w:rPr>
                <w:color w:val="auto"/>
                <w:szCs w:val="18"/>
              </w:rPr>
            </w:pPr>
            <w:r w:rsidRPr="009E66BF">
              <w:rPr>
                <w:color w:val="auto"/>
                <w:szCs w:val="18"/>
              </w:rPr>
              <w:t>Age</w:t>
            </w:r>
          </w:p>
        </w:tc>
        <w:tc>
          <w:tcPr>
            <w:tcW w:w="225" w:type="pct"/>
            <w:shd w:val="clear" w:color="auto" w:fill="FFFFFF" w:themeFill="background1"/>
            <w:vAlign w:val="center"/>
          </w:tcPr>
          <w:p w14:paraId="7156F907" w14:textId="5DC1633D" w:rsidR="00630D0F" w:rsidRPr="009E66BF" w:rsidRDefault="006255D2" w:rsidP="000504C8">
            <w:pPr>
              <w:autoSpaceDE w:val="0"/>
              <w:autoSpaceDN w:val="0"/>
              <w:adjustRightInd w:val="0"/>
              <w:snapToGrid w:val="0"/>
              <w:spacing w:line="240" w:lineRule="auto"/>
              <w:jc w:val="center"/>
              <w:rPr>
                <w:color w:val="auto"/>
                <w:szCs w:val="18"/>
              </w:rPr>
            </w:pPr>
            <w:r w:rsidRPr="009E66BF">
              <w:rPr>
                <w:color w:val="auto"/>
                <w:szCs w:val="18"/>
              </w:rPr>
              <w:t>−</w:t>
            </w:r>
            <w:r w:rsidR="00624EE7" w:rsidRPr="009E66BF">
              <w:rPr>
                <w:color w:val="auto"/>
                <w:szCs w:val="18"/>
              </w:rPr>
              <w:t>0</w:t>
            </w:r>
            <w:r w:rsidR="00630D0F" w:rsidRPr="009E66BF">
              <w:rPr>
                <w:color w:val="auto"/>
                <w:szCs w:val="18"/>
              </w:rPr>
              <w:t>.01</w:t>
            </w:r>
          </w:p>
        </w:tc>
        <w:tc>
          <w:tcPr>
            <w:tcW w:w="238" w:type="pct"/>
            <w:shd w:val="clear" w:color="auto" w:fill="FFFFFF" w:themeFill="background1"/>
            <w:vAlign w:val="center"/>
          </w:tcPr>
          <w:p w14:paraId="309C8545" w14:textId="793829CD" w:rsidR="00630D0F" w:rsidRPr="009E66BF" w:rsidRDefault="006255D2" w:rsidP="000504C8">
            <w:pPr>
              <w:autoSpaceDE w:val="0"/>
              <w:autoSpaceDN w:val="0"/>
              <w:adjustRightInd w:val="0"/>
              <w:snapToGrid w:val="0"/>
              <w:spacing w:line="240" w:lineRule="auto"/>
              <w:jc w:val="center"/>
              <w:rPr>
                <w:color w:val="auto"/>
                <w:szCs w:val="18"/>
              </w:rPr>
            </w:pPr>
            <w:r w:rsidRPr="009E66BF">
              <w:rPr>
                <w:color w:val="auto"/>
                <w:szCs w:val="18"/>
              </w:rPr>
              <w:t>−</w:t>
            </w:r>
            <w:r w:rsidR="00630D0F" w:rsidRPr="009E66BF">
              <w:rPr>
                <w:color w:val="auto"/>
                <w:szCs w:val="18"/>
              </w:rPr>
              <w:t>0.01 (0.03)</w:t>
            </w:r>
          </w:p>
        </w:tc>
        <w:tc>
          <w:tcPr>
            <w:tcW w:w="227" w:type="pct"/>
            <w:shd w:val="clear" w:color="auto" w:fill="FFFFFF" w:themeFill="background1"/>
            <w:vAlign w:val="center"/>
          </w:tcPr>
          <w:p w14:paraId="7FB16820" w14:textId="31F504C0" w:rsidR="00630D0F" w:rsidRPr="009E66BF" w:rsidRDefault="006255D2" w:rsidP="000504C8">
            <w:pPr>
              <w:autoSpaceDE w:val="0"/>
              <w:autoSpaceDN w:val="0"/>
              <w:adjustRightInd w:val="0"/>
              <w:snapToGrid w:val="0"/>
              <w:spacing w:line="240" w:lineRule="auto"/>
              <w:jc w:val="center"/>
              <w:rPr>
                <w:color w:val="auto"/>
                <w:szCs w:val="18"/>
              </w:rPr>
            </w:pPr>
            <w:r w:rsidRPr="009E66BF">
              <w:rPr>
                <w:color w:val="auto"/>
                <w:szCs w:val="18"/>
              </w:rPr>
              <w:t>−</w:t>
            </w:r>
            <w:r w:rsidR="00630D0F" w:rsidRPr="009E66BF">
              <w:rPr>
                <w:color w:val="auto"/>
                <w:szCs w:val="18"/>
              </w:rPr>
              <w:t>0.07, 0.06</w:t>
            </w:r>
          </w:p>
        </w:tc>
        <w:tc>
          <w:tcPr>
            <w:tcW w:w="228" w:type="pct"/>
            <w:shd w:val="clear" w:color="auto" w:fill="FFFFFF" w:themeFill="background1"/>
            <w:vAlign w:val="center"/>
          </w:tcPr>
          <w:p w14:paraId="53F49F71" w14:textId="3F16A634" w:rsidR="00630D0F" w:rsidRPr="009E66BF" w:rsidRDefault="006255D2" w:rsidP="000504C8">
            <w:pPr>
              <w:autoSpaceDE w:val="0"/>
              <w:autoSpaceDN w:val="0"/>
              <w:adjustRightInd w:val="0"/>
              <w:snapToGrid w:val="0"/>
              <w:spacing w:line="240" w:lineRule="auto"/>
              <w:jc w:val="center"/>
              <w:rPr>
                <w:color w:val="auto"/>
                <w:szCs w:val="18"/>
              </w:rPr>
            </w:pPr>
            <w:r w:rsidRPr="009E66BF">
              <w:rPr>
                <w:color w:val="auto"/>
                <w:szCs w:val="18"/>
              </w:rPr>
              <w:t>−</w:t>
            </w:r>
            <w:r w:rsidR="00630D0F" w:rsidRPr="009E66BF">
              <w:rPr>
                <w:color w:val="auto"/>
                <w:szCs w:val="18"/>
              </w:rPr>
              <w:t>0.26</w:t>
            </w:r>
          </w:p>
        </w:tc>
        <w:tc>
          <w:tcPr>
            <w:tcW w:w="245" w:type="pct"/>
            <w:shd w:val="clear" w:color="auto" w:fill="FFFFFF" w:themeFill="background1"/>
            <w:vAlign w:val="center"/>
          </w:tcPr>
          <w:p w14:paraId="6A9589CA" w14:textId="55D1DDCB" w:rsidR="00630D0F" w:rsidRPr="009E66BF" w:rsidRDefault="00624EE7" w:rsidP="000504C8">
            <w:pPr>
              <w:autoSpaceDE w:val="0"/>
              <w:autoSpaceDN w:val="0"/>
              <w:adjustRightInd w:val="0"/>
              <w:snapToGrid w:val="0"/>
              <w:spacing w:line="240" w:lineRule="auto"/>
              <w:jc w:val="center"/>
              <w:rPr>
                <w:color w:val="auto"/>
                <w:szCs w:val="18"/>
              </w:rPr>
            </w:pPr>
            <w:r w:rsidRPr="009E66BF">
              <w:rPr>
                <w:color w:val="auto"/>
                <w:szCs w:val="18"/>
              </w:rPr>
              <w:t>0</w:t>
            </w:r>
            <w:r w:rsidR="00630D0F" w:rsidRPr="009E66BF">
              <w:rPr>
                <w:color w:val="auto"/>
                <w:szCs w:val="18"/>
              </w:rPr>
              <w:t>.794</w:t>
            </w:r>
          </w:p>
        </w:tc>
        <w:tc>
          <w:tcPr>
            <w:tcW w:w="194" w:type="pct"/>
            <w:shd w:val="clear" w:color="auto" w:fill="FFFFFF" w:themeFill="background1"/>
            <w:vAlign w:val="center"/>
          </w:tcPr>
          <w:p w14:paraId="05D3FF20" w14:textId="6F369C4B" w:rsidR="00630D0F" w:rsidRPr="009E66BF" w:rsidRDefault="00624EE7" w:rsidP="000504C8">
            <w:pPr>
              <w:autoSpaceDE w:val="0"/>
              <w:autoSpaceDN w:val="0"/>
              <w:adjustRightInd w:val="0"/>
              <w:snapToGrid w:val="0"/>
              <w:spacing w:line="240" w:lineRule="auto"/>
              <w:jc w:val="center"/>
              <w:rPr>
                <w:color w:val="auto"/>
                <w:szCs w:val="18"/>
              </w:rPr>
            </w:pPr>
            <w:r w:rsidRPr="009E66BF">
              <w:rPr>
                <w:color w:val="auto"/>
                <w:szCs w:val="18"/>
              </w:rPr>
              <w:t>0</w:t>
            </w:r>
            <w:r w:rsidR="00630D0F" w:rsidRPr="009E66BF">
              <w:rPr>
                <w:color w:val="auto"/>
                <w:szCs w:val="18"/>
              </w:rPr>
              <w:t>.10</w:t>
            </w:r>
          </w:p>
        </w:tc>
        <w:tc>
          <w:tcPr>
            <w:tcW w:w="249" w:type="pct"/>
            <w:shd w:val="clear" w:color="auto" w:fill="FFFFFF" w:themeFill="background1"/>
            <w:vAlign w:val="center"/>
          </w:tcPr>
          <w:p w14:paraId="30EF21F4" w14:textId="77777777" w:rsidR="00630D0F" w:rsidRPr="009E66BF" w:rsidRDefault="00630D0F" w:rsidP="000504C8">
            <w:pPr>
              <w:autoSpaceDE w:val="0"/>
              <w:autoSpaceDN w:val="0"/>
              <w:adjustRightInd w:val="0"/>
              <w:snapToGrid w:val="0"/>
              <w:spacing w:line="240" w:lineRule="auto"/>
              <w:jc w:val="center"/>
              <w:rPr>
                <w:color w:val="auto"/>
                <w:szCs w:val="18"/>
              </w:rPr>
            </w:pPr>
            <w:r w:rsidRPr="009E66BF">
              <w:rPr>
                <w:color w:val="auto"/>
                <w:szCs w:val="18"/>
              </w:rPr>
              <w:t>0.06 (0.04)</w:t>
            </w:r>
          </w:p>
        </w:tc>
        <w:tc>
          <w:tcPr>
            <w:tcW w:w="249" w:type="pct"/>
            <w:shd w:val="clear" w:color="auto" w:fill="FFFFFF" w:themeFill="background1"/>
            <w:vAlign w:val="center"/>
          </w:tcPr>
          <w:p w14:paraId="60F65160" w14:textId="1A8DE1AE" w:rsidR="00630D0F" w:rsidRPr="009E66BF" w:rsidRDefault="006255D2" w:rsidP="000504C8">
            <w:pPr>
              <w:autoSpaceDE w:val="0"/>
              <w:autoSpaceDN w:val="0"/>
              <w:adjustRightInd w:val="0"/>
              <w:snapToGrid w:val="0"/>
              <w:spacing w:line="240" w:lineRule="auto"/>
              <w:jc w:val="center"/>
              <w:rPr>
                <w:color w:val="auto"/>
                <w:szCs w:val="18"/>
              </w:rPr>
            </w:pPr>
            <w:r w:rsidRPr="009E66BF">
              <w:rPr>
                <w:color w:val="auto"/>
                <w:szCs w:val="18"/>
              </w:rPr>
              <w:t>−</w:t>
            </w:r>
            <w:r w:rsidR="00630D0F" w:rsidRPr="009E66BF">
              <w:rPr>
                <w:color w:val="auto"/>
                <w:szCs w:val="18"/>
              </w:rPr>
              <w:t>0.02, 0.14</w:t>
            </w:r>
          </w:p>
        </w:tc>
        <w:tc>
          <w:tcPr>
            <w:tcW w:w="231" w:type="pct"/>
            <w:shd w:val="clear" w:color="auto" w:fill="FFFFFF" w:themeFill="background1"/>
            <w:vAlign w:val="center"/>
          </w:tcPr>
          <w:p w14:paraId="649CB181" w14:textId="77777777" w:rsidR="00630D0F" w:rsidRPr="009E66BF" w:rsidRDefault="00630D0F" w:rsidP="000504C8">
            <w:pPr>
              <w:autoSpaceDE w:val="0"/>
              <w:autoSpaceDN w:val="0"/>
              <w:adjustRightInd w:val="0"/>
              <w:snapToGrid w:val="0"/>
              <w:spacing w:line="240" w:lineRule="auto"/>
              <w:jc w:val="center"/>
              <w:rPr>
                <w:color w:val="auto"/>
                <w:szCs w:val="18"/>
              </w:rPr>
            </w:pPr>
            <w:r w:rsidRPr="009E66BF">
              <w:rPr>
                <w:color w:val="auto"/>
                <w:szCs w:val="18"/>
              </w:rPr>
              <w:t>1.48</w:t>
            </w:r>
          </w:p>
        </w:tc>
        <w:tc>
          <w:tcPr>
            <w:tcW w:w="246" w:type="pct"/>
            <w:shd w:val="clear" w:color="auto" w:fill="FFFFFF" w:themeFill="background1"/>
            <w:vAlign w:val="center"/>
          </w:tcPr>
          <w:p w14:paraId="6A5295B3" w14:textId="6EF26889" w:rsidR="00630D0F" w:rsidRPr="009E66BF" w:rsidRDefault="00CE3392" w:rsidP="000504C8">
            <w:pPr>
              <w:autoSpaceDE w:val="0"/>
              <w:autoSpaceDN w:val="0"/>
              <w:adjustRightInd w:val="0"/>
              <w:snapToGrid w:val="0"/>
              <w:spacing w:line="240" w:lineRule="auto"/>
              <w:jc w:val="center"/>
              <w:rPr>
                <w:color w:val="auto"/>
                <w:szCs w:val="18"/>
              </w:rPr>
            </w:pPr>
            <w:r w:rsidRPr="009E66BF">
              <w:rPr>
                <w:color w:val="auto"/>
                <w:szCs w:val="18"/>
              </w:rPr>
              <w:t>0</w:t>
            </w:r>
            <w:r w:rsidR="00630D0F" w:rsidRPr="009E66BF">
              <w:rPr>
                <w:color w:val="auto"/>
                <w:szCs w:val="18"/>
              </w:rPr>
              <w:t>.142</w:t>
            </w:r>
          </w:p>
        </w:tc>
        <w:tc>
          <w:tcPr>
            <w:tcW w:w="194" w:type="pct"/>
            <w:shd w:val="clear" w:color="auto" w:fill="FFFFFF" w:themeFill="background1"/>
            <w:vAlign w:val="center"/>
          </w:tcPr>
          <w:p w14:paraId="7D45ED2F" w14:textId="64A1531E" w:rsidR="00630D0F" w:rsidRPr="009E66BF" w:rsidRDefault="00CE3392" w:rsidP="000504C8">
            <w:pPr>
              <w:autoSpaceDE w:val="0"/>
              <w:autoSpaceDN w:val="0"/>
              <w:adjustRightInd w:val="0"/>
              <w:snapToGrid w:val="0"/>
              <w:spacing w:line="240" w:lineRule="auto"/>
              <w:jc w:val="center"/>
              <w:rPr>
                <w:color w:val="auto"/>
                <w:szCs w:val="18"/>
              </w:rPr>
            </w:pPr>
            <w:r w:rsidRPr="009E66BF">
              <w:rPr>
                <w:color w:val="auto"/>
                <w:szCs w:val="18"/>
              </w:rPr>
              <w:t>0</w:t>
            </w:r>
            <w:r w:rsidR="00630D0F" w:rsidRPr="009E66BF">
              <w:rPr>
                <w:color w:val="auto"/>
                <w:szCs w:val="18"/>
              </w:rPr>
              <w:t>.20</w:t>
            </w:r>
          </w:p>
        </w:tc>
        <w:tc>
          <w:tcPr>
            <w:tcW w:w="278" w:type="pct"/>
            <w:shd w:val="clear" w:color="auto" w:fill="FFFFFF" w:themeFill="background1"/>
            <w:vAlign w:val="center"/>
          </w:tcPr>
          <w:p w14:paraId="7EA91942" w14:textId="77777777" w:rsidR="00630D0F" w:rsidRPr="009E66BF" w:rsidRDefault="00630D0F" w:rsidP="000504C8">
            <w:pPr>
              <w:autoSpaceDE w:val="0"/>
              <w:autoSpaceDN w:val="0"/>
              <w:adjustRightInd w:val="0"/>
              <w:snapToGrid w:val="0"/>
              <w:spacing w:line="240" w:lineRule="auto"/>
              <w:jc w:val="center"/>
              <w:rPr>
                <w:color w:val="auto"/>
                <w:szCs w:val="18"/>
              </w:rPr>
            </w:pPr>
            <w:r w:rsidRPr="009E66BF">
              <w:rPr>
                <w:color w:val="auto"/>
                <w:szCs w:val="18"/>
              </w:rPr>
              <w:t>0.12 (.047)</w:t>
            </w:r>
          </w:p>
        </w:tc>
        <w:tc>
          <w:tcPr>
            <w:tcW w:w="249" w:type="pct"/>
            <w:shd w:val="clear" w:color="auto" w:fill="FFFFFF" w:themeFill="background1"/>
            <w:vAlign w:val="center"/>
          </w:tcPr>
          <w:p w14:paraId="383AFC7A" w14:textId="77777777" w:rsidR="00630D0F" w:rsidRPr="009E66BF" w:rsidRDefault="00630D0F" w:rsidP="000504C8">
            <w:pPr>
              <w:autoSpaceDE w:val="0"/>
              <w:autoSpaceDN w:val="0"/>
              <w:adjustRightInd w:val="0"/>
              <w:snapToGrid w:val="0"/>
              <w:spacing w:line="240" w:lineRule="auto"/>
              <w:jc w:val="center"/>
              <w:rPr>
                <w:color w:val="auto"/>
                <w:szCs w:val="18"/>
              </w:rPr>
            </w:pPr>
            <w:r w:rsidRPr="009E66BF">
              <w:rPr>
                <w:color w:val="auto"/>
                <w:szCs w:val="18"/>
              </w:rPr>
              <w:t>0.03, 0.21</w:t>
            </w:r>
          </w:p>
        </w:tc>
        <w:tc>
          <w:tcPr>
            <w:tcW w:w="231" w:type="pct"/>
            <w:shd w:val="clear" w:color="auto" w:fill="FFFFFF" w:themeFill="background1"/>
            <w:vAlign w:val="center"/>
          </w:tcPr>
          <w:p w14:paraId="49F4A5C4" w14:textId="77777777" w:rsidR="00630D0F" w:rsidRPr="009E66BF" w:rsidRDefault="00630D0F" w:rsidP="000504C8">
            <w:pPr>
              <w:autoSpaceDE w:val="0"/>
              <w:autoSpaceDN w:val="0"/>
              <w:adjustRightInd w:val="0"/>
              <w:snapToGrid w:val="0"/>
              <w:spacing w:line="240" w:lineRule="auto"/>
              <w:jc w:val="center"/>
              <w:rPr>
                <w:color w:val="auto"/>
                <w:szCs w:val="18"/>
              </w:rPr>
            </w:pPr>
            <w:r w:rsidRPr="009E66BF">
              <w:rPr>
                <w:color w:val="auto"/>
                <w:szCs w:val="18"/>
              </w:rPr>
              <w:t>2.52</w:t>
            </w:r>
          </w:p>
        </w:tc>
        <w:tc>
          <w:tcPr>
            <w:tcW w:w="238" w:type="pct"/>
            <w:shd w:val="clear" w:color="auto" w:fill="FFFFFF" w:themeFill="background1"/>
            <w:vAlign w:val="center"/>
          </w:tcPr>
          <w:p w14:paraId="49883B0D" w14:textId="5B651545" w:rsidR="00630D0F" w:rsidRPr="009E66BF" w:rsidRDefault="00CE3392" w:rsidP="000504C8">
            <w:pPr>
              <w:autoSpaceDE w:val="0"/>
              <w:autoSpaceDN w:val="0"/>
              <w:adjustRightInd w:val="0"/>
              <w:snapToGrid w:val="0"/>
              <w:spacing w:line="240" w:lineRule="auto"/>
              <w:jc w:val="center"/>
              <w:rPr>
                <w:color w:val="auto"/>
                <w:szCs w:val="18"/>
              </w:rPr>
            </w:pPr>
            <w:r w:rsidRPr="009E66BF">
              <w:rPr>
                <w:color w:val="auto"/>
                <w:szCs w:val="18"/>
              </w:rPr>
              <w:t>0</w:t>
            </w:r>
            <w:r w:rsidR="00630D0F" w:rsidRPr="009E66BF">
              <w:rPr>
                <w:color w:val="auto"/>
                <w:szCs w:val="18"/>
              </w:rPr>
              <w:t>.013</w:t>
            </w:r>
          </w:p>
        </w:tc>
        <w:tc>
          <w:tcPr>
            <w:tcW w:w="197" w:type="pct"/>
            <w:shd w:val="clear" w:color="auto" w:fill="FFFFFF" w:themeFill="background1"/>
            <w:vAlign w:val="center"/>
          </w:tcPr>
          <w:p w14:paraId="0A4E3C51" w14:textId="4FEDDA12" w:rsidR="00630D0F" w:rsidRPr="009E66BF" w:rsidRDefault="00CE3392" w:rsidP="000504C8">
            <w:pPr>
              <w:autoSpaceDE w:val="0"/>
              <w:autoSpaceDN w:val="0"/>
              <w:adjustRightInd w:val="0"/>
              <w:snapToGrid w:val="0"/>
              <w:spacing w:line="240" w:lineRule="auto"/>
              <w:jc w:val="center"/>
              <w:rPr>
                <w:color w:val="auto"/>
                <w:szCs w:val="18"/>
              </w:rPr>
            </w:pPr>
            <w:r w:rsidRPr="009E66BF">
              <w:rPr>
                <w:color w:val="auto"/>
                <w:szCs w:val="18"/>
              </w:rPr>
              <w:t>0</w:t>
            </w:r>
            <w:r w:rsidR="00630D0F" w:rsidRPr="009E66BF">
              <w:rPr>
                <w:color w:val="auto"/>
                <w:szCs w:val="18"/>
              </w:rPr>
              <w:t>.10</w:t>
            </w:r>
          </w:p>
        </w:tc>
        <w:tc>
          <w:tcPr>
            <w:tcW w:w="243" w:type="pct"/>
            <w:shd w:val="clear" w:color="auto" w:fill="FFFFFF" w:themeFill="background1"/>
            <w:vAlign w:val="center"/>
          </w:tcPr>
          <w:p w14:paraId="766C93B0" w14:textId="77777777" w:rsidR="00630D0F" w:rsidRPr="009E66BF" w:rsidRDefault="00630D0F" w:rsidP="000504C8">
            <w:pPr>
              <w:autoSpaceDE w:val="0"/>
              <w:autoSpaceDN w:val="0"/>
              <w:adjustRightInd w:val="0"/>
              <w:snapToGrid w:val="0"/>
              <w:spacing w:line="240" w:lineRule="auto"/>
              <w:jc w:val="center"/>
              <w:rPr>
                <w:color w:val="auto"/>
                <w:szCs w:val="18"/>
              </w:rPr>
            </w:pPr>
            <w:r w:rsidRPr="009E66BF">
              <w:rPr>
                <w:color w:val="auto"/>
                <w:szCs w:val="18"/>
              </w:rPr>
              <w:t>0.06 (0.05)</w:t>
            </w:r>
          </w:p>
        </w:tc>
        <w:tc>
          <w:tcPr>
            <w:tcW w:w="214" w:type="pct"/>
            <w:shd w:val="clear" w:color="auto" w:fill="FFFFFF" w:themeFill="background1"/>
            <w:vAlign w:val="center"/>
          </w:tcPr>
          <w:p w14:paraId="3E6AC3D8" w14:textId="34C15EF8" w:rsidR="00630D0F" w:rsidRPr="009E66BF" w:rsidRDefault="006255D2" w:rsidP="000504C8">
            <w:pPr>
              <w:autoSpaceDE w:val="0"/>
              <w:autoSpaceDN w:val="0"/>
              <w:adjustRightInd w:val="0"/>
              <w:snapToGrid w:val="0"/>
              <w:spacing w:line="240" w:lineRule="auto"/>
              <w:jc w:val="center"/>
              <w:rPr>
                <w:color w:val="auto"/>
                <w:szCs w:val="18"/>
              </w:rPr>
            </w:pPr>
            <w:r w:rsidRPr="009E66BF">
              <w:rPr>
                <w:color w:val="auto"/>
                <w:szCs w:val="18"/>
              </w:rPr>
              <w:t>−</w:t>
            </w:r>
            <w:r w:rsidR="00630D0F" w:rsidRPr="009E66BF">
              <w:rPr>
                <w:color w:val="auto"/>
                <w:szCs w:val="18"/>
              </w:rPr>
              <w:t>0.04, 0.17</w:t>
            </w:r>
          </w:p>
        </w:tc>
        <w:tc>
          <w:tcPr>
            <w:tcW w:w="231" w:type="pct"/>
            <w:shd w:val="clear" w:color="auto" w:fill="FFFFFF" w:themeFill="background1"/>
            <w:vAlign w:val="center"/>
          </w:tcPr>
          <w:p w14:paraId="20E80784" w14:textId="77777777" w:rsidR="00630D0F" w:rsidRPr="009E66BF" w:rsidRDefault="00630D0F" w:rsidP="000504C8">
            <w:pPr>
              <w:autoSpaceDE w:val="0"/>
              <w:autoSpaceDN w:val="0"/>
              <w:adjustRightInd w:val="0"/>
              <w:snapToGrid w:val="0"/>
              <w:spacing w:line="240" w:lineRule="auto"/>
              <w:jc w:val="center"/>
              <w:rPr>
                <w:color w:val="auto"/>
                <w:szCs w:val="18"/>
              </w:rPr>
            </w:pPr>
            <w:r w:rsidRPr="009E66BF">
              <w:rPr>
                <w:color w:val="auto"/>
                <w:szCs w:val="18"/>
              </w:rPr>
              <w:t>1.19</w:t>
            </w:r>
          </w:p>
        </w:tc>
        <w:tc>
          <w:tcPr>
            <w:tcW w:w="280" w:type="pct"/>
            <w:shd w:val="clear" w:color="auto" w:fill="FFFFFF" w:themeFill="background1"/>
            <w:vAlign w:val="center"/>
          </w:tcPr>
          <w:p w14:paraId="007528D3" w14:textId="3F7D19B9" w:rsidR="00630D0F" w:rsidRPr="009E66BF" w:rsidRDefault="00400AAD" w:rsidP="000504C8">
            <w:pPr>
              <w:autoSpaceDE w:val="0"/>
              <w:autoSpaceDN w:val="0"/>
              <w:adjustRightInd w:val="0"/>
              <w:snapToGrid w:val="0"/>
              <w:spacing w:line="240" w:lineRule="auto"/>
              <w:jc w:val="center"/>
              <w:rPr>
                <w:color w:val="auto"/>
                <w:szCs w:val="18"/>
              </w:rPr>
            </w:pPr>
            <w:r w:rsidRPr="009E66BF">
              <w:rPr>
                <w:color w:val="auto"/>
                <w:szCs w:val="18"/>
              </w:rPr>
              <w:t>0</w:t>
            </w:r>
            <w:r w:rsidR="00630D0F" w:rsidRPr="009E66BF">
              <w:rPr>
                <w:color w:val="auto"/>
                <w:szCs w:val="18"/>
              </w:rPr>
              <w:t>.235</w:t>
            </w:r>
          </w:p>
        </w:tc>
      </w:tr>
      <w:tr w:rsidR="000504C8" w:rsidRPr="009E66BF" w14:paraId="2FA7B093" w14:textId="77777777" w:rsidTr="009E66BF">
        <w:trPr>
          <w:cantSplit/>
          <w:jc w:val="center"/>
        </w:trPr>
        <w:tc>
          <w:tcPr>
            <w:tcW w:w="313" w:type="pct"/>
            <w:shd w:val="clear" w:color="auto" w:fill="FFFFFF" w:themeFill="background1"/>
            <w:vAlign w:val="center"/>
          </w:tcPr>
          <w:p w14:paraId="41C7AB0F" w14:textId="77777777" w:rsidR="00630D0F" w:rsidRPr="009E66BF" w:rsidRDefault="00630D0F" w:rsidP="000504C8">
            <w:pPr>
              <w:autoSpaceDE w:val="0"/>
              <w:autoSpaceDN w:val="0"/>
              <w:adjustRightInd w:val="0"/>
              <w:snapToGrid w:val="0"/>
              <w:spacing w:line="240" w:lineRule="auto"/>
              <w:jc w:val="center"/>
              <w:rPr>
                <w:color w:val="auto"/>
                <w:szCs w:val="18"/>
              </w:rPr>
            </w:pPr>
            <w:r w:rsidRPr="009E66BF">
              <w:rPr>
                <w:color w:val="auto"/>
                <w:szCs w:val="18"/>
              </w:rPr>
              <w:t>Gender</w:t>
            </w:r>
          </w:p>
        </w:tc>
        <w:tc>
          <w:tcPr>
            <w:tcW w:w="225" w:type="pct"/>
            <w:shd w:val="clear" w:color="auto" w:fill="FFFFFF" w:themeFill="background1"/>
            <w:vAlign w:val="center"/>
          </w:tcPr>
          <w:p w14:paraId="23FA2452" w14:textId="35912F54" w:rsidR="00630D0F" w:rsidRPr="009E66BF" w:rsidRDefault="006255D2" w:rsidP="000504C8">
            <w:pPr>
              <w:autoSpaceDE w:val="0"/>
              <w:autoSpaceDN w:val="0"/>
              <w:adjustRightInd w:val="0"/>
              <w:snapToGrid w:val="0"/>
              <w:spacing w:line="240" w:lineRule="auto"/>
              <w:jc w:val="center"/>
              <w:rPr>
                <w:color w:val="auto"/>
                <w:szCs w:val="18"/>
              </w:rPr>
            </w:pPr>
            <w:r w:rsidRPr="009E66BF">
              <w:rPr>
                <w:color w:val="auto"/>
                <w:szCs w:val="18"/>
              </w:rPr>
              <w:t>−</w:t>
            </w:r>
            <w:r w:rsidR="00624EE7" w:rsidRPr="009E66BF">
              <w:rPr>
                <w:color w:val="auto"/>
                <w:szCs w:val="18"/>
              </w:rPr>
              <w:t>0</w:t>
            </w:r>
            <w:r w:rsidR="00630D0F" w:rsidRPr="009E66BF">
              <w:rPr>
                <w:color w:val="auto"/>
                <w:szCs w:val="18"/>
              </w:rPr>
              <w:t>.08</w:t>
            </w:r>
          </w:p>
        </w:tc>
        <w:tc>
          <w:tcPr>
            <w:tcW w:w="238" w:type="pct"/>
            <w:shd w:val="clear" w:color="auto" w:fill="FFFFFF" w:themeFill="background1"/>
            <w:vAlign w:val="center"/>
          </w:tcPr>
          <w:p w14:paraId="4E50330F" w14:textId="0A1C0690" w:rsidR="00630D0F" w:rsidRPr="009E66BF" w:rsidRDefault="006255D2" w:rsidP="000504C8">
            <w:pPr>
              <w:autoSpaceDE w:val="0"/>
              <w:autoSpaceDN w:val="0"/>
              <w:adjustRightInd w:val="0"/>
              <w:snapToGrid w:val="0"/>
              <w:spacing w:line="240" w:lineRule="auto"/>
              <w:jc w:val="center"/>
              <w:rPr>
                <w:color w:val="auto"/>
                <w:szCs w:val="18"/>
              </w:rPr>
            </w:pPr>
            <w:r w:rsidRPr="009E66BF">
              <w:rPr>
                <w:color w:val="auto"/>
                <w:szCs w:val="18"/>
              </w:rPr>
              <w:t>−</w:t>
            </w:r>
            <w:r w:rsidR="00630D0F" w:rsidRPr="009E66BF">
              <w:rPr>
                <w:color w:val="auto"/>
                <w:szCs w:val="18"/>
              </w:rPr>
              <w:t>1.93, (1.16)</w:t>
            </w:r>
          </w:p>
        </w:tc>
        <w:tc>
          <w:tcPr>
            <w:tcW w:w="227" w:type="pct"/>
            <w:shd w:val="clear" w:color="auto" w:fill="FFFFFF" w:themeFill="background1"/>
            <w:vAlign w:val="center"/>
          </w:tcPr>
          <w:p w14:paraId="75C3950C" w14:textId="25D16C7D" w:rsidR="00630D0F" w:rsidRPr="009E66BF" w:rsidRDefault="006255D2" w:rsidP="000504C8">
            <w:pPr>
              <w:autoSpaceDE w:val="0"/>
              <w:autoSpaceDN w:val="0"/>
              <w:adjustRightInd w:val="0"/>
              <w:snapToGrid w:val="0"/>
              <w:spacing w:line="240" w:lineRule="auto"/>
              <w:jc w:val="center"/>
              <w:rPr>
                <w:color w:val="auto"/>
                <w:szCs w:val="18"/>
              </w:rPr>
            </w:pPr>
            <w:r w:rsidRPr="009E66BF">
              <w:rPr>
                <w:color w:val="auto"/>
                <w:szCs w:val="18"/>
              </w:rPr>
              <w:t>−</w:t>
            </w:r>
            <w:r w:rsidR="00630D0F" w:rsidRPr="009E66BF">
              <w:rPr>
                <w:color w:val="auto"/>
                <w:szCs w:val="18"/>
              </w:rPr>
              <w:t>4.21, 0.35</w:t>
            </w:r>
          </w:p>
        </w:tc>
        <w:tc>
          <w:tcPr>
            <w:tcW w:w="228" w:type="pct"/>
            <w:shd w:val="clear" w:color="auto" w:fill="FFFFFF" w:themeFill="background1"/>
            <w:vAlign w:val="center"/>
          </w:tcPr>
          <w:p w14:paraId="6B39DBF4" w14:textId="079DD883" w:rsidR="00630D0F" w:rsidRPr="009E66BF" w:rsidRDefault="006255D2" w:rsidP="000504C8">
            <w:pPr>
              <w:autoSpaceDE w:val="0"/>
              <w:autoSpaceDN w:val="0"/>
              <w:adjustRightInd w:val="0"/>
              <w:snapToGrid w:val="0"/>
              <w:spacing w:line="240" w:lineRule="auto"/>
              <w:jc w:val="center"/>
              <w:rPr>
                <w:color w:val="auto"/>
                <w:szCs w:val="18"/>
              </w:rPr>
            </w:pPr>
            <w:r w:rsidRPr="009E66BF">
              <w:rPr>
                <w:color w:val="auto"/>
                <w:szCs w:val="18"/>
              </w:rPr>
              <w:t>−</w:t>
            </w:r>
            <w:r w:rsidR="00630D0F" w:rsidRPr="009E66BF">
              <w:rPr>
                <w:color w:val="auto"/>
                <w:szCs w:val="18"/>
              </w:rPr>
              <w:t>1.66</w:t>
            </w:r>
          </w:p>
        </w:tc>
        <w:tc>
          <w:tcPr>
            <w:tcW w:w="245" w:type="pct"/>
            <w:shd w:val="clear" w:color="auto" w:fill="FFFFFF" w:themeFill="background1"/>
            <w:vAlign w:val="center"/>
          </w:tcPr>
          <w:p w14:paraId="25B7FD61" w14:textId="04413D1B" w:rsidR="00630D0F" w:rsidRPr="009E66BF" w:rsidRDefault="00624EE7" w:rsidP="000504C8">
            <w:pPr>
              <w:autoSpaceDE w:val="0"/>
              <w:autoSpaceDN w:val="0"/>
              <w:adjustRightInd w:val="0"/>
              <w:snapToGrid w:val="0"/>
              <w:spacing w:line="240" w:lineRule="auto"/>
              <w:jc w:val="center"/>
              <w:rPr>
                <w:color w:val="auto"/>
                <w:szCs w:val="18"/>
              </w:rPr>
            </w:pPr>
            <w:r w:rsidRPr="009E66BF">
              <w:rPr>
                <w:color w:val="auto"/>
                <w:szCs w:val="18"/>
              </w:rPr>
              <w:t>0</w:t>
            </w:r>
            <w:r w:rsidR="00630D0F" w:rsidRPr="009E66BF">
              <w:rPr>
                <w:color w:val="auto"/>
                <w:szCs w:val="18"/>
              </w:rPr>
              <w:t>.097</w:t>
            </w:r>
          </w:p>
        </w:tc>
        <w:tc>
          <w:tcPr>
            <w:tcW w:w="194" w:type="pct"/>
            <w:shd w:val="clear" w:color="auto" w:fill="FFFFFF" w:themeFill="background1"/>
            <w:vAlign w:val="center"/>
          </w:tcPr>
          <w:p w14:paraId="1E802EB5" w14:textId="6EA1CD89" w:rsidR="00630D0F" w:rsidRPr="009E66BF" w:rsidRDefault="006255D2" w:rsidP="000504C8">
            <w:pPr>
              <w:autoSpaceDE w:val="0"/>
              <w:autoSpaceDN w:val="0"/>
              <w:adjustRightInd w:val="0"/>
              <w:snapToGrid w:val="0"/>
              <w:spacing w:line="240" w:lineRule="auto"/>
              <w:jc w:val="center"/>
              <w:rPr>
                <w:color w:val="auto"/>
                <w:szCs w:val="18"/>
              </w:rPr>
            </w:pPr>
            <w:r w:rsidRPr="009E66BF">
              <w:rPr>
                <w:color w:val="auto"/>
                <w:szCs w:val="18"/>
              </w:rPr>
              <w:t>−</w:t>
            </w:r>
            <w:r w:rsidR="00624EE7" w:rsidRPr="009E66BF">
              <w:rPr>
                <w:color w:val="auto"/>
                <w:szCs w:val="18"/>
              </w:rPr>
              <w:t>0</w:t>
            </w:r>
            <w:r w:rsidR="00630D0F" w:rsidRPr="009E66BF">
              <w:rPr>
                <w:color w:val="auto"/>
                <w:szCs w:val="18"/>
              </w:rPr>
              <w:t>.09</w:t>
            </w:r>
          </w:p>
        </w:tc>
        <w:tc>
          <w:tcPr>
            <w:tcW w:w="249" w:type="pct"/>
            <w:shd w:val="clear" w:color="auto" w:fill="FFFFFF" w:themeFill="background1"/>
            <w:vAlign w:val="center"/>
          </w:tcPr>
          <w:p w14:paraId="368C9FA2" w14:textId="3083139C" w:rsidR="00630D0F" w:rsidRPr="009E66BF" w:rsidRDefault="006255D2" w:rsidP="000504C8">
            <w:pPr>
              <w:autoSpaceDE w:val="0"/>
              <w:autoSpaceDN w:val="0"/>
              <w:adjustRightInd w:val="0"/>
              <w:snapToGrid w:val="0"/>
              <w:spacing w:line="240" w:lineRule="auto"/>
              <w:jc w:val="center"/>
              <w:rPr>
                <w:color w:val="auto"/>
                <w:szCs w:val="18"/>
              </w:rPr>
            </w:pPr>
            <w:r w:rsidRPr="009E66BF">
              <w:rPr>
                <w:color w:val="auto"/>
                <w:szCs w:val="18"/>
              </w:rPr>
              <w:t>−</w:t>
            </w:r>
            <w:r w:rsidR="00630D0F" w:rsidRPr="009E66BF">
              <w:rPr>
                <w:color w:val="auto"/>
                <w:szCs w:val="18"/>
              </w:rPr>
              <w:t>2.36 (1.64)</w:t>
            </w:r>
          </w:p>
        </w:tc>
        <w:tc>
          <w:tcPr>
            <w:tcW w:w="249" w:type="pct"/>
            <w:shd w:val="clear" w:color="auto" w:fill="FFFFFF" w:themeFill="background1"/>
            <w:vAlign w:val="center"/>
          </w:tcPr>
          <w:p w14:paraId="4BD4E770" w14:textId="5C4484E5" w:rsidR="00630D0F" w:rsidRPr="009E66BF" w:rsidRDefault="006255D2" w:rsidP="000504C8">
            <w:pPr>
              <w:autoSpaceDE w:val="0"/>
              <w:autoSpaceDN w:val="0"/>
              <w:adjustRightInd w:val="0"/>
              <w:snapToGrid w:val="0"/>
              <w:spacing w:line="240" w:lineRule="auto"/>
              <w:jc w:val="center"/>
              <w:rPr>
                <w:color w:val="auto"/>
                <w:szCs w:val="18"/>
              </w:rPr>
            </w:pPr>
            <w:r w:rsidRPr="009E66BF">
              <w:rPr>
                <w:color w:val="auto"/>
                <w:szCs w:val="18"/>
              </w:rPr>
              <w:t>−</w:t>
            </w:r>
            <w:r w:rsidR="00630D0F" w:rsidRPr="009E66BF">
              <w:rPr>
                <w:color w:val="auto"/>
                <w:szCs w:val="18"/>
              </w:rPr>
              <w:t>5.61, 0.88</w:t>
            </w:r>
          </w:p>
        </w:tc>
        <w:tc>
          <w:tcPr>
            <w:tcW w:w="231" w:type="pct"/>
            <w:shd w:val="clear" w:color="auto" w:fill="FFFFFF" w:themeFill="background1"/>
            <w:vAlign w:val="center"/>
          </w:tcPr>
          <w:p w14:paraId="41BF8882" w14:textId="02E5B8A3" w:rsidR="00630D0F" w:rsidRPr="009E66BF" w:rsidRDefault="006255D2" w:rsidP="000504C8">
            <w:pPr>
              <w:autoSpaceDE w:val="0"/>
              <w:autoSpaceDN w:val="0"/>
              <w:adjustRightInd w:val="0"/>
              <w:snapToGrid w:val="0"/>
              <w:spacing w:line="240" w:lineRule="auto"/>
              <w:jc w:val="center"/>
              <w:rPr>
                <w:color w:val="auto"/>
                <w:szCs w:val="18"/>
              </w:rPr>
            </w:pPr>
            <w:r w:rsidRPr="009E66BF">
              <w:rPr>
                <w:color w:val="auto"/>
                <w:szCs w:val="18"/>
              </w:rPr>
              <w:t>−</w:t>
            </w:r>
            <w:r w:rsidR="00630D0F" w:rsidRPr="009E66BF">
              <w:rPr>
                <w:color w:val="auto"/>
                <w:szCs w:val="18"/>
              </w:rPr>
              <w:t>1.44</w:t>
            </w:r>
          </w:p>
        </w:tc>
        <w:tc>
          <w:tcPr>
            <w:tcW w:w="246" w:type="pct"/>
            <w:shd w:val="clear" w:color="auto" w:fill="FFFFFF" w:themeFill="background1"/>
            <w:vAlign w:val="center"/>
          </w:tcPr>
          <w:p w14:paraId="6BE4AE61" w14:textId="0FDE6BA9" w:rsidR="00630D0F" w:rsidRPr="009E66BF" w:rsidRDefault="00CE3392" w:rsidP="000504C8">
            <w:pPr>
              <w:autoSpaceDE w:val="0"/>
              <w:autoSpaceDN w:val="0"/>
              <w:adjustRightInd w:val="0"/>
              <w:snapToGrid w:val="0"/>
              <w:spacing w:line="240" w:lineRule="auto"/>
              <w:jc w:val="center"/>
              <w:rPr>
                <w:color w:val="auto"/>
                <w:szCs w:val="18"/>
              </w:rPr>
            </w:pPr>
            <w:r w:rsidRPr="009E66BF">
              <w:rPr>
                <w:color w:val="auto"/>
                <w:szCs w:val="18"/>
              </w:rPr>
              <w:t>0</w:t>
            </w:r>
            <w:r w:rsidR="00630D0F" w:rsidRPr="009E66BF">
              <w:rPr>
                <w:color w:val="auto"/>
                <w:szCs w:val="18"/>
              </w:rPr>
              <w:t>.153</w:t>
            </w:r>
          </w:p>
        </w:tc>
        <w:tc>
          <w:tcPr>
            <w:tcW w:w="194" w:type="pct"/>
            <w:shd w:val="clear" w:color="auto" w:fill="FFFFFF" w:themeFill="background1"/>
            <w:vAlign w:val="center"/>
          </w:tcPr>
          <w:p w14:paraId="3F02A032" w14:textId="2190D05D" w:rsidR="00630D0F" w:rsidRPr="009E66BF" w:rsidRDefault="006255D2" w:rsidP="000504C8">
            <w:pPr>
              <w:autoSpaceDE w:val="0"/>
              <w:autoSpaceDN w:val="0"/>
              <w:adjustRightInd w:val="0"/>
              <w:snapToGrid w:val="0"/>
              <w:spacing w:line="240" w:lineRule="auto"/>
              <w:jc w:val="center"/>
              <w:rPr>
                <w:color w:val="auto"/>
                <w:szCs w:val="18"/>
              </w:rPr>
            </w:pPr>
            <w:r w:rsidRPr="009E66BF">
              <w:rPr>
                <w:color w:val="auto"/>
                <w:szCs w:val="18"/>
              </w:rPr>
              <w:t>−</w:t>
            </w:r>
            <w:r w:rsidR="00CE3392" w:rsidRPr="009E66BF">
              <w:rPr>
                <w:color w:val="auto"/>
                <w:szCs w:val="18"/>
              </w:rPr>
              <w:t>0</w:t>
            </w:r>
            <w:r w:rsidR="00630D0F" w:rsidRPr="009E66BF">
              <w:rPr>
                <w:color w:val="auto"/>
                <w:szCs w:val="18"/>
              </w:rPr>
              <w:t>.02</w:t>
            </w:r>
          </w:p>
        </w:tc>
        <w:tc>
          <w:tcPr>
            <w:tcW w:w="278" w:type="pct"/>
            <w:shd w:val="clear" w:color="auto" w:fill="FFFFFF" w:themeFill="background1"/>
            <w:vAlign w:val="center"/>
          </w:tcPr>
          <w:p w14:paraId="62C879CD" w14:textId="6174E6BE" w:rsidR="00630D0F" w:rsidRPr="009E66BF" w:rsidRDefault="006255D2" w:rsidP="000504C8">
            <w:pPr>
              <w:autoSpaceDE w:val="0"/>
              <w:autoSpaceDN w:val="0"/>
              <w:adjustRightInd w:val="0"/>
              <w:snapToGrid w:val="0"/>
              <w:spacing w:line="240" w:lineRule="auto"/>
              <w:jc w:val="center"/>
              <w:rPr>
                <w:color w:val="auto"/>
                <w:szCs w:val="18"/>
              </w:rPr>
            </w:pPr>
            <w:r w:rsidRPr="009E66BF">
              <w:rPr>
                <w:color w:val="auto"/>
                <w:szCs w:val="18"/>
              </w:rPr>
              <w:t>−</w:t>
            </w:r>
            <w:r w:rsidR="00630D0F" w:rsidRPr="009E66BF">
              <w:rPr>
                <w:color w:val="auto"/>
                <w:szCs w:val="18"/>
              </w:rPr>
              <w:t>0.48 (2.02)</w:t>
            </w:r>
          </w:p>
        </w:tc>
        <w:tc>
          <w:tcPr>
            <w:tcW w:w="249" w:type="pct"/>
            <w:shd w:val="clear" w:color="auto" w:fill="FFFFFF" w:themeFill="background1"/>
            <w:vAlign w:val="center"/>
          </w:tcPr>
          <w:p w14:paraId="3FF58CEE" w14:textId="0D4B9267" w:rsidR="00630D0F" w:rsidRPr="009E66BF" w:rsidRDefault="006255D2" w:rsidP="000504C8">
            <w:pPr>
              <w:autoSpaceDE w:val="0"/>
              <w:autoSpaceDN w:val="0"/>
              <w:adjustRightInd w:val="0"/>
              <w:snapToGrid w:val="0"/>
              <w:spacing w:line="240" w:lineRule="auto"/>
              <w:jc w:val="center"/>
              <w:rPr>
                <w:color w:val="auto"/>
                <w:szCs w:val="18"/>
              </w:rPr>
            </w:pPr>
            <w:r w:rsidRPr="009E66BF">
              <w:rPr>
                <w:color w:val="auto"/>
                <w:szCs w:val="18"/>
              </w:rPr>
              <w:t>−</w:t>
            </w:r>
            <w:r w:rsidR="00630D0F" w:rsidRPr="009E66BF">
              <w:rPr>
                <w:color w:val="auto"/>
                <w:szCs w:val="18"/>
              </w:rPr>
              <w:t>4.47, 3.51</w:t>
            </w:r>
          </w:p>
        </w:tc>
        <w:tc>
          <w:tcPr>
            <w:tcW w:w="231" w:type="pct"/>
            <w:shd w:val="clear" w:color="auto" w:fill="FFFFFF" w:themeFill="background1"/>
            <w:vAlign w:val="center"/>
          </w:tcPr>
          <w:p w14:paraId="4A2C7009" w14:textId="49BE686F" w:rsidR="00630D0F" w:rsidRPr="009E66BF" w:rsidRDefault="006255D2" w:rsidP="000504C8">
            <w:pPr>
              <w:autoSpaceDE w:val="0"/>
              <w:autoSpaceDN w:val="0"/>
              <w:adjustRightInd w:val="0"/>
              <w:snapToGrid w:val="0"/>
              <w:spacing w:line="240" w:lineRule="auto"/>
              <w:jc w:val="center"/>
              <w:rPr>
                <w:color w:val="auto"/>
                <w:szCs w:val="18"/>
              </w:rPr>
            </w:pPr>
            <w:r w:rsidRPr="009E66BF">
              <w:rPr>
                <w:color w:val="auto"/>
                <w:szCs w:val="18"/>
              </w:rPr>
              <w:t>−</w:t>
            </w:r>
            <w:r w:rsidR="00630D0F" w:rsidRPr="009E66BF">
              <w:rPr>
                <w:color w:val="auto"/>
                <w:szCs w:val="18"/>
              </w:rPr>
              <w:t>0.24</w:t>
            </w:r>
          </w:p>
        </w:tc>
        <w:tc>
          <w:tcPr>
            <w:tcW w:w="238" w:type="pct"/>
            <w:shd w:val="clear" w:color="auto" w:fill="FFFFFF" w:themeFill="background1"/>
            <w:vAlign w:val="center"/>
          </w:tcPr>
          <w:p w14:paraId="25D2E07D" w14:textId="172401C8" w:rsidR="00630D0F" w:rsidRPr="009E66BF" w:rsidRDefault="00CE3392" w:rsidP="000504C8">
            <w:pPr>
              <w:autoSpaceDE w:val="0"/>
              <w:autoSpaceDN w:val="0"/>
              <w:adjustRightInd w:val="0"/>
              <w:snapToGrid w:val="0"/>
              <w:spacing w:line="240" w:lineRule="auto"/>
              <w:jc w:val="center"/>
              <w:rPr>
                <w:color w:val="auto"/>
                <w:szCs w:val="18"/>
              </w:rPr>
            </w:pPr>
            <w:r w:rsidRPr="009E66BF">
              <w:rPr>
                <w:color w:val="auto"/>
                <w:szCs w:val="18"/>
              </w:rPr>
              <w:t>0</w:t>
            </w:r>
            <w:r w:rsidR="00630D0F" w:rsidRPr="009E66BF">
              <w:rPr>
                <w:color w:val="auto"/>
                <w:szCs w:val="18"/>
              </w:rPr>
              <w:t>.812</w:t>
            </w:r>
          </w:p>
        </w:tc>
        <w:tc>
          <w:tcPr>
            <w:tcW w:w="197" w:type="pct"/>
            <w:shd w:val="clear" w:color="auto" w:fill="FFFFFF" w:themeFill="background1"/>
            <w:vAlign w:val="center"/>
          </w:tcPr>
          <w:p w14:paraId="25FADF5F" w14:textId="661CD511" w:rsidR="00630D0F" w:rsidRPr="009E66BF" w:rsidRDefault="006255D2" w:rsidP="000504C8">
            <w:pPr>
              <w:autoSpaceDE w:val="0"/>
              <w:autoSpaceDN w:val="0"/>
              <w:adjustRightInd w:val="0"/>
              <w:snapToGrid w:val="0"/>
              <w:spacing w:line="240" w:lineRule="auto"/>
              <w:jc w:val="center"/>
              <w:rPr>
                <w:color w:val="auto"/>
                <w:szCs w:val="18"/>
              </w:rPr>
            </w:pPr>
            <w:r w:rsidRPr="009E66BF">
              <w:rPr>
                <w:color w:val="auto"/>
                <w:szCs w:val="18"/>
              </w:rPr>
              <w:t>−</w:t>
            </w:r>
            <w:r w:rsidR="00CE3392" w:rsidRPr="009E66BF">
              <w:rPr>
                <w:color w:val="auto"/>
                <w:szCs w:val="18"/>
              </w:rPr>
              <w:t>0</w:t>
            </w:r>
            <w:r w:rsidR="00630D0F" w:rsidRPr="009E66BF">
              <w:rPr>
                <w:color w:val="auto"/>
                <w:szCs w:val="18"/>
              </w:rPr>
              <w:t>.06</w:t>
            </w:r>
          </w:p>
        </w:tc>
        <w:tc>
          <w:tcPr>
            <w:tcW w:w="243" w:type="pct"/>
            <w:shd w:val="clear" w:color="auto" w:fill="FFFFFF" w:themeFill="background1"/>
            <w:vAlign w:val="center"/>
          </w:tcPr>
          <w:p w14:paraId="24580FB0" w14:textId="1C2059EF" w:rsidR="00630D0F" w:rsidRPr="009E66BF" w:rsidRDefault="006255D2" w:rsidP="000504C8">
            <w:pPr>
              <w:autoSpaceDE w:val="0"/>
              <w:autoSpaceDN w:val="0"/>
              <w:adjustRightInd w:val="0"/>
              <w:snapToGrid w:val="0"/>
              <w:spacing w:line="240" w:lineRule="auto"/>
              <w:jc w:val="center"/>
              <w:rPr>
                <w:color w:val="auto"/>
                <w:szCs w:val="18"/>
              </w:rPr>
            </w:pPr>
            <w:r w:rsidRPr="009E66BF">
              <w:rPr>
                <w:color w:val="auto"/>
                <w:szCs w:val="18"/>
              </w:rPr>
              <w:t>−</w:t>
            </w:r>
            <w:r w:rsidR="00630D0F" w:rsidRPr="009E66BF">
              <w:rPr>
                <w:color w:val="auto"/>
                <w:szCs w:val="18"/>
              </w:rPr>
              <w:t>1.61 (2.22)</w:t>
            </w:r>
          </w:p>
        </w:tc>
        <w:tc>
          <w:tcPr>
            <w:tcW w:w="214" w:type="pct"/>
            <w:shd w:val="clear" w:color="auto" w:fill="FFFFFF" w:themeFill="background1"/>
            <w:vAlign w:val="center"/>
          </w:tcPr>
          <w:p w14:paraId="615E940C" w14:textId="10B28AE2" w:rsidR="00630D0F" w:rsidRPr="009E66BF" w:rsidRDefault="006255D2" w:rsidP="000504C8">
            <w:pPr>
              <w:autoSpaceDE w:val="0"/>
              <w:autoSpaceDN w:val="0"/>
              <w:adjustRightInd w:val="0"/>
              <w:snapToGrid w:val="0"/>
              <w:spacing w:line="240" w:lineRule="auto"/>
              <w:jc w:val="center"/>
              <w:rPr>
                <w:color w:val="auto"/>
                <w:szCs w:val="18"/>
              </w:rPr>
            </w:pPr>
            <w:r w:rsidRPr="009E66BF">
              <w:rPr>
                <w:color w:val="auto"/>
                <w:szCs w:val="18"/>
              </w:rPr>
              <w:t>−</w:t>
            </w:r>
            <w:r w:rsidR="00630D0F" w:rsidRPr="009E66BF">
              <w:rPr>
                <w:color w:val="auto"/>
                <w:szCs w:val="18"/>
              </w:rPr>
              <w:t>6.00, 2.79</w:t>
            </w:r>
          </w:p>
        </w:tc>
        <w:tc>
          <w:tcPr>
            <w:tcW w:w="231" w:type="pct"/>
            <w:shd w:val="clear" w:color="auto" w:fill="FFFFFF" w:themeFill="background1"/>
            <w:vAlign w:val="center"/>
          </w:tcPr>
          <w:p w14:paraId="04628AA5" w14:textId="4A361D50" w:rsidR="00630D0F" w:rsidRPr="009E66BF" w:rsidRDefault="006255D2" w:rsidP="000504C8">
            <w:pPr>
              <w:autoSpaceDE w:val="0"/>
              <w:autoSpaceDN w:val="0"/>
              <w:adjustRightInd w:val="0"/>
              <w:snapToGrid w:val="0"/>
              <w:spacing w:line="240" w:lineRule="auto"/>
              <w:jc w:val="center"/>
              <w:rPr>
                <w:color w:val="auto"/>
                <w:szCs w:val="18"/>
              </w:rPr>
            </w:pPr>
            <w:r w:rsidRPr="009E66BF">
              <w:rPr>
                <w:color w:val="auto"/>
                <w:szCs w:val="18"/>
              </w:rPr>
              <w:t>−</w:t>
            </w:r>
            <w:r w:rsidR="00630D0F" w:rsidRPr="009E66BF">
              <w:rPr>
                <w:color w:val="auto"/>
                <w:szCs w:val="18"/>
              </w:rPr>
              <w:t>0.72</w:t>
            </w:r>
          </w:p>
        </w:tc>
        <w:tc>
          <w:tcPr>
            <w:tcW w:w="280" w:type="pct"/>
            <w:shd w:val="clear" w:color="auto" w:fill="FFFFFF" w:themeFill="background1"/>
            <w:vAlign w:val="center"/>
          </w:tcPr>
          <w:p w14:paraId="536DA033" w14:textId="3D50AE6A" w:rsidR="00630D0F" w:rsidRPr="009E66BF" w:rsidRDefault="00400AAD" w:rsidP="000504C8">
            <w:pPr>
              <w:autoSpaceDE w:val="0"/>
              <w:autoSpaceDN w:val="0"/>
              <w:adjustRightInd w:val="0"/>
              <w:snapToGrid w:val="0"/>
              <w:spacing w:line="240" w:lineRule="auto"/>
              <w:jc w:val="center"/>
              <w:rPr>
                <w:color w:val="auto"/>
                <w:szCs w:val="18"/>
              </w:rPr>
            </w:pPr>
            <w:r w:rsidRPr="009E66BF">
              <w:rPr>
                <w:color w:val="auto"/>
                <w:szCs w:val="18"/>
              </w:rPr>
              <w:t>0</w:t>
            </w:r>
            <w:r w:rsidR="00630D0F" w:rsidRPr="009E66BF">
              <w:rPr>
                <w:color w:val="auto"/>
                <w:szCs w:val="18"/>
              </w:rPr>
              <w:t>.471</w:t>
            </w:r>
          </w:p>
        </w:tc>
      </w:tr>
      <w:tr w:rsidR="000504C8" w:rsidRPr="009E66BF" w14:paraId="500F1A44" w14:textId="77777777" w:rsidTr="009E66BF">
        <w:trPr>
          <w:cantSplit/>
          <w:jc w:val="center"/>
        </w:trPr>
        <w:tc>
          <w:tcPr>
            <w:tcW w:w="313" w:type="pct"/>
            <w:shd w:val="clear" w:color="auto" w:fill="FFFFFF" w:themeFill="background1"/>
            <w:vAlign w:val="center"/>
          </w:tcPr>
          <w:p w14:paraId="4F2DCE65" w14:textId="77777777" w:rsidR="00630D0F" w:rsidRPr="009E66BF" w:rsidRDefault="00630D0F" w:rsidP="000504C8">
            <w:pPr>
              <w:autoSpaceDE w:val="0"/>
              <w:autoSpaceDN w:val="0"/>
              <w:adjustRightInd w:val="0"/>
              <w:snapToGrid w:val="0"/>
              <w:spacing w:line="240" w:lineRule="auto"/>
              <w:jc w:val="center"/>
              <w:rPr>
                <w:color w:val="auto"/>
                <w:szCs w:val="18"/>
              </w:rPr>
            </w:pPr>
            <w:r w:rsidRPr="009E66BF">
              <w:rPr>
                <w:color w:val="auto"/>
                <w:szCs w:val="18"/>
              </w:rPr>
              <w:t>T1 FGA</w:t>
            </w:r>
          </w:p>
        </w:tc>
        <w:tc>
          <w:tcPr>
            <w:tcW w:w="225" w:type="pct"/>
            <w:shd w:val="clear" w:color="auto" w:fill="FFFFFF" w:themeFill="background1"/>
            <w:vAlign w:val="center"/>
          </w:tcPr>
          <w:p w14:paraId="2B53CE1C" w14:textId="7BC9247D" w:rsidR="00630D0F" w:rsidRPr="009E66BF" w:rsidRDefault="00624EE7" w:rsidP="000504C8">
            <w:pPr>
              <w:autoSpaceDE w:val="0"/>
              <w:autoSpaceDN w:val="0"/>
              <w:adjustRightInd w:val="0"/>
              <w:snapToGrid w:val="0"/>
              <w:spacing w:line="240" w:lineRule="auto"/>
              <w:jc w:val="center"/>
              <w:rPr>
                <w:color w:val="auto"/>
                <w:szCs w:val="18"/>
              </w:rPr>
            </w:pPr>
            <w:r w:rsidRPr="009E66BF">
              <w:rPr>
                <w:color w:val="auto"/>
                <w:szCs w:val="18"/>
              </w:rPr>
              <w:t>0</w:t>
            </w:r>
            <w:r w:rsidR="00630D0F" w:rsidRPr="009E66BF">
              <w:rPr>
                <w:color w:val="auto"/>
                <w:szCs w:val="18"/>
              </w:rPr>
              <w:t>.45</w:t>
            </w:r>
          </w:p>
        </w:tc>
        <w:tc>
          <w:tcPr>
            <w:tcW w:w="238" w:type="pct"/>
            <w:shd w:val="clear" w:color="auto" w:fill="FFFFFF" w:themeFill="background1"/>
            <w:vAlign w:val="center"/>
          </w:tcPr>
          <w:p w14:paraId="4916E4B5" w14:textId="77777777" w:rsidR="00630D0F" w:rsidRPr="009E66BF" w:rsidRDefault="00630D0F" w:rsidP="000504C8">
            <w:pPr>
              <w:autoSpaceDE w:val="0"/>
              <w:autoSpaceDN w:val="0"/>
              <w:adjustRightInd w:val="0"/>
              <w:snapToGrid w:val="0"/>
              <w:spacing w:line="240" w:lineRule="auto"/>
              <w:jc w:val="center"/>
              <w:rPr>
                <w:color w:val="auto"/>
                <w:szCs w:val="18"/>
              </w:rPr>
            </w:pPr>
            <w:r w:rsidRPr="009E66BF">
              <w:rPr>
                <w:color w:val="auto"/>
                <w:szCs w:val="18"/>
              </w:rPr>
              <w:t>0.59 (0.07)</w:t>
            </w:r>
          </w:p>
        </w:tc>
        <w:tc>
          <w:tcPr>
            <w:tcW w:w="227" w:type="pct"/>
            <w:shd w:val="clear" w:color="auto" w:fill="FFFFFF" w:themeFill="background1"/>
            <w:vAlign w:val="center"/>
          </w:tcPr>
          <w:p w14:paraId="0E50DA1C" w14:textId="77777777" w:rsidR="00630D0F" w:rsidRPr="009E66BF" w:rsidRDefault="00630D0F" w:rsidP="000504C8">
            <w:pPr>
              <w:autoSpaceDE w:val="0"/>
              <w:autoSpaceDN w:val="0"/>
              <w:adjustRightInd w:val="0"/>
              <w:snapToGrid w:val="0"/>
              <w:spacing w:line="240" w:lineRule="auto"/>
              <w:jc w:val="center"/>
              <w:rPr>
                <w:color w:val="auto"/>
                <w:szCs w:val="18"/>
              </w:rPr>
            </w:pPr>
            <w:r w:rsidRPr="009E66BF">
              <w:rPr>
                <w:color w:val="auto"/>
                <w:szCs w:val="18"/>
              </w:rPr>
              <w:t>0.46, 0.73</w:t>
            </w:r>
          </w:p>
        </w:tc>
        <w:tc>
          <w:tcPr>
            <w:tcW w:w="228" w:type="pct"/>
            <w:shd w:val="clear" w:color="auto" w:fill="FFFFFF" w:themeFill="background1"/>
            <w:vAlign w:val="center"/>
          </w:tcPr>
          <w:p w14:paraId="4ECC1C4B" w14:textId="77777777" w:rsidR="00630D0F" w:rsidRPr="009E66BF" w:rsidRDefault="00630D0F" w:rsidP="000504C8">
            <w:pPr>
              <w:autoSpaceDE w:val="0"/>
              <w:autoSpaceDN w:val="0"/>
              <w:adjustRightInd w:val="0"/>
              <w:snapToGrid w:val="0"/>
              <w:spacing w:line="240" w:lineRule="auto"/>
              <w:jc w:val="center"/>
              <w:rPr>
                <w:color w:val="auto"/>
                <w:szCs w:val="18"/>
              </w:rPr>
            </w:pPr>
            <w:r w:rsidRPr="009E66BF">
              <w:rPr>
                <w:color w:val="auto"/>
                <w:szCs w:val="18"/>
              </w:rPr>
              <w:t>8.50</w:t>
            </w:r>
          </w:p>
        </w:tc>
        <w:tc>
          <w:tcPr>
            <w:tcW w:w="245" w:type="pct"/>
            <w:shd w:val="clear" w:color="auto" w:fill="FFFFFF" w:themeFill="background1"/>
            <w:vAlign w:val="center"/>
          </w:tcPr>
          <w:p w14:paraId="076644F6" w14:textId="32626310" w:rsidR="00630D0F" w:rsidRPr="009E66BF" w:rsidRDefault="00630D0F" w:rsidP="000504C8">
            <w:pPr>
              <w:autoSpaceDE w:val="0"/>
              <w:autoSpaceDN w:val="0"/>
              <w:adjustRightInd w:val="0"/>
              <w:snapToGrid w:val="0"/>
              <w:spacing w:line="240" w:lineRule="auto"/>
              <w:jc w:val="center"/>
              <w:rPr>
                <w:color w:val="auto"/>
                <w:szCs w:val="18"/>
              </w:rPr>
            </w:pPr>
            <w:r w:rsidRPr="009E66BF">
              <w:rPr>
                <w:color w:val="auto"/>
                <w:szCs w:val="18"/>
              </w:rPr>
              <w:t>&lt;</w:t>
            </w:r>
            <w:r w:rsidR="00624EE7" w:rsidRPr="009E66BF">
              <w:rPr>
                <w:color w:val="auto"/>
                <w:szCs w:val="18"/>
              </w:rPr>
              <w:t>0</w:t>
            </w:r>
            <w:r w:rsidRPr="009E66BF">
              <w:rPr>
                <w:color w:val="auto"/>
                <w:szCs w:val="18"/>
              </w:rPr>
              <w:t>.001</w:t>
            </w:r>
          </w:p>
        </w:tc>
        <w:tc>
          <w:tcPr>
            <w:tcW w:w="194" w:type="pct"/>
            <w:shd w:val="clear" w:color="auto" w:fill="FFFFFF" w:themeFill="background1"/>
            <w:vAlign w:val="center"/>
          </w:tcPr>
          <w:p w14:paraId="7970516D" w14:textId="0D8E0D58" w:rsidR="00630D0F" w:rsidRPr="009E66BF" w:rsidRDefault="00624EE7" w:rsidP="000504C8">
            <w:pPr>
              <w:autoSpaceDE w:val="0"/>
              <w:autoSpaceDN w:val="0"/>
              <w:adjustRightInd w:val="0"/>
              <w:snapToGrid w:val="0"/>
              <w:spacing w:line="240" w:lineRule="auto"/>
              <w:jc w:val="center"/>
              <w:rPr>
                <w:color w:val="auto"/>
                <w:szCs w:val="18"/>
              </w:rPr>
            </w:pPr>
            <w:r w:rsidRPr="009E66BF">
              <w:rPr>
                <w:color w:val="auto"/>
                <w:szCs w:val="18"/>
              </w:rPr>
              <w:t>0</w:t>
            </w:r>
            <w:r w:rsidR="00630D0F" w:rsidRPr="009E66BF">
              <w:rPr>
                <w:color w:val="auto"/>
                <w:szCs w:val="18"/>
              </w:rPr>
              <w:t>.39</w:t>
            </w:r>
          </w:p>
        </w:tc>
        <w:tc>
          <w:tcPr>
            <w:tcW w:w="249" w:type="pct"/>
            <w:shd w:val="clear" w:color="auto" w:fill="FFFFFF" w:themeFill="background1"/>
            <w:vAlign w:val="center"/>
          </w:tcPr>
          <w:p w14:paraId="64F0CE69" w14:textId="77777777" w:rsidR="00630D0F" w:rsidRPr="009E66BF" w:rsidRDefault="00630D0F" w:rsidP="000504C8">
            <w:pPr>
              <w:autoSpaceDE w:val="0"/>
              <w:autoSpaceDN w:val="0"/>
              <w:adjustRightInd w:val="0"/>
              <w:snapToGrid w:val="0"/>
              <w:spacing w:line="240" w:lineRule="auto"/>
              <w:jc w:val="center"/>
              <w:rPr>
                <w:color w:val="auto"/>
                <w:szCs w:val="18"/>
              </w:rPr>
            </w:pPr>
            <w:r w:rsidRPr="009E66BF">
              <w:rPr>
                <w:color w:val="auto"/>
                <w:szCs w:val="18"/>
              </w:rPr>
              <w:t>0.53 (0.09)</w:t>
            </w:r>
          </w:p>
        </w:tc>
        <w:tc>
          <w:tcPr>
            <w:tcW w:w="249" w:type="pct"/>
            <w:shd w:val="clear" w:color="auto" w:fill="FFFFFF" w:themeFill="background1"/>
            <w:vAlign w:val="center"/>
          </w:tcPr>
          <w:p w14:paraId="052B9041" w14:textId="77777777" w:rsidR="00630D0F" w:rsidRPr="009E66BF" w:rsidRDefault="00630D0F" w:rsidP="000504C8">
            <w:pPr>
              <w:autoSpaceDE w:val="0"/>
              <w:autoSpaceDN w:val="0"/>
              <w:adjustRightInd w:val="0"/>
              <w:snapToGrid w:val="0"/>
              <w:spacing w:line="240" w:lineRule="auto"/>
              <w:jc w:val="center"/>
              <w:rPr>
                <w:color w:val="auto"/>
                <w:szCs w:val="18"/>
              </w:rPr>
            </w:pPr>
            <w:r w:rsidRPr="009E66BF">
              <w:rPr>
                <w:color w:val="auto"/>
                <w:szCs w:val="18"/>
              </w:rPr>
              <w:t>0.35, 0.70</w:t>
            </w:r>
          </w:p>
        </w:tc>
        <w:tc>
          <w:tcPr>
            <w:tcW w:w="231" w:type="pct"/>
            <w:shd w:val="clear" w:color="auto" w:fill="FFFFFF" w:themeFill="background1"/>
            <w:vAlign w:val="center"/>
          </w:tcPr>
          <w:p w14:paraId="7349B59F" w14:textId="77777777" w:rsidR="00630D0F" w:rsidRPr="009E66BF" w:rsidRDefault="00630D0F" w:rsidP="000504C8">
            <w:pPr>
              <w:autoSpaceDE w:val="0"/>
              <w:autoSpaceDN w:val="0"/>
              <w:adjustRightInd w:val="0"/>
              <w:snapToGrid w:val="0"/>
              <w:spacing w:line="240" w:lineRule="auto"/>
              <w:jc w:val="center"/>
              <w:rPr>
                <w:color w:val="auto"/>
                <w:szCs w:val="18"/>
              </w:rPr>
            </w:pPr>
            <w:r w:rsidRPr="009E66BF">
              <w:rPr>
                <w:color w:val="auto"/>
                <w:szCs w:val="18"/>
              </w:rPr>
              <w:t>5.86</w:t>
            </w:r>
          </w:p>
        </w:tc>
        <w:tc>
          <w:tcPr>
            <w:tcW w:w="246" w:type="pct"/>
            <w:shd w:val="clear" w:color="auto" w:fill="FFFFFF" w:themeFill="background1"/>
            <w:vAlign w:val="center"/>
          </w:tcPr>
          <w:p w14:paraId="6DC994D0" w14:textId="62D4E5DE" w:rsidR="00630D0F" w:rsidRPr="009E66BF" w:rsidRDefault="00630D0F" w:rsidP="000504C8">
            <w:pPr>
              <w:autoSpaceDE w:val="0"/>
              <w:autoSpaceDN w:val="0"/>
              <w:adjustRightInd w:val="0"/>
              <w:snapToGrid w:val="0"/>
              <w:spacing w:line="240" w:lineRule="auto"/>
              <w:jc w:val="center"/>
              <w:rPr>
                <w:color w:val="auto"/>
                <w:szCs w:val="18"/>
              </w:rPr>
            </w:pPr>
            <w:r w:rsidRPr="009E66BF">
              <w:rPr>
                <w:color w:val="auto"/>
                <w:szCs w:val="18"/>
              </w:rPr>
              <w:t>&lt;</w:t>
            </w:r>
            <w:r w:rsidR="00CE3392" w:rsidRPr="009E66BF">
              <w:rPr>
                <w:color w:val="auto"/>
                <w:szCs w:val="18"/>
              </w:rPr>
              <w:t>0</w:t>
            </w:r>
            <w:r w:rsidRPr="009E66BF">
              <w:rPr>
                <w:color w:val="auto"/>
                <w:szCs w:val="18"/>
              </w:rPr>
              <w:t>.001</w:t>
            </w:r>
          </w:p>
        </w:tc>
        <w:tc>
          <w:tcPr>
            <w:tcW w:w="194" w:type="pct"/>
            <w:shd w:val="clear" w:color="auto" w:fill="FFFFFF" w:themeFill="background1"/>
            <w:vAlign w:val="center"/>
          </w:tcPr>
          <w:p w14:paraId="695ED9BC" w14:textId="1C836DB0" w:rsidR="00630D0F" w:rsidRPr="009E66BF" w:rsidRDefault="00CE3392" w:rsidP="000504C8">
            <w:pPr>
              <w:autoSpaceDE w:val="0"/>
              <w:autoSpaceDN w:val="0"/>
              <w:adjustRightInd w:val="0"/>
              <w:snapToGrid w:val="0"/>
              <w:spacing w:line="240" w:lineRule="auto"/>
              <w:jc w:val="center"/>
              <w:rPr>
                <w:color w:val="auto"/>
                <w:szCs w:val="18"/>
              </w:rPr>
            </w:pPr>
            <w:r w:rsidRPr="009E66BF">
              <w:rPr>
                <w:color w:val="auto"/>
                <w:szCs w:val="18"/>
              </w:rPr>
              <w:t>0</w:t>
            </w:r>
            <w:r w:rsidR="00630D0F" w:rsidRPr="009E66BF">
              <w:rPr>
                <w:color w:val="auto"/>
                <w:szCs w:val="18"/>
              </w:rPr>
              <w:t>.37</w:t>
            </w:r>
          </w:p>
        </w:tc>
        <w:tc>
          <w:tcPr>
            <w:tcW w:w="278" w:type="pct"/>
            <w:shd w:val="clear" w:color="auto" w:fill="FFFFFF" w:themeFill="background1"/>
            <w:vAlign w:val="center"/>
          </w:tcPr>
          <w:p w14:paraId="76D3E9F8" w14:textId="77777777" w:rsidR="00630D0F" w:rsidRPr="009E66BF" w:rsidRDefault="00630D0F" w:rsidP="000504C8">
            <w:pPr>
              <w:autoSpaceDE w:val="0"/>
              <w:autoSpaceDN w:val="0"/>
              <w:adjustRightInd w:val="0"/>
              <w:snapToGrid w:val="0"/>
              <w:spacing w:line="240" w:lineRule="auto"/>
              <w:jc w:val="center"/>
              <w:rPr>
                <w:color w:val="auto"/>
                <w:szCs w:val="18"/>
              </w:rPr>
            </w:pPr>
            <w:r w:rsidRPr="009E66BF">
              <w:rPr>
                <w:color w:val="auto"/>
                <w:szCs w:val="18"/>
              </w:rPr>
              <w:t>0.46 (0.12)</w:t>
            </w:r>
          </w:p>
        </w:tc>
        <w:tc>
          <w:tcPr>
            <w:tcW w:w="249" w:type="pct"/>
            <w:shd w:val="clear" w:color="auto" w:fill="FFFFFF" w:themeFill="background1"/>
            <w:vAlign w:val="center"/>
          </w:tcPr>
          <w:p w14:paraId="3AC3C5C8" w14:textId="77777777" w:rsidR="00630D0F" w:rsidRPr="009E66BF" w:rsidRDefault="00630D0F" w:rsidP="000504C8">
            <w:pPr>
              <w:autoSpaceDE w:val="0"/>
              <w:autoSpaceDN w:val="0"/>
              <w:adjustRightInd w:val="0"/>
              <w:snapToGrid w:val="0"/>
              <w:spacing w:line="240" w:lineRule="auto"/>
              <w:jc w:val="center"/>
              <w:rPr>
                <w:color w:val="auto"/>
                <w:szCs w:val="18"/>
              </w:rPr>
            </w:pPr>
            <w:r w:rsidRPr="009E66BF">
              <w:rPr>
                <w:color w:val="auto"/>
                <w:szCs w:val="18"/>
              </w:rPr>
              <w:t>0.26, 0.67</w:t>
            </w:r>
          </w:p>
        </w:tc>
        <w:tc>
          <w:tcPr>
            <w:tcW w:w="231" w:type="pct"/>
            <w:shd w:val="clear" w:color="auto" w:fill="FFFFFF" w:themeFill="background1"/>
            <w:vAlign w:val="center"/>
          </w:tcPr>
          <w:p w14:paraId="038758B6" w14:textId="77777777" w:rsidR="00630D0F" w:rsidRPr="009E66BF" w:rsidRDefault="00630D0F" w:rsidP="000504C8">
            <w:pPr>
              <w:autoSpaceDE w:val="0"/>
              <w:autoSpaceDN w:val="0"/>
              <w:adjustRightInd w:val="0"/>
              <w:snapToGrid w:val="0"/>
              <w:spacing w:line="240" w:lineRule="auto"/>
              <w:jc w:val="center"/>
              <w:rPr>
                <w:color w:val="auto"/>
                <w:szCs w:val="18"/>
              </w:rPr>
            </w:pPr>
            <w:r w:rsidRPr="009E66BF">
              <w:rPr>
                <w:color w:val="auto"/>
                <w:szCs w:val="18"/>
              </w:rPr>
              <w:t>4.41</w:t>
            </w:r>
          </w:p>
        </w:tc>
        <w:tc>
          <w:tcPr>
            <w:tcW w:w="238" w:type="pct"/>
            <w:shd w:val="clear" w:color="auto" w:fill="FFFFFF" w:themeFill="background1"/>
            <w:vAlign w:val="center"/>
          </w:tcPr>
          <w:p w14:paraId="7A62E36E" w14:textId="7B2B2AA1" w:rsidR="00630D0F" w:rsidRPr="009E66BF" w:rsidRDefault="00630D0F" w:rsidP="000504C8">
            <w:pPr>
              <w:autoSpaceDE w:val="0"/>
              <w:autoSpaceDN w:val="0"/>
              <w:adjustRightInd w:val="0"/>
              <w:snapToGrid w:val="0"/>
              <w:spacing w:line="240" w:lineRule="auto"/>
              <w:jc w:val="center"/>
              <w:rPr>
                <w:color w:val="auto"/>
                <w:szCs w:val="18"/>
              </w:rPr>
            </w:pPr>
            <w:r w:rsidRPr="009E66BF">
              <w:rPr>
                <w:color w:val="auto"/>
                <w:szCs w:val="18"/>
              </w:rPr>
              <w:t>&lt;</w:t>
            </w:r>
            <w:r w:rsidR="00CE3392" w:rsidRPr="009E66BF">
              <w:rPr>
                <w:color w:val="auto"/>
                <w:szCs w:val="18"/>
              </w:rPr>
              <w:t>0</w:t>
            </w:r>
            <w:r w:rsidRPr="009E66BF">
              <w:rPr>
                <w:color w:val="auto"/>
                <w:szCs w:val="18"/>
              </w:rPr>
              <w:t>.001</w:t>
            </w:r>
          </w:p>
        </w:tc>
        <w:tc>
          <w:tcPr>
            <w:tcW w:w="197" w:type="pct"/>
            <w:shd w:val="clear" w:color="auto" w:fill="FFFFFF" w:themeFill="background1"/>
            <w:vAlign w:val="center"/>
          </w:tcPr>
          <w:p w14:paraId="3EBBDE55" w14:textId="420F6098" w:rsidR="00630D0F" w:rsidRPr="009E66BF" w:rsidRDefault="00CE3392" w:rsidP="000504C8">
            <w:pPr>
              <w:autoSpaceDE w:val="0"/>
              <w:autoSpaceDN w:val="0"/>
              <w:adjustRightInd w:val="0"/>
              <w:snapToGrid w:val="0"/>
              <w:spacing w:line="240" w:lineRule="auto"/>
              <w:jc w:val="center"/>
              <w:rPr>
                <w:color w:val="auto"/>
                <w:szCs w:val="18"/>
              </w:rPr>
            </w:pPr>
            <w:r w:rsidRPr="009E66BF">
              <w:rPr>
                <w:color w:val="auto"/>
                <w:szCs w:val="18"/>
              </w:rPr>
              <w:t>0</w:t>
            </w:r>
            <w:r w:rsidR="00630D0F" w:rsidRPr="009E66BF">
              <w:rPr>
                <w:color w:val="auto"/>
                <w:szCs w:val="18"/>
              </w:rPr>
              <w:t>.41</w:t>
            </w:r>
          </w:p>
        </w:tc>
        <w:tc>
          <w:tcPr>
            <w:tcW w:w="243" w:type="pct"/>
            <w:shd w:val="clear" w:color="auto" w:fill="FFFFFF" w:themeFill="background1"/>
            <w:vAlign w:val="center"/>
          </w:tcPr>
          <w:p w14:paraId="484D47F5" w14:textId="77777777" w:rsidR="00630D0F" w:rsidRPr="009E66BF" w:rsidRDefault="00630D0F" w:rsidP="000504C8">
            <w:pPr>
              <w:autoSpaceDE w:val="0"/>
              <w:autoSpaceDN w:val="0"/>
              <w:adjustRightInd w:val="0"/>
              <w:snapToGrid w:val="0"/>
              <w:spacing w:line="240" w:lineRule="auto"/>
              <w:jc w:val="center"/>
              <w:rPr>
                <w:color w:val="auto"/>
                <w:szCs w:val="18"/>
              </w:rPr>
            </w:pPr>
            <w:r w:rsidRPr="009E66BF">
              <w:rPr>
                <w:color w:val="auto"/>
                <w:szCs w:val="18"/>
              </w:rPr>
              <w:t>0.57 (0.12)</w:t>
            </w:r>
          </w:p>
        </w:tc>
        <w:tc>
          <w:tcPr>
            <w:tcW w:w="214" w:type="pct"/>
            <w:shd w:val="clear" w:color="auto" w:fill="FFFFFF" w:themeFill="background1"/>
            <w:vAlign w:val="center"/>
          </w:tcPr>
          <w:p w14:paraId="57CE5D1E" w14:textId="77777777" w:rsidR="00630D0F" w:rsidRPr="009E66BF" w:rsidRDefault="00630D0F" w:rsidP="000504C8">
            <w:pPr>
              <w:autoSpaceDE w:val="0"/>
              <w:autoSpaceDN w:val="0"/>
              <w:adjustRightInd w:val="0"/>
              <w:snapToGrid w:val="0"/>
              <w:spacing w:line="240" w:lineRule="auto"/>
              <w:jc w:val="center"/>
              <w:rPr>
                <w:color w:val="auto"/>
                <w:szCs w:val="18"/>
              </w:rPr>
            </w:pPr>
            <w:r w:rsidRPr="009E66BF">
              <w:rPr>
                <w:color w:val="auto"/>
                <w:szCs w:val="18"/>
              </w:rPr>
              <w:t>0.33, 0.80</w:t>
            </w:r>
          </w:p>
        </w:tc>
        <w:tc>
          <w:tcPr>
            <w:tcW w:w="231" w:type="pct"/>
            <w:shd w:val="clear" w:color="auto" w:fill="FFFFFF" w:themeFill="background1"/>
            <w:vAlign w:val="center"/>
          </w:tcPr>
          <w:p w14:paraId="22D71CF2" w14:textId="77777777" w:rsidR="00630D0F" w:rsidRPr="009E66BF" w:rsidRDefault="00630D0F" w:rsidP="000504C8">
            <w:pPr>
              <w:autoSpaceDE w:val="0"/>
              <w:autoSpaceDN w:val="0"/>
              <w:adjustRightInd w:val="0"/>
              <w:snapToGrid w:val="0"/>
              <w:spacing w:line="240" w:lineRule="auto"/>
              <w:jc w:val="center"/>
              <w:rPr>
                <w:color w:val="auto"/>
                <w:szCs w:val="18"/>
              </w:rPr>
            </w:pPr>
            <w:r w:rsidRPr="009E66BF">
              <w:rPr>
                <w:color w:val="auto"/>
                <w:szCs w:val="18"/>
              </w:rPr>
              <w:t>4.74</w:t>
            </w:r>
          </w:p>
        </w:tc>
        <w:tc>
          <w:tcPr>
            <w:tcW w:w="280" w:type="pct"/>
            <w:shd w:val="clear" w:color="auto" w:fill="FFFFFF" w:themeFill="background1"/>
            <w:vAlign w:val="center"/>
          </w:tcPr>
          <w:p w14:paraId="317E299C" w14:textId="5B3FFB0A" w:rsidR="00630D0F" w:rsidRPr="009E66BF" w:rsidRDefault="00630D0F" w:rsidP="000504C8">
            <w:pPr>
              <w:autoSpaceDE w:val="0"/>
              <w:autoSpaceDN w:val="0"/>
              <w:adjustRightInd w:val="0"/>
              <w:snapToGrid w:val="0"/>
              <w:spacing w:line="240" w:lineRule="auto"/>
              <w:jc w:val="center"/>
              <w:rPr>
                <w:color w:val="auto"/>
                <w:szCs w:val="18"/>
              </w:rPr>
            </w:pPr>
            <w:r w:rsidRPr="009E66BF">
              <w:rPr>
                <w:color w:val="auto"/>
                <w:szCs w:val="18"/>
              </w:rPr>
              <w:t>&lt;</w:t>
            </w:r>
            <w:r w:rsidR="00400AAD" w:rsidRPr="009E66BF">
              <w:rPr>
                <w:color w:val="auto"/>
                <w:szCs w:val="18"/>
              </w:rPr>
              <w:t>0</w:t>
            </w:r>
            <w:r w:rsidRPr="009E66BF">
              <w:rPr>
                <w:color w:val="auto"/>
                <w:szCs w:val="18"/>
              </w:rPr>
              <w:t>.001</w:t>
            </w:r>
          </w:p>
        </w:tc>
      </w:tr>
      <w:tr w:rsidR="000504C8" w:rsidRPr="009E66BF" w14:paraId="48859A2C" w14:textId="77777777" w:rsidTr="009E66BF">
        <w:trPr>
          <w:cantSplit/>
          <w:jc w:val="center"/>
        </w:trPr>
        <w:tc>
          <w:tcPr>
            <w:tcW w:w="313" w:type="pct"/>
            <w:shd w:val="clear" w:color="auto" w:fill="FFFFFF" w:themeFill="background1"/>
            <w:vAlign w:val="center"/>
          </w:tcPr>
          <w:p w14:paraId="6E6F7F50" w14:textId="77777777" w:rsidR="00630D0F" w:rsidRPr="009E66BF" w:rsidRDefault="00630D0F" w:rsidP="000504C8">
            <w:pPr>
              <w:autoSpaceDE w:val="0"/>
              <w:autoSpaceDN w:val="0"/>
              <w:adjustRightInd w:val="0"/>
              <w:snapToGrid w:val="0"/>
              <w:spacing w:line="240" w:lineRule="auto"/>
              <w:jc w:val="center"/>
              <w:rPr>
                <w:color w:val="auto"/>
                <w:szCs w:val="18"/>
              </w:rPr>
            </w:pPr>
            <w:r w:rsidRPr="009E66BF">
              <w:rPr>
                <w:color w:val="auto"/>
                <w:szCs w:val="18"/>
              </w:rPr>
              <w:t>T1 TGP</w:t>
            </w:r>
          </w:p>
        </w:tc>
        <w:tc>
          <w:tcPr>
            <w:tcW w:w="225" w:type="pct"/>
            <w:shd w:val="clear" w:color="auto" w:fill="FFFFFF" w:themeFill="background1"/>
            <w:vAlign w:val="center"/>
          </w:tcPr>
          <w:p w14:paraId="46740D62" w14:textId="6E89C126" w:rsidR="00630D0F" w:rsidRPr="009E66BF" w:rsidRDefault="00624EE7" w:rsidP="000504C8">
            <w:pPr>
              <w:autoSpaceDE w:val="0"/>
              <w:autoSpaceDN w:val="0"/>
              <w:adjustRightInd w:val="0"/>
              <w:snapToGrid w:val="0"/>
              <w:spacing w:line="240" w:lineRule="auto"/>
              <w:jc w:val="center"/>
              <w:rPr>
                <w:color w:val="auto"/>
                <w:szCs w:val="18"/>
              </w:rPr>
            </w:pPr>
            <w:r w:rsidRPr="009E66BF">
              <w:rPr>
                <w:color w:val="auto"/>
                <w:szCs w:val="18"/>
              </w:rPr>
              <w:t>0</w:t>
            </w:r>
            <w:r w:rsidR="00630D0F" w:rsidRPr="009E66BF">
              <w:rPr>
                <w:color w:val="auto"/>
                <w:szCs w:val="18"/>
              </w:rPr>
              <w:t>.19</w:t>
            </w:r>
          </w:p>
        </w:tc>
        <w:tc>
          <w:tcPr>
            <w:tcW w:w="238" w:type="pct"/>
            <w:shd w:val="clear" w:color="auto" w:fill="FFFFFF" w:themeFill="background1"/>
            <w:vAlign w:val="center"/>
          </w:tcPr>
          <w:p w14:paraId="6D32430A" w14:textId="77777777" w:rsidR="00630D0F" w:rsidRPr="009E66BF" w:rsidRDefault="00630D0F" w:rsidP="000504C8">
            <w:pPr>
              <w:autoSpaceDE w:val="0"/>
              <w:autoSpaceDN w:val="0"/>
              <w:adjustRightInd w:val="0"/>
              <w:snapToGrid w:val="0"/>
              <w:spacing w:line="240" w:lineRule="auto"/>
              <w:jc w:val="center"/>
              <w:rPr>
                <w:color w:val="auto"/>
                <w:szCs w:val="18"/>
              </w:rPr>
            </w:pPr>
            <w:r w:rsidRPr="009E66BF">
              <w:rPr>
                <w:color w:val="auto"/>
                <w:szCs w:val="18"/>
              </w:rPr>
              <w:t>0.23, (0.06)</w:t>
            </w:r>
          </w:p>
        </w:tc>
        <w:tc>
          <w:tcPr>
            <w:tcW w:w="227" w:type="pct"/>
            <w:shd w:val="clear" w:color="auto" w:fill="FFFFFF" w:themeFill="background1"/>
            <w:vAlign w:val="center"/>
          </w:tcPr>
          <w:p w14:paraId="3C42B9B0" w14:textId="77777777" w:rsidR="00630D0F" w:rsidRPr="009E66BF" w:rsidRDefault="00630D0F" w:rsidP="000504C8">
            <w:pPr>
              <w:autoSpaceDE w:val="0"/>
              <w:autoSpaceDN w:val="0"/>
              <w:adjustRightInd w:val="0"/>
              <w:snapToGrid w:val="0"/>
              <w:spacing w:line="240" w:lineRule="auto"/>
              <w:jc w:val="center"/>
              <w:rPr>
                <w:color w:val="auto"/>
                <w:szCs w:val="18"/>
              </w:rPr>
            </w:pPr>
            <w:r w:rsidRPr="009E66BF">
              <w:rPr>
                <w:color w:val="auto"/>
                <w:szCs w:val="18"/>
              </w:rPr>
              <w:t>0.10, 0.35</w:t>
            </w:r>
          </w:p>
        </w:tc>
        <w:tc>
          <w:tcPr>
            <w:tcW w:w="228" w:type="pct"/>
            <w:shd w:val="clear" w:color="auto" w:fill="FFFFFF" w:themeFill="background1"/>
            <w:vAlign w:val="center"/>
          </w:tcPr>
          <w:p w14:paraId="66DA73DF" w14:textId="77777777" w:rsidR="00630D0F" w:rsidRPr="009E66BF" w:rsidRDefault="00630D0F" w:rsidP="000504C8">
            <w:pPr>
              <w:autoSpaceDE w:val="0"/>
              <w:autoSpaceDN w:val="0"/>
              <w:adjustRightInd w:val="0"/>
              <w:snapToGrid w:val="0"/>
              <w:spacing w:line="240" w:lineRule="auto"/>
              <w:jc w:val="center"/>
              <w:rPr>
                <w:color w:val="auto"/>
                <w:szCs w:val="18"/>
              </w:rPr>
            </w:pPr>
            <w:r w:rsidRPr="009E66BF">
              <w:rPr>
                <w:color w:val="auto"/>
                <w:szCs w:val="18"/>
              </w:rPr>
              <w:t>3.60</w:t>
            </w:r>
          </w:p>
        </w:tc>
        <w:tc>
          <w:tcPr>
            <w:tcW w:w="245" w:type="pct"/>
            <w:shd w:val="clear" w:color="auto" w:fill="FFFFFF" w:themeFill="background1"/>
            <w:vAlign w:val="center"/>
          </w:tcPr>
          <w:p w14:paraId="659C112B" w14:textId="35515DF3" w:rsidR="00630D0F" w:rsidRPr="009E66BF" w:rsidRDefault="00630D0F" w:rsidP="000504C8">
            <w:pPr>
              <w:autoSpaceDE w:val="0"/>
              <w:autoSpaceDN w:val="0"/>
              <w:adjustRightInd w:val="0"/>
              <w:snapToGrid w:val="0"/>
              <w:spacing w:line="240" w:lineRule="auto"/>
              <w:jc w:val="center"/>
              <w:rPr>
                <w:color w:val="auto"/>
                <w:szCs w:val="18"/>
              </w:rPr>
            </w:pPr>
            <w:r w:rsidRPr="009E66BF">
              <w:rPr>
                <w:color w:val="auto"/>
                <w:szCs w:val="18"/>
              </w:rPr>
              <w:t>&lt;</w:t>
            </w:r>
            <w:r w:rsidR="00624EE7" w:rsidRPr="009E66BF">
              <w:rPr>
                <w:color w:val="auto"/>
                <w:szCs w:val="18"/>
              </w:rPr>
              <w:t>0</w:t>
            </w:r>
            <w:r w:rsidRPr="009E66BF">
              <w:rPr>
                <w:color w:val="auto"/>
                <w:szCs w:val="18"/>
              </w:rPr>
              <w:t>.001</w:t>
            </w:r>
          </w:p>
        </w:tc>
        <w:tc>
          <w:tcPr>
            <w:tcW w:w="194" w:type="pct"/>
            <w:shd w:val="clear" w:color="auto" w:fill="FFFFFF" w:themeFill="background1"/>
            <w:vAlign w:val="center"/>
          </w:tcPr>
          <w:p w14:paraId="2F4B92B0" w14:textId="5C940359" w:rsidR="00630D0F" w:rsidRPr="009E66BF" w:rsidRDefault="00624EE7" w:rsidP="000504C8">
            <w:pPr>
              <w:autoSpaceDE w:val="0"/>
              <w:autoSpaceDN w:val="0"/>
              <w:adjustRightInd w:val="0"/>
              <w:snapToGrid w:val="0"/>
              <w:spacing w:line="240" w:lineRule="auto"/>
              <w:jc w:val="center"/>
              <w:rPr>
                <w:color w:val="auto"/>
                <w:szCs w:val="18"/>
              </w:rPr>
            </w:pPr>
            <w:r w:rsidRPr="009E66BF">
              <w:rPr>
                <w:color w:val="auto"/>
                <w:szCs w:val="18"/>
              </w:rPr>
              <w:t>0</w:t>
            </w:r>
            <w:r w:rsidR="00630D0F" w:rsidRPr="009E66BF">
              <w:rPr>
                <w:color w:val="auto"/>
                <w:szCs w:val="18"/>
              </w:rPr>
              <w:t>.27</w:t>
            </w:r>
          </w:p>
        </w:tc>
        <w:tc>
          <w:tcPr>
            <w:tcW w:w="249" w:type="pct"/>
            <w:shd w:val="clear" w:color="auto" w:fill="FFFFFF" w:themeFill="background1"/>
            <w:vAlign w:val="center"/>
          </w:tcPr>
          <w:p w14:paraId="01472B47" w14:textId="77777777" w:rsidR="00630D0F" w:rsidRPr="009E66BF" w:rsidRDefault="00630D0F" w:rsidP="000504C8">
            <w:pPr>
              <w:autoSpaceDE w:val="0"/>
              <w:autoSpaceDN w:val="0"/>
              <w:adjustRightInd w:val="0"/>
              <w:snapToGrid w:val="0"/>
              <w:spacing w:line="240" w:lineRule="auto"/>
              <w:jc w:val="center"/>
              <w:rPr>
                <w:color w:val="auto"/>
                <w:szCs w:val="18"/>
              </w:rPr>
            </w:pPr>
            <w:r w:rsidRPr="009E66BF">
              <w:rPr>
                <w:color w:val="auto"/>
                <w:szCs w:val="18"/>
              </w:rPr>
              <w:t>0.34, (0.08)</w:t>
            </w:r>
          </w:p>
        </w:tc>
        <w:tc>
          <w:tcPr>
            <w:tcW w:w="249" w:type="pct"/>
            <w:shd w:val="clear" w:color="auto" w:fill="FFFFFF" w:themeFill="background1"/>
            <w:vAlign w:val="center"/>
          </w:tcPr>
          <w:p w14:paraId="22540542" w14:textId="77777777" w:rsidR="00630D0F" w:rsidRPr="009E66BF" w:rsidRDefault="00630D0F" w:rsidP="000504C8">
            <w:pPr>
              <w:autoSpaceDE w:val="0"/>
              <w:autoSpaceDN w:val="0"/>
              <w:adjustRightInd w:val="0"/>
              <w:snapToGrid w:val="0"/>
              <w:spacing w:line="240" w:lineRule="auto"/>
              <w:jc w:val="center"/>
              <w:rPr>
                <w:color w:val="auto"/>
                <w:szCs w:val="18"/>
              </w:rPr>
            </w:pPr>
            <w:r w:rsidRPr="009E66BF">
              <w:rPr>
                <w:color w:val="auto"/>
                <w:szCs w:val="18"/>
              </w:rPr>
              <w:t>0.17, 0.50</w:t>
            </w:r>
          </w:p>
        </w:tc>
        <w:tc>
          <w:tcPr>
            <w:tcW w:w="231" w:type="pct"/>
            <w:shd w:val="clear" w:color="auto" w:fill="FFFFFF" w:themeFill="background1"/>
            <w:vAlign w:val="center"/>
          </w:tcPr>
          <w:p w14:paraId="0C5A6CE1" w14:textId="77777777" w:rsidR="00630D0F" w:rsidRPr="009E66BF" w:rsidRDefault="00630D0F" w:rsidP="000504C8">
            <w:pPr>
              <w:autoSpaceDE w:val="0"/>
              <w:autoSpaceDN w:val="0"/>
              <w:adjustRightInd w:val="0"/>
              <w:snapToGrid w:val="0"/>
              <w:spacing w:line="240" w:lineRule="auto"/>
              <w:jc w:val="center"/>
              <w:rPr>
                <w:color w:val="auto"/>
                <w:szCs w:val="18"/>
              </w:rPr>
            </w:pPr>
            <w:r w:rsidRPr="009E66BF">
              <w:rPr>
                <w:color w:val="auto"/>
                <w:szCs w:val="18"/>
              </w:rPr>
              <w:t>4.00</w:t>
            </w:r>
          </w:p>
        </w:tc>
        <w:tc>
          <w:tcPr>
            <w:tcW w:w="246" w:type="pct"/>
            <w:shd w:val="clear" w:color="auto" w:fill="FFFFFF" w:themeFill="background1"/>
            <w:vAlign w:val="center"/>
          </w:tcPr>
          <w:p w14:paraId="040F9FB0" w14:textId="02B8F0F6" w:rsidR="00630D0F" w:rsidRPr="009E66BF" w:rsidRDefault="00630D0F" w:rsidP="000504C8">
            <w:pPr>
              <w:autoSpaceDE w:val="0"/>
              <w:autoSpaceDN w:val="0"/>
              <w:adjustRightInd w:val="0"/>
              <w:snapToGrid w:val="0"/>
              <w:spacing w:line="240" w:lineRule="auto"/>
              <w:jc w:val="center"/>
              <w:rPr>
                <w:color w:val="auto"/>
                <w:szCs w:val="18"/>
              </w:rPr>
            </w:pPr>
            <w:r w:rsidRPr="009E66BF">
              <w:rPr>
                <w:color w:val="auto"/>
                <w:szCs w:val="18"/>
              </w:rPr>
              <w:t>&lt;</w:t>
            </w:r>
            <w:r w:rsidR="00CE3392" w:rsidRPr="009E66BF">
              <w:rPr>
                <w:color w:val="auto"/>
                <w:szCs w:val="18"/>
              </w:rPr>
              <w:t>0</w:t>
            </w:r>
            <w:r w:rsidRPr="009E66BF">
              <w:rPr>
                <w:color w:val="auto"/>
                <w:szCs w:val="18"/>
              </w:rPr>
              <w:t>.001</w:t>
            </w:r>
          </w:p>
        </w:tc>
        <w:tc>
          <w:tcPr>
            <w:tcW w:w="194" w:type="pct"/>
            <w:shd w:val="clear" w:color="auto" w:fill="FFFFFF" w:themeFill="background1"/>
            <w:vAlign w:val="center"/>
          </w:tcPr>
          <w:p w14:paraId="666DD7A6" w14:textId="7913ABF6" w:rsidR="00630D0F" w:rsidRPr="009E66BF" w:rsidRDefault="00CE3392" w:rsidP="000504C8">
            <w:pPr>
              <w:autoSpaceDE w:val="0"/>
              <w:autoSpaceDN w:val="0"/>
              <w:adjustRightInd w:val="0"/>
              <w:snapToGrid w:val="0"/>
              <w:spacing w:line="240" w:lineRule="auto"/>
              <w:jc w:val="center"/>
              <w:rPr>
                <w:color w:val="auto"/>
                <w:szCs w:val="18"/>
              </w:rPr>
            </w:pPr>
            <w:r w:rsidRPr="009E66BF">
              <w:rPr>
                <w:color w:val="auto"/>
                <w:szCs w:val="18"/>
              </w:rPr>
              <w:t>0</w:t>
            </w:r>
            <w:r w:rsidR="00630D0F" w:rsidRPr="009E66BF">
              <w:rPr>
                <w:color w:val="auto"/>
                <w:szCs w:val="18"/>
              </w:rPr>
              <w:t>.13</w:t>
            </w:r>
          </w:p>
        </w:tc>
        <w:tc>
          <w:tcPr>
            <w:tcW w:w="278" w:type="pct"/>
            <w:shd w:val="clear" w:color="auto" w:fill="FFFFFF" w:themeFill="background1"/>
            <w:vAlign w:val="center"/>
          </w:tcPr>
          <w:p w14:paraId="1EF6E00C" w14:textId="77777777" w:rsidR="00630D0F" w:rsidRPr="009E66BF" w:rsidRDefault="00630D0F" w:rsidP="000504C8">
            <w:pPr>
              <w:autoSpaceDE w:val="0"/>
              <w:autoSpaceDN w:val="0"/>
              <w:adjustRightInd w:val="0"/>
              <w:snapToGrid w:val="0"/>
              <w:spacing w:line="240" w:lineRule="auto"/>
              <w:jc w:val="center"/>
              <w:rPr>
                <w:color w:val="auto"/>
                <w:szCs w:val="18"/>
              </w:rPr>
            </w:pPr>
            <w:r w:rsidRPr="009E66BF">
              <w:rPr>
                <w:color w:val="auto"/>
                <w:szCs w:val="18"/>
              </w:rPr>
              <w:t>0.16 (0.10)</w:t>
            </w:r>
          </w:p>
        </w:tc>
        <w:tc>
          <w:tcPr>
            <w:tcW w:w="249" w:type="pct"/>
            <w:shd w:val="clear" w:color="auto" w:fill="FFFFFF" w:themeFill="background1"/>
            <w:vAlign w:val="center"/>
          </w:tcPr>
          <w:p w14:paraId="7FFDFB55" w14:textId="7CE1FDF8" w:rsidR="00630D0F" w:rsidRPr="009E66BF" w:rsidRDefault="006255D2" w:rsidP="000504C8">
            <w:pPr>
              <w:autoSpaceDE w:val="0"/>
              <w:autoSpaceDN w:val="0"/>
              <w:adjustRightInd w:val="0"/>
              <w:snapToGrid w:val="0"/>
              <w:spacing w:line="240" w:lineRule="auto"/>
              <w:jc w:val="center"/>
              <w:rPr>
                <w:color w:val="auto"/>
                <w:szCs w:val="18"/>
              </w:rPr>
            </w:pPr>
            <w:r w:rsidRPr="009E66BF">
              <w:rPr>
                <w:color w:val="auto"/>
                <w:szCs w:val="18"/>
              </w:rPr>
              <w:t>−</w:t>
            </w:r>
            <w:r w:rsidR="00630D0F" w:rsidRPr="009E66BF">
              <w:rPr>
                <w:color w:val="auto"/>
                <w:szCs w:val="18"/>
              </w:rPr>
              <w:t>0.04, 0.35</w:t>
            </w:r>
          </w:p>
        </w:tc>
        <w:tc>
          <w:tcPr>
            <w:tcW w:w="231" w:type="pct"/>
            <w:shd w:val="clear" w:color="auto" w:fill="FFFFFF" w:themeFill="background1"/>
            <w:vAlign w:val="center"/>
          </w:tcPr>
          <w:p w14:paraId="4D9FD6F3" w14:textId="77777777" w:rsidR="00630D0F" w:rsidRPr="009E66BF" w:rsidRDefault="00630D0F" w:rsidP="000504C8">
            <w:pPr>
              <w:autoSpaceDE w:val="0"/>
              <w:autoSpaceDN w:val="0"/>
              <w:adjustRightInd w:val="0"/>
              <w:snapToGrid w:val="0"/>
              <w:spacing w:line="240" w:lineRule="auto"/>
              <w:jc w:val="center"/>
              <w:rPr>
                <w:color w:val="auto"/>
                <w:szCs w:val="18"/>
              </w:rPr>
            </w:pPr>
            <w:r w:rsidRPr="009E66BF">
              <w:rPr>
                <w:color w:val="auto"/>
                <w:szCs w:val="18"/>
              </w:rPr>
              <w:t>1.61</w:t>
            </w:r>
          </w:p>
        </w:tc>
        <w:tc>
          <w:tcPr>
            <w:tcW w:w="238" w:type="pct"/>
            <w:shd w:val="clear" w:color="auto" w:fill="FFFFFF" w:themeFill="background1"/>
            <w:vAlign w:val="center"/>
          </w:tcPr>
          <w:p w14:paraId="080617D9" w14:textId="541308E3" w:rsidR="00630D0F" w:rsidRPr="009E66BF" w:rsidRDefault="00CE3392" w:rsidP="000504C8">
            <w:pPr>
              <w:autoSpaceDE w:val="0"/>
              <w:autoSpaceDN w:val="0"/>
              <w:adjustRightInd w:val="0"/>
              <w:snapToGrid w:val="0"/>
              <w:spacing w:line="240" w:lineRule="auto"/>
              <w:jc w:val="center"/>
              <w:rPr>
                <w:color w:val="auto"/>
                <w:szCs w:val="18"/>
              </w:rPr>
            </w:pPr>
            <w:r w:rsidRPr="009E66BF">
              <w:rPr>
                <w:color w:val="auto"/>
                <w:szCs w:val="18"/>
              </w:rPr>
              <w:t>0</w:t>
            </w:r>
            <w:r w:rsidR="00630D0F" w:rsidRPr="009E66BF">
              <w:rPr>
                <w:color w:val="auto"/>
                <w:szCs w:val="18"/>
              </w:rPr>
              <w:t>.109</w:t>
            </w:r>
          </w:p>
        </w:tc>
        <w:tc>
          <w:tcPr>
            <w:tcW w:w="197" w:type="pct"/>
            <w:shd w:val="clear" w:color="auto" w:fill="FFFFFF" w:themeFill="background1"/>
            <w:vAlign w:val="center"/>
          </w:tcPr>
          <w:p w14:paraId="6CCDA510" w14:textId="7948DBF4" w:rsidR="00630D0F" w:rsidRPr="009E66BF" w:rsidRDefault="00CE3392" w:rsidP="000504C8">
            <w:pPr>
              <w:autoSpaceDE w:val="0"/>
              <w:autoSpaceDN w:val="0"/>
              <w:adjustRightInd w:val="0"/>
              <w:snapToGrid w:val="0"/>
              <w:spacing w:line="240" w:lineRule="auto"/>
              <w:jc w:val="center"/>
              <w:rPr>
                <w:color w:val="auto"/>
                <w:szCs w:val="18"/>
              </w:rPr>
            </w:pPr>
            <w:r w:rsidRPr="009E66BF">
              <w:rPr>
                <w:color w:val="auto"/>
                <w:szCs w:val="18"/>
              </w:rPr>
              <w:t>0</w:t>
            </w:r>
            <w:r w:rsidR="00630D0F" w:rsidRPr="009E66BF">
              <w:rPr>
                <w:color w:val="auto"/>
                <w:szCs w:val="18"/>
              </w:rPr>
              <w:t>.22</w:t>
            </w:r>
          </w:p>
        </w:tc>
        <w:tc>
          <w:tcPr>
            <w:tcW w:w="243" w:type="pct"/>
            <w:shd w:val="clear" w:color="auto" w:fill="FFFFFF" w:themeFill="background1"/>
            <w:vAlign w:val="center"/>
          </w:tcPr>
          <w:p w14:paraId="284250B9" w14:textId="77777777" w:rsidR="00630D0F" w:rsidRPr="009E66BF" w:rsidRDefault="00630D0F" w:rsidP="000504C8">
            <w:pPr>
              <w:autoSpaceDE w:val="0"/>
              <w:autoSpaceDN w:val="0"/>
              <w:adjustRightInd w:val="0"/>
              <w:snapToGrid w:val="0"/>
              <w:spacing w:line="240" w:lineRule="auto"/>
              <w:jc w:val="center"/>
              <w:rPr>
                <w:color w:val="auto"/>
                <w:szCs w:val="18"/>
              </w:rPr>
            </w:pPr>
            <w:r w:rsidRPr="009E66BF">
              <w:rPr>
                <w:color w:val="auto"/>
                <w:szCs w:val="18"/>
              </w:rPr>
              <w:t>0.28 (0.11)</w:t>
            </w:r>
          </w:p>
        </w:tc>
        <w:tc>
          <w:tcPr>
            <w:tcW w:w="214" w:type="pct"/>
            <w:shd w:val="clear" w:color="auto" w:fill="FFFFFF" w:themeFill="background1"/>
            <w:vAlign w:val="center"/>
          </w:tcPr>
          <w:p w14:paraId="131F9111" w14:textId="77777777" w:rsidR="00630D0F" w:rsidRPr="009E66BF" w:rsidRDefault="00630D0F" w:rsidP="000504C8">
            <w:pPr>
              <w:autoSpaceDE w:val="0"/>
              <w:autoSpaceDN w:val="0"/>
              <w:adjustRightInd w:val="0"/>
              <w:snapToGrid w:val="0"/>
              <w:spacing w:line="240" w:lineRule="auto"/>
              <w:jc w:val="center"/>
              <w:rPr>
                <w:color w:val="auto"/>
                <w:szCs w:val="18"/>
              </w:rPr>
            </w:pPr>
            <w:r w:rsidRPr="009E66BF">
              <w:rPr>
                <w:color w:val="auto"/>
                <w:szCs w:val="18"/>
              </w:rPr>
              <w:t>0.06, 0.49</w:t>
            </w:r>
          </w:p>
        </w:tc>
        <w:tc>
          <w:tcPr>
            <w:tcW w:w="231" w:type="pct"/>
            <w:shd w:val="clear" w:color="auto" w:fill="FFFFFF" w:themeFill="background1"/>
            <w:vAlign w:val="center"/>
          </w:tcPr>
          <w:p w14:paraId="3D0CF412" w14:textId="77777777" w:rsidR="00630D0F" w:rsidRPr="009E66BF" w:rsidRDefault="00630D0F" w:rsidP="000504C8">
            <w:pPr>
              <w:autoSpaceDE w:val="0"/>
              <w:autoSpaceDN w:val="0"/>
              <w:adjustRightInd w:val="0"/>
              <w:snapToGrid w:val="0"/>
              <w:spacing w:line="240" w:lineRule="auto"/>
              <w:jc w:val="center"/>
              <w:rPr>
                <w:color w:val="auto"/>
                <w:szCs w:val="18"/>
              </w:rPr>
            </w:pPr>
            <w:r w:rsidRPr="009E66BF">
              <w:rPr>
                <w:color w:val="auto"/>
                <w:szCs w:val="18"/>
              </w:rPr>
              <w:t>2.53</w:t>
            </w:r>
          </w:p>
        </w:tc>
        <w:tc>
          <w:tcPr>
            <w:tcW w:w="280" w:type="pct"/>
            <w:shd w:val="clear" w:color="auto" w:fill="FFFFFF" w:themeFill="background1"/>
            <w:vAlign w:val="center"/>
          </w:tcPr>
          <w:p w14:paraId="34FC278A" w14:textId="408E8301" w:rsidR="00630D0F" w:rsidRPr="009E66BF" w:rsidRDefault="00400AAD" w:rsidP="000504C8">
            <w:pPr>
              <w:autoSpaceDE w:val="0"/>
              <w:autoSpaceDN w:val="0"/>
              <w:adjustRightInd w:val="0"/>
              <w:snapToGrid w:val="0"/>
              <w:spacing w:line="240" w:lineRule="auto"/>
              <w:jc w:val="center"/>
              <w:rPr>
                <w:color w:val="auto"/>
                <w:szCs w:val="18"/>
              </w:rPr>
            </w:pPr>
            <w:r w:rsidRPr="009E66BF">
              <w:rPr>
                <w:color w:val="auto"/>
                <w:szCs w:val="18"/>
              </w:rPr>
              <w:t>0</w:t>
            </w:r>
            <w:r w:rsidR="00630D0F" w:rsidRPr="009E66BF">
              <w:rPr>
                <w:color w:val="auto"/>
                <w:szCs w:val="18"/>
              </w:rPr>
              <w:t>.013</w:t>
            </w:r>
          </w:p>
        </w:tc>
      </w:tr>
      <w:tr w:rsidR="000504C8" w:rsidRPr="009E66BF" w14:paraId="52D3E348" w14:textId="77777777" w:rsidTr="009E66BF">
        <w:trPr>
          <w:cantSplit/>
          <w:jc w:val="center"/>
        </w:trPr>
        <w:tc>
          <w:tcPr>
            <w:tcW w:w="313" w:type="pct"/>
            <w:tcBorders>
              <w:bottom w:val="single" w:sz="4" w:space="0" w:color="auto"/>
            </w:tcBorders>
            <w:shd w:val="clear" w:color="auto" w:fill="FFFFFF" w:themeFill="background1"/>
            <w:vAlign w:val="center"/>
          </w:tcPr>
          <w:p w14:paraId="487856EF" w14:textId="77777777" w:rsidR="00630D0F" w:rsidRPr="009E66BF" w:rsidRDefault="00630D0F" w:rsidP="000504C8">
            <w:pPr>
              <w:autoSpaceDE w:val="0"/>
              <w:autoSpaceDN w:val="0"/>
              <w:adjustRightInd w:val="0"/>
              <w:snapToGrid w:val="0"/>
              <w:spacing w:line="240" w:lineRule="auto"/>
              <w:jc w:val="center"/>
              <w:rPr>
                <w:color w:val="auto"/>
                <w:szCs w:val="18"/>
              </w:rPr>
            </w:pPr>
            <w:r w:rsidRPr="009E66BF">
              <w:rPr>
                <w:color w:val="auto"/>
                <w:szCs w:val="18"/>
              </w:rPr>
              <w:t>T1 FGA X           T1 TGP</w:t>
            </w:r>
          </w:p>
        </w:tc>
        <w:tc>
          <w:tcPr>
            <w:tcW w:w="225" w:type="pct"/>
            <w:tcBorders>
              <w:bottom w:val="single" w:sz="4" w:space="0" w:color="auto"/>
            </w:tcBorders>
            <w:shd w:val="clear" w:color="auto" w:fill="FFFFFF" w:themeFill="background1"/>
            <w:vAlign w:val="center"/>
          </w:tcPr>
          <w:p w14:paraId="4BABFD91" w14:textId="35C3C4D1" w:rsidR="00630D0F" w:rsidRPr="009E66BF" w:rsidRDefault="00624EE7" w:rsidP="000504C8">
            <w:pPr>
              <w:autoSpaceDE w:val="0"/>
              <w:autoSpaceDN w:val="0"/>
              <w:adjustRightInd w:val="0"/>
              <w:snapToGrid w:val="0"/>
              <w:spacing w:line="240" w:lineRule="auto"/>
              <w:jc w:val="center"/>
              <w:rPr>
                <w:color w:val="auto"/>
                <w:szCs w:val="18"/>
              </w:rPr>
            </w:pPr>
            <w:r w:rsidRPr="009E66BF">
              <w:rPr>
                <w:color w:val="auto"/>
                <w:szCs w:val="18"/>
              </w:rPr>
              <w:t>0</w:t>
            </w:r>
            <w:r w:rsidR="00630D0F" w:rsidRPr="009E66BF">
              <w:rPr>
                <w:color w:val="auto"/>
                <w:szCs w:val="18"/>
              </w:rPr>
              <w:t>.01</w:t>
            </w:r>
          </w:p>
        </w:tc>
        <w:tc>
          <w:tcPr>
            <w:tcW w:w="238" w:type="pct"/>
            <w:tcBorders>
              <w:bottom w:val="single" w:sz="4" w:space="0" w:color="auto"/>
            </w:tcBorders>
            <w:shd w:val="clear" w:color="auto" w:fill="FFFFFF" w:themeFill="background1"/>
            <w:vAlign w:val="center"/>
          </w:tcPr>
          <w:p w14:paraId="202B8F5A" w14:textId="77777777" w:rsidR="00630D0F" w:rsidRPr="009E66BF" w:rsidRDefault="00630D0F" w:rsidP="000504C8">
            <w:pPr>
              <w:autoSpaceDE w:val="0"/>
              <w:autoSpaceDN w:val="0"/>
              <w:adjustRightInd w:val="0"/>
              <w:snapToGrid w:val="0"/>
              <w:spacing w:line="240" w:lineRule="auto"/>
              <w:jc w:val="center"/>
              <w:rPr>
                <w:color w:val="auto"/>
                <w:szCs w:val="18"/>
              </w:rPr>
            </w:pPr>
            <w:r w:rsidRPr="009E66BF">
              <w:rPr>
                <w:color w:val="auto"/>
                <w:szCs w:val="18"/>
              </w:rPr>
              <w:t>0.00, (0.01)</w:t>
            </w:r>
          </w:p>
        </w:tc>
        <w:tc>
          <w:tcPr>
            <w:tcW w:w="227" w:type="pct"/>
            <w:tcBorders>
              <w:bottom w:val="single" w:sz="4" w:space="0" w:color="auto"/>
            </w:tcBorders>
            <w:shd w:val="clear" w:color="auto" w:fill="FFFFFF" w:themeFill="background1"/>
            <w:vAlign w:val="center"/>
          </w:tcPr>
          <w:p w14:paraId="422723D8" w14:textId="13900159" w:rsidR="00630D0F" w:rsidRPr="009E66BF" w:rsidRDefault="006255D2" w:rsidP="000504C8">
            <w:pPr>
              <w:autoSpaceDE w:val="0"/>
              <w:autoSpaceDN w:val="0"/>
              <w:adjustRightInd w:val="0"/>
              <w:snapToGrid w:val="0"/>
              <w:spacing w:line="240" w:lineRule="auto"/>
              <w:jc w:val="center"/>
              <w:rPr>
                <w:color w:val="auto"/>
                <w:szCs w:val="18"/>
              </w:rPr>
            </w:pPr>
            <w:r w:rsidRPr="009E66BF">
              <w:rPr>
                <w:color w:val="auto"/>
                <w:szCs w:val="18"/>
              </w:rPr>
              <w:t>−</w:t>
            </w:r>
            <w:r w:rsidR="00630D0F" w:rsidRPr="009E66BF">
              <w:rPr>
                <w:color w:val="auto"/>
                <w:szCs w:val="18"/>
              </w:rPr>
              <w:t>0.01, 0.02</w:t>
            </w:r>
          </w:p>
        </w:tc>
        <w:tc>
          <w:tcPr>
            <w:tcW w:w="228" w:type="pct"/>
            <w:tcBorders>
              <w:bottom w:val="single" w:sz="4" w:space="0" w:color="auto"/>
            </w:tcBorders>
            <w:shd w:val="clear" w:color="auto" w:fill="FFFFFF" w:themeFill="background1"/>
            <w:vAlign w:val="center"/>
          </w:tcPr>
          <w:p w14:paraId="7296FF7D" w14:textId="77777777" w:rsidR="00630D0F" w:rsidRPr="009E66BF" w:rsidRDefault="00630D0F" w:rsidP="000504C8">
            <w:pPr>
              <w:autoSpaceDE w:val="0"/>
              <w:autoSpaceDN w:val="0"/>
              <w:adjustRightInd w:val="0"/>
              <w:snapToGrid w:val="0"/>
              <w:spacing w:line="240" w:lineRule="auto"/>
              <w:jc w:val="center"/>
              <w:rPr>
                <w:color w:val="auto"/>
                <w:szCs w:val="18"/>
              </w:rPr>
            </w:pPr>
            <w:r w:rsidRPr="009E66BF">
              <w:rPr>
                <w:color w:val="auto"/>
                <w:szCs w:val="18"/>
              </w:rPr>
              <w:t>0.16</w:t>
            </w:r>
          </w:p>
        </w:tc>
        <w:tc>
          <w:tcPr>
            <w:tcW w:w="245" w:type="pct"/>
            <w:tcBorders>
              <w:bottom w:val="single" w:sz="4" w:space="0" w:color="auto"/>
            </w:tcBorders>
            <w:shd w:val="clear" w:color="auto" w:fill="FFFFFF" w:themeFill="background1"/>
            <w:vAlign w:val="center"/>
          </w:tcPr>
          <w:p w14:paraId="25D45F70" w14:textId="037F2E30" w:rsidR="00630D0F" w:rsidRPr="009E66BF" w:rsidRDefault="00624EE7" w:rsidP="000504C8">
            <w:pPr>
              <w:autoSpaceDE w:val="0"/>
              <w:autoSpaceDN w:val="0"/>
              <w:adjustRightInd w:val="0"/>
              <w:snapToGrid w:val="0"/>
              <w:spacing w:line="240" w:lineRule="auto"/>
              <w:jc w:val="center"/>
              <w:rPr>
                <w:color w:val="auto"/>
                <w:szCs w:val="18"/>
              </w:rPr>
            </w:pPr>
            <w:r w:rsidRPr="009E66BF">
              <w:rPr>
                <w:color w:val="auto"/>
                <w:szCs w:val="18"/>
              </w:rPr>
              <w:t>0</w:t>
            </w:r>
            <w:r w:rsidR="00630D0F" w:rsidRPr="009E66BF">
              <w:rPr>
                <w:color w:val="auto"/>
                <w:szCs w:val="18"/>
              </w:rPr>
              <w:t>.876</w:t>
            </w:r>
          </w:p>
        </w:tc>
        <w:tc>
          <w:tcPr>
            <w:tcW w:w="194" w:type="pct"/>
            <w:tcBorders>
              <w:bottom w:val="single" w:sz="4" w:space="0" w:color="auto"/>
            </w:tcBorders>
            <w:shd w:val="clear" w:color="auto" w:fill="FFFFFF" w:themeFill="background1"/>
            <w:vAlign w:val="center"/>
          </w:tcPr>
          <w:p w14:paraId="5F5E1D6F" w14:textId="411BA4F4" w:rsidR="00630D0F" w:rsidRPr="009E66BF" w:rsidRDefault="00624EE7" w:rsidP="000504C8">
            <w:pPr>
              <w:autoSpaceDE w:val="0"/>
              <w:autoSpaceDN w:val="0"/>
              <w:adjustRightInd w:val="0"/>
              <w:snapToGrid w:val="0"/>
              <w:spacing w:line="240" w:lineRule="auto"/>
              <w:jc w:val="center"/>
              <w:rPr>
                <w:color w:val="auto"/>
                <w:szCs w:val="18"/>
              </w:rPr>
            </w:pPr>
            <w:r w:rsidRPr="009E66BF">
              <w:rPr>
                <w:color w:val="auto"/>
                <w:szCs w:val="18"/>
              </w:rPr>
              <w:t>0</w:t>
            </w:r>
            <w:r w:rsidR="00630D0F" w:rsidRPr="009E66BF">
              <w:rPr>
                <w:color w:val="auto"/>
                <w:szCs w:val="18"/>
              </w:rPr>
              <w:t>.09</w:t>
            </w:r>
          </w:p>
        </w:tc>
        <w:tc>
          <w:tcPr>
            <w:tcW w:w="249" w:type="pct"/>
            <w:tcBorders>
              <w:bottom w:val="single" w:sz="4" w:space="0" w:color="auto"/>
            </w:tcBorders>
            <w:shd w:val="clear" w:color="auto" w:fill="FFFFFF" w:themeFill="background1"/>
            <w:vAlign w:val="center"/>
          </w:tcPr>
          <w:p w14:paraId="389C0BAF" w14:textId="77777777" w:rsidR="00630D0F" w:rsidRPr="009E66BF" w:rsidRDefault="00630D0F" w:rsidP="000504C8">
            <w:pPr>
              <w:autoSpaceDE w:val="0"/>
              <w:autoSpaceDN w:val="0"/>
              <w:adjustRightInd w:val="0"/>
              <w:snapToGrid w:val="0"/>
              <w:spacing w:line="240" w:lineRule="auto"/>
              <w:jc w:val="center"/>
              <w:rPr>
                <w:color w:val="auto"/>
                <w:szCs w:val="18"/>
              </w:rPr>
            </w:pPr>
            <w:r w:rsidRPr="009E66BF">
              <w:rPr>
                <w:color w:val="auto"/>
                <w:szCs w:val="18"/>
              </w:rPr>
              <w:t>0.01, (0.01)</w:t>
            </w:r>
          </w:p>
        </w:tc>
        <w:tc>
          <w:tcPr>
            <w:tcW w:w="249" w:type="pct"/>
            <w:tcBorders>
              <w:bottom w:val="single" w:sz="4" w:space="0" w:color="auto"/>
            </w:tcBorders>
            <w:shd w:val="clear" w:color="auto" w:fill="FFFFFF" w:themeFill="background1"/>
            <w:vAlign w:val="center"/>
          </w:tcPr>
          <w:p w14:paraId="557902AD" w14:textId="3C26CBFC" w:rsidR="00630D0F" w:rsidRPr="009E66BF" w:rsidRDefault="006255D2" w:rsidP="000504C8">
            <w:pPr>
              <w:autoSpaceDE w:val="0"/>
              <w:autoSpaceDN w:val="0"/>
              <w:adjustRightInd w:val="0"/>
              <w:snapToGrid w:val="0"/>
              <w:spacing w:line="240" w:lineRule="auto"/>
              <w:jc w:val="center"/>
              <w:rPr>
                <w:color w:val="auto"/>
                <w:szCs w:val="18"/>
              </w:rPr>
            </w:pPr>
            <w:r w:rsidRPr="009E66BF">
              <w:rPr>
                <w:color w:val="auto"/>
                <w:szCs w:val="18"/>
              </w:rPr>
              <w:t>−</w:t>
            </w:r>
            <w:r w:rsidR="00630D0F" w:rsidRPr="009E66BF">
              <w:rPr>
                <w:color w:val="auto"/>
                <w:szCs w:val="18"/>
              </w:rPr>
              <w:t>0.01, 0.04</w:t>
            </w:r>
          </w:p>
        </w:tc>
        <w:tc>
          <w:tcPr>
            <w:tcW w:w="231" w:type="pct"/>
            <w:tcBorders>
              <w:bottom w:val="single" w:sz="4" w:space="0" w:color="auto"/>
            </w:tcBorders>
            <w:shd w:val="clear" w:color="auto" w:fill="FFFFFF" w:themeFill="background1"/>
            <w:vAlign w:val="center"/>
          </w:tcPr>
          <w:p w14:paraId="1E689957" w14:textId="77777777" w:rsidR="00630D0F" w:rsidRPr="009E66BF" w:rsidRDefault="00630D0F" w:rsidP="000504C8">
            <w:pPr>
              <w:autoSpaceDE w:val="0"/>
              <w:autoSpaceDN w:val="0"/>
              <w:adjustRightInd w:val="0"/>
              <w:snapToGrid w:val="0"/>
              <w:spacing w:line="240" w:lineRule="auto"/>
              <w:jc w:val="center"/>
              <w:rPr>
                <w:color w:val="auto"/>
                <w:szCs w:val="18"/>
              </w:rPr>
            </w:pPr>
            <w:r w:rsidRPr="009E66BF">
              <w:rPr>
                <w:color w:val="auto"/>
                <w:szCs w:val="18"/>
              </w:rPr>
              <w:t>1.41</w:t>
            </w:r>
          </w:p>
        </w:tc>
        <w:tc>
          <w:tcPr>
            <w:tcW w:w="246" w:type="pct"/>
            <w:tcBorders>
              <w:bottom w:val="single" w:sz="4" w:space="0" w:color="auto"/>
            </w:tcBorders>
            <w:shd w:val="clear" w:color="auto" w:fill="FFFFFF" w:themeFill="background1"/>
            <w:vAlign w:val="center"/>
          </w:tcPr>
          <w:p w14:paraId="2DCF6710" w14:textId="0C00B2C3" w:rsidR="00630D0F" w:rsidRPr="009E66BF" w:rsidRDefault="00CE3392" w:rsidP="000504C8">
            <w:pPr>
              <w:autoSpaceDE w:val="0"/>
              <w:autoSpaceDN w:val="0"/>
              <w:adjustRightInd w:val="0"/>
              <w:snapToGrid w:val="0"/>
              <w:spacing w:line="240" w:lineRule="auto"/>
              <w:jc w:val="center"/>
              <w:rPr>
                <w:color w:val="auto"/>
                <w:szCs w:val="18"/>
              </w:rPr>
            </w:pPr>
            <w:r w:rsidRPr="009E66BF">
              <w:rPr>
                <w:color w:val="auto"/>
                <w:szCs w:val="18"/>
              </w:rPr>
              <w:t>0</w:t>
            </w:r>
            <w:r w:rsidR="00630D0F" w:rsidRPr="009E66BF">
              <w:rPr>
                <w:color w:val="auto"/>
                <w:szCs w:val="18"/>
              </w:rPr>
              <w:t>.161</w:t>
            </w:r>
          </w:p>
        </w:tc>
        <w:tc>
          <w:tcPr>
            <w:tcW w:w="194" w:type="pct"/>
            <w:tcBorders>
              <w:bottom w:val="single" w:sz="4" w:space="0" w:color="auto"/>
            </w:tcBorders>
            <w:shd w:val="clear" w:color="auto" w:fill="FFFFFF" w:themeFill="background1"/>
            <w:vAlign w:val="center"/>
          </w:tcPr>
          <w:p w14:paraId="08B19D18" w14:textId="5288BA7D" w:rsidR="00630D0F" w:rsidRPr="009E66BF" w:rsidRDefault="006255D2" w:rsidP="000504C8">
            <w:pPr>
              <w:autoSpaceDE w:val="0"/>
              <w:autoSpaceDN w:val="0"/>
              <w:adjustRightInd w:val="0"/>
              <w:snapToGrid w:val="0"/>
              <w:spacing w:line="240" w:lineRule="auto"/>
              <w:jc w:val="center"/>
              <w:rPr>
                <w:color w:val="auto"/>
                <w:szCs w:val="18"/>
              </w:rPr>
            </w:pPr>
            <w:r w:rsidRPr="009E66BF">
              <w:rPr>
                <w:color w:val="auto"/>
                <w:szCs w:val="18"/>
              </w:rPr>
              <w:t>−</w:t>
            </w:r>
            <w:r w:rsidR="00CE3392" w:rsidRPr="009E66BF">
              <w:rPr>
                <w:color w:val="auto"/>
                <w:szCs w:val="18"/>
              </w:rPr>
              <w:t>0</w:t>
            </w:r>
            <w:r w:rsidR="00630D0F" w:rsidRPr="009E66BF">
              <w:rPr>
                <w:color w:val="auto"/>
                <w:szCs w:val="18"/>
              </w:rPr>
              <w:t>.00</w:t>
            </w:r>
          </w:p>
        </w:tc>
        <w:tc>
          <w:tcPr>
            <w:tcW w:w="278" w:type="pct"/>
            <w:tcBorders>
              <w:bottom w:val="single" w:sz="4" w:space="0" w:color="auto"/>
            </w:tcBorders>
            <w:shd w:val="clear" w:color="auto" w:fill="FFFFFF" w:themeFill="background1"/>
            <w:vAlign w:val="center"/>
          </w:tcPr>
          <w:p w14:paraId="20E451C0" w14:textId="77777777" w:rsidR="00630D0F" w:rsidRPr="009E66BF" w:rsidRDefault="00630D0F" w:rsidP="000504C8">
            <w:pPr>
              <w:autoSpaceDE w:val="0"/>
              <w:autoSpaceDN w:val="0"/>
              <w:adjustRightInd w:val="0"/>
              <w:snapToGrid w:val="0"/>
              <w:spacing w:line="240" w:lineRule="auto"/>
              <w:jc w:val="center"/>
              <w:rPr>
                <w:color w:val="auto"/>
                <w:szCs w:val="18"/>
              </w:rPr>
            </w:pPr>
            <w:r w:rsidRPr="009E66BF">
              <w:rPr>
                <w:color w:val="auto"/>
                <w:szCs w:val="18"/>
              </w:rPr>
              <w:t>0.00 (0.01)</w:t>
            </w:r>
          </w:p>
        </w:tc>
        <w:tc>
          <w:tcPr>
            <w:tcW w:w="249" w:type="pct"/>
            <w:tcBorders>
              <w:bottom w:val="single" w:sz="4" w:space="0" w:color="auto"/>
            </w:tcBorders>
            <w:shd w:val="clear" w:color="auto" w:fill="FFFFFF" w:themeFill="background1"/>
            <w:vAlign w:val="center"/>
          </w:tcPr>
          <w:p w14:paraId="7220F6C8" w14:textId="2E44C6CA" w:rsidR="00630D0F" w:rsidRPr="009E66BF" w:rsidRDefault="006255D2" w:rsidP="000504C8">
            <w:pPr>
              <w:autoSpaceDE w:val="0"/>
              <w:autoSpaceDN w:val="0"/>
              <w:adjustRightInd w:val="0"/>
              <w:snapToGrid w:val="0"/>
              <w:spacing w:line="240" w:lineRule="auto"/>
              <w:jc w:val="center"/>
              <w:rPr>
                <w:color w:val="auto"/>
                <w:szCs w:val="18"/>
              </w:rPr>
            </w:pPr>
            <w:r w:rsidRPr="009E66BF">
              <w:rPr>
                <w:color w:val="auto"/>
                <w:szCs w:val="18"/>
              </w:rPr>
              <w:t>−</w:t>
            </w:r>
            <w:r w:rsidR="00630D0F" w:rsidRPr="009E66BF">
              <w:rPr>
                <w:color w:val="auto"/>
                <w:szCs w:val="18"/>
              </w:rPr>
              <w:t>0.02, 0.02</w:t>
            </w:r>
          </w:p>
        </w:tc>
        <w:tc>
          <w:tcPr>
            <w:tcW w:w="231" w:type="pct"/>
            <w:tcBorders>
              <w:bottom w:val="single" w:sz="4" w:space="0" w:color="auto"/>
            </w:tcBorders>
            <w:shd w:val="clear" w:color="auto" w:fill="FFFFFF" w:themeFill="background1"/>
            <w:vAlign w:val="center"/>
          </w:tcPr>
          <w:p w14:paraId="75A85428" w14:textId="31A4569E" w:rsidR="00630D0F" w:rsidRPr="009E66BF" w:rsidRDefault="006255D2" w:rsidP="000504C8">
            <w:pPr>
              <w:autoSpaceDE w:val="0"/>
              <w:autoSpaceDN w:val="0"/>
              <w:adjustRightInd w:val="0"/>
              <w:snapToGrid w:val="0"/>
              <w:spacing w:line="240" w:lineRule="auto"/>
              <w:jc w:val="center"/>
              <w:rPr>
                <w:color w:val="auto"/>
                <w:szCs w:val="18"/>
              </w:rPr>
            </w:pPr>
            <w:r w:rsidRPr="009E66BF">
              <w:rPr>
                <w:color w:val="auto"/>
                <w:szCs w:val="18"/>
              </w:rPr>
              <w:t>−</w:t>
            </w:r>
            <w:r w:rsidR="00630D0F" w:rsidRPr="009E66BF">
              <w:rPr>
                <w:color w:val="auto"/>
                <w:szCs w:val="18"/>
              </w:rPr>
              <w:t>0.03</w:t>
            </w:r>
          </w:p>
        </w:tc>
        <w:tc>
          <w:tcPr>
            <w:tcW w:w="238" w:type="pct"/>
            <w:tcBorders>
              <w:bottom w:val="single" w:sz="4" w:space="0" w:color="auto"/>
            </w:tcBorders>
            <w:shd w:val="clear" w:color="auto" w:fill="FFFFFF" w:themeFill="background1"/>
            <w:vAlign w:val="center"/>
          </w:tcPr>
          <w:p w14:paraId="55B18C53" w14:textId="6E3DC204" w:rsidR="00630D0F" w:rsidRPr="009E66BF" w:rsidRDefault="00CE3392" w:rsidP="000504C8">
            <w:pPr>
              <w:autoSpaceDE w:val="0"/>
              <w:autoSpaceDN w:val="0"/>
              <w:adjustRightInd w:val="0"/>
              <w:snapToGrid w:val="0"/>
              <w:spacing w:line="240" w:lineRule="auto"/>
              <w:jc w:val="center"/>
              <w:rPr>
                <w:color w:val="auto"/>
                <w:szCs w:val="18"/>
              </w:rPr>
            </w:pPr>
            <w:r w:rsidRPr="009E66BF">
              <w:rPr>
                <w:color w:val="auto"/>
                <w:szCs w:val="18"/>
              </w:rPr>
              <w:t>0</w:t>
            </w:r>
            <w:r w:rsidR="00630D0F" w:rsidRPr="009E66BF">
              <w:rPr>
                <w:color w:val="auto"/>
                <w:szCs w:val="18"/>
              </w:rPr>
              <w:t>.973</w:t>
            </w:r>
          </w:p>
        </w:tc>
        <w:tc>
          <w:tcPr>
            <w:tcW w:w="197" w:type="pct"/>
            <w:tcBorders>
              <w:bottom w:val="single" w:sz="4" w:space="0" w:color="auto"/>
            </w:tcBorders>
            <w:shd w:val="clear" w:color="auto" w:fill="FFFFFF" w:themeFill="background1"/>
            <w:vAlign w:val="center"/>
          </w:tcPr>
          <w:p w14:paraId="1761277E" w14:textId="5897819A" w:rsidR="00630D0F" w:rsidRPr="009E66BF" w:rsidRDefault="006255D2" w:rsidP="000504C8">
            <w:pPr>
              <w:autoSpaceDE w:val="0"/>
              <w:autoSpaceDN w:val="0"/>
              <w:adjustRightInd w:val="0"/>
              <w:snapToGrid w:val="0"/>
              <w:spacing w:line="240" w:lineRule="auto"/>
              <w:jc w:val="center"/>
              <w:rPr>
                <w:color w:val="auto"/>
                <w:szCs w:val="18"/>
              </w:rPr>
            </w:pPr>
            <w:r w:rsidRPr="009E66BF">
              <w:rPr>
                <w:color w:val="auto"/>
                <w:szCs w:val="18"/>
              </w:rPr>
              <w:t>−</w:t>
            </w:r>
            <w:r w:rsidR="00CE3392" w:rsidRPr="009E66BF">
              <w:rPr>
                <w:color w:val="auto"/>
                <w:szCs w:val="18"/>
              </w:rPr>
              <w:t>0</w:t>
            </w:r>
            <w:r w:rsidR="00630D0F" w:rsidRPr="009E66BF">
              <w:rPr>
                <w:color w:val="auto"/>
                <w:szCs w:val="18"/>
              </w:rPr>
              <w:t>.04</w:t>
            </w:r>
          </w:p>
        </w:tc>
        <w:tc>
          <w:tcPr>
            <w:tcW w:w="243" w:type="pct"/>
            <w:tcBorders>
              <w:bottom w:val="single" w:sz="4" w:space="0" w:color="auto"/>
            </w:tcBorders>
            <w:shd w:val="clear" w:color="auto" w:fill="FFFFFF" w:themeFill="background1"/>
            <w:vAlign w:val="center"/>
          </w:tcPr>
          <w:p w14:paraId="0534D05D" w14:textId="75E1E3D1" w:rsidR="00630D0F" w:rsidRPr="009E66BF" w:rsidRDefault="006255D2" w:rsidP="000504C8">
            <w:pPr>
              <w:autoSpaceDE w:val="0"/>
              <w:autoSpaceDN w:val="0"/>
              <w:adjustRightInd w:val="0"/>
              <w:snapToGrid w:val="0"/>
              <w:spacing w:line="240" w:lineRule="auto"/>
              <w:jc w:val="center"/>
              <w:rPr>
                <w:color w:val="auto"/>
                <w:szCs w:val="18"/>
              </w:rPr>
            </w:pPr>
            <w:r w:rsidRPr="009E66BF">
              <w:rPr>
                <w:color w:val="auto"/>
                <w:szCs w:val="18"/>
              </w:rPr>
              <w:t>−</w:t>
            </w:r>
            <w:r w:rsidR="00630D0F" w:rsidRPr="009E66BF">
              <w:rPr>
                <w:color w:val="auto"/>
                <w:szCs w:val="18"/>
              </w:rPr>
              <w:t>0.01 (0.01)</w:t>
            </w:r>
          </w:p>
        </w:tc>
        <w:tc>
          <w:tcPr>
            <w:tcW w:w="214" w:type="pct"/>
            <w:tcBorders>
              <w:bottom w:val="single" w:sz="4" w:space="0" w:color="auto"/>
            </w:tcBorders>
            <w:shd w:val="clear" w:color="auto" w:fill="FFFFFF" w:themeFill="background1"/>
            <w:vAlign w:val="center"/>
          </w:tcPr>
          <w:p w14:paraId="562A2D1E" w14:textId="3C3040D8" w:rsidR="00630D0F" w:rsidRPr="009E66BF" w:rsidRDefault="006255D2" w:rsidP="000504C8">
            <w:pPr>
              <w:autoSpaceDE w:val="0"/>
              <w:autoSpaceDN w:val="0"/>
              <w:adjustRightInd w:val="0"/>
              <w:snapToGrid w:val="0"/>
              <w:spacing w:line="240" w:lineRule="auto"/>
              <w:jc w:val="center"/>
              <w:rPr>
                <w:color w:val="auto"/>
                <w:szCs w:val="18"/>
              </w:rPr>
            </w:pPr>
            <w:r w:rsidRPr="009E66BF">
              <w:rPr>
                <w:color w:val="auto"/>
                <w:szCs w:val="18"/>
              </w:rPr>
              <w:t>−</w:t>
            </w:r>
            <w:r w:rsidR="00630D0F" w:rsidRPr="009E66BF">
              <w:rPr>
                <w:color w:val="auto"/>
                <w:szCs w:val="18"/>
              </w:rPr>
              <w:t>0.03, 0.02</w:t>
            </w:r>
          </w:p>
        </w:tc>
        <w:tc>
          <w:tcPr>
            <w:tcW w:w="231" w:type="pct"/>
            <w:tcBorders>
              <w:bottom w:val="single" w:sz="4" w:space="0" w:color="auto"/>
            </w:tcBorders>
            <w:shd w:val="clear" w:color="auto" w:fill="FFFFFF" w:themeFill="background1"/>
            <w:vAlign w:val="center"/>
          </w:tcPr>
          <w:p w14:paraId="2B11AD9E" w14:textId="526B3B32" w:rsidR="00630D0F" w:rsidRPr="009E66BF" w:rsidRDefault="006255D2" w:rsidP="000504C8">
            <w:pPr>
              <w:autoSpaceDE w:val="0"/>
              <w:autoSpaceDN w:val="0"/>
              <w:adjustRightInd w:val="0"/>
              <w:snapToGrid w:val="0"/>
              <w:spacing w:line="240" w:lineRule="auto"/>
              <w:jc w:val="center"/>
              <w:rPr>
                <w:color w:val="auto"/>
                <w:szCs w:val="18"/>
              </w:rPr>
            </w:pPr>
            <w:r w:rsidRPr="009E66BF">
              <w:rPr>
                <w:color w:val="auto"/>
                <w:szCs w:val="18"/>
              </w:rPr>
              <w:t>−</w:t>
            </w:r>
            <w:r w:rsidR="00630D0F" w:rsidRPr="009E66BF">
              <w:rPr>
                <w:color w:val="auto"/>
                <w:szCs w:val="18"/>
              </w:rPr>
              <w:t>0.47</w:t>
            </w:r>
          </w:p>
        </w:tc>
        <w:tc>
          <w:tcPr>
            <w:tcW w:w="280" w:type="pct"/>
            <w:tcBorders>
              <w:bottom w:val="single" w:sz="4" w:space="0" w:color="auto"/>
            </w:tcBorders>
            <w:shd w:val="clear" w:color="auto" w:fill="FFFFFF" w:themeFill="background1"/>
            <w:vAlign w:val="center"/>
          </w:tcPr>
          <w:p w14:paraId="603E5871" w14:textId="36448512" w:rsidR="00630D0F" w:rsidRPr="009E66BF" w:rsidRDefault="00400AAD" w:rsidP="000504C8">
            <w:pPr>
              <w:autoSpaceDE w:val="0"/>
              <w:autoSpaceDN w:val="0"/>
              <w:adjustRightInd w:val="0"/>
              <w:snapToGrid w:val="0"/>
              <w:spacing w:line="240" w:lineRule="auto"/>
              <w:jc w:val="center"/>
              <w:rPr>
                <w:color w:val="auto"/>
                <w:szCs w:val="18"/>
              </w:rPr>
            </w:pPr>
            <w:r w:rsidRPr="009E66BF">
              <w:rPr>
                <w:color w:val="auto"/>
                <w:szCs w:val="18"/>
              </w:rPr>
              <w:t>0</w:t>
            </w:r>
            <w:r w:rsidR="00630D0F" w:rsidRPr="009E66BF">
              <w:rPr>
                <w:color w:val="auto"/>
                <w:szCs w:val="18"/>
              </w:rPr>
              <w:t>.641</w:t>
            </w:r>
          </w:p>
        </w:tc>
      </w:tr>
      <w:tr w:rsidR="000504C8" w:rsidRPr="000504C8" w14:paraId="63E86525" w14:textId="77777777" w:rsidTr="009E66BF">
        <w:trPr>
          <w:cantSplit/>
          <w:jc w:val="center"/>
        </w:trPr>
        <w:tc>
          <w:tcPr>
            <w:tcW w:w="313" w:type="pct"/>
            <w:tcBorders>
              <w:top w:val="single" w:sz="4" w:space="0" w:color="auto"/>
              <w:bottom w:val="single" w:sz="8" w:space="0" w:color="auto"/>
            </w:tcBorders>
            <w:shd w:val="clear" w:color="auto" w:fill="FFFFFF" w:themeFill="background1"/>
            <w:vAlign w:val="center"/>
          </w:tcPr>
          <w:p w14:paraId="25C32124" w14:textId="77777777" w:rsidR="00630D0F" w:rsidRPr="00C97A71" w:rsidRDefault="00630D0F" w:rsidP="000504C8">
            <w:pPr>
              <w:autoSpaceDE w:val="0"/>
              <w:autoSpaceDN w:val="0"/>
              <w:adjustRightInd w:val="0"/>
              <w:snapToGrid w:val="0"/>
              <w:spacing w:line="240" w:lineRule="auto"/>
              <w:jc w:val="center"/>
              <w:rPr>
                <w:color w:val="auto"/>
                <w:szCs w:val="18"/>
              </w:rPr>
            </w:pPr>
            <w:r w:rsidRPr="00C97A71">
              <w:rPr>
                <w:color w:val="auto"/>
                <w:szCs w:val="18"/>
              </w:rPr>
              <w:t>Model:</w:t>
            </w:r>
          </w:p>
        </w:tc>
        <w:tc>
          <w:tcPr>
            <w:tcW w:w="1163" w:type="pct"/>
            <w:gridSpan w:val="5"/>
            <w:tcBorders>
              <w:top w:val="single" w:sz="4" w:space="0" w:color="auto"/>
              <w:bottom w:val="single" w:sz="8" w:space="0" w:color="auto"/>
            </w:tcBorders>
            <w:shd w:val="clear" w:color="auto" w:fill="FFFFFF" w:themeFill="background1"/>
            <w:vAlign w:val="center"/>
          </w:tcPr>
          <w:p w14:paraId="49DB2FB4" w14:textId="23A0F4BA" w:rsidR="00630D0F" w:rsidRPr="009E66BF" w:rsidRDefault="00630D0F" w:rsidP="000504C8">
            <w:pPr>
              <w:autoSpaceDE w:val="0"/>
              <w:autoSpaceDN w:val="0"/>
              <w:adjustRightInd w:val="0"/>
              <w:snapToGrid w:val="0"/>
              <w:spacing w:line="240" w:lineRule="auto"/>
              <w:jc w:val="center"/>
              <w:rPr>
                <w:color w:val="auto"/>
                <w:szCs w:val="18"/>
              </w:rPr>
            </w:pPr>
            <w:r w:rsidRPr="009E66BF">
              <w:rPr>
                <w:i/>
                <w:iCs/>
                <w:color w:val="auto"/>
                <w:szCs w:val="18"/>
              </w:rPr>
              <w:t>R</w:t>
            </w:r>
            <w:r w:rsidRPr="009E66BF">
              <w:rPr>
                <w:color w:val="auto"/>
                <w:szCs w:val="18"/>
                <w:vertAlign w:val="superscript"/>
              </w:rPr>
              <w:t xml:space="preserve">2 </w:t>
            </w:r>
            <w:r w:rsidRPr="009E66BF">
              <w:rPr>
                <w:color w:val="auto"/>
                <w:szCs w:val="18"/>
              </w:rPr>
              <w:t>=</w:t>
            </w:r>
            <w:r w:rsidR="008B3F57" w:rsidRPr="009E66BF">
              <w:rPr>
                <w:color w:val="auto"/>
                <w:szCs w:val="18"/>
              </w:rPr>
              <w:t xml:space="preserve"> 0.</w:t>
            </w:r>
            <w:r w:rsidRPr="009E66BF">
              <w:rPr>
                <w:color w:val="auto"/>
                <w:szCs w:val="18"/>
              </w:rPr>
              <w:t xml:space="preserve">29, </w:t>
            </w:r>
            <w:r w:rsidRPr="009E66BF">
              <w:rPr>
                <w:i/>
                <w:iCs/>
                <w:color w:val="auto"/>
                <w:szCs w:val="18"/>
              </w:rPr>
              <w:t>F</w:t>
            </w:r>
            <w:r w:rsidRPr="009E66BF">
              <w:rPr>
                <w:color w:val="auto"/>
                <w:szCs w:val="18"/>
              </w:rPr>
              <w:t xml:space="preserve"> (5, 288) = 23.94</w:t>
            </w:r>
            <w:r w:rsidR="00400AAD" w:rsidRPr="009E66BF">
              <w:rPr>
                <w:color w:val="auto"/>
                <w:szCs w:val="18"/>
              </w:rPr>
              <w:t xml:space="preserve"> </w:t>
            </w:r>
            <w:r w:rsidRPr="009E66BF">
              <w:rPr>
                <w:color w:val="auto"/>
                <w:szCs w:val="18"/>
              </w:rPr>
              <w:t>***</w:t>
            </w:r>
          </w:p>
        </w:tc>
        <w:tc>
          <w:tcPr>
            <w:tcW w:w="1169" w:type="pct"/>
            <w:gridSpan w:val="5"/>
            <w:tcBorders>
              <w:top w:val="single" w:sz="4" w:space="0" w:color="auto"/>
              <w:bottom w:val="single" w:sz="8" w:space="0" w:color="auto"/>
            </w:tcBorders>
            <w:shd w:val="clear" w:color="auto" w:fill="FFFFFF" w:themeFill="background1"/>
            <w:vAlign w:val="center"/>
          </w:tcPr>
          <w:p w14:paraId="78C1ED1F" w14:textId="6D5CFE9E" w:rsidR="00630D0F" w:rsidRPr="009E66BF" w:rsidRDefault="00630D0F" w:rsidP="000504C8">
            <w:pPr>
              <w:autoSpaceDE w:val="0"/>
              <w:autoSpaceDN w:val="0"/>
              <w:adjustRightInd w:val="0"/>
              <w:snapToGrid w:val="0"/>
              <w:spacing w:line="240" w:lineRule="auto"/>
              <w:jc w:val="center"/>
              <w:rPr>
                <w:color w:val="auto"/>
                <w:szCs w:val="18"/>
              </w:rPr>
            </w:pPr>
            <w:r w:rsidRPr="009E66BF">
              <w:rPr>
                <w:i/>
                <w:iCs/>
                <w:color w:val="auto"/>
                <w:szCs w:val="18"/>
              </w:rPr>
              <w:t>R</w:t>
            </w:r>
            <w:r w:rsidRPr="009E66BF">
              <w:rPr>
                <w:color w:val="auto"/>
                <w:szCs w:val="18"/>
                <w:vertAlign w:val="superscript"/>
              </w:rPr>
              <w:t xml:space="preserve">2 </w:t>
            </w:r>
            <w:r w:rsidRPr="009E66BF">
              <w:rPr>
                <w:color w:val="auto"/>
                <w:szCs w:val="18"/>
              </w:rPr>
              <w:t>=</w:t>
            </w:r>
            <w:r w:rsidR="008B3F57" w:rsidRPr="009E66BF">
              <w:rPr>
                <w:color w:val="auto"/>
                <w:szCs w:val="18"/>
              </w:rPr>
              <w:t xml:space="preserve"> 0.</w:t>
            </w:r>
            <w:r w:rsidRPr="009E66BF">
              <w:rPr>
                <w:color w:val="auto"/>
                <w:szCs w:val="18"/>
              </w:rPr>
              <w:t xml:space="preserve">31, </w:t>
            </w:r>
            <w:r w:rsidRPr="009E66BF">
              <w:rPr>
                <w:i/>
                <w:iCs/>
                <w:color w:val="auto"/>
                <w:szCs w:val="18"/>
              </w:rPr>
              <w:t>F</w:t>
            </w:r>
            <w:r w:rsidRPr="009E66BF">
              <w:rPr>
                <w:color w:val="auto"/>
                <w:szCs w:val="18"/>
              </w:rPr>
              <w:t xml:space="preserve"> (5, 170) = 15.06</w:t>
            </w:r>
            <w:r w:rsidR="00400AAD" w:rsidRPr="009E66BF">
              <w:rPr>
                <w:color w:val="auto"/>
                <w:szCs w:val="18"/>
              </w:rPr>
              <w:t xml:space="preserve"> </w:t>
            </w:r>
            <w:r w:rsidRPr="009E66BF">
              <w:rPr>
                <w:color w:val="auto"/>
                <w:szCs w:val="18"/>
              </w:rPr>
              <w:t>***</w:t>
            </w:r>
          </w:p>
        </w:tc>
        <w:tc>
          <w:tcPr>
            <w:tcW w:w="1190" w:type="pct"/>
            <w:gridSpan w:val="5"/>
            <w:tcBorders>
              <w:top w:val="single" w:sz="4" w:space="0" w:color="auto"/>
              <w:bottom w:val="single" w:sz="8" w:space="0" w:color="auto"/>
            </w:tcBorders>
            <w:shd w:val="clear" w:color="auto" w:fill="FFFFFF" w:themeFill="background1"/>
            <w:vAlign w:val="center"/>
          </w:tcPr>
          <w:p w14:paraId="42B2AB35" w14:textId="2A8C8F2A" w:rsidR="00630D0F" w:rsidRPr="009E66BF" w:rsidRDefault="00630D0F" w:rsidP="000504C8">
            <w:pPr>
              <w:autoSpaceDE w:val="0"/>
              <w:autoSpaceDN w:val="0"/>
              <w:adjustRightInd w:val="0"/>
              <w:snapToGrid w:val="0"/>
              <w:spacing w:line="240" w:lineRule="auto"/>
              <w:jc w:val="center"/>
              <w:rPr>
                <w:color w:val="auto"/>
                <w:szCs w:val="18"/>
              </w:rPr>
            </w:pPr>
            <w:r w:rsidRPr="009E66BF">
              <w:rPr>
                <w:i/>
                <w:iCs/>
                <w:color w:val="auto"/>
                <w:szCs w:val="18"/>
              </w:rPr>
              <w:t>R</w:t>
            </w:r>
            <w:r w:rsidRPr="009E66BF">
              <w:rPr>
                <w:color w:val="auto"/>
                <w:szCs w:val="18"/>
                <w:vertAlign w:val="superscript"/>
              </w:rPr>
              <w:t xml:space="preserve">2 </w:t>
            </w:r>
            <w:r w:rsidRPr="009E66BF">
              <w:rPr>
                <w:color w:val="auto"/>
                <w:szCs w:val="18"/>
              </w:rPr>
              <w:t>=</w:t>
            </w:r>
            <w:r w:rsidR="008B3F57" w:rsidRPr="009E66BF">
              <w:rPr>
                <w:color w:val="auto"/>
                <w:szCs w:val="18"/>
              </w:rPr>
              <w:t xml:space="preserve"> 0.</w:t>
            </w:r>
            <w:r w:rsidRPr="009E66BF">
              <w:rPr>
                <w:color w:val="auto"/>
                <w:szCs w:val="18"/>
              </w:rPr>
              <w:t xml:space="preserve">24, </w:t>
            </w:r>
            <w:r w:rsidRPr="009E66BF">
              <w:rPr>
                <w:i/>
                <w:iCs/>
                <w:color w:val="auto"/>
                <w:szCs w:val="18"/>
              </w:rPr>
              <w:t>F</w:t>
            </w:r>
            <w:r w:rsidRPr="009E66BF">
              <w:rPr>
                <w:color w:val="auto"/>
                <w:szCs w:val="18"/>
              </w:rPr>
              <w:t xml:space="preserve"> (5, 127) = 7.85</w:t>
            </w:r>
            <w:r w:rsidR="00400AAD" w:rsidRPr="009E66BF">
              <w:rPr>
                <w:color w:val="auto"/>
                <w:szCs w:val="18"/>
              </w:rPr>
              <w:t xml:space="preserve"> </w:t>
            </w:r>
            <w:r w:rsidRPr="009E66BF">
              <w:rPr>
                <w:color w:val="auto"/>
                <w:szCs w:val="18"/>
              </w:rPr>
              <w:t>***</w:t>
            </w:r>
          </w:p>
        </w:tc>
        <w:tc>
          <w:tcPr>
            <w:tcW w:w="1165" w:type="pct"/>
            <w:gridSpan w:val="5"/>
            <w:tcBorders>
              <w:top w:val="single" w:sz="4" w:space="0" w:color="auto"/>
              <w:bottom w:val="single" w:sz="8" w:space="0" w:color="auto"/>
            </w:tcBorders>
            <w:shd w:val="clear" w:color="auto" w:fill="FFFFFF" w:themeFill="background1"/>
            <w:vAlign w:val="center"/>
          </w:tcPr>
          <w:p w14:paraId="5B5EEE4A" w14:textId="7DB1D6DB" w:rsidR="00630D0F" w:rsidRPr="000504C8" w:rsidRDefault="00630D0F" w:rsidP="000504C8">
            <w:pPr>
              <w:autoSpaceDE w:val="0"/>
              <w:autoSpaceDN w:val="0"/>
              <w:adjustRightInd w:val="0"/>
              <w:snapToGrid w:val="0"/>
              <w:spacing w:line="240" w:lineRule="auto"/>
              <w:jc w:val="center"/>
              <w:rPr>
                <w:color w:val="auto"/>
                <w:szCs w:val="18"/>
              </w:rPr>
            </w:pPr>
            <w:r w:rsidRPr="009E66BF">
              <w:rPr>
                <w:i/>
                <w:iCs/>
                <w:color w:val="auto"/>
                <w:szCs w:val="18"/>
              </w:rPr>
              <w:t>R</w:t>
            </w:r>
            <w:r w:rsidRPr="009E66BF">
              <w:rPr>
                <w:color w:val="auto"/>
                <w:szCs w:val="18"/>
                <w:vertAlign w:val="superscript"/>
              </w:rPr>
              <w:t xml:space="preserve">2 </w:t>
            </w:r>
            <w:r w:rsidRPr="009E66BF">
              <w:rPr>
                <w:color w:val="auto"/>
                <w:szCs w:val="18"/>
              </w:rPr>
              <w:t>=</w:t>
            </w:r>
            <w:r w:rsidR="008B3F57" w:rsidRPr="009E66BF">
              <w:rPr>
                <w:color w:val="auto"/>
                <w:szCs w:val="18"/>
              </w:rPr>
              <w:t xml:space="preserve"> 0.</w:t>
            </w:r>
            <w:r w:rsidRPr="009E66BF">
              <w:rPr>
                <w:color w:val="auto"/>
                <w:szCs w:val="18"/>
              </w:rPr>
              <w:t xml:space="preserve">29, </w:t>
            </w:r>
            <w:r w:rsidRPr="009E66BF">
              <w:rPr>
                <w:i/>
                <w:iCs/>
                <w:color w:val="auto"/>
                <w:szCs w:val="18"/>
              </w:rPr>
              <w:t>F</w:t>
            </w:r>
            <w:r w:rsidRPr="009E66BF">
              <w:rPr>
                <w:color w:val="auto"/>
                <w:szCs w:val="18"/>
              </w:rPr>
              <w:t xml:space="preserve"> (5, 106) = 8.87</w:t>
            </w:r>
            <w:r w:rsidR="00400AAD" w:rsidRPr="009E66BF">
              <w:rPr>
                <w:color w:val="auto"/>
                <w:szCs w:val="18"/>
              </w:rPr>
              <w:t xml:space="preserve"> </w:t>
            </w:r>
            <w:r w:rsidRPr="009E66BF">
              <w:rPr>
                <w:color w:val="auto"/>
                <w:szCs w:val="18"/>
              </w:rPr>
              <w:t>***</w:t>
            </w:r>
          </w:p>
        </w:tc>
      </w:tr>
    </w:tbl>
    <w:p w14:paraId="7CE9B2FF" w14:textId="1098B22C" w:rsidR="00630D0F" w:rsidRPr="00C8300B" w:rsidRDefault="00630D0F" w:rsidP="009E66BF">
      <w:pPr>
        <w:pStyle w:val="MDPI43tablefooter"/>
        <w:ind w:left="425" w:right="425"/>
        <w:rPr>
          <w:color w:val="auto"/>
          <w:sz w:val="16"/>
          <w:szCs w:val="16"/>
        </w:rPr>
      </w:pPr>
      <w:r w:rsidRPr="00D17656">
        <w:rPr>
          <w:i/>
          <w:iCs/>
        </w:rPr>
        <w:t>Notes</w:t>
      </w:r>
      <w:r w:rsidRPr="00D17656">
        <w:t xml:space="preserve">. * = </w:t>
      </w:r>
      <w:r w:rsidRPr="00D17656">
        <w:rPr>
          <w:i/>
        </w:rPr>
        <w:t>p</w:t>
      </w:r>
      <w:r w:rsidRPr="00D17656">
        <w:t xml:space="preserve"> &lt;</w:t>
      </w:r>
      <w:r w:rsidR="008B3F57" w:rsidRPr="00D17656">
        <w:t xml:space="preserve"> 0.</w:t>
      </w:r>
      <w:r w:rsidRPr="00D17656">
        <w:t>05, **</w:t>
      </w:r>
      <w:r w:rsidRPr="009A12FA">
        <w:t xml:space="preserve"> = </w:t>
      </w:r>
      <w:r w:rsidRPr="009A12FA">
        <w:rPr>
          <w:i/>
        </w:rPr>
        <w:t>p</w:t>
      </w:r>
      <w:r w:rsidRPr="009A12FA">
        <w:t xml:space="preserve"> &lt;</w:t>
      </w:r>
      <w:r w:rsidR="008B3F57" w:rsidRPr="009A12FA">
        <w:t xml:space="preserve"> 0.</w:t>
      </w:r>
      <w:r w:rsidRPr="009A12FA">
        <w:t xml:space="preserve">01. *** = </w:t>
      </w:r>
      <w:r w:rsidRPr="009A12FA">
        <w:rPr>
          <w:i/>
          <w:iCs/>
        </w:rPr>
        <w:t xml:space="preserve">p </w:t>
      </w:r>
      <w:r w:rsidRPr="009A12FA">
        <w:t>&lt;</w:t>
      </w:r>
      <w:r w:rsidR="008B3F57" w:rsidRPr="009A12FA">
        <w:t xml:space="preserve"> 0.</w:t>
      </w:r>
      <w:r w:rsidRPr="009A12FA">
        <w:t>001</w:t>
      </w:r>
      <w:r w:rsidRPr="00C8300B">
        <w:t>. T = Time; FGA = Flexible Goal Adjustment; TGP = Tenacious Goal Pursuit; WEMWBS = Warwick-Edinburgh Mental Well-Being Scale.</w:t>
      </w:r>
    </w:p>
    <w:p w14:paraId="265F8A56" w14:textId="4115D06D" w:rsidR="00630D0F" w:rsidRPr="00C8300B" w:rsidRDefault="00630D0F" w:rsidP="00A96E4B">
      <w:pPr>
        <w:snapToGrid w:val="0"/>
        <w:spacing w:line="480" w:lineRule="auto"/>
        <w:ind w:firstLine="720"/>
        <w:rPr>
          <w:color w:val="auto"/>
          <w:sz w:val="16"/>
          <w:szCs w:val="16"/>
        </w:rPr>
        <w:sectPr w:rsidR="00630D0F" w:rsidRPr="00C8300B" w:rsidSect="00630D0F">
          <w:pgSz w:w="16840" w:h="11909" w:orient="landscape"/>
          <w:pgMar w:top="720" w:right="1417" w:bottom="720" w:left="1077" w:header="1020" w:footer="340" w:gutter="0"/>
          <w:cols w:space="708"/>
          <w:docGrid w:linePitch="360"/>
        </w:sectPr>
      </w:pPr>
    </w:p>
    <w:p w14:paraId="6E5B1CF9" w14:textId="4175FADA" w:rsidR="004863FA" w:rsidRPr="00C8300B" w:rsidRDefault="004863FA" w:rsidP="00F17C71">
      <w:pPr>
        <w:pStyle w:val="MDPI31text"/>
      </w:pPr>
      <w:r w:rsidRPr="00C8300B">
        <w:lastRenderedPageBreak/>
        <w:t>Next, a hierarchical regression investigated whether goal flexibility and tenacity predicted exercise resolution stickability across time. As can be seen in Table 3, goal flexibility did not predict exercise resolution stickability at any time point, nor did goal tenacity, except at Time 2. The interaction between goal tenacity and goal flexibility did not predict increased exercise resolution stickability across time.</w:t>
      </w:r>
    </w:p>
    <w:p w14:paraId="387360C9" w14:textId="77777777" w:rsidR="004863FA" w:rsidRPr="00C8300B" w:rsidRDefault="004863FA" w:rsidP="00A96E4B">
      <w:pPr>
        <w:snapToGrid w:val="0"/>
        <w:rPr>
          <w:b/>
          <w:bCs/>
          <w:color w:val="auto"/>
        </w:rPr>
      </w:pPr>
    </w:p>
    <w:p w14:paraId="7C52331B" w14:textId="7B5ECBF4" w:rsidR="004863FA" w:rsidRPr="00C8300B" w:rsidRDefault="004863FA" w:rsidP="00A96E4B">
      <w:pPr>
        <w:snapToGrid w:val="0"/>
        <w:rPr>
          <w:b/>
          <w:bCs/>
          <w:color w:val="auto"/>
        </w:rPr>
        <w:sectPr w:rsidR="004863FA" w:rsidRPr="00C8300B" w:rsidSect="00C278DE">
          <w:pgSz w:w="11900" w:h="16840"/>
          <w:pgMar w:top="1440" w:right="1440" w:bottom="1440" w:left="1440" w:header="680" w:footer="709" w:gutter="0"/>
          <w:cols w:space="708"/>
          <w:docGrid w:linePitch="360"/>
        </w:sectPr>
      </w:pPr>
    </w:p>
    <w:p w14:paraId="5DBC47A5" w14:textId="02401C88" w:rsidR="00A460C6" w:rsidRPr="00C8300B" w:rsidRDefault="00F17C71" w:rsidP="00F17C71">
      <w:pPr>
        <w:pStyle w:val="MDPI41tablecaption"/>
        <w:rPr>
          <w:b/>
          <w:bCs/>
        </w:rPr>
      </w:pPr>
      <w:r w:rsidRPr="00D17656">
        <w:rPr>
          <w:b/>
          <w:bCs/>
        </w:rPr>
        <w:lastRenderedPageBreak/>
        <w:t>Table 3.</w:t>
      </w:r>
      <w:r w:rsidRPr="00F17C71">
        <w:rPr>
          <w:b/>
          <w:bCs/>
        </w:rPr>
        <w:t xml:space="preserve"> </w:t>
      </w:r>
      <w:r w:rsidR="00A460C6" w:rsidRPr="00C8300B">
        <w:t>Tenacious goal pursuit and flexible goal adjustment as predictors of exercise resolution stickability from Time 2 to Time 4.</w:t>
      </w:r>
    </w:p>
    <w:tbl>
      <w:tblPr>
        <w:tblW w:w="5000" w:type="pct"/>
        <w:jc w:val="center"/>
        <w:shd w:val="clear" w:color="auto" w:fill="FFFFFF" w:themeFill="background1"/>
        <w:tblCellMar>
          <w:left w:w="0" w:type="dxa"/>
          <w:right w:w="0" w:type="dxa"/>
        </w:tblCellMar>
        <w:tblLook w:val="04A0" w:firstRow="1" w:lastRow="0" w:firstColumn="1" w:lastColumn="0" w:noHBand="0" w:noVBand="1"/>
      </w:tblPr>
      <w:tblGrid>
        <w:gridCol w:w="1137"/>
        <w:gridCol w:w="815"/>
        <w:gridCol w:w="868"/>
        <w:gridCol w:w="1047"/>
        <w:gridCol w:w="606"/>
        <w:gridCol w:w="871"/>
        <w:gridCol w:w="704"/>
        <w:gridCol w:w="899"/>
        <w:gridCol w:w="896"/>
        <w:gridCol w:w="838"/>
        <w:gridCol w:w="879"/>
        <w:gridCol w:w="706"/>
        <w:gridCol w:w="1008"/>
        <w:gridCol w:w="899"/>
        <w:gridCol w:w="838"/>
        <w:gridCol w:w="857"/>
        <w:gridCol w:w="92"/>
      </w:tblGrid>
      <w:tr w:rsidR="00C8300B" w:rsidRPr="00086D29" w14:paraId="6C97059B" w14:textId="77777777" w:rsidTr="00DB5DCF">
        <w:trPr>
          <w:cantSplit/>
          <w:jc w:val="center"/>
        </w:trPr>
        <w:tc>
          <w:tcPr>
            <w:tcW w:w="407" w:type="pct"/>
            <w:tcBorders>
              <w:top w:val="single" w:sz="8" w:space="0" w:color="auto"/>
              <w:bottom w:val="single" w:sz="4" w:space="0" w:color="auto"/>
            </w:tcBorders>
            <w:shd w:val="clear" w:color="auto" w:fill="FFFFFF" w:themeFill="background1"/>
            <w:vAlign w:val="center"/>
          </w:tcPr>
          <w:p w14:paraId="2410B8DC" w14:textId="77777777" w:rsidR="00A460C6" w:rsidRPr="00F17C71" w:rsidRDefault="00A460C6" w:rsidP="00F17C71">
            <w:pPr>
              <w:autoSpaceDE w:val="0"/>
              <w:autoSpaceDN w:val="0"/>
              <w:adjustRightInd w:val="0"/>
              <w:snapToGrid w:val="0"/>
              <w:spacing w:line="240" w:lineRule="auto"/>
              <w:jc w:val="center"/>
              <w:rPr>
                <w:b/>
                <w:color w:val="auto"/>
                <w:szCs w:val="18"/>
              </w:rPr>
            </w:pPr>
          </w:p>
        </w:tc>
        <w:tc>
          <w:tcPr>
            <w:tcW w:w="1506" w:type="pct"/>
            <w:gridSpan w:val="5"/>
            <w:tcBorders>
              <w:top w:val="single" w:sz="8" w:space="0" w:color="auto"/>
            </w:tcBorders>
            <w:shd w:val="clear" w:color="auto" w:fill="FFFFFF" w:themeFill="background1"/>
            <w:vAlign w:val="center"/>
          </w:tcPr>
          <w:p w14:paraId="3090A44B" w14:textId="77777777" w:rsidR="00A460C6" w:rsidRPr="00086D29" w:rsidRDefault="00A460C6" w:rsidP="00F17C71">
            <w:pPr>
              <w:autoSpaceDE w:val="0"/>
              <w:autoSpaceDN w:val="0"/>
              <w:adjustRightInd w:val="0"/>
              <w:snapToGrid w:val="0"/>
              <w:spacing w:line="240" w:lineRule="auto"/>
              <w:jc w:val="center"/>
              <w:rPr>
                <w:b/>
                <w:bCs/>
                <w:color w:val="auto"/>
                <w:szCs w:val="18"/>
              </w:rPr>
            </w:pPr>
            <w:r w:rsidRPr="00086D29">
              <w:rPr>
                <w:b/>
                <w:bCs/>
                <w:color w:val="auto"/>
                <w:szCs w:val="18"/>
              </w:rPr>
              <w:t>T2 Stickability (</w:t>
            </w:r>
            <w:r w:rsidRPr="00086D29">
              <w:rPr>
                <w:b/>
                <w:bCs/>
                <w:i/>
                <w:iCs/>
                <w:color w:val="auto"/>
                <w:szCs w:val="18"/>
              </w:rPr>
              <w:t>n</w:t>
            </w:r>
            <w:r w:rsidRPr="00086D29">
              <w:rPr>
                <w:b/>
                <w:bCs/>
                <w:color w:val="auto"/>
                <w:szCs w:val="18"/>
              </w:rPr>
              <w:t xml:space="preserve"> = 176)</w:t>
            </w:r>
          </w:p>
        </w:tc>
        <w:tc>
          <w:tcPr>
            <w:tcW w:w="1510" w:type="pct"/>
            <w:gridSpan w:val="5"/>
            <w:tcBorders>
              <w:top w:val="single" w:sz="8" w:space="0" w:color="auto"/>
            </w:tcBorders>
            <w:shd w:val="clear" w:color="auto" w:fill="FFFFFF" w:themeFill="background1"/>
            <w:vAlign w:val="center"/>
          </w:tcPr>
          <w:p w14:paraId="37FB98F4" w14:textId="77777777" w:rsidR="00A460C6" w:rsidRPr="00086D29" w:rsidRDefault="00A460C6" w:rsidP="00F17C71">
            <w:pPr>
              <w:autoSpaceDE w:val="0"/>
              <w:autoSpaceDN w:val="0"/>
              <w:adjustRightInd w:val="0"/>
              <w:snapToGrid w:val="0"/>
              <w:spacing w:line="240" w:lineRule="auto"/>
              <w:jc w:val="center"/>
              <w:rPr>
                <w:b/>
                <w:bCs/>
                <w:color w:val="auto"/>
                <w:szCs w:val="18"/>
              </w:rPr>
            </w:pPr>
            <w:r w:rsidRPr="00086D29">
              <w:rPr>
                <w:b/>
                <w:bCs/>
                <w:color w:val="auto"/>
                <w:szCs w:val="18"/>
              </w:rPr>
              <w:t>T3 Stickability (</w:t>
            </w:r>
            <w:r w:rsidRPr="00086D29">
              <w:rPr>
                <w:b/>
                <w:bCs/>
                <w:i/>
                <w:iCs/>
                <w:color w:val="auto"/>
                <w:szCs w:val="18"/>
              </w:rPr>
              <w:t>n</w:t>
            </w:r>
            <w:r w:rsidRPr="00086D29">
              <w:rPr>
                <w:b/>
                <w:bCs/>
                <w:color w:val="auto"/>
                <w:szCs w:val="18"/>
              </w:rPr>
              <w:t xml:space="preserve"> = 133)</w:t>
            </w:r>
          </w:p>
        </w:tc>
        <w:tc>
          <w:tcPr>
            <w:tcW w:w="1578" w:type="pct"/>
            <w:gridSpan w:val="6"/>
            <w:tcBorders>
              <w:top w:val="single" w:sz="8" w:space="0" w:color="auto"/>
            </w:tcBorders>
            <w:shd w:val="clear" w:color="auto" w:fill="FFFFFF" w:themeFill="background1"/>
            <w:vAlign w:val="center"/>
          </w:tcPr>
          <w:p w14:paraId="4A279BF6" w14:textId="77777777" w:rsidR="00A460C6" w:rsidRPr="00086D29" w:rsidRDefault="00A460C6" w:rsidP="00F17C71">
            <w:pPr>
              <w:autoSpaceDE w:val="0"/>
              <w:autoSpaceDN w:val="0"/>
              <w:adjustRightInd w:val="0"/>
              <w:snapToGrid w:val="0"/>
              <w:spacing w:line="240" w:lineRule="auto"/>
              <w:jc w:val="center"/>
              <w:rPr>
                <w:b/>
                <w:bCs/>
                <w:color w:val="auto"/>
                <w:szCs w:val="18"/>
              </w:rPr>
            </w:pPr>
            <w:r w:rsidRPr="00086D29">
              <w:rPr>
                <w:b/>
                <w:bCs/>
                <w:color w:val="auto"/>
                <w:szCs w:val="18"/>
              </w:rPr>
              <w:t>T4 Stickability (</w:t>
            </w:r>
            <w:r w:rsidRPr="00086D29">
              <w:rPr>
                <w:b/>
                <w:bCs/>
                <w:i/>
                <w:iCs/>
                <w:color w:val="auto"/>
                <w:szCs w:val="18"/>
              </w:rPr>
              <w:t xml:space="preserve">n </w:t>
            </w:r>
            <w:r w:rsidRPr="00086D29">
              <w:rPr>
                <w:b/>
                <w:bCs/>
                <w:color w:val="auto"/>
                <w:szCs w:val="18"/>
              </w:rPr>
              <w:t>= 112)</w:t>
            </w:r>
          </w:p>
        </w:tc>
      </w:tr>
      <w:tr w:rsidR="00F17C71" w:rsidRPr="00086D29" w14:paraId="1A2F753D" w14:textId="77777777" w:rsidTr="00D17656">
        <w:trPr>
          <w:gridAfter w:val="1"/>
          <w:wAfter w:w="35" w:type="pct"/>
          <w:cantSplit/>
          <w:jc w:val="center"/>
        </w:trPr>
        <w:tc>
          <w:tcPr>
            <w:tcW w:w="407" w:type="pct"/>
            <w:tcBorders>
              <w:top w:val="single" w:sz="4" w:space="0" w:color="auto"/>
              <w:bottom w:val="single" w:sz="4" w:space="0" w:color="auto"/>
            </w:tcBorders>
            <w:shd w:val="clear" w:color="auto" w:fill="FFFFFF" w:themeFill="background1"/>
            <w:vAlign w:val="center"/>
          </w:tcPr>
          <w:p w14:paraId="78BEF1F5" w14:textId="77777777" w:rsidR="00A460C6" w:rsidRPr="00086D29" w:rsidRDefault="00A460C6" w:rsidP="00F17C71">
            <w:pPr>
              <w:autoSpaceDE w:val="0"/>
              <w:autoSpaceDN w:val="0"/>
              <w:adjustRightInd w:val="0"/>
              <w:snapToGrid w:val="0"/>
              <w:spacing w:line="240" w:lineRule="auto"/>
              <w:jc w:val="center"/>
              <w:rPr>
                <w:b/>
                <w:color w:val="auto"/>
                <w:szCs w:val="18"/>
              </w:rPr>
            </w:pPr>
            <w:r w:rsidRPr="00086D29">
              <w:rPr>
                <w:b/>
                <w:bCs/>
                <w:color w:val="auto"/>
                <w:szCs w:val="18"/>
              </w:rPr>
              <w:t>Variable</w:t>
            </w:r>
          </w:p>
        </w:tc>
        <w:tc>
          <w:tcPr>
            <w:tcW w:w="292" w:type="pct"/>
            <w:tcBorders>
              <w:top w:val="single" w:sz="4" w:space="0" w:color="auto"/>
              <w:bottom w:val="single" w:sz="4" w:space="0" w:color="auto"/>
            </w:tcBorders>
            <w:shd w:val="clear" w:color="auto" w:fill="FFFFFF" w:themeFill="background1"/>
            <w:vAlign w:val="center"/>
          </w:tcPr>
          <w:p w14:paraId="50553E83" w14:textId="72FC622D" w:rsidR="00A460C6" w:rsidRPr="00086D29" w:rsidRDefault="002F7825" w:rsidP="00F17C71">
            <w:pPr>
              <w:autoSpaceDE w:val="0"/>
              <w:autoSpaceDN w:val="0"/>
              <w:adjustRightInd w:val="0"/>
              <w:snapToGrid w:val="0"/>
              <w:spacing w:line="240" w:lineRule="auto"/>
              <w:jc w:val="center"/>
              <w:rPr>
                <w:b/>
                <w:i/>
                <w:iCs/>
                <w:color w:val="auto"/>
                <w:szCs w:val="18"/>
              </w:rPr>
            </w:pPr>
            <w:r w:rsidRPr="00086D29">
              <w:rPr>
                <w:b/>
                <w:bCs/>
                <w:i/>
                <w:iCs/>
                <w:color w:val="auto"/>
                <w:szCs w:val="18"/>
              </w:rPr>
              <w:t>β</w:t>
            </w:r>
          </w:p>
        </w:tc>
        <w:tc>
          <w:tcPr>
            <w:tcW w:w="311" w:type="pct"/>
            <w:tcBorders>
              <w:top w:val="single" w:sz="4" w:space="0" w:color="auto"/>
              <w:bottom w:val="single" w:sz="4" w:space="0" w:color="auto"/>
            </w:tcBorders>
            <w:shd w:val="clear" w:color="auto" w:fill="FFFFFF" w:themeFill="background1"/>
            <w:vAlign w:val="center"/>
          </w:tcPr>
          <w:p w14:paraId="714C00D4" w14:textId="77777777" w:rsidR="00A460C6" w:rsidRPr="00086D29" w:rsidRDefault="00A460C6" w:rsidP="00F17C71">
            <w:pPr>
              <w:autoSpaceDE w:val="0"/>
              <w:autoSpaceDN w:val="0"/>
              <w:adjustRightInd w:val="0"/>
              <w:snapToGrid w:val="0"/>
              <w:spacing w:line="240" w:lineRule="auto"/>
              <w:jc w:val="center"/>
              <w:rPr>
                <w:b/>
                <w:color w:val="auto"/>
                <w:szCs w:val="18"/>
              </w:rPr>
            </w:pPr>
            <w:r w:rsidRPr="00086D29">
              <w:rPr>
                <w:b/>
                <w:bCs/>
                <w:i/>
                <w:iCs/>
                <w:color w:val="auto"/>
                <w:szCs w:val="18"/>
              </w:rPr>
              <w:t>b(SE)</w:t>
            </w:r>
          </w:p>
        </w:tc>
        <w:tc>
          <w:tcPr>
            <w:tcW w:w="375" w:type="pct"/>
            <w:tcBorders>
              <w:top w:val="single" w:sz="4" w:space="0" w:color="auto"/>
              <w:bottom w:val="single" w:sz="4" w:space="0" w:color="auto"/>
            </w:tcBorders>
            <w:shd w:val="clear" w:color="auto" w:fill="FFFFFF" w:themeFill="background1"/>
            <w:vAlign w:val="center"/>
          </w:tcPr>
          <w:p w14:paraId="0BC8ABAC" w14:textId="77777777" w:rsidR="00A460C6" w:rsidRPr="00086D29" w:rsidRDefault="00A460C6" w:rsidP="00F17C71">
            <w:pPr>
              <w:autoSpaceDE w:val="0"/>
              <w:autoSpaceDN w:val="0"/>
              <w:adjustRightInd w:val="0"/>
              <w:snapToGrid w:val="0"/>
              <w:spacing w:line="240" w:lineRule="auto"/>
              <w:jc w:val="center"/>
              <w:rPr>
                <w:b/>
                <w:color w:val="auto"/>
                <w:szCs w:val="18"/>
              </w:rPr>
            </w:pPr>
            <w:r w:rsidRPr="00086D29">
              <w:rPr>
                <w:b/>
                <w:bCs/>
                <w:color w:val="auto"/>
                <w:szCs w:val="18"/>
              </w:rPr>
              <w:t>95% CIs</w:t>
            </w:r>
          </w:p>
        </w:tc>
        <w:tc>
          <w:tcPr>
            <w:tcW w:w="217" w:type="pct"/>
            <w:tcBorders>
              <w:top w:val="single" w:sz="4" w:space="0" w:color="auto"/>
              <w:bottom w:val="single" w:sz="4" w:space="0" w:color="auto"/>
            </w:tcBorders>
            <w:shd w:val="clear" w:color="auto" w:fill="FFFFFF" w:themeFill="background1"/>
            <w:vAlign w:val="center"/>
          </w:tcPr>
          <w:p w14:paraId="2C6E9344" w14:textId="77777777" w:rsidR="00A460C6" w:rsidRPr="00086D29" w:rsidRDefault="00A460C6" w:rsidP="00F17C71">
            <w:pPr>
              <w:autoSpaceDE w:val="0"/>
              <w:autoSpaceDN w:val="0"/>
              <w:adjustRightInd w:val="0"/>
              <w:snapToGrid w:val="0"/>
              <w:spacing w:line="240" w:lineRule="auto"/>
              <w:jc w:val="center"/>
              <w:rPr>
                <w:b/>
                <w:color w:val="auto"/>
                <w:szCs w:val="18"/>
              </w:rPr>
            </w:pPr>
            <w:r w:rsidRPr="00086D29">
              <w:rPr>
                <w:b/>
                <w:bCs/>
                <w:i/>
                <w:iCs/>
                <w:color w:val="auto"/>
                <w:szCs w:val="18"/>
              </w:rPr>
              <w:t>t</w:t>
            </w:r>
          </w:p>
        </w:tc>
        <w:tc>
          <w:tcPr>
            <w:tcW w:w="312" w:type="pct"/>
            <w:tcBorders>
              <w:top w:val="single" w:sz="4" w:space="0" w:color="auto"/>
              <w:bottom w:val="single" w:sz="4" w:space="0" w:color="auto"/>
            </w:tcBorders>
            <w:shd w:val="clear" w:color="auto" w:fill="FFFFFF" w:themeFill="background1"/>
            <w:vAlign w:val="center"/>
          </w:tcPr>
          <w:p w14:paraId="291470DF" w14:textId="77777777" w:rsidR="00A460C6" w:rsidRPr="00086D29" w:rsidRDefault="00A460C6" w:rsidP="00F17C71">
            <w:pPr>
              <w:autoSpaceDE w:val="0"/>
              <w:autoSpaceDN w:val="0"/>
              <w:adjustRightInd w:val="0"/>
              <w:snapToGrid w:val="0"/>
              <w:spacing w:line="240" w:lineRule="auto"/>
              <w:jc w:val="center"/>
              <w:rPr>
                <w:b/>
                <w:color w:val="auto"/>
                <w:szCs w:val="18"/>
              </w:rPr>
            </w:pPr>
            <w:r w:rsidRPr="00086D29">
              <w:rPr>
                <w:b/>
                <w:bCs/>
                <w:i/>
                <w:iCs/>
                <w:color w:val="auto"/>
                <w:szCs w:val="18"/>
              </w:rPr>
              <w:t>p</w:t>
            </w:r>
          </w:p>
        </w:tc>
        <w:tc>
          <w:tcPr>
            <w:tcW w:w="252" w:type="pct"/>
            <w:tcBorders>
              <w:top w:val="single" w:sz="4" w:space="0" w:color="auto"/>
              <w:bottom w:val="single" w:sz="4" w:space="0" w:color="auto"/>
            </w:tcBorders>
            <w:shd w:val="clear" w:color="auto" w:fill="FFFFFF" w:themeFill="background1"/>
            <w:vAlign w:val="center"/>
          </w:tcPr>
          <w:p w14:paraId="103AD456" w14:textId="6FAC518B" w:rsidR="00A460C6" w:rsidRPr="00086D29" w:rsidRDefault="00574BF3" w:rsidP="00F17C71">
            <w:pPr>
              <w:autoSpaceDE w:val="0"/>
              <w:autoSpaceDN w:val="0"/>
              <w:adjustRightInd w:val="0"/>
              <w:snapToGrid w:val="0"/>
              <w:spacing w:line="240" w:lineRule="auto"/>
              <w:jc w:val="center"/>
              <w:rPr>
                <w:b/>
                <w:i/>
                <w:iCs/>
                <w:color w:val="auto"/>
                <w:szCs w:val="18"/>
              </w:rPr>
            </w:pPr>
            <w:r w:rsidRPr="00086D29">
              <w:rPr>
                <w:b/>
                <w:bCs/>
                <w:i/>
                <w:iCs/>
                <w:color w:val="auto"/>
                <w:szCs w:val="18"/>
              </w:rPr>
              <w:t>β</w:t>
            </w:r>
          </w:p>
        </w:tc>
        <w:tc>
          <w:tcPr>
            <w:tcW w:w="322" w:type="pct"/>
            <w:tcBorders>
              <w:top w:val="single" w:sz="4" w:space="0" w:color="auto"/>
              <w:bottom w:val="single" w:sz="4" w:space="0" w:color="auto"/>
            </w:tcBorders>
            <w:shd w:val="clear" w:color="auto" w:fill="FFFFFF" w:themeFill="background1"/>
            <w:vAlign w:val="center"/>
          </w:tcPr>
          <w:p w14:paraId="3BF098FF" w14:textId="77777777" w:rsidR="00A460C6" w:rsidRPr="00086D29" w:rsidRDefault="00A460C6" w:rsidP="00F17C71">
            <w:pPr>
              <w:autoSpaceDE w:val="0"/>
              <w:autoSpaceDN w:val="0"/>
              <w:adjustRightInd w:val="0"/>
              <w:snapToGrid w:val="0"/>
              <w:spacing w:line="240" w:lineRule="auto"/>
              <w:jc w:val="center"/>
              <w:rPr>
                <w:b/>
                <w:bCs/>
                <w:i/>
                <w:iCs/>
                <w:color w:val="auto"/>
                <w:szCs w:val="18"/>
              </w:rPr>
            </w:pPr>
            <w:r w:rsidRPr="00086D29">
              <w:rPr>
                <w:b/>
                <w:bCs/>
                <w:i/>
                <w:iCs/>
                <w:color w:val="auto"/>
                <w:szCs w:val="18"/>
              </w:rPr>
              <w:t>b(SE)</w:t>
            </w:r>
          </w:p>
        </w:tc>
        <w:tc>
          <w:tcPr>
            <w:tcW w:w="321" w:type="pct"/>
            <w:tcBorders>
              <w:top w:val="single" w:sz="4" w:space="0" w:color="auto"/>
              <w:bottom w:val="single" w:sz="4" w:space="0" w:color="auto"/>
            </w:tcBorders>
            <w:shd w:val="clear" w:color="auto" w:fill="FFFFFF" w:themeFill="background1"/>
            <w:vAlign w:val="center"/>
          </w:tcPr>
          <w:p w14:paraId="182A397E" w14:textId="77777777" w:rsidR="00A460C6" w:rsidRPr="00086D29" w:rsidRDefault="00A460C6" w:rsidP="00F17C71">
            <w:pPr>
              <w:autoSpaceDE w:val="0"/>
              <w:autoSpaceDN w:val="0"/>
              <w:adjustRightInd w:val="0"/>
              <w:snapToGrid w:val="0"/>
              <w:spacing w:line="240" w:lineRule="auto"/>
              <w:jc w:val="center"/>
              <w:rPr>
                <w:b/>
                <w:bCs/>
                <w:i/>
                <w:iCs/>
                <w:color w:val="auto"/>
                <w:szCs w:val="18"/>
              </w:rPr>
            </w:pPr>
            <w:r w:rsidRPr="00086D29">
              <w:rPr>
                <w:b/>
                <w:bCs/>
                <w:color w:val="auto"/>
                <w:szCs w:val="18"/>
              </w:rPr>
              <w:t>95% CIs</w:t>
            </w:r>
          </w:p>
        </w:tc>
        <w:tc>
          <w:tcPr>
            <w:tcW w:w="300" w:type="pct"/>
            <w:tcBorders>
              <w:top w:val="single" w:sz="4" w:space="0" w:color="auto"/>
              <w:bottom w:val="single" w:sz="4" w:space="0" w:color="auto"/>
            </w:tcBorders>
            <w:shd w:val="clear" w:color="auto" w:fill="FFFFFF" w:themeFill="background1"/>
            <w:vAlign w:val="center"/>
          </w:tcPr>
          <w:p w14:paraId="26EC5BDC" w14:textId="77777777" w:rsidR="00A460C6" w:rsidRPr="00086D29" w:rsidRDefault="00A460C6" w:rsidP="00F17C71">
            <w:pPr>
              <w:autoSpaceDE w:val="0"/>
              <w:autoSpaceDN w:val="0"/>
              <w:adjustRightInd w:val="0"/>
              <w:snapToGrid w:val="0"/>
              <w:spacing w:line="240" w:lineRule="auto"/>
              <w:jc w:val="center"/>
              <w:rPr>
                <w:b/>
                <w:bCs/>
                <w:i/>
                <w:iCs/>
                <w:color w:val="auto"/>
                <w:szCs w:val="18"/>
              </w:rPr>
            </w:pPr>
            <w:r w:rsidRPr="00086D29">
              <w:rPr>
                <w:b/>
                <w:bCs/>
                <w:i/>
                <w:iCs/>
                <w:color w:val="auto"/>
                <w:szCs w:val="18"/>
              </w:rPr>
              <w:t>t</w:t>
            </w:r>
          </w:p>
        </w:tc>
        <w:tc>
          <w:tcPr>
            <w:tcW w:w="315" w:type="pct"/>
            <w:tcBorders>
              <w:top w:val="single" w:sz="4" w:space="0" w:color="auto"/>
              <w:bottom w:val="single" w:sz="4" w:space="0" w:color="auto"/>
            </w:tcBorders>
            <w:shd w:val="clear" w:color="auto" w:fill="FFFFFF" w:themeFill="background1"/>
            <w:vAlign w:val="center"/>
          </w:tcPr>
          <w:p w14:paraId="548CCC88" w14:textId="77777777" w:rsidR="00A460C6" w:rsidRPr="00086D29" w:rsidRDefault="00A460C6" w:rsidP="00F17C71">
            <w:pPr>
              <w:autoSpaceDE w:val="0"/>
              <w:autoSpaceDN w:val="0"/>
              <w:adjustRightInd w:val="0"/>
              <w:snapToGrid w:val="0"/>
              <w:spacing w:line="240" w:lineRule="auto"/>
              <w:jc w:val="center"/>
              <w:rPr>
                <w:b/>
                <w:bCs/>
                <w:i/>
                <w:iCs/>
                <w:color w:val="auto"/>
                <w:szCs w:val="18"/>
              </w:rPr>
            </w:pPr>
            <w:r w:rsidRPr="00086D29">
              <w:rPr>
                <w:b/>
                <w:bCs/>
                <w:i/>
                <w:iCs/>
                <w:color w:val="auto"/>
                <w:szCs w:val="18"/>
              </w:rPr>
              <w:t>p</w:t>
            </w:r>
          </w:p>
        </w:tc>
        <w:tc>
          <w:tcPr>
            <w:tcW w:w="253" w:type="pct"/>
            <w:tcBorders>
              <w:top w:val="single" w:sz="4" w:space="0" w:color="auto"/>
              <w:bottom w:val="single" w:sz="4" w:space="0" w:color="auto"/>
            </w:tcBorders>
            <w:shd w:val="clear" w:color="auto" w:fill="FFFFFF" w:themeFill="background1"/>
            <w:vAlign w:val="center"/>
          </w:tcPr>
          <w:p w14:paraId="388F4D6E" w14:textId="514FDE5B" w:rsidR="00A460C6" w:rsidRPr="00086D29" w:rsidRDefault="00574BF3" w:rsidP="00F17C71">
            <w:pPr>
              <w:autoSpaceDE w:val="0"/>
              <w:autoSpaceDN w:val="0"/>
              <w:adjustRightInd w:val="0"/>
              <w:snapToGrid w:val="0"/>
              <w:spacing w:line="240" w:lineRule="auto"/>
              <w:jc w:val="center"/>
              <w:rPr>
                <w:b/>
                <w:bCs/>
                <w:i/>
                <w:iCs/>
                <w:color w:val="auto"/>
                <w:szCs w:val="18"/>
              </w:rPr>
            </w:pPr>
            <w:r w:rsidRPr="00086D29">
              <w:rPr>
                <w:b/>
                <w:bCs/>
                <w:i/>
                <w:iCs/>
                <w:color w:val="auto"/>
                <w:szCs w:val="18"/>
              </w:rPr>
              <w:t>β</w:t>
            </w:r>
          </w:p>
        </w:tc>
        <w:tc>
          <w:tcPr>
            <w:tcW w:w="361" w:type="pct"/>
            <w:tcBorders>
              <w:top w:val="single" w:sz="4" w:space="0" w:color="auto"/>
              <w:bottom w:val="single" w:sz="4" w:space="0" w:color="auto"/>
            </w:tcBorders>
            <w:shd w:val="clear" w:color="auto" w:fill="FFFFFF" w:themeFill="background1"/>
            <w:vAlign w:val="center"/>
          </w:tcPr>
          <w:p w14:paraId="6C9A4E7F" w14:textId="77777777" w:rsidR="00A460C6" w:rsidRPr="00086D29" w:rsidRDefault="00A460C6" w:rsidP="00F17C71">
            <w:pPr>
              <w:autoSpaceDE w:val="0"/>
              <w:autoSpaceDN w:val="0"/>
              <w:adjustRightInd w:val="0"/>
              <w:snapToGrid w:val="0"/>
              <w:spacing w:line="240" w:lineRule="auto"/>
              <w:jc w:val="center"/>
              <w:rPr>
                <w:b/>
                <w:bCs/>
                <w:i/>
                <w:iCs/>
                <w:color w:val="auto"/>
                <w:szCs w:val="18"/>
              </w:rPr>
            </w:pPr>
            <w:r w:rsidRPr="00086D29">
              <w:rPr>
                <w:b/>
                <w:bCs/>
                <w:i/>
                <w:iCs/>
                <w:color w:val="auto"/>
                <w:szCs w:val="18"/>
              </w:rPr>
              <w:t>b(SE)</w:t>
            </w:r>
          </w:p>
        </w:tc>
        <w:tc>
          <w:tcPr>
            <w:tcW w:w="322" w:type="pct"/>
            <w:tcBorders>
              <w:top w:val="single" w:sz="4" w:space="0" w:color="auto"/>
              <w:bottom w:val="single" w:sz="4" w:space="0" w:color="auto"/>
            </w:tcBorders>
            <w:shd w:val="clear" w:color="auto" w:fill="FFFFFF" w:themeFill="background1"/>
            <w:vAlign w:val="center"/>
          </w:tcPr>
          <w:p w14:paraId="76C260A9" w14:textId="77777777" w:rsidR="00A460C6" w:rsidRPr="00086D29" w:rsidRDefault="00A460C6" w:rsidP="00F17C71">
            <w:pPr>
              <w:autoSpaceDE w:val="0"/>
              <w:autoSpaceDN w:val="0"/>
              <w:adjustRightInd w:val="0"/>
              <w:snapToGrid w:val="0"/>
              <w:spacing w:line="240" w:lineRule="auto"/>
              <w:jc w:val="center"/>
              <w:rPr>
                <w:b/>
                <w:bCs/>
                <w:i/>
                <w:iCs/>
                <w:color w:val="auto"/>
                <w:szCs w:val="18"/>
              </w:rPr>
            </w:pPr>
            <w:r w:rsidRPr="00086D29">
              <w:rPr>
                <w:b/>
                <w:bCs/>
                <w:color w:val="auto"/>
                <w:szCs w:val="18"/>
              </w:rPr>
              <w:t>95% CIs</w:t>
            </w:r>
          </w:p>
        </w:tc>
        <w:tc>
          <w:tcPr>
            <w:tcW w:w="300" w:type="pct"/>
            <w:tcBorders>
              <w:top w:val="single" w:sz="4" w:space="0" w:color="auto"/>
              <w:bottom w:val="single" w:sz="4" w:space="0" w:color="auto"/>
            </w:tcBorders>
            <w:shd w:val="clear" w:color="auto" w:fill="FFFFFF" w:themeFill="background1"/>
            <w:vAlign w:val="center"/>
          </w:tcPr>
          <w:p w14:paraId="1A031D6C" w14:textId="77777777" w:rsidR="00A460C6" w:rsidRPr="00086D29" w:rsidRDefault="00A460C6" w:rsidP="00F17C71">
            <w:pPr>
              <w:autoSpaceDE w:val="0"/>
              <w:autoSpaceDN w:val="0"/>
              <w:adjustRightInd w:val="0"/>
              <w:snapToGrid w:val="0"/>
              <w:spacing w:line="240" w:lineRule="auto"/>
              <w:jc w:val="center"/>
              <w:rPr>
                <w:b/>
                <w:bCs/>
                <w:i/>
                <w:iCs/>
                <w:color w:val="auto"/>
                <w:szCs w:val="18"/>
              </w:rPr>
            </w:pPr>
            <w:r w:rsidRPr="00086D29">
              <w:rPr>
                <w:b/>
                <w:bCs/>
                <w:i/>
                <w:iCs/>
                <w:color w:val="auto"/>
                <w:szCs w:val="18"/>
              </w:rPr>
              <w:t>t</w:t>
            </w:r>
          </w:p>
        </w:tc>
        <w:tc>
          <w:tcPr>
            <w:tcW w:w="307" w:type="pct"/>
            <w:tcBorders>
              <w:top w:val="single" w:sz="4" w:space="0" w:color="auto"/>
              <w:bottom w:val="single" w:sz="4" w:space="0" w:color="auto"/>
            </w:tcBorders>
            <w:shd w:val="clear" w:color="auto" w:fill="FFFFFF" w:themeFill="background1"/>
            <w:vAlign w:val="center"/>
          </w:tcPr>
          <w:p w14:paraId="048C6C9D" w14:textId="77777777" w:rsidR="00A460C6" w:rsidRPr="00086D29" w:rsidRDefault="00A460C6" w:rsidP="00F17C71">
            <w:pPr>
              <w:autoSpaceDE w:val="0"/>
              <w:autoSpaceDN w:val="0"/>
              <w:adjustRightInd w:val="0"/>
              <w:snapToGrid w:val="0"/>
              <w:spacing w:line="240" w:lineRule="auto"/>
              <w:jc w:val="center"/>
              <w:rPr>
                <w:b/>
                <w:bCs/>
                <w:i/>
                <w:iCs/>
                <w:color w:val="auto"/>
                <w:szCs w:val="18"/>
              </w:rPr>
            </w:pPr>
            <w:r w:rsidRPr="00086D29">
              <w:rPr>
                <w:b/>
                <w:bCs/>
                <w:i/>
                <w:iCs/>
                <w:color w:val="auto"/>
                <w:szCs w:val="18"/>
              </w:rPr>
              <w:t>p</w:t>
            </w:r>
          </w:p>
        </w:tc>
      </w:tr>
      <w:tr w:rsidR="00C8300B" w:rsidRPr="00086D29" w14:paraId="77946EDF" w14:textId="77777777" w:rsidTr="00DB5DCF">
        <w:trPr>
          <w:cantSplit/>
          <w:jc w:val="center"/>
        </w:trPr>
        <w:tc>
          <w:tcPr>
            <w:tcW w:w="407" w:type="pct"/>
            <w:shd w:val="clear" w:color="auto" w:fill="FFFFFF" w:themeFill="background1"/>
            <w:vAlign w:val="center"/>
          </w:tcPr>
          <w:p w14:paraId="29B17376" w14:textId="77777777" w:rsidR="00A460C6" w:rsidRPr="00086D29" w:rsidRDefault="00A460C6" w:rsidP="00F17C71">
            <w:pPr>
              <w:autoSpaceDE w:val="0"/>
              <w:autoSpaceDN w:val="0"/>
              <w:adjustRightInd w:val="0"/>
              <w:snapToGrid w:val="0"/>
              <w:spacing w:line="240" w:lineRule="auto"/>
              <w:jc w:val="center"/>
              <w:rPr>
                <w:color w:val="auto"/>
                <w:szCs w:val="18"/>
              </w:rPr>
            </w:pPr>
            <w:r w:rsidRPr="00086D29">
              <w:rPr>
                <w:color w:val="auto"/>
                <w:szCs w:val="18"/>
              </w:rPr>
              <w:t>Step 1</w:t>
            </w:r>
          </w:p>
        </w:tc>
        <w:tc>
          <w:tcPr>
            <w:tcW w:w="1506" w:type="pct"/>
            <w:gridSpan w:val="5"/>
            <w:shd w:val="clear" w:color="auto" w:fill="FFFFFF" w:themeFill="background1"/>
            <w:vAlign w:val="center"/>
          </w:tcPr>
          <w:p w14:paraId="17A74897" w14:textId="15C70280" w:rsidR="00A460C6" w:rsidRPr="00086D29" w:rsidRDefault="00A460C6" w:rsidP="00F17C71">
            <w:pPr>
              <w:autoSpaceDE w:val="0"/>
              <w:autoSpaceDN w:val="0"/>
              <w:adjustRightInd w:val="0"/>
              <w:snapToGrid w:val="0"/>
              <w:spacing w:line="240" w:lineRule="auto"/>
              <w:jc w:val="center"/>
              <w:rPr>
                <w:color w:val="auto"/>
                <w:szCs w:val="18"/>
              </w:rPr>
            </w:pPr>
            <w:r w:rsidRPr="00086D29">
              <w:rPr>
                <w:i/>
                <w:iCs/>
                <w:color w:val="auto"/>
                <w:szCs w:val="18"/>
              </w:rPr>
              <w:sym w:font="Symbol" w:char="F044"/>
            </w:r>
            <w:r w:rsidRPr="00086D29">
              <w:rPr>
                <w:i/>
                <w:iCs/>
                <w:color w:val="auto"/>
                <w:szCs w:val="18"/>
              </w:rPr>
              <w:t>R</w:t>
            </w:r>
            <w:r w:rsidRPr="00086D29">
              <w:rPr>
                <w:i/>
                <w:iCs/>
                <w:color w:val="auto"/>
                <w:szCs w:val="18"/>
                <w:vertAlign w:val="superscript"/>
              </w:rPr>
              <w:t>2</w:t>
            </w:r>
            <w:r w:rsidRPr="00086D29">
              <w:rPr>
                <w:color w:val="auto"/>
                <w:szCs w:val="18"/>
              </w:rPr>
              <w:t xml:space="preserve"> =</w:t>
            </w:r>
            <w:r w:rsidR="008B3F57" w:rsidRPr="00086D29">
              <w:rPr>
                <w:color w:val="auto"/>
                <w:szCs w:val="18"/>
              </w:rPr>
              <w:t xml:space="preserve"> 0.</w:t>
            </w:r>
            <w:r w:rsidRPr="00086D29">
              <w:rPr>
                <w:color w:val="auto"/>
                <w:szCs w:val="18"/>
              </w:rPr>
              <w:t xml:space="preserve">07, </w:t>
            </w:r>
            <w:r w:rsidRPr="00086D29">
              <w:rPr>
                <w:i/>
                <w:iCs/>
                <w:color w:val="auto"/>
                <w:szCs w:val="18"/>
              </w:rPr>
              <w:sym w:font="Symbol" w:char="F044"/>
            </w:r>
            <w:r w:rsidRPr="00086D29">
              <w:rPr>
                <w:i/>
                <w:iCs/>
                <w:color w:val="auto"/>
                <w:szCs w:val="18"/>
              </w:rPr>
              <w:t>F</w:t>
            </w:r>
            <w:r w:rsidRPr="00086D29">
              <w:rPr>
                <w:color w:val="auto"/>
                <w:szCs w:val="18"/>
              </w:rPr>
              <w:t xml:space="preserve"> = 6.72, </w:t>
            </w:r>
            <w:r w:rsidRPr="00086D29">
              <w:rPr>
                <w:i/>
                <w:iCs/>
                <w:color w:val="auto"/>
                <w:szCs w:val="18"/>
              </w:rPr>
              <w:t>p</w:t>
            </w:r>
            <w:r w:rsidRPr="00086D29">
              <w:rPr>
                <w:color w:val="auto"/>
                <w:szCs w:val="18"/>
              </w:rPr>
              <w:t xml:space="preserve"> =</w:t>
            </w:r>
            <w:r w:rsidR="008B3F57" w:rsidRPr="00086D29">
              <w:rPr>
                <w:color w:val="auto"/>
                <w:szCs w:val="18"/>
              </w:rPr>
              <w:t xml:space="preserve"> 0.</w:t>
            </w:r>
            <w:r w:rsidRPr="00086D29">
              <w:rPr>
                <w:color w:val="auto"/>
                <w:szCs w:val="18"/>
              </w:rPr>
              <w:t>002</w:t>
            </w:r>
          </w:p>
        </w:tc>
        <w:tc>
          <w:tcPr>
            <w:tcW w:w="1510" w:type="pct"/>
            <w:gridSpan w:val="5"/>
            <w:shd w:val="clear" w:color="auto" w:fill="FFFFFF" w:themeFill="background1"/>
            <w:vAlign w:val="center"/>
          </w:tcPr>
          <w:p w14:paraId="079890B7" w14:textId="38DE49D7" w:rsidR="00A460C6" w:rsidRPr="00086D29" w:rsidRDefault="00A460C6" w:rsidP="00F17C71">
            <w:pPr>
              <w:autoSpaceDE w:val="0"/>
              <w:autoSpaceDN w:val="0"/>
              <w:adjustRightInd w:val="0"/>
              <w:snapToGrid w:val="0"/>
              <w:spacing w:line="240" w:lineRule="auto"/>
              <w:jc w:val="center"/>
              <w:rPr>
                <w:i/>
                <w:iCs/>
                <w:color w:val="auto"/>
                <w:szCs w:val="18"/>
              </w:rPr>
            </w:pPr>
            <w:r w:rsidRPr="00086D29">
              <w:rPr>
                <w:i/>
                <w:iCs/>
                <w:color w:val="auto"/>
                <w:szCs w:val="18"/>
              </w:rPr>
              <w:sym w:font="Symbol" w:char="F044"/>
            </w:r>
            <w:r w:rsidRPr="00086D29">
              <w:rPr>
                <w:i/>
                <w:iCs/>
                <w:color w:val="auto"/>
                <w:szCs w:val="18"/>
              </w:rPr>
              <w:t>R</w:t>
            </w:r>
            <w:r w:rsidRPr="00086D29">
              <w:rPr>
                <w:i/>
                <w:iCs/>
                <w:color w:val="auto"/>
                <w:szCs w:val="18"/>
                <w:vertAlign w:val="superscript"/>
              </w:rPr>
              <w:t>2</w:t>
            </w:r>
            <w:r w:rsidRPr="00086D29">
              <w:rPr>
                <w:color w:val="auto"/>
                <w:szCs w:val="18"/>
              </w:rPr>
              <w:t xml:space="preserve"> =</w:t>
            </w:r>
            <w:r w:rsidR="008B3F57" w:rsidRPr="00086D29">
              <w:rPr>
                <w:color w:val="auto"/>
                <w:szCs w:val="18"/>
              </w:rPr>
              <w:t xml:space="preserve"> 0.</w:t>
            </w:r>
            <w:r w:rsidRPr="00086D29">
              <w:rPr>
                <w:color w:val="auto"/>
                <w:szCs w:val="18"/>
              </w:rPr>
              <w:t xml:space="preserve">11, </w:t>
            </w:r>
            <w:r w:rsidRPr="00086D29">
              <w:rPr>
                <w:i/>
                <w:iCs/>
                <w:color w:val="auto"/>
                <w:szCs w:val="18"/>
              </w:rPr>
              <w:sym w:font="Symbol" w:char="F044"/>
            </w:r>
            <w:r w:rsidRPr="00086D29">
              <w:rPr>
                <w:i/>
                <w:iCs/>
                <w:color w:val="auto"/>
                <w:szCs w:val="18"/>
              </w:rPr>
              <w:t>F</w:t>
            </w:r>
            <w:r w:rsidRPr="00086D29">
              <w:rPr>
                <w:color w:val="auto"/>
                <w:szCs w:val="18"/>
              </w:rPr>
              <w:t xml:space="preserve"> = 8.22, </w:t>
            </w:r>
            <w:r w:rsidRPr="00086D29">
              <w:rPr>
                <w:i/>
                <w:iCs/>
                <w:color w:val="auto"/>
                <w:szCs w:val="18"/>
              </w:rPr>
              <w:t>p</w:t>
            </w:r>
            <w:r w:rsidRPr="00086D29">
              <w:rPr>
                <w:color w:val="auto"/>
                <w:szCs w:val="18"/>
              </w:rPr>
              <w:t xml:space="preserve"> &lt;.001</w:t>
            </w:r>
          </w:p>
        </w:tc>
        <w:tc>
          <w:tcPr>
            <w:tcW w:w="1578" w:type="pct"/>
            <w:gridSpan w:val="6"/>
            <w:shd w:val="clear" w:color="auto" w:fill="FFFFFF" w:themeFill="background1"/>
            <w:vAlign w:val="center"/>
          </w:tcPr>
          <w:p w14:paraId="02F47761" w14:textId="26D1356D" w:rsidR="00A460C6" w:rsidRPr="00086D29" w:rsidRDefault="00A460C6" w:rsidP="00F17C71">
            <w:pPr>
              <w:autoSpaceDE w:val="0"/>
              <w:autoSpaceDN w:val="0"/>
              <w:adjustRightInd w:val="0"/>
              <w:snapToGrid w:val="0"/>
              <w:spacing w:line="240" w:lineRule="auto"/>
              <w:jc w:val="center"/>
              <w:rPr>
                <w:i/>
                <w:iCs/>
                <w:color w:val="auto"/>
                <w:szCs w:val="18"/>
              </w:rPr>
            </w:pPr>
            <w:r w:rsidRPr="00086D29">
              <w:rPr>
                <w:i/>
                <w:iCs/>
                <w:color w:val="auto"/>
                <w:szCs w:val="18"/>
              </w:rPr>
              <w:sym w:font="Symbol" w:char="F044"/>
            </w:r>
            <w:r w:rsidRPr="00086D29">
              <w:rPr>
                <w:i/>
                <w:iCs/>
                <w:color w:val="auto"/>
                <w:szCs w:val="18"/>
              </w:rPr>
              <w:t>R</w:t>
            </w:r>
            <w:r w:rsidRPr="00086D29">
              <w:rPr>
                <w:i/>
                <w:iCs/>
                <w:color w:val="auto"/>
                <w:szCs w:val="18"/>
                <w:vertAlign w:val="superscript"/>
              </w:rPr>
              <w:t>2</w:t>
            </w:r>
            <w:r w:rsidRPr="00086D29">
              <w:rPr>
                <w:color w:val="auto"/>
                <w:szCs w:val="18"/>
              </w:rPr>
              <w:t xml:space="preserve"> =</w:t>
            </w:r>
            <w:r w:rsidR="008B3F57" w:rsidRPr="00086D29">
              <w:rPr>
                <w:color w:val="auto"/>
                <w:szCs w:val="18"/>
              </w:rPr>
              <w:t xml:space="preserve"> 0.</w:t>
            </w:r>
            <w:r w:rsidRPr="00086D29">
              <w:rPr>
                <w:color w:val="auto"/>
                <w:szCs w:val="18"/>
              </w:rPr>
              <w:t xml:space="preserve">07, </w:t>
            </w:r>
            <w:r w:rsidRPr="00086D29">
              <w:rPr>
                <w:i/>
                <w:iCs/>
                <w:color w:val="auto"/>
                <w:szCs w:val="18"/>
              </w:rPr>
              <w:sym w:font="Symbol" w:char="F044"/>
            </w:r>
            <w:r w:rsidRPr="00086D29">
              <w:rPr>
                <w:i/>
                <w:iCs/>
                <w:color w:val="auto"/>
                <w:szCs w:val="18"/>
              </w:rPr>
              <w:t>F</w:t>
            </w:r>
            <w:r w:rsidRPr="00086D29">
              <w:rPr>
                <w:color w:val="auto"/>
                <w:szCs w:val="18"/>
              </w:rPr>
              <w:t xml:space="preserve"> = 4.00, </w:t>
            </w:r>
            <w:r w:rsidRPr="00086D29">
              <w:rPr>
                <w:i/>
                <w:iCs/>
                <w:color w:val="auto"/>
                <w:szCs w:val="18"/>
              </w:rPr>
              <w:t>p</w:t>
            </w:r>
            <w:r w:rsidRPr="00086D29">
              <w:rPr>
                <w:color w:val="auto"/>
                <w:szCs w:val="18"/>
              </w:rPr>
              <w:t xml:space="preserve"> =</w:t>
            </w:r>
            <w:r w:rsidR="008B3F57" w:rsidRPr="00086D29">
              <w:rPr>
                <w:color w:val="auto"/>
                <w:szCs w:val="18"/>
              </w:rPr>
              <w:t xml:space="preserve"> 0.</w:t>
            </w:r>
            <w:r w:rsidRPr="00086D29">
              <w:rPr>
                <w:color w:val="auto"/>
                <w:szCs w:val="18"/>
              </w:rPr>
              <w:t>21</w:t>
            </w:r>
          </w:p>
        </w:tc>
      </w:tr>
      <w:tr w:rsidR="00F17C71" w:rsidRPr="00086D29" w14:paraId="3AE97435" w14:textId="77777777" w:rsidTr="00DB5DCF">
        <w:trPr>
          <w:gridAfter w:val="1"/>
          <w:wAfter w:w="35" w:type="pct"/>
          <w:cantSplit/>
          <w:jc w:val="center"/>
        </w:trPr>
        <w:tc>
          <w:tcPr>
            <w:tcW w:w="407" w:type="pct"/>
            <w:shd w:val="clear" w:color="auto" w:fill="FFFFFF" w:themeFill="background1"/>
            <w:vAlign w:val="center"/>
          </w:tcPr>
          <w:p w14:paraId="146E486B" w14:textId="77777777" w:rsidR="00A460C6" w:rsidRPr="00086D29" w:rsidRDefault="00A460C6" w:rsidP="00F17C71">
            <w:pPr>
              <w:autoSpaceDE w:val="0"/>
              <w:autoSpaceDN w:val="0"/>
              <w:adjustRightInd w:val="0"/>
              <w:snapToGrid w:val="0"/>
              <w:spacing w:line="240" w:lineRule="auto"/>
              <w:jc w:val="center"/>
              <w:rPr>
                <w:color w:val="auto"/>
                <w:szCs w:val="18"/>
              </w:rPr>
            </w:pPr>
            <w:r w:rsidRPr="00086D29">
              <w:rPr>
                <w:color w:val="auto"/>
                <w:szCs w:val="18"/>
              </w:rPr>
              <w:t>Age</w:t>
            </w:r>
          </w:p>
        </w:tc>
        <w:tc>
          <w:tcPr>
            <w:tcW w:w="292" w:type="pct"/>
            <w:shd w:val="clear" w:color="auto" w:fill="FFFFFF" w:themeFill="background1"/>
            <w:vAlign w:val="center"/>
          </w:tcPr>
          <w:p w14:paraId="65DCEE89" w14:textId="1FD58575" w:rsidR="00A460C6" w:rsidRPr="00086D29" w:rsidRDefault="00086D29" w:rsidP="00F17C71">
            <w:pPr>
              <w:autoSpaceDE w:val="0"/>
              <w:autoSpaceDN w:val="0"/>
              <w:adjustRightInd w:val="0"/>
              <w:snapToGrid w:val="0"/>
              <w:spacing w:line="240" w:lineRule="auto"/>
              <w:jc w:val="center"/>
              <w:rPr>
                <w:color w:val="auto"/>
                <w:szCs w:val="18"/>
              </w:rPr>
            </w:pPr>
            <w:r>
              <w:rPr>
                <w:color w:val="auto"/>
                <w:szCs w:val="18"/>
              </w:rPr>
              <w:t>0</w:t>
            </w:r>
            <w:r w:rsidR="00A460C6" w:rsidRPr="00086D29">
              <w:rPr>
                <w:color w:val="auto"/>
                <w:szCs w:val="18"/>
              </w:rPr>
              <w:t>.22</w:t>
            </w:r>
          </w:p>
        </w:tc>
        <w:tc>
          <w:tcPr>
            <w:tcW w:w="311" w:type="pct"/>
            <w:shd w:val="clear" w:color="auto" w:fill="FFFFFF" w:themeFill="background1"/>
            <w:vAlign w:val="center"/>
          </w:tcPr>
          <w:p w14:paraId="67B7EA6A" w14:textId="77777777" w:rsidR="00A460C6" w:rsidRPr="00086D29" w:rsidRDefault="00A460C6" w:rsidP="00F17C71">
            <w:pPr>
              <w:autoSpaceDE w:val="0"/>
              <w:autoSpaceDN w:val="0"/>
              <w:adjustRightInd w:val="0"/>
              <w:snapToGrid w:val="0"/>
              <w:spacing w:line="240" w:lineRule="auto"/>
              <w:jc w:val="center"/>
              <w:rPr>
                <w:color w:val="auto"/>
                <w:szCs w:val="18"/>
              </w:rPr>
            </w:pPr>
            <w:r w:rsidRPr="00086D29">
              <w:rPr>
                <w:color w:val="auto"/>
                <w:szCs w:val="18"/>
              </w:rPr>
              <w:t>0.072 (0.03)</w:t>
            </w:r>
          </w:p>
        </w:tc>
        <w:tc>
          <w:tcPr>
            <w:tcW w:w="375" w:type="pct"/>
            <w:shd w:val="clear" w:color="auto" w:fill="FFFFFF" w:themeFill="background1"/>
            <w:vAlign w:val="center"/>
          </w:tcPr>
          <w:p w14:paraId="15A8CCE3" w14:textId="77777777" w:rsidR="00A460C6" w:rsidRPr="00086D29" w:rsidRDefault="00A460C6" w:rsidP="00F17C71">
            <w:pPr>
              <w:autoSpaceDE w:val="0"/>
              <w:autoSpaceDN w:val="0"/>
              <w:adjustRightInd w:val="0"/>
              <w:snapToGrid w:val="0"/>
              <w:spacing w:line="240" w:lineRule="auto"/>
              <w:jc w:val="center"/>
              <w:rPr>
                <w:color w:val="auto"/>
                <w:szCs w:val="18"/>
              </w:rPr>
            </w:pPr>
            <w:r w:rsidRPr="00086D29">
              <w:rPr>
                <w:color w:val="auto"/>
                <w:szCs w:val="18"/>
              </w:rPr>
              <w:t>0.03, 0.12</w:t>
            </w:r>
          </w:p>
        </w:tc>
        <w:tc>
          <w:tcPr>
            <w:tcW w:w="217" w:type="pct"/>
            <w:shd w:val="clear" w:color="auto" w:fill="FFFFFF" w:themeFill="background1"/>
            <w:vAlign w:val="center"/>
          </w:tcPr>
          <w:p w14:paraId="07C8D4EB" w14:textId="77777777" w:rsidR="00A460C6" w:rsidRPr="00086D29" w:rsidRDefault="00A460C6" w:rsidP="00F17C71">
            <w:pPr>
              <w:autoSpaceDE w:val="0"/>
              <w:autoSpaceDN w:val="0"/>
              <w:adjustRightInd w:val="0"/>
              <w:snapToGrid w:val="0"/>
              <w:spacing w:line="240" w:lineRule="auto"/>
              <w:jc w:val="center"/>
              <w:rPr>
                <w:color w:val="auto"/>
                <w:szCs w:val="18"/>
              </w:rPr>
            </w:pPr>
            <w:r w:rsidRPr="00086D29">
              <w:rPr>
                <w:color w:val="auto"/>
                <w:szCs w:val="18"/>
              </w:rPr>
              <w:t>2.98</w:t>
            </w:r>
          </w:p>
        </w:tc>
        <w:tc>
          <w:tcPr>
            <w:tcW w:w="312" w:type="pct"/>
            <w:shd w:val="clear" w:color="auto" w:fill="FFFFFF" w:themeFill="background1"/>
            <w:vAlign w:val="center"/>
          </w:tcPr>
          <w:p w14:paraId="3E9CF48B" w14:textId="29A62200" w:rsidR="00A460C6" w:rsidRPr="00086D29" w:rsidRDefault="00AB1120" w:rsidP="00F17C71">
            <w:pPr>
              <w:autoSpaceDE w:val="0"/>
              <w:autoSpaceDN w:val="0"/>
              <w:adjustRightInd w:val="0"/>
              <w:snapToGrid w:val="0"/>
              <w:spacing w:line="240" w:lineRule="auto"/>
              <w:jc w:val="center"/>
              <w:rPr>
                <w:color w:val="auto"/>
                <w:szCs w:val="18"/>
              </w:rPr>
            </w:pPr>
            <w:r>
              <w:rPr>
                <w:color w:val="auto"/>
                <w:szCs w:val="18"/>
              </w:rPr>
              <w:t>0</w:t>
            </w:r>
            <w:r w:rsidR="00A460C6" w:rsidRPr="00086D29">
              <w:rPr>
                <w:color w:val="auto"/>
                <w:szCs w:val="18"/>
              </w:rPr>
              <w:t>.003</w:t>
            </w:r>
          </w:p>
        </w:tc>
        <w:tc>
          <w:tcPr>
            <w:tcW w:w="252" w:type="pct"/>
            <w:shd w:val="clear" w:color="auto" w:fill="FFFFFF" w:themeFill="background1"/>
            <w:vAlign w:val="center"/>
          </w:tcPr>
          <w:p w14:paraId="265E42AD" w14:textId="0DF7C388" w:rsidR="00A460C6" w:rsidRPr="00086D29" w:rsidRDefault="00AB1120" w:rsidP="00F17C71">
            <w:pPr>
              <w:autoSpaceDE w:val="0"/>
              <w:autoSpaceDN w:val="0"/>
              <w:adjustRightInd w:val="0"/>
              <w:snapToGrid w:val="0"/>
              <w:spacing w:line="240" w:lineRule="auto"/>
              <w:jc w:val="center"/>
              <w:rPr>
                <w:color w:val="auto"/>
                <w:szCs w:val="18"/>
              </w:rPr>
            </w:pPr>
            <w:r>
              <w:rPr>
                <w:color w:val="auto"/>
                <w:szCs w:val="18"/>
              </w:rPr>
              <w:t>0</w:t>
            </w:r>
            <w:r w:rsidR="00A460C6" w:rsidRPr="00086D29">
              <w:rPr>
                <w:color w:val="auto"/>
                <w:szCs w:val="18"/>
              </w:rPr>
              <w:t>.24</w:t>
            </w:r>
          </w:p>
        </w:tc>
        <w:tc>
          <w:tcPr>
            <w:tcW w:w="322" w:type="pct"/>
            <w:shd w:val="clear" w:color="auto" w:fill="FFFFFF" w:themeFill="background1"/>
            <w:vAlign w:val="center"/>
          </w:tcPr>
          <w:p w14:paraId="0930B9F2" w14:textId="77777777" w:rsidR="00A460C6" w:rsidRPr="00086D29" w:rsidRDefault="00A460C6" w:rsidP="00F17C71">
            <w:pPr>
              <w:autoSpaceDE w:val="0"/>
              <w:autoSpaceDN w:val="0"/>
              <w:adjustRightInd w:val="0"/>
              <w:snapToGrid w:val="0"/>
              <w:spacing w:line="240" w:lineRule="auto"/>
              <w:jc w:val="center"/>
              <w:rPr>
                <w:color w:val="auto"/>
                <w:szCs w:val="18"/>
              </w:rPr>
            </w:pPr>
            <w:r w:rsidRPr="00086D29">
              <w:rPr>
                <w:color w:val="auto"/>
                <w:szCs w:val="18"/>
              </w:rPr>
              <w:t>0.07, (0.03)</w:t>
            </w:r>
          </w:p>
        </w:tc>
        <w:tc>
          <w:tcPr>
            <w:tcW w:w="321" w:type="pct"/>
            <w:shd w:val="clear" w:color="auto" w:fill="FFFFFF" w:themeFill="background1"/>
            <w:vAlign w:val="center"/>
          </w:tcPr>
          <w:p w14:paraId="2D5A3D40" w14:textId="77777777" w:rsidR="00A460C6" w:rsidRPr="00086D29" w:rsidRDefault="00A460C6" w:rsidP="00F17C71">
            <w:pPr>
              <w:autoSpaceDE w:val="0"/>
              <w:autoSpaceDN w:val="0"/>
              <w:adjustRightInd w:val="0"/>
              <w:snapToGrid w:val="0"/>
              <w:spacing w:line="240" w:lineRule="auto"/>
              <w:jc w:val="center"/>
              <w:rPr>
                <w:color w:val="auto"/>
                <w:szCs w:val="18"/>
              </w:rPr>
            </w:pPr>
            <w:r w:rsidRPr="00086D29">
              <w:rPr>
                <w:color w:val="auto"/>
                <w:szCs w:val="18"/>
              </w:rPr>
              <w:t xml:space="preserve">0.02, </w:t>
            </w:r>
          </w:p>
          <w:p w14:paraId="79EC8CE6" w14:textId="77777777" w:rsidR="00A460C6" w:rsidRPr="00086D29" w:rsidRDefault="00A460C6" w:rsidP="00F17C71">
            <w:pPr>
              <w:autoSpaceDE w:val="0"/>
              <w:autoSpaceDN w:val="0"/>
              <w:adjustRightInd w:val="0"/>
              <w:snapToGrid w:val="0"/>
              <w:spacing w:line="240" w:lineRule="auto"/>
              <w:jc w:val="center"/>
              <w:rPr>
                <w:color w:val="auto"/>
                <w:szCs w:val="18"/>
              </w:rPr>
            </w:pPr>
            <w:r w:rsidRPr="00086D29">
              <w:rPr>
                <w:color w:val="auto"/>
                <w:szCs w:val="18"/>
              </w:rPr>
              <w:t>0.12</w:t>
            </w:r>
          </w:p>
        </w:tc>
        <w:tc>
          <w:tcPr>
            <w:tcW w:w="300" w:type="pct"/>
            <w:shd w:val="clear" w:color="auto" w:fill="FFFFFF" w:themeFill="background1"/>
            <w:vAlign w:val="center"/>
          </w:tcPr>
          <w:p w14:paraId="02E64CCB" w14:textId="77777777" w:rsidR="00A460C6" w:rsidRPr="00086D29" w:rsidRDefault="00A460C6" w:rsidP="00F17C71">
            <w:pPr>
              <w:autoSpaceDE w:val="0"/>
              <w:autoSpaceDN w:val="0"/>
              <w:adjustRightInd w:val="0"/>
              <w:snapToGrid w:val="0"/>
              <w:spacing w:line="240" w:lineRule="auto"/>
              <w:jc w:val="center"/>
              <w:rPr>
                <w:color w:val="auto"/>
                <w:szCs w:val="18"/>
              </w:rPr>
            </w:pPr>
            <w:r w:rsidRPr="00086D29">
              <w:rPr>
                <w:color w:val="auto"/>
                <w:szCs w:val="18"/>
              </w:rPr>
              <w:t>2.87</w:t>
            </w:r>
          </w:p>
        </w:tc>
        <w:tc>
          <w:tcPr>
            <w:tcW w:w="315" w:type="pct"/>
            <w:shd w:val="clear" w:color="auto" w:fill="FFFFFF" w:themeFill="background1"/>
            <w:vAlign w:val="center"/>
          </w:tcPr>
          <w:p w14:paraId="581CB753" w14:textId="32333476" w:rsidR="00A460C6" w:rsidRPr="00086D29" w:rsidRDefault="00AB1120" w:rsidP="00F17C71">
            <w:pPr>
              <w:autoSpaceDE w:val="0"/>
              <w:autoSpaceDN w:val="0"/>
              <w:adjustRightInd w:val="0"/>
              <w:snapToGrid w:val="0"/>
              <w:spacing w:line="240" w:lineRule="auto"/>
              <w:jc w:val="center"/>
              <w:rPr>
                <w:color w:val="auto"/>
                <w:szCs w:val="18"/>
              </w:rPr>
            </w:pPr>
            <w:r>
              <w:rPr>
                <w:color w:val="auto"/>
                <w:szCs w:val="18"/>
              </w:rPr>
              <w:t>0</w:t>
            </w:r>
            <w:r w:rsidR="00A460C6" w:rsidRPr="00086D29">
              <w:rPr>
                <w:color w:val="auto"/>
                <w:szCs w:val="18"/>
              </w:rPr>
              <w:t>.005</w:t>
            </w:r>
          </w:p>
        </w:tc>
        <w:tc>
          <w:tcPr>
            <w:tcW w:w="253" w:type="pct"/>
            <w:shd w:val="clear" w:color="auto" w:fill="FFFFFF" w:themeFill="background1"/>
            <w:vAlign w:val="center"/>
          </w:tcPr>
          <w:p w14:paraId="60B1D21B" w14:textId="71707180" w:rsidR="00A460C6" w:rsidRPr="00086D29" w:rsidRDefault="00AB1120" w:rsidP="00F17C71">
            <w:pPr>
              <w:autoSpaceDE w:val="0"/>
              <w:autoSpaceDN w:val="0"/>
              <w:adjustRightInd w:val="0"/>
              <w:snapToGrid w:val="0"/>
              <w:spacing w:line="240" w:lineRule="auto"/>
              <w:jc w:val="center"/>
              <w:rPr>
                <w:color w:val="auto"/>
                <w:szCs w:val="18"/>
              </w:rPr>
            </w:pPr>
            <w:r>
              <w:rPr>
                <w:color w:val="auto"/>
                <w:szCs w:val="18"/>
              </w:rPr>
              <w:t>0</w:t>
            </w:r>
            <w:r w:rsidR="00A460C6" w:rsidRPr="00086D29">
              <w:rPr>
                <w:color w:val="auto"/>
                <w:szCs w:val="18"/>
              </w:rPr>
              <w:t>.22</w:t>
            </w:r>
          </w:p>
        </w:tc>
        <w:tc>
          <w:tcPr>
            <w:tcW w:w="361" w:type="pct"/>
            <w:shd w:val="clear" w:color="auto" w:fill="FFFFFF" w:themeFill="background1"/>
            <w:vAlign w:val="center"/>
          </w:tcPr>
          <w:p w14:paraId="20D63652" w14:textId="77777777" w:rsidR="00A460C6" w:rsidRPr="00086D29" w:rsidRDefault="00A460C6" w:rsidP="00F17C71">
            <w:pPr>
              <w:autoSpaceDE w:val="0"/>
              <w:autoSpaceDN w:val="0"/>
              <w:adjustRightInd w:val="0"/>
              <w:snapToGrid w:val="0"/>
              <w:spacing w:line="240" w:lineRule="auto"/>
              <w:jc w:val="center"/>
              <w:rPr>
                <w:color w:val="auto"/>
                <w:szCs w:val="18"/>
              </w:rPr>
            </w:pPr>
            <w:r w:rsidRPr="00086D29">
              <w:rPr>
                <w:color w:val="auto"/>
                <w:szCs w:val="18"/>
              </w:rPr>
              <w:t xml:space="preserve">0.07 </w:t>
            </w:r>
          </w:p>
          <w:p w14:paraId="54EE9977" w14:textId="77777777" w:rsidR="00A460C6" w:rsidRPr="00086D29" w:rsidRDefault="00A460C6" w:rsidP="00F17C71">
            <w:pPr>
              <w:autoSpaceDE w:val="0"/>
              <w:autoSpaceDN w:val="0"/>
              <w:adjustRightInd w:val="0"/>
              <w:snapToGrid w:val="0"/>
              <w:spacing w:line="240" w:lineRule="auto"/>
              <w:jc w:val="center"/>
              <w:rPr>
                <w:color w:val="auto"/>
                <w:szCs w:val="18"/>
              </w:rPr>
            </w:pPr>
            <w:r w:rsidRPr="00086D29">
              <w:rPr>
                <w:color w:val="auto"/>
                <w:szCs w:val="18"/>
              </w:rPr>
              <w:t>(0.03)</w:t>
            </w:r>
          </w:p>
        </w:tc>
        <w:tc>
          <w:tcPr>
            <w:tcW w:w="322" w:type="pct"/>
            <w:shd w:val="clear" w:color="auto" w:fill="FFFFFF" w:themeFill="background1"/>
            <w:vAlign w:val="center"/>
          </w:tcPr>
          <w:p w14:paraId="6082547A" w14:textId="01BF2527" w:rsidR="00A460C6" w:rsidRPr="00086D29" w:rsidRDefault="00AB1120" w:rsidP="00F17C71">
            <w:pPr>
              <w:autoSpaceDE w:val="0"/>
              <w:autoSpaceDN w:val="0"/>
              <w:adjustRightInd w:val="0"/>
              <w:snapToGrid w:val="0"/>
              <w:spacing w:line="240" w:lineRule="auto"/>
              <w:jc w:val="center"/>
              <w:rPr>
                <w:color w:val="auto"/>
                <w:szCs w:val="18"/>
              </w:rPr>
            </w:pPr>
            <w:r>
              <w:rPr>
                <w:color w:val="auto"/>
                <w:szCs w:val="18"/>
              </w:rPr>
              <w:t>0</w:t>
            </w:r>
            <w:r w:rsidR="00A460C6" w:rsidRPr="00086D29">
              <w:rPr>
                <w:color w:val="auto"/>
                <w:szCs w:val="18"/>
              </w:rPr>
              <w:t xml:space="preserve">.012, </w:t>
            </w:r>
          </w:p>
          <w:p w14:paraId="02EFBBE5" w14:textId="77777777" w:rsidR="00A460C6" w:rsidRPr="00086D29" w:rsidRDefault="00A460C6" w:rsidP="00F17C71">
            <w:pPr>
              <w:autoSpaceDE w:val="0"/>
              <w:autoSpaceDN w:val="0"/>
              <w:adjustRightInd w:val="0"/>
              <w:snapToGrid w:val="0"/>
              <w:spacing w:line="240" w:lineRule="auto"/>
              <w:jc w:val="center"/>
              <w:rPr>
                <w:color w:val="auto"/>
                <w:szCs w:val="18"/>
              </w:rPr>
            </w:pPr>
            <w:r w:rsidRPr="00086D29">
              <w:rPr>
                <w:color w:val="auto"/>
                <w:szCs w:val="18"/>
              </w:rPr>
              <w:t>0.13</w:t>
            </w:r>
          </w:p>
        </w:tc>
        <w:tc>
          <w:tcPr>
            <w:tcW w:w="300" w:type="pct"/>
            <w:shd w:val="clear" w:color="auto" w:fill="FFFFFF" w:themeFill="background1"/>
            <w:vAlign w:val="center"/>
          </w:tcPr>
          <w:p w14:paraId="4207DF10" w14:textId="77777777" w:rsidR="00A460C6" w:rsidRPr="00086D29" w:rsidRDefault="00A460C6" w:rsidP="00F17C71">
            <w:pPr>
              <w:autoSpaceDE w:val="0"/>
              <w:autoSpaceDN w:val="0"/>
              <w:adjustRightInd w:val="0"/>
              <w:snapToGrid w:val="0"/>
              <w:spacing w:line="240" w:lineRule="auto"/>
              <w:jc w:val="center"/>
              <w:rPr>
                <w:color w:val="auto"/>
                <w:szCs w:val="18"/>
              </w:rPr>
            </w:pPr>
            <w:r w:rsidRPr="00086D29">
              <w:rPr>
                <w:color w:val="auto"/>
                <w:szCs w:val="18"/>
              </w:rPr>
              <w:t>2.38</w:t>
            </w:r>
          </w:p>
        </w:tc>
        <w:tc>
          <w:tcPr>
            <w:tcW w:w="307" w:type="pct"/>
            <w:shd w:val="clear" w:color="auto" w:fill="FFFFFF" w:themeFill="background1"/>
            <w:vAlign w:val="center"/>
          </w:tcPr>
          <w:p w14:paraId="43053C5C" w14:textId="1D010124" w:rsidR="00A460C6" w:rsidRPr="00086D29" w:rsidRDefault="00AB1120" w:rsidP="00F17C71">
            <w:pPr>
              <w:autoSpaceDE w:val="0"/>
              <w:autoSpaceDN w:val="0"/>
              <w:adjustRightInd w:val="0"/>
              <w:snapToGrid w:val="0"/>
              <w:spacing w:line="240" w:lineRule="auto"/>
              <w:jc w:val="center"/>
              <w:rPr>
                <w:color w:val="auto"/>
                <w:szCs w:val="18"/>
              </w:rPr>
            </w:pPr>
            <w:r>
              <w:rPr>
                <w:color w:val="auto"/>
                <w:szCs w:val="18"/>
              </w:rPr>
              <w:t>0</w:t>
            </w:r>
            <w:r w:rsidR="00A460C6" w:rsidRPr="00086D29">
              <w:rPr>
                <w:color w:val="auto"/>
                <w:szCs w:val="18"/>
              </w:rPr>
              <w:t>.019</w:t>
            </w:r>
          </w:p>
        </w:tc>
      </w:tr>
      <w:tr w:rsidR="00F17C71" w:rsidRPr="00086D29" w14:paraId="5C6C8F7B" w14:textId="77777777" w:rsidTr="00DB5DCF">
        <w:trPr>
          <w:gridAfter w:val="1"/>
          <w:wAfter w:w="35" w:type="pct"/>
          <w:cantSplit/>
          <w:jc w:val="center"/>
        </w:trPr>
        <w:tc>
          <w:tcPr>
            <w:tcW w:w="407" w:type="pct"/>
            <w:tcBorders>
              <w:bottom w:val="single" w:sz="4" w:space="0" w:color="auto"/>
            </w:tcBorders>
            <w:shd w:val="clear" w:color="auto" w:fill="FFFFFF" w:themeFill="background1"/>
            <w:vAlign w:val="center"/>
          </w:tcPr>
          <w:p w14:paraId="291BE67A" w14:textId="77777777" w:rsidR="00A460C6" w:rsidRPr="00086D29" w:rsidRDefault="00A460C6" w:rsidP="00F17C71">
            <w:pPr>
              <w:autoSpaceDE w:val="0"/>
              <w:autoSpaceDN w:val="0"/>
              <w:adjustRightInd w:val="0"/>
              <w:snapToGrid w:val="0"/>
              <w:spacing w:line="240" w:lineRule="auto"/>
              <w:jc w:val="center"/>
              <w:rPr>
                <w:color w:val="auto"/>
                <w:szCs w:val="18"/>
              </w:rPr>
            </w:pPr>
            <w:r w:rsidRPr="00086D29">
              <w:rPr>
                <w:color w:val="auto"/>
                <w:szCs w:val="18"/>
              </w:rPr>
              <w:t>Gender</w:t>
            </w:r>
          </w:p>
        </w:tc>
        <w:tc>
          <w:tcPr>
            <w:tcW w:w="292" w:type="pct"/>
            <w:tcBorders>
              <w:bottom w:val="single" w:sz="4" w:space="0" w:color="auto"/>
            </w:tcBorders>
            <w:shd w:val="clear" w:color="auto" w:fill="FFFFFF" w:themeFill="background1"/>
            <w:vAlign w:val="center"/>
          </w:tcPr>
          <w:p w14:paraId="2E65AC44" w14:textId="3BB7C7BD" w:rsidR="00A460C6" w:rsidRPr="00086D29" w:rsidRDefault="00746E18" w:rsidP="00F17C71">
            <w:pPr>
              <w:autoSpaceDE w:val="0"/>
              <w:autoSpaceDN w:val="0"/>
              <w:adjustRightInd w:val="0"/>
              <w:snapToGrid w:val="0"/>
              <w:spacing w:line="240" w:lineRule="auto"/>
              <w:jc w:val="center"/>
              <w:rPr>
                <w:color w:val="auto"/>
                <w:szCs w:val="18"/>
              </w:rPr>
            </w:pPr>
            <w:r>
              <w:rPr>
                <w:color w:val="auto"/>
                <w:szCs w:val="18"/>
              </w:rPr>
              <w:t>−</w:t>
            </w:r>
            <w:r w:rsidR="00086D29">
              <w:rPr>
                <w:color w:val="auto"/>
                <w:szCs w:val="18"/>
              </w:rPr>
              <w:t>0</w:t>
            </w:r>
            <w:r w:rsidR="00A460C6" w:rsidRPr="00086D29">
              <w:rPr>
                <w:color w:val="auto"/>
                <w:szCs w:val="18"/>
              </w:rPr>
              <w:t>.15</w:t>
            </w:r>
          </w:p>
        </w:tc>
        <w:tc>
          <w:tcPr>
            <w:tcW w:w="311" w:type="pct"/>
            <w:tcBorders>
              <w:bottom w:val="single" w:sz="4" w:space="0" w:color="auto"/>
            </w:tcBorders>
            <w:shd w:val="clear" w:color="auto" w:fill="FFFFFF" w:themeFill="background1"/>
            <w:vAlign w:val="center"/>
          </w:tcPr>
          <w:p w14:paraId="0D8E6D4B" w14:textId="21B34594" w:rsidR="00A460C6" w:rsidRPr="00086D29" w:rsidRDefault="00746E18" w:rsidP="00F17C71">
            <w:pPr>
              <w:autoSpaceDE w:val="0"/>
              <w:autoSpaceDN w:val="0"/>
              <w:adjustRightInd w:val="0"/>
              <w:snapToGrid w:val="0"/>
              <w:spacing w:line="240" w:lineRule="auto"/>
              <w:jc w:val="center"/>
              <w:rPr>
                <w:color w:val="auto"/>
                <w:szCs w:val="18"/>
              </w:rPr>
            </w:pPr>
            <w:r>
              <w:rPr>
                <w:color w:val="auto"/>
                <w:szCs w:val="18"/>
              </w:rPr>
              <w:t>−</w:t>
            </w:r>
            <w:r w:rsidR="00A460C6" w:rsidRPr="00086D29">
              <w:rPr>
                <w:color w:val="auto"/>
                <w:szCs w:val="18"/>
              </w:rPr>
              <w:t>2.03 (0.99)</w:t>
            </w:r>
          </w:p>
        </w:tc>
        <w:tc>
          <w:tcPr>
            <w:tcW w:w="375" w:type="pct"/>
            <w:tcBorders>
              <w:bottom w:val="single" w:sz="4" w:space="0" w:color="auto"/>
            </w:tcBorders>
            <w:shd w:val="clear" w:color="auto" w:fill="FFFFFF" w:themeFill="background1"/>
            <w:vAlign w:val="center"/>
          </w:tcPr>
          <w:p w14:paraId="2C039FC1" w14:textId="42831BD3" w:rsidR="00A460C6" w:rsidRPr="00086D29" w:rsidRDefault="00746E18" w:rsidP="00F17C71">
            <w:pPr>
              <w:autoSpaceDE w:val="0"/>
              <w:autoSpaceDN w:val="0"/>
              <w:adjustRightInd w:val="0"/>
              <w:snapToGrid w:val="0"/>
              <w:spacing w:line="240" w:lineRule="auto"/>
              <w:jc w:val="center"/>
              <w:rPr>
                <w:color w:val="auto"/>
                <w:szCs w:val="18"/>
              </w:rPr>
            </w:pPr>
            <w:r>
              <w:rPr>
                <w:color w:val="auto"/>
                <w:szCs w:val="18"/>
              </w:rPr>
              <w:t>−</w:t>
            </w:r>
            <w:r w:rsidR="00A460C6" w:rsidRPr="00086D29">
              <w:rPr>
                <w:color w:val="auto"/>
                <w:szCs w:val="18"/>
              </w:rPr>
              <w:t xml:space="preserve">3.99, </w:t>
            </w:r>
            <w:r>
              <w:rPr>
                <w:color w:val="auto"/>
                <w:szCs w:val="18"/>
              </w:rPr>
              <w:t>−</w:t>
            </w:r>
            <w:r w:rsidR="00A460C6" w:rsidRPr="00086D29">
              <w:rPr>
                <w:color w:val="auto"/>
                <w:szCs w:val="18"/>
              </w:rPr>
              <w:t>0.08</w:t>
            </w:r>
          </w:p>
        </w:tc>
        <w:tc>
          <w:tcPr>
            <w:tcW w:w="217" w:type="pct"/>
            <w:tcBorders>
              <w:bottom w:val="single" w:sz="4" w:space="0" w:color="auto"/>
            </w:tcBorders>
            <w:shd w:val="clear" w:color="auto" w:fill="FFFFFF" w:themeFill="background1"/>
            <w:vAlign w:val="center"/>
          </w:tcPr>
          <w:p w14:paraId="221469DC" w14:textId="3F551A29" w:rsidR="00A460C6" w:rsidRPr="00086D29" w:rsidRDefault="00746E18" w:rsidP="00F17C71">
            <w:pPr>
              <w:autoSpaceDE w:val="0"/>
              <w:autoSpaceDN w:val="0"/>
              <w:adjustRightInd w:val="0"/>
              <w:snapToGrid w:val="0"/>
              <w:spacing w:line="240" w:lineRule="auto"/>
              <w:jc w:val="center"/>
              <w:rPr>
                <w:color w:val="auto"/>
                <w:szCs w:val="18"/>
              </w:rPr>
            </w:pPr>
            <w:r>
              <w:rPr>
                <w:color w:val="auto"/>
                <w:szCs w:val="18"/>
              </w:rPr>
              <w:t>−</w:t>
            </w:r>
            <w:r w:rsidR="00A460C6" w:rsidRPr="00086D29">
              <w:rPr>
                <w:color w:val="auto"/>
                <w:szCs w:val="18"/>
              </w:rPr>
              <w:t>2.05</w:t>
            </w:r>
          </w:p>
        </w:tc>
        <w:tc>
          <w:tcPr>
            <w:tcW w:w="312" w:type="pct"/>
            <w:tcBorders>
              <w:bottom w:val="single" w:sz="4" w:space="0" w:color="auto"/>
            </w:tcBorders>
            <w:shd w:val="clear" w:color="auto" w:fill="FFFFFF" w:themeFill="background1"/>
            <w:vAlign w:val="center"/>
          </w:tcPr>
          <w:p w14:paraId="042DDFFD" w14:textId="657328F9" w:rsidR="00A460C6" w:rsidRPr="00086D29" w:rsidRDefault="00AB1120" w:rsidP="00F17C71">
            <w:pPr>
              <w:autoSpaceDE w:val="0"/>
              <w:autoSpaceDN w:val="0"/>
              <w:adjustRightInd w:val="0"/>
              <w:snapToGrid w:val="0"/>
              <w:spacing w:line="240" w:lineRule="auto"/>
              <w:jc w:val="center"/>
              <w:rPr>
                <w:color w:val="auto"/>
                <w:szCs w:val="18"/>
              </w:rPr>
            </w:pPr>
            <w:r>
              <w:rPr>
                <w:color w:val="auto"/>
                <w:szCs w:val="18"/>
              </w:rPr>
              <w:t>0</w:t>
            </w:r>
            <w:r w:rsidR="00A460C6" w:rsidRPr="00086D29">
              <w:rPr>
                <w:color w:val="auto"/>
                <w:szCs w:val="18"/>
              </w:rPr>
              <w:t>.042</w:t>
            </w:r>
          </w:p>
        </w:tc>
        <w:tc>
          <w:tcPr>
            <w:tcW w:w="252" w:type="pct"/>
            <w:tcBorders>
              <w:bottom w:val="single" w:sz="4" w:space="0" w:color="auto"/>
            </w:tcBorders>
            <w:shd w:val="clear" w:color="auto" w:fill="FFFFFF" w:themeFill="background1"/>
            <w:vAlign w:val="center"/>
          </w:tcPr>
          <w:p w14:paraId="6EF68FD3" w14:textId="37452847" w:rsidR="00A460C6" w:rsidRPr="00086D29" w:rsidRDefault="00746E18" w:rsidP="00F17C71">
            <w:pPr>
              <w:autoSpaceDE w:val="0"/>
              <w:autoSpaceDN w:val="0"/>
              <w:adjustRightInd w:val="0"/>
              <w:snapToGrid w:val="0"/>
              <w:spacing w:line="240" w:lineRule="auto"/>
              <w:jc w:val="center"/>
              <w:rPr>
                <w:color w:val="auto"/>
                <w:szCs w:val="18"/>
              </w:rPr>
            </w:pPr>
            <w:r>
              <w:rPr>
                <w:color w:val="auto"/>
                <w:szCs w:val="18"/>
              </w:rPr>
              <w:t>−</w:t>
            </w:r>
            <w:r w:rsidR="00AB1120">
              <w:rPr>
                <w:color w:val="auto"/>
                <w:szCs w:val="18"/>
              </w:rPr>
              <w:t>0</w:t>
            </w:r>
            <w:r w:rsidR="00A460C6" w:rsidRPr="00086D29">
              <w:rPr>
                <w:color w:val="auto"/>
                <w:szCs w:val="18"/>
              </w:rPr>
              <w:t>.22</w:t>
            </w:r>
          </w:p>
        </w:tc>
        <w:tc>
          <w:tcPr>
            <w:tcW w:w="322" w:type="pct"/>
            <w:tcBorders>
              <w:bottom w:val="single" w:sz="4" w:space="0" w:color="auto"/>
            </w:tcBorders>
            <w:shd w:val="clear" w:color="auto" w:fill="FFFFFF" w:themeFill="background1"/>
            <w:vAlign w:val="center"/>
          </w:tcPr>
          <w:p w14:paraId="03F88439" w14:textId="3C911832" w:rsidR="00A460C6" w:rsidRPr="00086D29" w:rsidRDefault="00746E18" w:rsidP="00F17C71">
            <w:pPr>
              <w:autoSpaceDE w:val="0"/>
              <w:autoSpaceDN w:val="0"/>
              <w:adjustRightInd w:val="0"/>
              <w:snapToGrid w:val="0"/>
              <w:spacing w:line="240" w:lineRule="auto"/>
              <w:jc w:val="center"/>
              <w:rPr>
                <w:color w:val="auto"/>
                <w:szCs w:val="18"/>
              </w:rPr>
            </w:pPr>
            <w:r>
              <w:rPr>
                <w:color w:val="auto"/>
                <w:szCs w:val="18"/>
              </w:rPr>
              <w:t>−</w:t>
            </w:r>
            <w:r w:rsidR="00A460C6" w:rsidRPr="00086D29">
              <w:rPr>
                <w:color w:val="auto"/>
                <w:szCs w:val="18"/>
              </w:rPr>
              <w:t>2.91, (1.10)</w:t>
            </w:r>
          </w:p>
        </w:tc>
        <w:tc>
          <w:tcPr>
            <w:tcW w:w="321" w:type="pct"/>
            <w:tcBorders>
              <w:bottom w:val="single" w:sz="4" w:space="0" w:color="auto"/>
            </w:tcBorders>
            <w:shd w:val="clear" w:color="auto" w:fill="FFFFFF" w:themeFill="background1"/>
            <w:vAlign w:val="center"/>
          </w:tcPr>
          <w:p w14:paraId="6FF527D7" w14:textId="08CEE2F0" w:rsidR="00A460C6" w:rsidRPr="00086D29" w:rsidRDefault="00746E18" w:rsidP="00F17C71">
            <w:pPr>
              <w:autoSpaceDE w:val="0"/>
              <w:autoSpaceDN w:val="0"/>
              <w:adjustRightInd w:val="0"/>
              <w:snapToGrid w:val="0"/>
              <w:spacing w:line="240" w:lineRule="auto"/>
              <w:jc w:val="center"/>
              <w:rPr>
                <w:color w:val="auto"/>
                <w:szCs w:val="18"/>
              </w:rPr>
            </w:pPr>
            <w:r>
              <w:rPr>
                <w:color w:val="auto"/>
                <w:szCs w:val="18"/>
              </w:rPr>
              <w:t>−</w:t>
            </w:r>
            <w:r w:rsidR="00A460C6" w:rsidRPr="00086D29">
              <w:rPr>
                <w:color w:val="auto"/>
                <w:szCs w:val="18"/>
              </w:rPr>
              <w:t>5.08,</w:t>
            </w:r>
          </w:p>
          <w:p w14:paraId="2B065898" w14:textId="7C422971" w:rsidR="00A460C6" w:rsidRPr="00086D29" w:rsidRDefault="00746E18" w:rsidP="00F17C71">
            <w:pPr>
              <w:autoSpaceDE w:val="0"/>
              <w:autoSpaceDN w:val="0"/>
              <w:adjustRightInd w:val="0"/>
              <w:snapToGrid w:val="0"/>
              <w:spacing w:line="240" w:lineRule="auto"/>
              <w:jc w:val="center"/>
              <w:rPr>
                <w:color w:val="auto"/>
                <w:szCs w:val="18"/>
              </w:rPr>
            </w:pPr>
            <w:r>
              <w:rPr>
                <w:color w:val="auto"/>
                <w:szCs w:val="18"/>
              </w:rPr>
              <w:t>−</w:t>
            </w:r>
            <w:r w:rsidR="00A460C6" w:rsidRPr="00086D29">
              <w:rPr>
                <w:color w:val="auto"/>
                <w:szCs w:val="18"/>
              </w:rPr>
              <w:t>0.74</w:t>
            </w:r>
          </w:p>
        </w:tc>
        <w:tc>
          <w:tcPr>
            <w:tcW w:w="300" w:type="pct"/>
            <w:tcBorders>
              <w:bottom w:val="single" w:sz="4" w:space="0" w:color="auto"/>
            </w:tcBorders>
            <w:shd w:val="clear" w:color="auto" w:fill="FFFFFF" w:themeFill="background1"/>
            <w:vAlign w:val="center"/>
          </w:tcPr>
          <w:p w14:paraId="2D8191DE" w14:textId="64152577" w:rsidR="00A460C6" w:rsidRPr="00086D29" w:rsidRDefault="00746E18" w:rsidP="00F17C71">
            <w:pPr>
              <w:autoSpaceDE w:val="0"/>
              <w:autoSpaceDN w:val="0"/>
              <w:adjustRightInd w:val="0"/>
              <w:snapToGrid w:val="0"/>
              <w:spacing w:line="240" w:lineRule="auto"/>
              <w:jc w:val="center"/>
              <w:rPr>
                <w:color w:val="auto"/>
                <w:szCs w:val="18"/>
              </w:rPr>
            </w:pPr>
            <w:r>
              <w:rPr>
                <w:color w:val="auto"/>
                <w:szCs w:val="18"/>
              </w:rPr>
              <w:t>−</w:t>
            </w:r>
            <w:r w:rsidR="00A460C6" w:rsidRPr="00086D29">
              <w:rPr>
                <w:color w:val="auto"/>
                <w:szCs w:val="18"/>
              </w:rPr>
              <w:t>2.66</w:t>
            </w:r>
          </w:p>
        </w:tc>
        <w:tc>
          <w:tcPr>
            <w:tcW w:w="315" w:type="pct"/>
            <w:tcBorders>
              <w:bottom w:val="single" w:sz="4" w:space="0" w:color="auto"/>
            </w:tcBorders>
            <w:shd w:val="clear" w:color="auto" w:fill="FFFFFF" w:themeFill="background1"/>
            <w:vAlign w:val="center"/>
          </w:tcPr>
          <w:p w14:paraId="5EC5B289" w14:textId="73B2ECCC" w:rsidR="00A460C6" w:rsidRPr="00086D29" w:rsidRDefault="00AB1120" w:rsidP="00F17C71">
            <w:pPr>
              <w:autoSpaceDE w:val="0"/>
              <w:autoSpaceDN w:val="0"/>
              <w:adjustRightInd w:val="0"/>
              <w:snapToGrid w:val="0"/>
              <w:spacing w:line="240" w:lineRule="auto"/>
              <w:jc w:val="center"/>
              <w:rPr>
                <w:color w:val="auto"/>
                <w:szCs w:val="18"/>
              </w:rPr>
            </w:pPr>
            <w:r>
              <w:rPr>
                <w:color w:val="auto"/>
                <w:szCs w:val="18"/>
              </w:rPr>
              <w:t>0</w:t>
            </w:r>
            <w:r w:rsidR="00A460C6" w:rsidRPr="00086D29">
              <w:rPr>
                <w:color w:val="auto"/>
                <w:szCs w:val="18"/>
              </w:rPr>
              <w:t>.009</w:t>
            </w:r>
          </w:p>
        </w:tc>
        <w:tc>
          <w:tcPr>
            <w:tcW w:w="253" w:type="pct"/>
            <w:tcBorders>
              <w:bottom w:val="single" w:sz="4" w:space="0" w:color="auto"/>
            </w:tcBorders>
            <w:shd w:val="clear" w:color="auto" w:fill="FFFFFF" w:themeFill="background1"/>
            <w:vAlign w:val="center"/>
          </w:tcPr>
          <w:p w14:paraId="615F1725" w14:textId="504DB65F" w:rsidR="00A460C6" w:rsidRPr="00086D29" w:rsidRDefault="00746E18" w:rsidP="00F17C71">
            <w:pPr>
              <w:autoSpaceDE w:val="0"/>
              <w:autoSpaceDN w:val="0"/>
              <w:adjustRightInd w:val="0"/>
              <w:snapToGrid w:val="0"/>
              <w:spacing w:line="240" w:lineRule="auto"/>
              <w:jc w:val="center"/>
              <w:rPr>
                <w:color w:val="auto"/>
                <w:szCs w:val="18"/>
              </w:rPr>
            </w:pPr>
            <w:r>
              <w:rPr>
                <w:color w:val="auto"/>
                <w:szCs w:val="18"/>
              </w:rPr>
              <w:t>−</w:t>
            </w:r>
            <w:r w:rsidR="00AB1120">
              <w:rPr>
                <w:color w:val="auto"/>
                <w:szCs w:val="18"/>
              </w:rPr>
              <w:t>0</w:t>
            </w:r>
            <w:r w:rsidR="00A460C6" w:rsidRPr="00086D29">
              <w:rPr>
                <w:color w:val="auto"/>
                <w:szCs w:val="18"/>
              </w:rPr>
              <w:t>.13</w:t>
            </w:r>
          </w:p>
        </w:tc>
        <w:tc>
          <w:tcPr>
            <w:tcW w:w="361" w:type="pct"/>
            <w:tcBorders>
              <w:bottom w:val="single" w:sz="4" w:space="0" w:color="auto"/>
            </w:tcBorders>
            <w:shd w:val="clear" w:color="auto" w:fill="FFFFFF" w:themeFill="background1"/>
            <w:vAlign w:val="center"/>
          </w:tcPr>
          <w:p w14:paraId="1807DD6E" w14:textId="326E71A6" w:rsidR="00A460C6" w:rsidRPr="00086D29" w:rsidRDefault="00746E18" w:rsidP="00F17C71">
            <w:pPr>
              <w:autoSpaceDE w:val="0"/>
              <w:autoSpaceDN w:val="0"/>
              <w:adjustRightInd w:val="0"/>
              <w:snapToGrid w:val="0"/>
              <w:spacing w:line="240" w:lineRule="auto"/>
              <w:jc w:val="center"/>
              <w:rPr>
                <w:color w:val="auto"/>
                <w:szCs w:val="18"/>
              </w:rPr>
            </w:pPr>
            <w:r>
              <w:rPr>
                <w:color w:val="auto"/>
                <w:szCs w:val="18"/>
              </w:rPr>
              <w:t>−</w:t>
            </w:r>
            <w:r w:rsidR="00A460C6" w:rsidRPr="00086D29">
              <w:rPr>
                <w:color w:val="auto"/>
                <w:szCs w:val="18"/>
              </w:rPr>
              <w:t>1.73 (1.28)</w:t>
            </w:r>
          </w:p>
        </w:tc>
        <w:tc>
          <w:tcPr>
            <w:tcW w:w="322" w:type="pct"/>
            <w:tcBorders>
              <w:bottom w:val="single" w:sz="4" w:space="0" w:color="auto"/>
            </w:tcBorders>
            <w:shd w:val="clear" w:color="auto" w:fill="FFFFFF" w:themeFill="background1"/>
            <w:vAlign w:val="center"/>
          </w:tcPr>
          <w:p w14:paraId="00C68986" w14:textId="016FD4A9" w:rsidR="00A460C6" w:rsidRPr="00086D29" w:rsidRDefault="00746E18" w:rsidP="00F17C71">
            <w:pPr>
              <w:autoSpaceDE w:val="0"/>
              <w:autoSpaceDN w:val="0"/>
              <w:adjustRightInd w:val="0"/>
              <w:snapToGrid w:val="0"/>
              <w:spacing w:line="240" w:lineRule="auto"/>
              <w:jc w:val="center"/>
              <w:rPr>
                <w:color w:val="auto"/>
                <w:szCs w:val="18"/>
              </w:rPr>
            </w:pPr>
            <w:r>
              <w:rPr>
                <w:color w:val="auto"/>
                <w:szCs w:val="18"/>
              </w:rPr>
              <w:t>−</w:t>
            </w:r>
            <w:r w:rsidR="00A460C6" w:rsidRPr="00086D29">
              <w:rPr>
                <w:color w:val="auto"/>
                <w:szCs w:val="18"/>
              </w:rPr>
              <w:t>4.26, 0.80</w:t>
            </w:r>
          </w:p>
        </w:tc>
        <w:tc>
          <w:tcPr>
            <w:tcW w:w="300" w:type="pct"/>
            <w:tcBorders>
              <w:bottom w:val="single" w:sz="4" w:space="0" w:color="auto"/>
            </w:tcBorders>
            <w:shd w:val="clear" w:color="auto" w:fill="FFFFFF" w:themeFill="background1"/>
            <w:vAlign w:val="center"/>
          </w:tcPr>
          <w:p w14:paraId="5B9694DF" w14:textId="7B8CA3A7" w:rsidR="00A460C6" w:rsidRPr="00086D29" w:rsidRDefault="00746E18" w:rsidP="00F17C71">
            <w:pPr>
              <w:autoSpaceDE w:val="0"/>
              <w:autoSpaceDN w:val="0"/>
              <w:adjustRightInd w:val="0"/>
              <w:snapToGrid w:val="0"/>
              <w:spacing w:line="240" w:lineRule="auto"/>
              <w:jc w:val="center"/>
              <w:rPr>
                <w:color w:val="auto"/>
                <w:szCs w:val="18"/>
              </w:rPr>
            </w:pPr>
            <w:r>
              <w:rPr>
                <w:color w:val="auto"/>
                <w:szCs w:val="18"/>
              </w:rPr>
              <w:t>−</w:t>
            </w:r>
            <w:r w:rsidR="00A460C6" w:rsidRPr="00086D29">
              <w:rPr>
                <w:color w:val="auto"/>
                <w:szCs w:val="18"/>
              </w:rPr>
              <w:t>1.36</w:t>
            </w:r>
          </w:p>
        </w:tc>
        <w:tc>
          <w:tcPr>
            <w:tcW w:w="307" w:type="pct"/>
            <w:tcBorders>
              <w:bottom w:val="single" w:sz="4" w:space="0" w:color="auto"/>
            </w:tcBorders>
            <w:shd w:val="clear" w:color="auto" w:fill="FFFFFF" w:themeFill="background1"/>
            <w:vAlign w:val="center"/>
          </w:tcPr>
          <w:p w14:paraId="3ADA1BE2" w14:textId="4A958FDB" w:rsidR="00A460C6" w:rsidRPr="00086D29" w:rsidRDefault="00AB1120" w:rsidP="00F17C71">
            <w:pPr>
              <w:autoSpaceDE w:val="0"/>
              <w:autoSpaceDN w:val="0"/>
              <w:adjustRightInd w:val="0"/>
              <w:snapToGrid w:val="0"/>
              <w:spacing w:line="240" w:lineRule="auto"/>
              <w:jc w:val="center"/>
              <w:rPr>
                <w:color w:val="auto"/>
                <w:szCs w:val="18"/>
              </w:rPr>
            </w:pPr>
            <w:r>
              <w:rPr>
                <w:color w:val="auto"/>
                <w:szCs w:val="18"/>
              </w:rPr>
              <w:t>0</w:t>
            </w:r>
            <w:r w:rsidR="00A460C6" w:rsidRPr="00086D29">
              <w:rPr>
                <w:color w:val="auto"/>
                <w:szCs w:val="18"/>
              </w:rPr>
              <w:t>.178</w:t>
            </w:r>
          </w:p>
        </w:tc>
      </w:tr>
      <w:tr w:rsidR="00C8300B" w:rsidRPr="00086D29" w14:paraId="4745A974" w14:textId="77777777" w:rsidTr="00DB5DCF">
        <w:trPr>
          <w:gridAfter w:val="1"/>
          <w:wAfter w:w="35" w:type="pct"/>
          <w:cantSplit/>
          <w:jc w:val="center"/>
        </w:trPr>
        <w:tc>
          <w:tcPr>
            <w:tcW w:w="407" w:type="pct"/>
            <w:tcBorders>
              <w:top w:val="single" w:sz="4" w:space="0" w:color="auto"/>
            </w:tcBorders>
            <w:shd w:val="clear" w:color="auto" w:fill="FFFFFF" w:themeFill="background1"/>
            <w:vAlign w:val="center"/>
          </w:tcPr>
          <w:p w14:paraId="4BC94E7B" w14:textId="77777777" w:rsidR="00A460C6" w:rsidRPr="00086D29" w:rsidRDefault="00A460C6" w:rsidP="00F17C71">
            <w:pPr>
              <w:autoSpaceDE w:val="0"/>
              <w:autoSpaceDN w:val="0"/>
              <w:adjustRightInd w:val="0"/>
              <w:snapToGrid w:val="0"/>
              <w:spacing w:line="240" w:lineRule="auto"/>
              <w:jc w:val="center"/>
              <w:rPr>
                <w:color w:val="auto"/>
                <w:szCs w:val="18"/>
              </w:rPr>
            </w:pPr>
            <w:r w:rsidRPr="00086D29">
              <w:rPr>
                <w:color w:val="auto"/>
                <w:szCs w:val="18"/>
              </w:rPr>
              <w:t>Step 2</w:t>
            </w:r>
          </w:p>
        </w:tc>
        <w:tc>
          <w:tcPr>
            <w:tcW w:w="1506" w:type="pct"/>
            <w:gridSpan w:val="5"/>
            <w:tcBorders>
              <w:top w:val="single" w:sz="4" w:space="0" w:color="auto"/>
            </w:tcBorders>
            <w:shd w:val="clear" w:color="auto" w:fill="FFFFFF" w:themeFill="background1"/>
            <w:vAlign w:val="center"/>
          </w:tcPr>
          <w:p w14:paraId="04D494A3" w14:textId="2DB4E191" w:rsidR="00A460C6" w:rsidRPr="00086D29" w:rsidRDefault="00A460C6" w:rsidP="00F17C71">
            <w:pPr>
              <w:autoSpaceDE w:val="0"/>
              <w:autoSpaceDN w:val="0"/>
              <w:adjustRightInd w:val="0"/>
              <w:snapToGrid w:val="0"/>
              <w:spacing w:line="240" w:lineRule="auto"/>
              <w:jc w:val="center"/>
              <w:rPr>
                <w:color w:val="auto"/>
                <w:szCs w:val="18"/>
              </w:rPr>
            </w:pPr>
            <w:r w:rsidRPr="00086D29">
              <w:rPr>
                <w:i/>
                <w:iCs/>
                <w:color w:val="auto"/>
                <w:szCs w:val="18"/>
              </w:rPr>
              <w:sym w:font="Symbol" w:char="F044"/>
            </w:r>
            <w:r w:rsidRPr="00086D29">
              <w:rPr>
                <w:i/>
                <w:iCs/>
                <w:color w:val="auto"/>
                <w:szCs w:val="18"/>
              </w:rPr>
              <w:t>R</w:t>
            </w:r>
            <w:r w:rsidRPr="00086D29">
              <w:rPr>
                <w:i/>
                <w:iCs/>
                <w:color w:val="auto"/>
                <w:szCs w:val="18"/>
                <w:vertAlign w:val="superscript"/>
              </w:rPr>
              <w:t>2</w:t>
            </w:r>
            <w:r w:rsidRPr="00086D29">
              <w:rPr>
                <w:color w:val="auto"/>
                <w:szCs w:val="18"/>
              </w:rPr>
              <w:t xml:space="preserve"> =</w:t>
            </w:r>
            <w:r w:rsidR="008B3F57" w:rsidRPr="00086D29">
              <w:rPr>
                <w:color w:val="auto"/>
                <w:szCs w:val="18"/>
              </w:rPr>
              <w:t xml:space="preserve"> 0.</w:t>
            </w:r>
            <w:r w:rsidRPr="00086D29">
              <w:rPr>
                <w:color w:val="auto"/>
                <w:szCs w:val="18"/>
              </w:rPr>
              <w:t xml:space="preserve">04, </w:t>
            </w:r>
            <w:r w:rsidRPr="00086D29">
              <w:rPr>
                <w:i/>
                <w:iCs/>
                <w:color w:val="auto"/>
                <w:szCs w:val="18"/>
              </w:rPr>
              <w:sym w:font="Symbol" w:char="F044"/>
            </w:r>
            <w:r w:rsidRPr="00086D29">
              <w:rPr>
                <w:i/>
                <w:iCs/>
                <w:color w:val="auto"/>
                <w:szCs w:val="18"/>
              </w:rPr>
              <w:t>F</w:t>
            </w:r>
            <w:r w:rsidRPr="00086D29">
              <w:rPr>
                <w:color w:val="auto"/>
                <w:szCs w:val="18"/>
              </w:rPr>
              <w:t xml:space="preserve"> = 3.50, </w:t>
            </w:r>
            <w:r w:rsidRPr="00086D29">
              <w:rPr>
                <w:i/>
                <w:iCs/>
                <w:color w:val="auto"/>
                <w:szCs w:val="18"/>
              </w:rPr>
              <w:t>p</w:t>
            </w:r>
            <w:r w:rsidRPr="00086D29">
              <w:rPr>
                <w:color w:val="auto"/>
                <w:szCs w:val="18"/>
              </w:rPr>
              <w:t xml:space="preserve"> =</w:t>
            </w:r>
            <w:r w:rsidR="008B3F57" w:rsidRPr="00086D29">
              <w:rPr>
                <w:color w:val="auto"/>
                <w:szCs w:val="18"/>
              </w:rPr>
              <w:t xml:space="preserve"> 0.</w:t>
            </w:r>
            <w:r w:rsidRPr="00086D29">
              <w:rPr>
                <w:color w:val="auto"/>
                <w:szCs w:val="18"/>
              </w:rPr>
              <w:t>032</w:t>
            </w:r>
          </w:p>
        </w:tc>
        <w:tc>
          <w:tcPr>
            <w:tcW w:w="1510" w:type="pct"/>
            <w:gridSpan w:val="5"/>
            <w:tcBorders>
              <w:top w:val="single" w:sz="4" w:space="0" w:color="auto"/>
            </w:tcBorders>
            <w:shd w:val="clear" w:color="auto" w:fill="FFFFFF" w:themeFill="background1"/>
            <w:vAlign w:val="center"/>
          </w:tcPr>
          <w:p w14:paraId="6A56DD6C" w14:textId="03135870" w:rsidR="00A460C6" w:rsidRPr="00086D29" w:rsidRDefault="00A460C6" w:rsidP="00F17C71">
            <w:pPr>
              <w:autoSpaceDE w:val="0"/>
              <w:autoSpaceDN w:val="0"/>
              <w:adjustRightInd w:val="0"/>
              <w:snapToGrid w:val="0"/>
              <w:spacing w:line="240" w:lineRule="auto"/>
              <w:jc w:val="center"/>
              <w:rPr>
                <w:color w:val="auto"/>
                <w:szCs w:val="18"/>
              </w:rPr>
            </w:pPr>
            <w:r w:rsidRPr="00086D29">
              <w:rPr>
                <w:i/>
                <w:iCs/>
                <w:color w:val="auto"/>
                <w:szCs w:val="18"/>
              </w:rPr>
              <w:sym w:font="Symbol" w:char="F044"/>
            </w:r>
            <w:r w:rsidRPr="00086D29">
              <w:rPr>
                <w:i/>
                <w:iCs/>
                <w:color w:val="auto"/>
                <w:szCs w:val="18"/>
              </w:rPr>
              <w:t>R</w:t>
            </w:r>
            <w:r w:rsidRPr="00086D29">
              <w:rPr>
                <w:i/>
                <w:iCs/>
                <w:color w:val="auto"/>
                <w:szCs w:val="18"/>
                <w:vertAlign w:val="superscript"/>
              </w:rPr>
              <w:t>2</w:t>
            </w:r>
            <w:r w:rsidRPr="00086D29">
              <w:rPr>
                <w:color w:val="auto"/>
                <w:szCs w:val="18"/>
              </w:rPr>
              <w:t xml:space="preserve"> =</w:t>
            </w:r>
            <w:r w:rsidR="008B3F57" w:rsidRPr="00086D29">
              <w:rPr>
                <w:color w:val="auto"/>
                <w:szCs w:val="18"/>
              </w:rPr>
              <w:t xml:space="preserve"> 0.</w:t>
            </w:r>
            <w:r w:rsidRPr="00086D29">
              <w:rPr>
                <w:color w:val="auto"/>
                <w:szCs w:val="18"/>
              </w:rPr>
              <w:t xml:space="preserve">02, </w:t>
            </w:r>
            <w:r w:rsidRPr="00086D29">
              <w:rPr>
                <w:i/>
                <w:iCs/>
                <w:color w:val="auto"/>
                <w:szCs w:val="18"/>
              </w:rPr>
              <w:sym w:font="Symbol" w:char="F044"/>
            </w:r>
            <w:r w:rsidRPr="00086D29">
              <w:rPr>
                <w:i/>
                <w:iCs/>
                <w:color w:val="auto"/>
                <w:szCs w:val="18"/>
              </w:rPr>
              <w:t>F</w:t>
            </w:r>
            <w:r w:rsidRPr="00086D29">
              <w:rPr>
                <w:color w:val="auto"/>
                <w:szCs w:val="18"/>
              </w:rPr>
              <w:t xml:space="preserve"> = 1.68,</w:t>
            </w:r>
            <w:r w:rsidRPr="00086D29">
              <w:rPr>
                <w:i/>
                <w:iCs/>
                <w:color w:val="auto"/>
                <w:szCs w:val="18"/>
              </w:rPr>
              <w:t xml:space="preserve"> p</w:t>
            </w:r>
            <w:r w:rsidRPr="00086D29">
              <w:rPr>
                <w:color w:val="auto"/>
                <w:szCs w:val="18"/>
              </w:rPr>
              <w:t xml:space="preserve"> =</w:t>
            </w:r>
            <w:r w:rsidR="008B3F57" w:rsidRPr="00086D29">
              <w:rPr>
                <w:color w:val="auto"/>
                <w:szCs w:val="18"/>
              </w:rPr>
              <w:t xml:space="preserve"> 0.</w:t>
            </w:r>
            <w:r w:rsidRPr="00086D29">
              <w:rPr>
                <w:color w:val="auto"/>
                <w:szCs w:val="18"/>
              </w:rPr>
              <w:t>190</w:t>
            </w:r>
          </w:p>
        </w:tc>
        <w:tc>
          <w:tcPr>
            <w:tcW w:w="1543" w:type="pct"/>
            <w:gridSpan w:val="5"/>
            <w:tcBorders>
              <w:top w:val="single" w:sz="4" w:space="0" w:color="auto"/>
            </w:tcBorders>
            <w:shd w:val="clear" w:color="auto" w:fill="FFFFFF" w:themeFill="background1"/>
            <w:vAlign w:val="center"/>
          </w:tcPr>
          <w:p w14:paraId="21795885" w14:textId="3468449C" w:rsidR="00A460C6" w:rsidRPr="00086D29" w:rsidRDefault="00A460C6" w:rsidP="00F17C71">
            <w:pPr>
              <w:autoSpaceDE w:val="0"/>
              <w:autoSpaceDN w:val="0"/>
              <w:adjustRightInd w:val="0"/>
              <w:snapToGrid w:val="0"/>
              <w:spacing w:line="240" w:lineRule="auto"/>
              <w:jc w:val="center"/>
              <w:rPr>
                <w:color w:val="auto"/>
                <w:szCs w:val="18"/>
              </w:rPr>
            </w:pPr>
            <w:r w:rsidRPr="00086D29">
              <w:rPr>
                <w:i/>
                <w:iCs/>
                <w:color w:val="auto"/>
                <w:szCs w:val="18"/>
              </w:rPr>
              <w:sym w:font="Symbol" w:char="F044"/>
            </w:r>
            <w:r w:rsidRPr="00086D29">
              <w:rPr>
                <w:i/>
                <w:iCs/>
                <w:color w:val="auto"/>
                <w:szCs w:val="18"/>
              </w:rPr>
              <w:t>R</w:t>
            </w:r>
            <w:r w:rsidRPr="00086D29">
              <w:rPr>
                <w:i/>
                <w:iCs/>
                <w:color w:val="auto"/>
                <w:szCs w:val="18"/>
                <w:vertAlign w:val="superscript"/>
              </w:rPr>
              <w:t>2</w:t>
            </w:r>
            <w:r w:rsidRPr="00086D29">
              <w:rPr>
                <w:color w:val="auto"/>
                <w:szCs w:val="18"/>
              </w:rPr>
              <w:t xml:space="preserve"> =</w:t>
            </w:r>
            <w:r w:rsidR="008B3F57" w:rsidRPr="00086D29">
              <w:rPr>
                <w:color w:val="auto"/>
                <w:szCs w:val="18"/>
              </w:rPr>
              <w:t xml:space="preserve"> 0.</w:t>
            </w:r>
            <w:r w:rsidRPr="00086D29">
              <w:rPr>
                <w:color w:val="auto"/>
                <w:szCs w:val="18"/>
              </w:rPr>
              <w:t xml:space="preserve">07, </w:t>
            </w:r>
            <w:r w:rsidRPr="00086D29">
              <w:rPr>
                <w:i/>
                <w:iCs/>
                <w:color w:val="auto"/>
                <w:szCs w:val="18"/>
              </w:rPr>
              <w:sym w:font="Symbol" w:char="F044"/>
            </w:r>
            <w:r w:rsidRPr="00086D29">
              <w:rPr>
                <w:i/>
                <w:iCs/>
                <w:color w:val="auto"/>
                <w:szCs w:val="18"/>
              </w:rPr>
              <w:t>F</w:t>
            </w:r>
            <w:r w:rsidRPr="00086D29">
              <w:rPr>
                <w:color w:val="auto"/>
                <w:szCs w:val="18"/>
              </w:rPr>
              <w:t xml:space="preserve"> = 4.11,</w:t>
            </w:r>
            <w:r w:rsidRPr="00086D29">
              <w:rPr>
                <w:i/>
                <w:iCs/>
                <w:color w:val="auto"/>
                <w:szCs w:val="18"/>
              </w:rPr>
              <w:t xml:space="preserve"> p</w:t>
            </w:r>
            <w:r w:rsidRPr="00086D29">
              <w:rPr>
                <w:color w:val="auto"/>
                <w:szCs w:val="18"/>
              </w:rPr>
              <w:t xml:space="preserve"> =</w:t>
            </w:r>
            <w:r w:rsidR="008B3F57" w:rsidRPr="00086D29">
              <w:rPr>
                <w:color w:val="auto"/>
                <w:szCs w:val="18"/>
              </w:rPr>
              <w:t xml:space="preserve"> 0.</w:t>
            </w:r>
            <w:r w:rsidRPr="00086D29">
              <w:rPr>
                <w:color w:val="auto"/>
                <w:szCs w:val="18"/>
              </w:rPr>
              <w:t>019</w:t>
            </w:r>
          </w:p>
        </w:tc>
      </w:tr>
      <w:tr w:rsidR="00F17C71" w:rsidRPr="00086D29" w14:paraId="5589F3A3" w14:textId="77777777" w:rsidTr="00DB5DCF">
        <w:trPr>
          <w:gridAfter w:val="1"/>
          <w:wAfter w:w="35" w:type="pct"/>
          <w:cantSplit/>
          <w:jc w:val="center"/>
        </w:trPr>
        <w:tc>
          <w:tcPr>
            <w:tcW w:w="407" w:type="pct"/>
            <w:shd w:val="clear" w:color="auto" w:fill="FFFFFF" w:themeFill="background1"/>
            <w:vAlign w:val="center"/>
          </w:tcPr>
          <w:p w14:paraId="56829763" w14:textId="77777777" w:rsidR="00A460C6" w:rsidRPr="00086D29" w:rsidRDefault="00A460C6" w:rsidP="00F17C71">
            <w:pPr>
              <w:autoSpaceDE w:val="0"/>
              <w:autoSpaceDN w:val="0"/>
              <w:adjustRightInd w:val="0"/>
              <w:snapToGrid w:val="0"/>
              <w:spacing w:line="240" w:lineRule="auto"/>
              <w:jc w:val="center"/>
              <w:rPr>
                <w:color w:val="auto"/>
                <w:szCs w:val="18"/>
              </w:rPr>
            </w:pPr>
            <w:r w:rsidRPr="00086D29">
              <w:rPr>
                <w:color w:val="auto"/>
                <w:szCs w:val="18"/>
              </w:rPr>
              <w:t>Age</w:t>
            </w:r>
          </w:p>
        </w:tc>
        <w:tc>
          <w:tcPr>
            <w:tcW w:w="292" w:type="pct"/>
            <w:shd w:val="clear" w:color="auto" w:fill="FFFFFF" w:themeFill="background1"/>
            <w:vAlign w:val="center"/>
          </w:tcPr>
          <w:p w14:paraId="6AF69F68" w14:textId="53EDAF7E" w:rsidR="00A460C6" w:rsidRPr="00086D29" w:rsidRDefault="00086D29" w:rsidP="00F17C71">
            <w:pPr>
              <w:autoSpaceDE w:val="0"/>
              <w:autoSpaceDN w:val="0"/>
              <w:adjustRightInd w:val="0"/>
              <w:snapToGrid w:val="0"/>
              <w:spacing w:line="240" w:lineRule="auto"/>
              <w:jc w:val="center"/>
              <w:rPr>
                <w:color w:val="auto"/>
                <w:szCs w:val="18"/>
              </w:rPr>
            </w:pPr>
            <w:r>
              <w:rPr>
                <w:color w:val="auto"/>
                <w:szCs w:val="18"/>
              </w:rPr>
              <w:t>0</w:t>
            </w:r>
            <w:r w:rsidR="00A460C6" w:rsidRPr="00086D29">
              <w:rPr>
                <w:color w:val="auto"/>
                <w:szCs w:val="18"/>
              </w:rPr>
              <w:t>.21</w:t>
            </w:r>
          </w:p>
        </w:tc>
        <w:tc>
          <w:tcPr>
            <w:tcW w:w="311" w:type="pct"/>
            <w:shd w:val="clear" w:color="auto" w:fill="FFFFFF" w:themeFill="background1"/>
            <w:vAlign w:val="center"/>
          </w:tcPr>
          <w:p w14:paraId="124E4EF2" w14:textId="77777777" w:rsidR="00A460C6" w:rsidRPr="00086D29" w:rsidRDefault="00A460C6" w:rsidP="00F17C71">
            <w:pPr>
              <w:autoSpaceDE w:val="0"/>
              <w:autoSpaceDN w:val="0"/>
              <w:adjustRightInd w:val="0"/>
              <w:snapToGrid w:val="0"/>
              <w:spacing w:line="240" w:lineRule="auto"/>
              <w:jc w:val="center"/>
              <w:rPr>
                <w:color w:val="auto"/>
                <w:szCs w:val="18"/>
              </w:rPr>
            </w:pPr>
            <w:r w:rsidRPr="00086D29">
              <w:rPr>
                <w:color w:val="auto"/>
                <w:szCs w:val="18"/>
              </w:rPr>
              <w:t xml:space="preserve">0.07 </w:t>
            </w:r>
          </w:p>
          <w:p w14:paraId="61375E9F" w14:textId="77777777" w:rsidR="00A460C6" w:rsidRPr="00086D29" w:rsidRDefault="00A460C6" w:rsidP="00F17C71">
            <w:pPr>
              <w:autoSpaceDE w:val="0"/>
              <w:autoSpaceDN w:val="0"/>
              <w:adjustRightInd w:val="0"/>
              <w:snapToGrid w:val="0"/>
              <w:spacing w:line="240" w:lineRule="auto"/>
              <w:jc w:val="center"/>
              <w:rPr>
                <w:color w:val="auto"/>
                <w:szCs w:val="18"/>
              </w:rPr>
            </w:pPr>
            <w:r w:rsidRPr="00086D29">
              <w:rPr>
                <w:color w:val="auto"/>
                <w:szCs w:val="18"/>
              </w:rPr>
              <w:t>(0.03)</w:t>
            </w:r>
          </w:p>
        </w:tc>
        <w:tc>
          <w:tcPr>
            <w:tcW w:w="375" w:type="pct"/>
            <w:shd w:val="clear" w:color="auto" w:fill="FFFFFF" w:themeFill="background1"/>
            <w:vAlign w:val="center"/>
          </w:tcPr>
          <w:p w14:paraId="2435E942" w14:textId="77777777" w:rsidR="00A460C6" w:rsidRPr="00086D29" w:rsidRDefault="00A460C6" w:rsidP="00F17C71">
            <w:pPr>
              <w:autoSpaceDE w:val="0"/>
              <w:autoSpaceDN w:val="0"/>
              <w:adjustRightInd w:val="0"/>
              <w:snapToGrid w:val="0"/>
              <w:spacing w:line="240" w:lineRule="auto"/>
              <w:jc w:val="center"/>
              <w:rPr>
                <w:color w:val="auto"/>
                <w:szCs w:val="18"/>
              </w:rPr>
            </w:pPr>
            <w:r w:rsidRPr="00086D29">
              <w:rPr>
                <w:color w:val="auto"/>
                <w:szCs w:val="18"/>
              </w:rPr>
              <w:t>0.02, 0.12</w:t>
            </w:r>
          </w:p>
        </w:tc>
        <w:tc>
          <w:tcPr>
            <w:tcW w:w="217" w:type="pct"/>
            <w:shd w:val="clear" w:color="auto" w:fill="FFFFFF" w:themeFill="background1"/>
            <w:vAlign w:val="center"/>
          </w:tcPr>
          <w:p w14:paraId="4342473E" w14:textId="77777777" w:rsidR="00A460C6" w:rsidRPr="00086D29" w:rsidRDefault="00A460C6" w:rsidP="00F17C71">
            <w:pPr>
              <w:autoSpaceDE w:val="0"/>
              <w:autoSpaceDN w:val="0"/>
              <w:adjustRightInd w:val="0"/>
              <w:snapToGrid w:val="0"/>
              <w:spacing w:line="240" w:lineRule="auto"/>
              <w:jc w:val="center"/>
              <w:rPr>
                <w:color w:val="auto"/>
                <w:szCs w:val="18"/>
              </w:rPr>
            </w:pPr>
            <w:r w:rsidRPr="00086D29">
              <w:rPr>
                <w:color w:val="auto"/>
                <w:szCs w:val="18"/>
              </w:rPr>
              <w:t>2.91</w:t>
            </w:r>
          </w:p>
        </w:tc>
        <w:tc>
          <w:tcPr>
            <w:tcW w:w="312" w:type="pct"/>
            <w:shd w:val="clear" w:color="auto" w:fill="FFFFFF" w:themeFill="background1"/>
            <w:vAlign w:val="center"/>
          </w:tcPr>
          <w:p w14:paraId="60B3ED30" w14:textId="1A8325CC" w:rsidR="00A460C6" w:rsidRPr="00086D29" w:rsidRDefault="00AB1120" w:rsidP="00F17C71">
            <w:pPr>
              <w:autoSpaceDE w:val="0"/>
              <w:autoSpaceDN w:val="0"/>
              <w:adjustRightInd w:val="0"/>
              <w:snapToGrid w:val="0"/>
              <w:spacing w:line="240" w:lineRule="auto"/>
              <w:jc w:val="center"/>
              <w:rPr>
                <w:color w:val="auto"/>
                <w:szCs w:val="18"/>
              </w:rPr>
            </w:pPr>
            <w:r>
              <w:rPr>
                <w:color w:val="auto"/>
                <w:szCs w:val="18"/>
              </w:rPr>
              <w:t>0</w:t>
            </w:r>
            <w:r w:rsidR="00A460C6" w:rsidRPr="00086D29">
              <w:rPr>
                <w:color w:val="auto"/>
                <w:szCs w:val="18"/>
              </w:rPr>
              <w:t>.004</w:t>
            </w:r>
          </w:p>
        </w:tc>
        <w:tc>
          <w:tcPr>
            <w:tcW w:w="252" w:type="pct"/>
            <w:shd w:val="clear" w:color="auto" w:fill="FFFFFF" w:themeFill="background1"/>
            <w:vAlign w:val="center"/>
          </w:tcPr>
          <w:p w14:paraId="719F3834" w14:textId="41E8C966" w:rsidR="00A460C6" w:rsidRPr="00086D29" w:rsidRDefault="00AB1120" w:rsidP="00F17C71">
            <w:pPr>
              <w:autoSpaceDE w:val="0"/>
              <w:autoSpaceDN w:val="0"/>
              <w:adjustRightInd w:val="0"/>
              <w:snapToGrid w:val="0"/>
              <w:spacing w:line="240" w:lineRule="auto"/>
              <w:jc w:val="center"/>
              <w:rPr>
                <w:color w:val="auto"/>
                <w:szCs w:val="18"/>
              </w:rPr>
            </w:pPr>
            <w:r>
              <w:rPr>
                <w:color w:val="auto"/>
                <w:szCs w:val="18"/>
              </w:rPr>
              <w:t>0</w:t>
            </w:r>
            <w:r w:rsidR="00A460C6" w:rsidRPr="00086D29">
              <w:rPr>
                <w:color w:val="auto"/>
                <w:szCs w:val="18"/>
              </w:rPr>
              <w:t>.24</w:t>
            </w:r>
          </w:p>
        </w:tc>
        <w:tc>
          <w:tcPr>
            <w:tcW w:w="322" w:type="pct"/>
            <w:shd w:val="clear" w:color="auto" w:fill="FFFFFF" w:themeFill="background1"/>
            <w:vAlign w:val="center"/>
          </w:tcPr>
          <w:p w14:paraId="043C2711" w14:textId="77777777" w:rsidR="00A460C6" w:rsidRPr="00086D29" w:rsidRDefault="00A460C6" w:rsidP="00F17C71">
            <w:pPr>
              <w:autoSpaceDE w:val="0"/>
              <w:autoSpaceDN w:val="0"/>
              <w:adjustRightInd w:val="0"/>
              <w:snapToGrid w:val="0"/>
              <w:spacing w:line="240" w:lineRule="auto"/>
              <w:jc w:val="center"/>
              <w:rPr>
                <w:color w:val="auto"/>
                <w:szCs w:val="18"/>
              </w:rPr>
            </w:pPr>
            <w:r w:rsidRPr="00086D29">
              <w:rPr>
                <w:color w:val="auto"/>
                <w:szCs w:val="18"/>
              </w:rPr>
              <w:t>0.08 (0.03)</w:t>
            </w:r>
          </w:p>
        </w:tc>
        <w:tc>
          <w:tcPr>
            <w:tcW w:w="321" w:type="pct"/>
            <w:shd w:val="clear" w:color="auto" w:fill="FFFFFF" w:themeFill="background1"/>
            <w:vAlign w:val="center"/>
          </w:tcPr>
          <w:p w14:paraId="12B37A8A" w14:textId="77777777" w:rsidR="00A460C6" w:rsidRPr="00086D29" w:rsidRDefault="00A460C6" w:rsidP="00F17C71">
            <w:pPr>
              <w:autoSpaceDE w:val="0"/>
              <w:autoSpaceDN w:val="0"/>
              <w:adjustRightInd w:val="0"/>
              <w:snapToGrid w:val="0"/>
              <w:spacing w:line="240" w:lineRule="auto"/>
              <w:jc w:val="center"/>
              <w:rPr>
                <w:color w:val="auto"/>
                <w:szCs w:val="18"/>
              </w:rPr>
            </w:pPr>
            <w:r w:rsidRPr="00086D29">
              <w:rPr>
                <w:color w:val="auto"/>
                <w:szCs w:val="18"/>
              </w:rPr>
              <w:t xml:space="preserve">0.02, </w:t>
            </w:r>
          </w:p>
          <w:p w14:paraId="0A70BEED" w14:textId="77777777" w:rsidR="00A460C6" w:rsidRPr="00086D29" w:rsidRDefault="00A460C6" w:rsidP="00F17C71">
            <w:pPr>
              <w:autoSpaceDE w:val="0"/>
              <w:autoSpaceDN w:val="0"/>
              <w:adjustRightInd w:val="0"/>
              <w:snapToGrid w:val="0"/>
              <w:spacing w:line="240" w:lineRule="auto"/>
              <w:jc w:val="center"/>
              <w:rPr>
                <w:color w:val="auto"/>
                <w:szCs w:val="18"/>
              </w:rPr>
            </w:pPr>
            <w:r w:rsidRPr="00086D29">
              <w:rPr>
                <w:color w:val="auto"/>
                <w:szCs w:val="18"/>
              </w:rPr>
              <w:t>0.13</w:t>
            </w:r>
          </w:p>
        </w:tc>
        <w:tc>
          <w:tcPr>
            <w:tcW w:w="300" w:type="pct"/>
            <w:shd w:val="clear" w:color="auto" w:fill="FFFFFF" w:themeFill="background1"/>
            <w:vAlign w:val="center"/>
          </w:tcPr>
          <w:p w14:paraId="225945D1" w14:textId="77777777" w:rsidR="00A460C6" w:rsidRPr="00086D29" w:rsidRDefault="00A460C6" w:rsidP="00F17C71">
            <w:pPr>
              <w:autoSpaceDE w:val="0"/>
              <w:autoSpaceDN w:val="0"/>
              <w:adjustRightInd w:val="0"/>
              <w:snapToGrid w:val="0"/>
              <w:spacing w:line="240" w:lineRule="auto"/>
              <w:jc w:val="center"/>
              <w:rPr>
                <w:color w:val="auto"/>
                <w:szCs w:val="18"/>
              </w:rPr>
            </w:pPr>
            <w:r w:rsidRPr="00086D29">
              <w:rPr>
                <w:color w:val="auto"/>
                <w:szCs w:val="18"/>
              </w:rPr>
              <w:t>2.91</w:t>
            </w:r>
          </w:p>
        </w:tc>
        <w:tc>
          <w:tcPr>
            <w:tcW w:w="315" w:type="pct"/>
            <w:shd w:val="clear" w:color="auto" w:fill="FFFFFF" w:themeFill="background1"/>
            <w:vAlign w:val="center"/>
          </w:tcPr>
          <w:p w14:paraId="55D833D9" w14:textId="16A2C6FF" w:rsidR="00A460C6" w:rsidRPr="00086D29" w:rsidRDefault="00AB1120" w:rsidP="00F17C71">
            <w:pPr>
              <w:autoSpaceDE w:val="0"/>
              <w:autoSpaceDN w:val="0"/>
              <w:adjustRightInd w:val="0"/>
              <w:snapToGrid w:val="0"/>
              <w:spacing w:line="240" w:lineRule="auto"/>
              <w:jc w:val="center"/>
              <w:rPr>
                <w:color w:val="auto"/>
                <w:szCs w:val="18"/>
              </w:rPr>
            </w:pPr>
            <w:r>
              <w:rPr>
                <w:color w:val="auto"/>
                <w:szCs w:val="18"/>
              </w:rPr>
              <w:t>0</w:t>
            </w:r>
            <w:r w:rsidR="00A460C6" w:rsidRPr="00086D29">
              <w:rPr>
                <w:color w:val="auto"/>
                <w:szCs w:val="18"/>
              </w:rPr>
              <w:t>.004</w:t>
            </w:r>
          </w:p>
        </w:tc>
        <w:tc>
          <w:tcPr>
            <w:tcW w:w="253" w:type="pct"/>
            <w:shd w:val="clear" w:color="auto" w:fill="FFFFFF" w:themeFill="background1"/>
            <w:vAlign w:val="center"/>
          </w:tcPr>
          <w:p w14:paraId="6249EC43" w14:textId="7DB8D543" w:rsidR="00A460C6" w:rsidRPr="00086D29" w:rsidRDefault="00AB1120" w:rsidP="00F17C71">
            <w:pPr>
              <w:autoSpaceDE w:val="0"/>
              <w:autoSpaceDN w:val="0"/>
              <w:adjustRightInd w:val="0"/>
              <w:snapToGrid w:val="0"/>
              <w:spacing w:line="240" w:lineRule="auto"/>
              <w:jc w:val="center"/>
              <w:rPr>
                <w:color w:val="auto"/>
                <w:szCs w:val="18"/>
              </w:rPr>
            </w:pPr>
            <w:r>
              <w:rPr>
                <w:color w:val="auto"/>
                <w:szCs w:val="18"/>
              </w:rPr>
              <w:t>0</w:t>
            </w:r>
            <w:r w:rsidR="00A460C6" w:rsidRPr="00086D29">
              <w:rPr>
                <w:color w:val="auto"/>
                <w:szCs w:val="18"/>
              </w:rPr>
              <w:t>.22</w:t>
            </w:r>
          </w:p>
        </w:tc>
        <w:tc>
          <w:tcPr>
            <w:tcW w:w="361" w:type="pct"/>
            <w:shd w:val="clear" w:color="auto" w:fill="FFFFFF" w:themeFill="background1"/>
            <w:vAlign w:val="center"/>
          </w:tcPr>
          <w:p w14:paraId="48F9BDC6" w14:textId="77777777" w:rsidR="00A460C6" w:rsidRPr="00086D29" w:rsidRDefault="00A460C6" w:rsidP="00F17C71">
            <w:pPr>
              <w:autoSpaceDE w:val="0"/>
              <w:autoSpaceDN w:val="0"/>
              <w:adjustRightInd w:val="0"/>
              <w:snapToGrid w:val="0"/>
              <w:spacing w:line="240" w:lineRule="auto"/>
              <w:jc w:val="center"/>
              <w:rPr>
                <w:color w:val="auto"/>
                <w:szCs w:val="18"/>
              </w:rPr>
            </w:pPr>
            <w:r w:rsidRPr="00086D29">
              <w:rPr>
                <w:color w:val="auto"/>
                <w:szCs w:val="18"/>
              </w:rPr>
              <w:t>0.07</w:t>
            </w:r>
          </w:p>
          <w:p w14:paraId="2FF2434D" w14:textId="77777777" w:rsidR="00A460C6" w:rsidRPr="00086D29" w:rsidRDefault="00A460C6" w:rsidP="00F17C71">
            <w:pPr>
              <w:autoSpaceDE w:val="0"/>
              <w:autoSpaceDN w:val="0"/>
              <w:adjustRightInd w:val="0"/>
              <w:snapToGrid w:val="0"/>
              <w:spacing w:line="240" w:lineRule="auto"/>
              <w:jc w:val="center"/>
              <w:rPr>
                <w:color w:val="auto"/>
                <w:szCs w:val="18"/>
              </w:rPr>
            </w:pPr>
            <w:r w:rsidRPr="00086D29">
              <w:rPr>
                <w:color w:val="auto"/>
                <w:szCs w:val="18"/>
              </w:rPr>
              <w:t>(0.03)</w:t>
            </w:r>
          </w:p>
        </w:tc>
        <w:tc>
          <w:tcPr>
            <w:tcW w:w="322" w:type="pct"/>
            <w:shd w:val="clear" w:color="auto" w:fill="FFFFFF" w:themeFill="background1"/>
            <w:vAlign w:val="center"/>
          </w:tcPr>
          <w:p w14:paraId="7C0CA9CD" w14:textId="77777777" w:rsidR="00A460C6" w:rsidRPr="00086D29" w:rsidRDefault="00A460C6" w:rsidP="00F17C71">
            <w:pPr>
              <w:autoSpaceDE w:val="0"/>
              <w:autoSpaceDN w:val="0"/>
              <w:adjustRightInd w:val="0"/>
              <w:snapToGrid w:val="0"/>
              <w:spacing w:line="240" w:lineRule="auto"/>
              <w:jc w:val="center"/>
              <w:rPr>
                <w:color w:val="auto"/>
                <w:szCs w:val="18"/>
              </w:rPr>
            </w:pPr>
            <w:r w:rsidRPr="00086D29">
              <w:rPr>
                <w:color w:val="auto"/>
                <w:szCs w:val="18"/>
              </w:rPr>
              <w:t xml:space="preserve">.012, </w:t>
            </w:r>
          </w:p>
          <w:p w14:paraId="0CDB0C98" w14:textId="77777777" w:rsidR="00A460C6" w:rsidRPr="00086D29" w:rsidRDefault="00A460C6" w:rsidP="00F17C71">
            <w:pPr>
              <w:autoSpaceDE w:val="0"/>
              <w:autoSpaceDN w:val="0"/>
              <w:adjustRightInd w:val="0"/>
              <w:snapToGrid w:val="0"/>
              <w:spacing w:line="240" w:lineRule="auto"/>
              <w:jc w:val="center"/>
              <w:rPr>
                <w:color w:val="auto"/>
                <w:szCs w:val="18"/>
              </w:rPr>
            </w:pPr>
            <w:r w:rsidRPr="00086D29">
              <w:rPr>
                <w:color w:val="auto"/>
                <w:szCs w:val="18"/>
              </w:rPr>
              <w:t>0.13</w:t>
            </w:r>
          </w:p>
        </w:tc>
        <w:tc>
          <w:tcPr>
            <w:tcW w:w="300" w:type="pct"/>
            <w:shd w:val="clear" w:color="auto" w:fill="FFFFFF" w:themeFill="background1"/>
            <w:vAlign w:val="center"/>
          </w:tcPr>
          <w:p w14:paraId="4A7EE515" w14:textId="77777777" w:rsidR="00A460C6" w:rsidRPr="00086D29" w:rsidRDefault="00A460C6" w:rsidP="00F17C71">
            <w:pPr>
              <w:autoSpaceDE w:val="0"/>
              <w:autoSpaceDN w:val="0"/>
              <w:adjustRightInd w:val="0"/>
              <w:snapToGrid w:val="0"/>
              <w:spacing w:line="240" w:lineRule="auto"/>
              <w:jc w:val="center"/>
              <w:rPr>
                <w:color w:val="auto"/>
                <w:szCs w:val="18"/>
              </w:rPr>
            </w:pPr>
            <w:r w:rsidRPr="00086D29">
              <w:rPr>
                <w:color w:val="auto"/>
                <w:szCs w:val="18"/>
              </w:rPr>
              <w:t>2.40</w:t>
            </w:r>
          </w:p>
        </w:tc>
        <w:tc>
          <w:tcPr>
            <w:tcW w:w="307" w:type="pct"/>
            <w:shd w:val="clear" w:color="auto" w:fill="FFFFFF" w:themeFill="background1"/>
            <w:vAlign w:val="center"/>
          </w:tcPr>
          <w:p w14:paraId="01272382" w14:textId="66BCA3DE" w:rsidR="00A460C6" w:rsidRPr="00086D29" w:rsidRDefault="00AB1120" w:rsidP="00F17C71">
            <w:pPr>
              <w:autoSpaceDE w:val="0"/>
              <w:autoSpaceDN w:val="0"/>
              <w:adjustRightInd w:val="0"/>
              <w:snapToGrid w:val="0"/>
              <w:spacing w:line="240" w:lineRule="auto"/>
              <w:jc w:val="center"/>
              <w:rPr>
                <w:color w:val="auto"/>
                <w:szCs w:val="18"/>
              </w:rPr>
            </w:pPr>
            <w:r>
              <w:rPr>
                <w:color w:val="auto"/>
                <w:szCs w:val="18"/>
              </w:rPr>
              <w:t>0</w:t>
            </w:r>
            <w:r w:rsidR="00A460C6" w:rsidRPr="00086D29">
              <w:rPr>
                <w:color w:val="auto"/>
                <w:szCs w:val="18"/>
              </w:rPr>
              <w:t>.018</w:t>
            </w:r>
          </w:p>
        </w:tc>
      </w:tr>
      <w:tr w:rsidR="00F17C71" w:rsidRPr="00086D29" w14:paraId="364FF148" w14:textId="77777777" w:rsidTr="00DB5DCF">
        <w:trPr>
          <w:gridAfter w:val="1"/>
          <w:wAfter w:w="35" w:type="pct"/>
          <w:cantSplit/>
          <w:jc w:val="center"/>
        </w:trPr>
        <w:tc>
          <w:tcPr>
            <w:tcW w:w="407" w:type="pct"/>
            <w:shd w:val="clear" w:color="auto" w:fill="FFFFFF" w:themeFill="background1"/>
            <w:vAlign w:val="center"/>
          </w:tcPr>
          <w:p w14:paraId="2854A403" w14:textId="77777777" w:rsidR="00A460C6" w:rsidRPr="00086D29" w:rsidRDefault="00A460C6" w:rsidP="00F17C71">
            <w:pPr>
              <w:autoSpaceDE w:val="0"/>
              <w:autoSpaceDN w:val="0"/>
              <w:adjustRightInd w:val="0"/>
              <w:snapToGrid w:val="0"/>
              <w:spacing w:line="240" w:lineRule="auto"/>
              <w:jc w:val="center"/>
              <w:rPr>
                <w:color w:val="auto"/>
                <w:szCs w:val="18"/>
              </w:rPr>
            </w:pPr>
            <w:r w:rsidRPr="00086D29">
              <w:rPr>
                <w:color w:val="auto"/>
                <w:szCs w:val="18"/>
              </w:rPr>
              <w:t>Gender</w:t>
            </w:r>
          </w:p>
        </w:tc>
        <w:tc>
          <w:tcPr>
            <w:tcW w:w="292" w:type="pct"/>
            <w:shd w:val="clear" w:color="auto" w:fill="FFFFFF" w:themeFill="background1"/>
            <w:vAlign w:val="center"/>
          </w:tcPr>
          <w:p w14:paraId="5224C654" w14:textId="0EB3F0A0" w:rsidR="00A460C6" w:rsidRPr="00086D29" w:rsidRDefault="00746E18" w:rsidP="00F17C71">
            <w:pPr>
              <w:autoSpaceDE w:val="0"/>
              <w:autoSpaceDN w:val="0"/>
              <w:adjustRightInd w:val="0"/>
              <w:snapToGrid w:val="0"/>
              <w:spacing w:line="240" w:lineRule="auto"/>
              <w:jc w:val="center"/>
              <w:rPr>
                <w:color w:val="auto"/>
                <w:szCs w:val="18"/>
              </w:rPr>
            </w:pPr>
            <w:r>
              <w:rPr>
                <w:color w:val="auto"/>
                <w:szCs w:val="18"/>
              </w:rPr>
              <w:t>−</w:t>
            </w:r>
            <w:r w:rsidR="00086D29">
              <w:rPr>
                <w:color w:val="auto"/>
                <w:szCs w:val="18"/>
              </w:rPr>
              <w:t>0</w:t>
            </w:r>
            <w:r w:rsidR="00A460C6" w:rsidRPr="00086D29">
              <w:rPr>
                <w:color w:val="auto"/>
                <w:szCs w:val="18"/>
              </w:rPr>
              <w:t>.11</w:t>
            </w:r>
          </w:p>
        </w:tc>
        <w:tc>
          <w:tcPr>
            <w:tcW w:w="311" w:type="pct"/>
            <w:shd w:val="clear" w:color="auto" w:fill="FFFFFF" w:themeFill="background1"/>
            <w:vAlign w:val="center"/>
          </w:tcPr>
          <w:p w14:paraId="67D96A0B" w14:textId="5DB8C1D0" w:rsidR="00A460C6" w:rsidRPr="00086D29" w:rsidRDefault="00746E18" w:rsidP="00F17C71">
            <w:pPr>
              <w:autoSpaceDE w:val="0"/>
              <w:autoSpaceDN w:val="0"/>
              <w:adjustRightInd w:val="0"/>
              <w:snapToGrid w:val="0"/>
              <w:spacing w:line="240" w:lineRule="auto"/>
              <w:jc w:val="center"/>
              <w:rPr>
                <w:color w:val="auto"/>
                <w:szCs w:val="18"/>
              </w:rPr>
            </w:pPr>
            <w:r>
              <w:rPr>
                <w:color w:val="auto"/>
                <w:szCs w:val="18"/>
              </w:rPr>
              <w:t>−</w:t>
            </w:r>
            <w:r w:rsidR="00A460C6" w:rsidRPr="00086D29">
              <w:rPr>
                <w:color w:val="auto"/>
                <w:szCs w:val="18"/>
              </w:rPr>
              <w:t>1.54 (1.00)</w:t>
            </w:r>
          </w:p>
        </w:tc>
        <w:tc>
          <w:tcPr>
            <w:tcW w:w="375" w:type="pct"/>
            <w:shd w:val="clear" w:color="auto" w:fill="FFFFFF" w:themeFill="background1"/>
            <w:vAlign w:val="center"/>
          </w:tcPr>
          <w:p w14:paraId="1AC6068F" w14:textId="006CE3B0" w:rsidR="00A460C6" w:rsidRPr="00086D29" w:rsidRDefault="00746E18" w:rsidP="00F17C71">
            <w:pPr>
              <w:autoSpaceDE w:val="0"/>
              <w:autoSpaceDN w:val="0"/>
              <w:adjustRightInd w:val="0"/>
              <w:snapToGrid w:val="0"/>
              <w:spacing w:line="240" w:lineRule="auto"/>
              <w:jc w:val="center"/>
              <w:rPr>
                <w:color w:val="auto"/>
                <w:szCs w:val="18"/>
              </w:rPr>
            </w:pPr>
            <w:r>
              <w:rPr>
                <w:color w:val="auto"/>
                <w:szCs w:val="18"/>
              </w:rPr>
              <w:t>−</w:t>
            </w:r>
            <w:r w:rsidR="00A460C6" w:rsidRPr="00086D29">
              <w:rPr>
                <w:color w:val="auto"/>
                <w:szCs w:val="18"/>
              </w:rPr>
              <w:t>3.50, 0.43</w:t>
            </w:r>
          </w:p>
        </w:tc>
        <w:tc>
          <w:tcPr>
            <w:tcW w:w="217" w:type="pct"/>
            <w:shd w:val="clear" w:color="auto" w:fill="FFFFFF" w:themeFill="background1"/>
            <w:vAlign w:val="center"/>
          </w:tcPr>
          <w:p w14:paraId="39F65844" w14:textId="58981450" w:rsidR="00A460C6" w:rsidRPr="00086D29" w:rsidRDefault="00746E18" w:rsidP="00F17C71">
            <w:pPr>
              <w:autoSpaceDE w:val="0"/>
              <w:autoSpaceDN w:val="0"/>
              <w:adjustRightInd w:val="0"/>
              <w:snapToGrid w:val="0"/>
              <w:spacing w:line="240" w:lineRule="auto"/>
              <w:jc w:val="center"/>
              <w:rPr>
                <w:color w:val="auto"/>
                <w:szCs w:val="18"/>
              </w:rPr>
            </w:pPr>
            <w:r>
              <w:rPr>
                <w:color w:val="auto"/>
                <w:szCs w:val="18"/>
              </w:rPr>
              <w:t>−</w:t>
            </w:r>
            <w:r w:rsidR="00A460C6" w:rsidRPr="00086D29">
              <w:rPr>
                <w:color w:val="auto"/>
                <w:szCs w:val="18"/>
              </w:rPr>
              <w:t>1.54</w:t>
            </w:r>
          </w:p>
        </w:tc>
        <w:tc>
          <w:tcPr>
            <w:tcW w:w="312" w:type="pct"/>
            <w:shd w:val="clear" w:color="auto" w:fill="FFFFFF" w:themeFill="background1"/>
            <w:vAlign w:val="center"/>
          </w:tcPr>
          <w:p w14:paraId="3AA50B02" w14:textId="344DD17C" w:rsidR="00A460C6" w:rsidRPr="00086D29" w:rsidRDefault="00AB1120" w:rsidP="00F17C71">
            <w:pPr>
              <w:autoSpaceDE w:val="0"/>
              <w:autoSpaceDN w:val="0"/>
              <w:adjustRightInd w:val="0"/>
              <w:snapToGrid w:val="0"/>
              <w:spacing w:line="240" w:lineRule="auto"/>
              <w:jc w:val="center"/>
              <w:rPr>
                <w:color w:val="auto"/>
                <w:szCs w:val="18"/>
              </w:rPr>
            </w:pPr>
            <w:r>
              <w:rPr>
                <w:color w:val="auto"/>
                <w:szCs w:val="18"/>
              </w:rPr>
              <w:t>0</w:t>
            </w:r>
            <w:r w:rsidR="00A460C6" w:rsidRPr="00086D29">
              <w:rPr>
                <w:color w:val="auto"/>
                <w:szCs w:val="18"/>
              </w:rPr>
              <w:t>.125</w:t>
            </w:r>
          </w:p>
        </w:tc>
        <w:tc>
          <w:tcPr>
            <w:tcW w:w="252" w:type="pct"/>
            <w:shd w:val="clear" w:color="auto" w:fill="FFFFFF" w:themeFill="background1"/>
            <w:vAlign w:val="center"/>
          </w:tcPr>
          <w:p w14:paraId="68A4318D" w14:textId="66FC4C61" w:rsidR="00A460C6" w:rsidRPr="00086D29" w:rsidRDefault="00746E18" w:rsidP="00F17C71">
            <w:pPr>
              <w:autoSpaceDE w:val="0"/>
              <w:autoSpaceDN w:val="0"/>
              <w:adjustRightInd w:val="0"/>
              <w:snapToGrid w:val="0"/>
              <w:spacing w:line="240" w:lineRule="auto"/>
              <w:jc w:val="center"/>
              <w:rPr>
                <w:color w:val="auto"/>
                <w:szCs w:val="18"/>
              </w:rPr>
            </w:pPr>
            <w:r>
              <w:rPr>
                <w:color w:val="auto"/>
                <w:szCs w:val="18"/>
              </w:rPr>
              <w:t>−</w:t>
            </w:r>
            <w:r w:rsidR="00AB1120">
              <w:rPr>
                <w:color w:val="auto"/>
                <w:szCs w:val="18"/>
              </w:rPr>
              <w:t>0</w:t>
            </w:r>
            <w:r w:rsidR="00A460C6" w:rsidRPr="00086D29">
              <w:rPr>
                <w:color w:val="auto"/>
                <w:szCs w:val="18"/>
              </w:rPr>
              <w:t>.19</w:t>
            </w:r>
          </w:p>
        </w:tc>
        <w:tc>
          <w:tcPr>
            <w:tcW w:w="322" w:type="pct"/>
            <w:shd w:val="clear" w:color="auto" w:fill="FFFFFF" w:themeFill="background1"/>
            <w:vAlign w:val="center"/>
          </w:tcPr>
          <w:p w14:paraId="7E0DE8A7" w14:textId="5B0A9B5D" w:rsidR="00A460C6" w:rsidRPr="00086D29" w:rsidRDefault="00746E18" w:rsidP="00F17C71">
            <w:pPr>
              <w:autoSpaceDE w:val="0"/>
              <w:autoSpaceDN w:val="0"/>
              <w:adjustRightInd w:val="0"/>
              <w:snapToGrid w:val="0"/>
              <w:spacing w:line="240" w:lineRule="auto"/>
              <w:jc w:val="center"/>
              <w:rPr>
                <w:color w:val="auto"/>
                <w:szCs w:val="18"/>
              </w:rPr>
            </w:pPr>
            <w:r>
              <w:rPr>
                <w:color w:val="auto"/>
                <w:szCs w:val="18"/>
              </w:rPr>
              <w:t>−</w:t>
            </w:r>
            <w:r w:rsidR="00A460C6" w:rsidRPr="00086D29">
              <w:rPr>
                <w:color w:val="auto"/>
                <w:szCs w:val="18"/>
              </w:rPr>
              <w:t>2.53 (1.12)</w:t>
            </w:r>
          </w:p>
        </w:tc>
        <w:tc>
          <w:tcPr>
            <w:tcW w:w="321" w:type="pct"/>
            <w:shd w:val="clear" w:color="auto" w:fill="FFFFFF" w:themeFill="background1"/>
            <w:vAlign w:val="center"/>
          </w:tcPr>
          <w:p w14:paraId="76A34739" w14:textId="65CB5D84" w:rsidR="00A460C6" w:rsidRPr="00086D29" w:rsidRDefault="00746E18" w:rsidP="00F17C71">
            <w:pPr>
              <w:autoSpaceDE w:val="0"/>
              <w:autoSpaceDN w:val="0"/>
              <w:adjustRightInd w:val="0"/>
              <w:snapToGrid w:val="0"/>
              <w:spacing w:line="240" w:lineRule="auto"/>
              <w:jc w:val="center"/>
              <w:rPr>
                <w:color w:val="auto"/>
                <w:szCs w:val="18"/>
              </w:rPr>
            </w:pPr>
            <w:r>
              <w:rPr>
                <w:color w:val="auto"/>
                <w:szCs w:val="18"/>
              </w:rPr>
              <w:t>−</w:t>
            </w:r>
            <w:r w:rsidR="00A460C6" w:rsidRPr="00086D29">
              <w:rPr>
                <w:color w:val="auto"/>
                <w:szCs w:val="18"/>
              </w:rPr>
              <w:t>4.74,</w:t>
            </w:r>
          </w:p>
          <w:p w14:paraId="70F05FF2" w14:textId="425A72BF" w:rsidR="00A460C6" w:rsidRPr="00086D29" w:rsidRDefault="00746E18" w:rsidP="00F17C71">
            <w:pPr>
              <w:autoSpaceDE w:val="0"/>
              <w:autoSpaceDN w:val="0"/>
              <w:adjustRightInd w:val="0"/>
              <w:snapToGrid w:val="0"/>
              <w:spacing w:line="240" w:lineRule="auto"/>
              <w:jc w:val="center"/>
              <w:rPr>
                <w:color w:val="auto"/>
                <w:szCs w:val="18"/>
              </w:rPr>
            </w:pPr>
            <w:r>
              <w:rPr>
                <w:color w:val="auto"/>
                <w:szCs w:val="18"/>
              </w:rPr>
              <w:t>−</w:t>
            </w:r>
            <w:r w:rsidR="00A460C6" w:rsidRPr="00086D29">
              <w:rPr>
                <w:color w:val="auto"/>
                <w:szCs w:val="18"/>
              </w:rPr>
              <w:t>0.33</w:t>
            </w:r>
          </w:p>
        </w:tc>
        <w:tc>
          <w:tcPr>
            <w:tcW w:w="300" w:type="pct"/>
            <w:shd w:val="clear" w:color="auto" w:fill="FFFFFF" w:themeFill="background1"/>
            <w:vAlign w:val="center"/>
          </w:tcPr>
          <w:p w14:paraId="509DCC10" w14:textId="0B309D71" w:rsidR="00A460C6" w:rsidRPr="00086D29" w:rsidRDefault="00746E18" w:rsidP="00F17C71">
            <w:pPr>
              <w:autoSpaceDE w:val="0"/>
              <w:autoSpaceDN w:val="0"/>
              <w:adjustRightInd w:val="0"/>
              <w:snapToGrid w:val="0"/>
              <w:spacing w:line="240" w:lineRule="auto"/>
              <w:jc w:val="center"/>
              <w:rPr>
                <w:color w:val="auto"/>
                <w:szCs w:val="18"/>
              </w:rPr>
            </w:pPr>
            <w:r>
              <w:rPr>
                <w:color w:val="auto"/>
                <w:szCs w:val="18"/>
              </w:rPr>
              <w:t>−</w:t>
            </w:r>
            <w:r w:rsidR="00A460C6" w:rsidRPr="00086D29">
              <w:rPr>
                <w:color w:val="auto"/>
                <w:szCs w:val="18"/>
              </w:rPr>
              <w:t>2.27</w:t>
            </w:r>
          </w:p>
        </w:tc>
        <w:tc>
          <w:tcPr>
            <w:tcW w:w="315" w:type="pct"/>
            <w:shd w:val="clear" w:color="auto" w:fill="FFFFFF" w:themeFill="background1"/>
            <w:vAlign w:val="center"/>
          </w:tcPr>
          <w:p w14:paraId="50AA531C" w14:textId="091F739B" w:rsidR="00A460C6" w:rsidRPr="00086D29" w:rsidRDefault="00AB1120" w:rsidP="00F17C71">
            <w:pPr>
              <w:autoSpaceDE w:val="0"/>
              <w:autoSpaceDN w:val="0"/>
              <w:adjustRightInd w:val="0"/>
              <w:snapToGrid w:val="0"/>
              <w:spacing w:line="240" w:lineRule="auto"/>
              <w:jc w:val="center"/>
              <w:rPr>
                <w:color w:val="auto"/>
                <w:szCs w:val="18"/>
              </w:rPr>
            </w:pPr>
            <w:r>
              <w:rPr>
                <w:color w:val="auto"/>
                <w:szCs w:val="18"/>
              </w:rPr>
              <w:t>0</w:t>
            </w:r>
            <w:r w:rsidR="00A460C6" w:rsidRPr="00086D29">
              <w:rPr>
                <w:color w:val="auto"/>
                <w:szCs w:val="18"/>
              </w:rPr>
              <w:t>.025</w:t>
            </w:r>
          </w:p>
        </w:tc>
        <w:tc>
          <w:tcPr>
            <w:tcW w:w="253" w:type="pct"/>
            <w:shd w:val="clear" w:color="auto" w:fill="FFFFFF" w:themeFill="background1"/>
            <w:vAlign w:val="center"/>
          </w:tcPr>
          <w:p w14:paraId="31433616" w14:textId="28EE83C5" w:rsidR="00A460C6" w:rsidRPr="00086D29" w:rsidRDefault="00746E18" w:rsidP="00F17C71">
            <w:pPr>
              <w:autoSpaceDE w:val="0"/>
              <w:autoSpaceDN w:val="0"/>
              <w:adjustRightInd w:val="0"/>
              <w:snapToGrid w:val="0"/>
              <w:spacing w:line="240" w:lineRule="auto"/>
              <w:jc w:val="center"/>
              <w:rPr>
                <w:color w:val="auto"/>
                <w:szCs w:val="18"/>
              </w:rPr>
            </w:pPr>
            <w:r>
              <w:rPr>
                <w:color w:val="auto"/>
                <w:szCs w:val="18"/>
              </w:rPr>
              <w:t>−</w:t>
            </w:r>
            <w:r w:rsidR="00AB1120">
              <w:rPr>
                <w:color w:val="auto"/>
                <w:szCs w:val="18"/>
              </w:rPr>
              <w:t>0</w:t>
            </w:r>
            <w:r w:rsidR="00A460C6" w:rsidRPr="00086D29">
              <w:rPr>
                <w:color w:val="auto"/>
                <w:szCs w:val="18"/>
              </w:rPr>
              <w:t>.10</w:t>
            </w:r>
          </w:p>
        </w:tc>
        <w:tc>
          <w:tcPr>
            <w:tcW w:w="361" w:type="pct"/>
            <w:shd w:val="clear" w:color="auto" w:fill="FFFFFF" w:themeFill="background1"/>
            <w:vAlign w:val="center"/>
          </w:tcPr>
          <w:p w14:paraId="7A7EA675" w14:textId="3A68C786" w:rsidR="00A460C6" w:rsidRPr="00086D29" w:rsidRDefault="00746E18" w:rsidP="00F17C71">
            <w:pPr>
              <w:autoSpaceDE w:val="0"/>
              <w:autoSpaceDN w:val="0"/>
              <w:adjustRightInd w:val="0"/>
              <w:snapToGrid w:val="0"/>
              <w:spacing w:line="240" w:lineRule="auto"/>
              <w:jc w:val="center"/>
              <w:rPr>
                <w:color w:val="auto"/>
                <w:szCs w:val="18"/>
              </w:rPr>
            </w:pPr>
            <w:r>
              <w:rPr>
                <w:color w:val="auto"/>
                <w:szCs w:val="18"/>
              </w:rPr>
              <w:t>−</w:t>
            </w:r>
            <w:r w:rsidR="00A460C6" w:rsidRPr="00086D29">
              <w:rPr>
                <w:color w:val="auto"/>
                <w:szCs w:val="18"/>
              </w:rPr>
              <w:t xml:space="preserve">1.32 </w:t>
            </w:r>
          </w:p>
          <w:p w14:paraId="67C4C6BF" w14:textId="77777777" w:rsidR="00A460C6" w:rsidRPr="00086D29" w:rsidRDefault="00A460C6" w:rsidP="00F17C71">
            <w:pPr>
              <w:autoSpaceDE w:val="0"/>
              <w:autoSpaceDN w:val="0"/>
              <w:adjustRightInd w:val="0"/>
              <w:snapToGrid w:val="0"/>
              <w:spacing w:line="240" w:lineRule="auto"/>
              <w:jc w:val="center"/>
              <w:rPr>
                <w:color w:val="auto"/>
                <w:szCs w:val="18"/>
              </w:rPr>
            </w:pPr>
            <w:r w:rsidRPr="00086D29">
              <w:rPr>
                <w:color w:val="auto"/>
                <w:szCs w:val="18"/>
              </w:rPr>
              <w:t>(1.26)</w:t>
            </w:r>
          </w:p>
        </w:tc>
        <w:tc>
          <w:tcPr>
            <w:tcW w:w="322" w:type="pct"/>
            <w:shd w:val="clear" w:color="auto" w:fill="FFFFFF" w:themeFill="background1"/>
            <w:vAlign w:val="center"/>
          </w:tcPr>
          <w:p w14:paraId="03096B20" w14:textId="07EB4864" w:rsidR="00A460C6" w:rsidRPr="00086D29" w:rsidRDefault="00746E18" w:rsidP="00F17C71">
            <w:pPr>
              <w:autoSpaceDE w:val="0"/>
              <w:autoSpaceDN w:val="0"/>
              <w:adjustRightInd w:val="0"/>
              <w:snapToGrid w:val="0"/>
              <w:spacing w:line="240" w:lineRule="auto"/>
              <w:jc w:val="center"/>
              <w:rPr>
                <w:color w:val="auto"/>
                <w:szCs w:val="18"/>
              </w:rPr>
            </w:pPr>
            <w:r>
              <w:rPr>
                <w:color w:val="auto"/>
                <w:szCs w:val="18"/>
              </w:rPr>
              <w:t>−</w:t>
            </w:r>
            <w:r w:rsidR="00A460C6" w:rsidRPr="00086D29">
              <w:rPr>
                <w:color w:val="auto"/>
                <w:szCs w:val="18"/>
              </w:rPr>
              <w:t>3.82, 1.18</w:t>
            </w:r>
          </w:p>
        </w:tc>
        <w:tc>
          <w:tcPr>
            <w:tcW w:w="300" w:type="pct"/>
            <w:shd w:val="clear" w:color="auto" w:fill="FFFFFF" w:themeFill="background1"/>
            <w:vAlign w:val="center"/>
          </w:tcPr>
          <w:p w14:paraId="1B5F6705" w14:textId="34AD44C9" w:rsidR="00A460C6" w:rsidRPr="00086D29" w:rsidRDefault="00746E18" w:rsidP="00F17C71">
            <w:pPr>
              <w:autoSpaceDE w:val="0"/>
              <w:autoSpaceDN w:val="0"/>
              <w:adjustRightInd w:val="0"/>
              <w:snapToGrid w:val="0"/>
              <w:spacing w:line="240" w:lineRule="auto"/>
              <w:jc w:val="center"/>
              <w:rPr>
                <w:color w:val="auto"/>
                <w:szCs w:val="18"/>
              </w:rPr>
            </w:pPr>
            <w:r>
              <w:rPr>
                <w:color w:val="auto"/>
                <w:szCs w:val="18"/>
              </w:rPr>
              <w:t>−</w:t>
            </w:r>
            <w:r w:rsidR="00A460C6" w:rsidRPr="00086D29">
              <w:rPr>
                <w:color w:val="auto"/>
                <w:szCs w:val="18"/>
              </w:rPr>
              <w:t>1.05</w:t>
            </w:r>
          </w:p>
        </w:tc>
        <w:tc>
          <w:tcPr>
            <w:tcW w:w="307" w:type="pct"/>
            <w:shd w:val="clear" w:color="auto" w:fill="FFFFFF" w:themeFill="background1"/>
            <w:vAlign w:val="center"/>
          </w:tcPr>
          <w:p w14:paraId="35FFEDBB" w14:textId="6DE75749" w:rsidR="00A460C6" w:rsidRPr="00086D29" w:rsidRDefault="00AB1120" w:rsidP="00F17C71">
            <w:pPr>
              <w:autoSpaceDE w:val="0"/>
              <w:autoSpaceDN w:val="0"/>
              <w:adjustRightInd w:val="0"/>
              <w:snapToGrid w:val="0"/>
              <w:spacing w:line="240" w:lineRule="auto"/>
              <w:jc w:val="center"/>
              <w:rPr>
                <w:color w:val="auto"/>
                <w:szCs w:val="18"/>
              </w:rPr>
            </w:pPr>
            <w:r>
              <w:rPr>
                <w:color w:val="auto"/>
                <w:szCs w:val="18"/>
              </w:rPr>
              <w:t>0</w:t>
            </w:r>
            <w:r w:rsidR="00A460C6" w:rsidRPr="00086D29">
              <w:rPr>
                <w:color w:val="auto"/>
                <w:szCs w:val="18"/>
              </w:rPr>
              <w:t>.297</w:t>
            </w:r>
          </w:p>
        </w:tc>
      </w:tr>
      <w:tr w:rsidR="00F17C71" w:rsidRPr="00086D29" w14:paraId="4E60E5AD" w14:textId="77777777" w:rsidTr="00DB5DCF">
        <w:trPr>
          <w:gridAfter w:val="1"/>
          <w:wAfter w:w="35" w:type="pct"/>
          <w:cantSplit/>
          <w:jc w:val="center"/>
        </w:trPr>
        <w:tc>
          <w:tcPr>
            <w:tcW w:w="407" w:type="pct"/>
            <w:shd w:val="clear" w:color="auto" w:fill="FFFFFF" w:themeFill="background1"/>
            <w:vAlign w:val="center"/>
          </w:tcPr>
          <w:p w14:paraId="33E82289" w14:textId="77777777" w:rsidR="00A460C6" w:rsidRPr="00086D29" w:rsidRDefault="00A460C6" w:rsidP="00F17C71">
            <w:pPr>
              <w:autoSpaceDE w:val="0"/>
              <w:autoSpaceDN w:val="0"/>
              <w:adjustRightInd w:val="0"/>
              <w:snapToGrid w:val="0"/>
              <w:spacing w:line="240" w:lineRule="auto"/>
              <w:jc w:val="center"/>
              <w:rPr>
                <w:color w:val="auto"/>
                <w:szCs w:val="18"/>
              </w:rPr>
            </w:pPr>
            <w:r w:rsidRPr="00086D29">
              <w:rPr>
                <w:color w:val="auto"/>
                <w:szCs w:val="18"/>
              </w:rPr>
              <w:t>T1 FGA</w:t>
            </w:r>
          </w:p>
        </w:tc>
        <w:tc>
          <w:tcPr>
            <w:tcW w:w="292" w:type="pct"/>
            <w:shd w:val="clear" w:color="auto" w:fill="FFFFFF" w:themeFill="background1"/>
            <w:vAlign w:val="center"/>
          </w:tcPr>
          <w:p w14:paraId="6B81B144" w14:textId="2029E193" w:rsidR="00A460C6" w:rsidRPr="00086D29" w:rsidRDefault="00086D29" w:rsidP="00F17C71">
            <w:pPr>
              <w:autoSpaceDE w:val="0"/>
              <w:autoSpaceDN w:val="0"/>
              <w:adjustRightInd w:val="0"/>
              <w:snapToGrid w:val="0"/>
              <w:spacing w:line="240" w:lineRule="auto"/>
              <w:jc w:val="center"/>
              <w:rPr>
                <w:color w:val="auto"/>
                <w:szCs w:val="18"/>
              </w:rPr>
            </w:pPr>
            <w:r>
              <w:rPr>
                <w:color w:val="auto"/>
                <w:szCs w:val="18"/>
              </w:rPr>
              <w:t>0</w:t>
            </w:r>
            <w:r w:rsidR="00A460C6" w:rsidRPr="00086D29">
              <w:rPr>
                <w:color w:val="auto"/>
                <w:szCs w:val="18"/>
              </w:rPr>
              <w:t>.03</w:t>
            </w:r>
          </w:p>
        </w:tc>
        <w:tc>
          <w:tcPr>
            <w:tcW w:w="311" w:type="pct"/>
            <w:shd w:val="clear" w:color="auto" w:fill="FFFFFF" w:themeFill="background1"/>
            <w:vAlign w:val="center"/>
          </w:tcPr>
          <w:p w14:paraId="697A7330" w14:textId="77777777" w:rsidR="00A460C6" w:rsidRPr="00086D29" w:rsidRDefault="00A460C6" w:rsidP="00F17C71">
            <w:pPr>
              <w:autoSpaceDE w:val="0"/>
              <w:autoSpaceDN w:val="0"/>
              <w:adjustRightInd w:val="0"/>
              <w:snapToGrid w:val="0"/>
              <w:spacing w:line="240" w:lineRule="auto"/>
              <w:jc w:val="center"/>
              <w:rPr>
                <w:color w:val="auto"/>
                <w:szCs w:val="18"/>
              </w:rPr>
            </w:pPr>
            <w:r w:rsidRPr="00086D29">
              <w:rPr>
                <w:color w:val="auto"/>
                <w:szCs w:val="18"/>
              </w:rPr>
              <w:t xml:space="preserve">0.02 </w:t>
            </w:r>
          </w:p>
          <w:p w14:paraId="19A1F173" w14:textId="77777777" w:rsidR="00A460C6" w:rsidRPr="00086D29" w:rsidRDefault="00A460C6" w:rsidP="00F17C71">
            <w:pPr>
              <w:autoSpaceDE w:val="0"/>
              <w:autoSpaceDN w:val="0"/>
              <w:adjustRightInd w:val="0"/>
              <w:snapToGrid w:val="0"/>
              <w:spacing w:line="240" w:lineRule="auto"/>
              <w:jc w:val="center"/>
              <w:rPr>
                <w:color w:val="auto"/>
                <w:szCs w:val="18"/>
              </w:rPr>
            </w:pPr>
            <w:r w:rsidRPr="00086D29">
              <w:rPr>
                <w:color w:val="auto"/>
                <w:szCs w:val="18"/>
              </w:rPr>
              <w:t>(0.05)</w:t>
            </w:r>
          </w:p>
        </w:tc>
        <w:tc>
          <w:tcPr>
            <w:tcW w:w="375" w:type="pct"/>
            <w:shd w:val="clear" w:color="auto" w:fill="FFFFFF" w:themeFill="background1"/>
            <w:vAlign w:val="center"/>
          </w:tcPr>
          <w:p w14:paraId="74B889AA" w14:textId="5A68AD2B" w:rsidR="00A460C6" w:rsidRPr="00086D29" w:rsidRDefault="00746E18" w:rsidP="00F17C71">
            <w:pPr>
              <w:autoSpaceDE w:val="0"/>
              <w:autoSpaceDN w:val="0"/>
              <w:adjustRightInd w:val="0"/>
              <w:snapToGrid w:val="0"/>
              <w:spacing w:line="240" w:lineRule="auto"/>
              <w:jc w:val="center"/>
              <w:rPr>
                <w:color w:val="auto"/>
                <w:szCs w:val="18"/>
              </w:rPr>
            </w:pPr>
            <w:r>
              <w:rPr>
                <w:color w:val="auto"/>
                <w:szCs w:val="18"/>
              </w:rPr>
              <w:t>−</w:t>
            </w:r>
            <w:r w:rsidR="00A460C6" w:rsidRPr="00086D29">
              <w:rPr>
                <w:color w:val="auto"/>
                <w:szCs w:val="18"/>
              </w:rPr>
              <w:t>0.09, 0.13</w:t>
            </w:r>
          </w:p>
        </w:tc>
        <w:tc>
          <w:tcPr>
            <w:tcW w:w="217" w:type="pct"/>
            <w:shd w:val="clear" w:color="auto" w:fill="FFFFFF" w:themeFill="background1"/>
            <w:vAlign w:val="center"/>
          </w:tcPr>
          <w:p w14:paraId="66862422" w14:textId="77777777" w:rsidR="00A460C6" w:rsidRPr="00086D29" w:rsidRDefault="00A460C6" w:rsidP="00F17C71">
            <w:pPr>
              <w:autoSpaceDE w:val="0"/>
              <w:autoSpaceDN w:val="0"/>
              <w:adjustRightInd w:val="0"/>
              <w:snapToGrid w:val="0"/>
              <w:spacing w:line="240" w:lineRule="auto"/>
              <w:jc w:val="center"/>
              <w:rPr>
                <w:color w:val="auto"/>
                <w:szCs w:val="18"/>
              </w:rPr>
            </w:pPr>
            <w:r w:rsidRPr="00086D29">
              <w:rPr>
                <w:color w:val="auto"/>
                <w:szCs w:val="18"/>
              </w:rPr>
              <w:t>0.37</w:t>
            </w:r>
          </w:p>
        </w:tc>
        <w:tc>
          <w:tcPr>
            <w:tcW w:w="312" w:type="pct"/>
            <w:shd w:val="clear" w:color="auto" w:fill="FFFFFF" w:themeFill="background1"/>
            <w:vAlign w:val="center"/>
          </w:tcPr>
          <w:p w14:paraId="4325236A" w14:textId="37FD7553" w:rsidR="00A460C6" w:rsidRPr="00086D29" w:rsidRDefault="00AB1120" w:rsidP="00F17C71">
            <w:pPr>
              <w:autoSpaceDE w:val="0"/>
              <w:autoSpaceDN w:val="0"/>
              <w:adjustRightInd w:val="0"/>
              <w:snapToGrid w:val="0"/>
              <w:spacing w:line="240" w:lineRule="auto"/>
              <w:jc w:val="center"/>
              <w:rPr>
                <w:color w:val="auto"/>
                <w:szCs w:val="18"/>
              </w:rPr>
            </w:pPr>
            <w:r>
              <w:rPr>
                <w:color w:val="auto"/>
                <w:szCs w:val="18"/>
              </w:rPr>
              <w:t>0</w:t>
            </w:r>
            <w:r w:rsidR="00A460C6" w:rsidRPr="00086D29">
              <w:rPr>
                <w:color w:val="auto"/>
                <w:szCs w:val="18"/>
              </w:rPr>
              <w:t>.713</w:t>
            </w:r>
          </w:p>
        </w:tc>
        <w:tc>
          <w:tcPr>
            <w:tcW w:w="252" w:type="pct"/>
            <w:shd w:val="clear" w:color="auto" w:fill="FFFFFF" w:themeFill="background1"/>
            <w:vAlign w:val="center"/>
          </w:tcPr>
          <w:p w14:paraId="02CC650A" w14:textId="134E2566" w:rsidR="00A460C6" w:rsidRPr="00086D29" w:rsidRDefault="00AB1120" w:rsidP="00F17C71">
            <w:pPr>
              <w:autoSpaceDE w:val="0"/>
              <w:autoSpaceDN w:val="0"/>
              <w:adjustRightInd w:val="0"/>
              <w:snapToGrid w:val="0"/>
              <w:spacing w:line="240" w:lineRule="auto"/>
              <w:jc w:val="center"/>
              <w:rPr>
                <w:color w:val="auto"/>
                <w:szCs w:val="18"/>
              </w:rPr>
            </w:pPr>
            <w:r>
              <w:rPr>
                <w:color w:val="auto"/>
                <w:szCs w:val="18"/>
              </w:rPr>
              <w:t>0</w:t>
            </w:r>
            <w:r w:rsidR="00A460C6" w:rsidRPr="00086D29">
              <w:rPr>
                <w:color w:val="auto"/>
                <w:szCs w:val="18"/>
              </w:rPr>
              <w:t>.01</w:t>
            </w:r>
          </w:p>
        </w:tc>
        <w:tc>
          <w:tcPr>
            <w:tcW w:w="322" w:type="pct"/>
            <w:shd w:val="clear" w:color="auto" w:fill="FFFFFF" w:themeFill="background1"/>
            <w:vAlign w:val="center"/>
          </w:tcPr>
          <w:p w14:paraId="764CE7B4" w14:textId="77777777" w:rsidR="00A460C6" w:rsidRPr="00086D29" w:rsidRDefault="00A460C6" w:rsidP="00F17C71">
            <w:pPr>
              <w:autoSpaceDE w:val="0"/>
              <w:autoSpaceDN w:val="0"/>
              <w:adjustRightInd w:val="0"/>
              <w:snapToGrid w:val="0"/>
              <w:spacing w:line="240" w:lineRule="auto"/>
              <w:jc w:val="center"/>
              <w:rPr>
                <w:color w:val="auto"/>
                <w:szCs w:val="18"/>
              </w:rPr>
            </w:pPr>
            <w:r w:rsidRPr="00086D29">
              <w:rPr>
                <w:color w:val="auto"/>
                <w:szCs w:val="18"/>
              </w:rPr>
              <w:t>0.01 (0.06)</w:t>
            </w:r>
          </w:p>
        </w:tc>
        <w:tc>
          <w:tcPr>
            <w:tcW w:w="321" w:type="pct"/>
            <w:shd w:val="clear" w:color="auto" w:fill="FFFFFF" w:themeFill="background1"/>
            <w:vAlign w:val="center"/>
          </w:tcPr>
          <w:p w14:paraId="7F61D1A3" w14:textId="245C9DDA" w:rsidR="00A460C6" w:rsidRPr="00086D29" w:rsidRDefault="00746E18" w:rsidP="00F17C71">
            <w:pPr>
              <w:autoSpaceDE w:val="0"/>
              <w:autoSpaceDN w:val="0"/>
              <w:adjustRightInd w:val="0"/>
              <w:snapToGrid w:val="0"/>
              <w:spacing w:line="240" w:lineRule="auto"/>
              <w:jc w:val="center"/>
              <w:rPr>
                <w:color w:val="auto"/>
                <w:szCs w:val="18"/>
              </w:rPr>
            </w:pPr>
            <w:r>
              <w:rPr>
                <w:color w:val="auto"/>
                <w:szCs w:val="18"/>
              </w:rPr>
              <w:t>−</w:t>
            </w:r>
            <w:r w:rsidR="00A460C6" w:rsidRPr="00086D29">
              <w:rPr>
                <w:color w:val="auto"/>
                <w:szCs w:val="18"/>
              </w:rPr>
              <w:t>0.10, 0.12</w:t>
            </w:r>
          </w:p>
        </w:tc>
        <w:tc>
          <w:tcPr>
            <w:tcW w:w="300" w:type="pct"/>
            <w:shd w:val="clear" w:color="auto" w:fill="FFFFFF" w:themeFill="background1"/>
            <w:vAlign w:val="center"/>
          </w:tcPr>
          <w:p w14:paraId="66B444B0" w14:textId="77777777" w:rsidR="00A460C6" w:rsidRPr="00086D29" w:rsidRDefault="00A460C6" w:rsidP="00F17C71">
            <w:pPr>
              <w:autoSpaceDE w:val="0"/>
              <w:autoSpaceDN w:val="0"/>
              <w:adjustRightInd w:val="0"/>
              <w:snapToGrid w:val="0"/>
              <w:spacing w:line="240" w:lineRule="auto"/>
              <w:jc w:val="center"/>
              <w:rPr>
                <w:color w:val="auto"/>
                <w:szCs w:val="18"/>
              </w:rPr>
            </w:pPr>
            <w:r w:rsidRPr="00086D29">
              <w:rPr>
                <w:color w:val="auto"/>
                <w:szCs w:val="18"/>
              </w:rPr>
              <w:t>0.15</w:t>
            </w:r>
          </w:p>
        </w:tc>
        <w:tc>
          <w:tcPr>
            <w:tcW w:w="315" w:type="pct"/>
            <w:shd w:val="clear" w:color="auto" w:fill="FFFFFF" w:themeFill="background1"/>
            <w:vAlign w:val="center"/>
          </w:tcPr>
          <w:p w14:paraId="2CBBF220" w14:textId="49F91A3E" w:rsidR="00A460C6" w:rsidRPr="00086D29" w:rsidRDefault="00AB1120" w:rsidP="00F17C71">
            <w:pPr>
              <w:autoSpaceDE w:val="0"/>
              <w:autoSpaceDN w:val="0"/>
              <w:adjustRightInd w:val="0"/>
              <w:snapToGrid w:val="0"/>
              <w:spacing w:line="240" w:lineRule="auto"/>
              <w:jc w:val="center"/>
              <w:rPr>
                <w:color w:val="auto"/>
                <w:szCs w:val="18"/>
              </w:rPr>
            </w:pPr>
            <w:r>
              <w:rPr>
                <w:color w:val="auto"/>
                <w:szCs w:val="18"/>
              </w:rPr>
              <w:t>0</w:t>
            </w:r>
            <w:r w:rsidR="00A460C6" w:rsidRPr="00086D29">
              <w:rPr>
                <w:color w:val="auto"/>
                <w:szCs w:val="18"/>
              </w:rPr>
              <w:t>.882</w:t>
            </w:r>
          </w:p>
        </w:tc>
        <w:tc>
          <w:tcPr>
            <w:tcW w:w="253" w:type="pct"/>
            <w:shd w:val="clear" w:color="auto" w:fill="FFFFFF" w:themeFill="background1"/>
            <w:vAlign w:val="center"/>
          </w:tcPr>
          <w:p w14:paraId="41447577" w14:textId="747091DD" w:rsidR="00A460C6" w:rsidRPr="00086D29" w:rsidRDefault="00AB1120" w:rsidP="00F17C71">
            <w:pPr>
              <w:autoSpaceDE w:val="0"/>
              <w:autoSpaceDN w:val="0"/>
              <w:adjustRightInd w:val="0"/>
              <w:snapToGrid w:val="0"/>
              <w:spacing w:line="240" w:lineRule="auto"/>
              <w:jc w:val="center"/>
              <w:rPr>
                <w:color w:val="auto"/>
                <w:szCs w:val="18"/>
              </w:rPr>
            </w:pPr>
            <w:r>
              <w:rPr>
                <w:color w:val="auto"/>
                <w:szCs w:val="18"/>
              </w:rPr>
              <w:t>0</w:t>
            </w:r>
            <w:r w:rsidR="00A460C6" w:rsidRPr="00086D29">
              <w:rPr>
                <w:color w:val="auto"/>
                <w:szCs w:val="18"/>
              </w:rPr>
              <w:t>.15</w:t>
            </w:r>
          </w:p>
        </w:tc>
        <w:tc>
          <w:tcPr>
            <w:tcW w:w="361" w:type="pct"/>
            <w:shd w:val="clear" w:color="auto" w:fill="FFFFFF" w:themeFill="background1"/>
            <w:vAlign w:val="center"/>
          </w:tcPr>
          <w:p w14:paraId="7A5B26C6" w14:textId="77777777" w:rsidR="00A460C6" w:rsidRPr="00086D29" w:rsidRDefault="00A460C6" w:rsidP="00F17C71">
            <w:pPr>
              <w:autoSpaceDE w:val="0"/>
              <w:autoSpaceDN w:val="0"/>
              <w:adjustRightInd w:val="0"/>
              <w:snapToGrid w:val="0"/>
              <w:spacing w:line="240" w:lineRule="auto"/>
              <w:jc w:val="center"/>
              <w:rPr>
                <w:color w:val="auto"/>
                <w:szCs w:val="18"/>
              </w:rPr>
            </w:pPr>
            <w:r w:rsidRPr="00086D29">
              <w:rPr>
                <w:color w:val="auto"/>
                <w:szCs w:val="18"/>
              </w:rPr>
              <w:t xml:space="preserve">0.10 </w:t>
            </w:r>
          </w:p>
          <w:p w14:paraId="15EB8440" w14:textId="77777777" w:rsidR="00A460C6" w:rsidRPr="00086D29" w:rsidRDefault="00A460C6" w:rsidP="00F17C71">
            <w:pPr>
              <w:autoSpaceDE w:val="0"/>
              <w:autoSpaceDN w:val="0"/>
              <w:adjustRightInd w:val="0"/>
              <w:snapToGrid w:val="0"/>
              <w:spacing w:line="240" w:lineRule="auto"/>
              <w:jc w:val="center"/>
              <w:rPr>
                <w:color w:val="auto"/>
                <w:szCs w:val="18"/>
              </w:rPr>
            </w:pPr>
            <w:r w:rsidRPr="00086D29">
              <w:rPr>
                <w:color w:val="auto"/>
                <w:szCs w:val="18"/>
              </w:rPr>
              <w:t>(0.07)</w:t>
            </w:r>
          </w:p>
        </w:tc>
        <w:tc>
          <w:tcPr>
            <w:tcW w:w="322" w:type="pct"/>
            <w:shd w:val="clear" w:color="auto" w:fill="FFFFFF" w:themeFill="background1"/>
            <w:vAlign w:val="center"/>
          </w:tcPr>
          <w:p w14:paraId="073D4AB8" w14:textId="4A63530C" w:rsidR="00A460C6" w:rsidRPr="00086D29" w:rsidRDefault="00746E18" w:rsidP="00F17C71">
            <w:pPr>
              <w:autoSpaceDE w:val="0"/>
              <w:autoSpaceDN w:val="0"/>
              <w:adjustRightInd w:val="0"/>
              <w:snapToGrid w:val="0"/>
              <w:spacing w:line="240" w:lineRule="auto"/>
              <w:jc w:val="center"/>
              <w:rPr>
                <w:color w:val="auto"/>
                <w:szCs w:val="18"/>
              </w:rPr>
            </w:pPr>
            <w:r>
              <w:rPr>
                <w:color w:val="auto"/>
                <w:szCs w:val="18"/>
              </w:rPr>
              <w:t>−</w:t>
            </w:r>
            <w:r w:rsidR="00A460C6" w:rsidRPr="00086D29">
              <w:rPr>
                <w:color w:val="auto"/>
                <w:szCs w:val="18"/>
              </w:rPr>
              <w:t>0.03, 0.24</w:t>
            </w:r>
          </w:p>
        </w:tc>
        <w:tc>
          <w:tcPr>
            <w:tcW w:w="300" w:type="pct"/>
            <w:shd w:val="clear" w:color="auto" w:fill="FFFFFF" w:themeFill="background1"/>
            <w:vAlign w:val="center"/>
          </w:tcPr>
          <w:p w14:paraId="5568228D" w14:textId="77777777" w:rsidR="00A460C6" w:rsidRPr="00086D29" w:rsidRDefault="00A460C6" w:rsidP="00F17C71">
            <w:pPr>
              <w:autoSpaceDE w:val="0"/>
              <w:autoSpaceDN w:val="0"/>
              <w:adjustRightInd w:val="0"/>
              <w:snapToGrid w:val="0"/>
              <w:spacing w:line="240" w:lineRule="auto"/>
              <w:jc w:val="center"/>
              <w:rPr>
                <w:color w:val="auto"/>
                <w:szCs w:val="18"/>
              </w:rPr>
            </w:pPr>
            <w:r w:rsidRPr="00086D29">
              <w:rPr>
                <w:color w:val="auto"/>
                <w:szCs w:val="18"/>
              </w:rPr>
              <w:t>1.56</w:t>
            </w:r>
          </w:p>
        </w:tc>
        <w:tc>
          <w:tcPr>
            <w:tcW w:w="307" w:type="pct"/>
            <w:shd w:val="clear" w:color="auto" w:fill="FFFFFF" w:themeFill="background1"/>
            <w:vAlign w:val="center"/>
          </w:tcPr>
          <w:p w14:paraId="17024D6C" w14:textId="5F0C6AFA" w:rsidR="00A460C6" w:rsidRPr="00086D29" w:rsidRDefault="00AB1120" w:rsidP="00F17C71">
            <w:pPr>
              <w:autoSpaceDE w:val="0"/>
              <w:autoSpaceDN w:val="0"/>
              <w:adjustRightInd w:val="0"/>
              <w:snapToGrid w:val="0"/>
              <w:spacing w:line="240" w:lineRule="auto"/>
              <w:jc w:val="center"/>
              <w:rPr>
                <w:color w:val="auto"/>
                <w:szCs w:val="18"/>
              </w:rPr>
            </w:pPr>
            <w:r>
              <w:rPr>
                <w:color w:val="auto"/>
                <w:szCs w:val="18"/>
              </w:rPr>
              <w:t>0</w:t>
            </w:r>
            <w:r w:rsidR="00A460C6" w:rsidRPr="00086D29">
              <w:rPr>
                <w:color w:val="auto"/>
                <w:szCs w:val="18"/>
              </w:rPr>
              <w:t>.123</w:t>
            </w:r>
          </w:p>
        </w:tc>
      </w:tr>
      <w:tr w:rsidR="00F17C71" w:rsidRPr="00086D29" w14:paraId="0F5BF184" w14:textId="77777777" w:rsidTr="00DB5DCF">
        <w:trPr>
          <w:gridAfter w:val="1"/>
          <w:wAfter w:w="35" w:type="pct"/>
          <w:cantSplit/>
          <w:jc w:val="center"/>
        </w:trPr>
        <w:tc>
          <w:tcPr>
            <w:tcW w:w="407" w:type="pct"/>
            <w:tcBorders>
              <w:bottom w:val="single" w:sz="4" w:space="0" w:color="auto"/>
            </w:tcBorders>
            <w:shd w:val="clear" w:color="auto" w:fill="FFFFFF" w:themeFill="background1"/>
            <w:vAlign w:val="center"/>
          </w:tcPr>
          <w:p w14:paraId="7657F596" w14:textId="77777777" w:rsidR="00A460C6" w:rsidRPr="00086D29" w:rsidRDefault="00A460C6" w:rsidP="00F17C71">
            <w:pPr>
              <w:autoSpaceDE w:val="0"/>
              <w:autoSpaceDN w:val="0"/>
              <w:adjustRightInd w:val="0"/>
              <w:snapToGrid w:val="0"/>
              <w:spacing w:line="240" w:lineRule="auto"/>
              <w:jc w:val="center"/>
              <w:rPr>
                <w:color w:val="auto"/>
                <w:szCs w:val="18"/>
              </w:rPr>
            </w:pPr>
            <w:r w:rsidRPr="00086D29">
              <w:rPr>
                <w:color w:val="auto"/>
                <w:szCs w:val="18"/>
              </w:rPr>
              <w:t>T1 TGP</w:t>
            </w:r>
          </w:p>
        </w:tc>
        <w:tc>
          <w:tcPr>
            <w:tcW w:w="292" w:type="pct"/>
            <w:tcBorders>
              <w:bottom w:val="single" w:sz="4" w:space="0" w:color="auto"/>
            </w:tcBorders>
            <w:shd w:val="clear" w:color="auto" w:fill="FFFFFF" w:themeFill="background1"/>
            <w:vAlign w:val="center"/>
          </w:tcPr>
          <w:p w14:paraId="2775703B" w14:textId="01BF8AFD" w:rsidR="00A460C6" w:rsidRPr="00086D29" w:rsidRDefault="00086D29" w:rsidP="00F17C71">
            <w:pPr>
              <w:autoSpaceDE w:val="0"/>
              <w:autoSpaceDN w:val="0"/>
              <w:adjustRightInd w:val="0"/>
              <w:snapToGrid w:val="0"/>
              <w:spacing w:line="240" w:lineRule="auto"/>
              <w:jc w:val="center"/>
              <w:rPr>
                <w:color w:val="auto"/>
                <w:szCs w:val="18"/>
              </w:rPr>
            </w:pPr>
            <w:r>
              <w:rPr>
                <w:color w:val="auto"/>
                <w:szCs w:val="18"/>
              </w:rPr>
              <w:t>0</w:t>
            </w:r>
            <w:r w:rsidR="00A460C6" w:rsidRPr="00086D29">
              <w:rPr>
                <w:color w:val="auto"/>
                <w:szCs w:val="18"/>
              </w:rPr>
              <w:t>.19</w:t>
            </w:r>
          </w:p>
        </w:tc>
        <w:tc>
          <w:tcPr>
            <w:tcW w:w="311" w:type="pct"/>
            <w:tcBorders>
              <w:bottom w:val="single" w:sz="4" w:space="0" w:color="auto"/>
            </w:tcBorders>
            <w:shd w:val="clear" w:color="auto" w:fill="FFFFFF" w:themeFill="background1"/>
            <w:vAlign w:val="center"/>
          </w:tcPr>
          <w:p w14:paraId="5F5F6145" w14:textId="330DB1C5" w:rsidR="00A460C6" w:rsidRPr="00086D29" w:rsidRDefault="00A460C6" w:rsidP="00F17C71">
            <w:pPr>
              <w:autoSpaceDE w:val="0"/>
              <w:autoSpaceDN w:val="0"/>
              <w:adjustRightInd w:val="0"/>
              <w:snapToGrid w:val="0"/>
              <w:spacing w:line="240" w:lineRule="auto"/>
              <w:jc w:val="center"/>
              <w:rPr>
                <w:color w:val="auto"/>
                <w:szCs w:val="18"/>
              </w:rPr>
            </w:pPr>
            <w:r w:rsidRPr="00086D29">
              <w:rPr>
                <w:color w:val="auto"/>
                <w:szCs w:val="18"/>
              </w:rPr>
              <w:t xml:space="preserve">0.13 </w:t>
            </w:r>
          </w:p>
          <w:p w14:paraId="69238C19" w14:textId="77777777" w:rsidR="00A460C6" w:rsidRPr="00086D29" w:rsidRDefault="00A460C6" w:rsidP="00F17C71">
            <w:pPr>
              <w:autoSpaceDE w:val="0"/>
              <w:autoSpaceDN w:val="0"/>
              <w:adjustRightInd w:val="0"/>
              <w:snapToGrid w:val="0"/>
              <w:spacing w:line="240" w:lineRule="auto"/>
              <w:jc w:val="center"/>
              <w:rPr>
                <w:color w:val="auto"/>
                <w:szCs w:val="18"/>
              </w:rPr>
            </w:pPr>
            <w:r w:rsidRPr="00086D29">
              <w:rPr>
                <w:color w:val="auto"/>
                <w:szCs w:val="18"/>
              </w:rPr>
              <w:t>(0.05)</w:t>
            </w:r>
          </w:p>
        </w:tc>
        <w:tc>
          <w:tcPr>
            <w:tcW w:w="375" w:type="pct"/>
            <w:tcBorders>
              <w:bottom w:val="single" w:sz="4" w:space="0" w:color="auto"/>
            </w:tcBorders>
            <w:shd w:val="clear" w:color="auto" w:fill="FFFFFF" w:themeFill="background1"/>
            <w:vAlign w:val="center"/>
          </w:tcPr>
          <w:p w14:paraId="13C29AD6" w14:textId="77777777" w:rsidR="00A460C6" w:rsidRPr="00086D29" w:rsidRDefault="00A460C6" w:rsidP="00F17C71">
            <w:pPr>
              <w:autoSpaceDE w:val="0"/>
              <w:autoSpaceDN w:val="0"/>
              <w:adjustRightInd w:val="0"/>
              <w:snapToGrid w:val="0"/>
              <w:spacing w:line="240" w:lineRule="auto"/>
              <w:jc w:val="center"/>
              <w:rPr>
                <w:color w:val="auto"/>
                <w:szCs w:val="18"/>
              </w:rPr>
            </w:pPr>
            <w:r w:rsidRPr="00086D29">
              <w:rPr>
                <w:color w:val="auto"/>
                <w:szCs w:val="18"/>
              </w:rPr>
              <w:t>0.03, 0.23</w:t>
            </w:r>
          </w:p>
        </w:tc>
        <w:tc>
          <w:tcPr>
            <w:tcW w:w="217" w:type="pct"/>
            <w:tcBorders>
              <w:bottom w:val="single" w:sz="4" w:space="0" w:color="auto"/>
            </w:tcBorders>
            <w:shd w:val="clear" w:color="auto" w:fill="FFFFFF" w:themeFill="background1"/>
            <w:vAlign w:val="center"/>
          </w:tcPr>
          <w:p w14:paraId="2BBAD1F8" w14:textId="77777777" w:rsidR="00A460C6" w:rsidRPr="00086D29" w:rsidRDefault="00A460C6" w:rsidP="00F17C71">
            <w:pPr>
              <w:autoSpaceDE w:val="0"/>
              <w:autoSpaceDN w:val="0"/>
              <w:adjustRightInd w:val="0"/>
              <w:snapToGrid w:val="0"/>
              <w:spacing w:line="240" w:lineRule="auto"/>
              <w:jc w:val="center"/>
              <w:rPr>
                <w:color w:val="auto"/>
                <w:szCs w:val="18"/>
              </w:rPr>
            </w:pPr>
            <w:r w:rsidRPr="00086D29">
              <w:rPr>
                <w:color w:val="auto"/>
                <w:szCs w:val="18"/>
              </w:rPr>
              <w:t>2.47</w:t>
            </w:r>
          </w:p>
        </w:tc>
        <w:tc>
          <w:tcPr>
            <w:tcW w:w="312" w:type="pct"/>
            <w:tcBorders>
              <w:bottom w:val="single" w:sz="4" w:space="0" w:color="auto"/>
            </w:tcBorders>
            <w:shd w:val="clear" w:color="auto" w:fill="FFFFFF" w:themeFill="background1"/>
            <w:vAlign w:val="center"/>
          </w:tcPr>
          <w:p w14:paraId="3915E2D9" w14:textId="118ABEA2" w:rsidR="00A460C6" w:rsidRPr="00086D29" w:rsidRDefault="00AB1120" w:rsidP="00F17C71">
            <w:pPr>
              <w:autoSpaceDE w:val="0"/>
              <w:autoSpaceDN w:val="0"/>
              <w:adjustRightInd w:val="0"/>
              <w:snapToGrid w:val="0"/>
              <w:spacing w:line="240" w:lineRule="auto"/>
              <w:jc w:val="center"/>
              <w:rPr>
                <w:color w:val="auto"/>
                <w:szCs w:val="18"/>
              </w:rPr>
            </w:pPr>
            <w:r>
              <w:rPr>
                <w:color w:val="auto"/>
                <w:szCs w:val="18"/>
              </w:rPr>
              <w:t>0</w:t>
            </w:r>
            <w:r w:rsidR="00A460C6" w:rsidRPr="00086D29">
              <w:rPr>
                <w:color w:val="auto"/>
                <w:szCs w:val="18"/>
              </w:rPr>
              <w:t>.014</w:t>
            </w:r>
          </w:p>
        </w:tc>
        <w:tc>
          <w:tcPr>
            <w:tcW w:w="252" w:type="pct"/>
            <w:tcBorders>
              <w:bottom w:val="single" w:sz="4" w:space="0" w:color="auto"/>
            </w:tcBorders>
            <w:shd w:val="clear" w:color="auto" w:fill="FFFFFF" w:themeFill="background1"/>
            <w:vAlign w:val="center"/>
          </w:tcPr>
          <w:p w14:paraId="17AC6AD0" w14:textId="12BFF94A" w:rsidR="00A460C6" w:rsidRPr="00086D29" w:rsidRDefault="00AB1120" w:rsidP="00F17C71">
            <w:pPr>
              <w:autoSpaceDE w:val="0"/>
              <w:autoSpaceDN w:val="0"/>
              <w:adjustRightInd w:val="0"/>
              <w:snapToGrid w:val="0"/>
              <w:spacing w:line="240" w:lineRule="auto"/>
              <w:jc w:val="center"/>
              <w:rPr>
                <w:color w:val="auto"/>
                <w:szCs w:val="18"/>
              </w:rPr>
            </w:pPr>
            <w:r>
              <w:rPr>
                <w:color w:val="auto"/>
                <w:szCs w:val="18"/>
              </w:rPr>
              <w:t>0</w:t>
            </w:r>
            <w:r w:rsidR="00A460C6" w:rsidRPr="00086D29">
              <w:rPr>
                <w:color w:val="auto"/>
                <w:szCs w:val="18"/>
              </w:rPr>
              <w:t>.15</w:t>
            </w:r>
          </w:p>
        </w:tc>
        <w:tc>
          <w:tcPr>
            <w:tcW w:w="322" w:type="pct"/>
            <w:tcBorders>
              <w:bottom w:val="single" w:sz="4" w:space="0" w:color="auto"/>
            </w:tcBorders>
            <w:shd w:val="clear" w:color="auto" w:fill="FFFFFF" w:themeFill="background1"/>
            <w:vAlign w:val="center"/>
          </w:tcPr>
          <w:p w14:paraId="4C8A6815" w14:textId="77777777" w:rsidR="00A460C6" w:rsidRPr="00086D29" w:rsidRDefault="00A460C6" w:rsidP="00F17C71">
            <w:pPr>
              <w:autoSpaceDE w:val="0"/>
              <w:autoSpaceDN w:val="0"/>
              <w:adjustRightInd w:val="0"/>
              <w:snapToGrid w:val="0"/>
              <w:spacing w:line="240" w:lineRule="auto"/>
              <w:jc w:val="center"/>
              <w:rPr>
                <w:color w:val="auto"/>
                <w:szCs w:val="18"/>
              </w:rPr>
            </w:pPr>
            <w:r w:rsidRPr="00086D29">
              <w:rPr>
                <w:color w:val="auto"/>
                <w:szCs w:val="18"/>
              </w:rPr>
              <w:t>0.09 (0.05)</w:t>
            </w:r>
          </w:p>
        </w:tc>
        <w:tc>
          <w:tcPr>
            <w:tcW w:w="321" w:type="pct"/>
            <w:tcBorders>
              <w:bottom w:val="single" w:sz="4" w:space="0" w:color="auto"/>
            </w:tcBorders>
            <w:shd w:val="clear" w:color="auto" w:fill="FFFFFF" w:themeFill="background1"/>
            <w:vAlign w:val="center"/>
          </w:tcPr>
          <w:p w14:paraId="74C7C225" w14:textId="45762D63" w:rsidR="00A460C6" w:rsidRPr="00086D29" w:rsidRDefault="00746E18" w:rsidP="00F17C71">
            <w:pPr>
              <w:autoSpaceDE w:val="0"/>
              <w:autoSpaceDN w:val="0"/>
              <w:adjustRightInd w:val="0"/>
              <w:snapToGrid w:val="0"/>
              <w:spacing w:line="240" w:lineRule="auto"/>
              <w:jc w:val="center"/>
              <w:rPr>
                <w:color w:val="auto"/>
                <w:szCs w:val="18"/>
              </w:rPr>
            </w:pPr>
            <w:r>
              <w:rPr>
                <w:color w:val="auto"/>
                <w:szCs w:val="18"/>
              </w:rPr>
              <w:t>−</w:t>
            </w:r>
            <w:r w:rsidR="00A460C6" w:rsidRPr="00086D29">
              <w:rPr>
                <w:color w:val="auto"/>
                <w:szCs w:val="18"/>
              </w:rPr>
              <w:t>0.01, 0.20</w:t>
            </w:r>
          </w:p>
        </w:tc>
        <w:tc>
          <w:tcPr>
            <w:tcW w:w="300" w:type="pct"/>
            <w:tcBorders>
              <w:bottom w:val="single" w:sz="4" w:space="0" w:color="auto"/>
            </w:tcBorders>
            <w:shd w:val="clear" w:color="auto" w:fill="FFFFFF" w:themeFill="background1"/>
            <w:vAlign w:val="center"/>
          </w:tcPr>
          <w:p w14:paraId="2E700173" w14:textId="77777777" w:rsidR="00A460C6" w:rsidRPr="00086D29" w:rsidRDefault="00A460C6" w:rsidP="00F17C71">
            <w:pPr>
              <w:autoSpaceDE w:val="0"/>
              <w:autoSpaceDN w:val="0"/>
              <w:adjustRightInd w:val="0"/>
              <w:snapToGrid w:val="0"/>
              <w:spacing w:line="240" w:lineRule="auto"/>
              <w:jc w:val="center"/>
              <w:rPr>
                <w:color w:val="auto"/>
                <w:szCs w:val="18"/>
              </w:rPr>
            </w:pPr>
            <w:r w:rsidRPr="00086D29">
              <w:rPr>
                <w:color w:val="auto"/>
                <w:szCs w:val="18"/>
              </w:rPr>
              <w:t>1.72</w:t>
            </w:r>
          </w:p>
        </w:tc>
        <w:tc>
          <w:tcPr>
            <w:tcW w:w="315" w:type="pct"/>
            <w:tcBorders>
              <w:bottom w:val="single" w:sz="4" w:space="0" w:color="auto"/>
            </w:tcBorders>
            <w:shd w:val="clear" w:color="auto" w:fill="FFFFFF" w:themeFill="background1"/>
            <w:vAlign w:val="center"/>
          </w:tcPr>
          <w:p w14:paraId="19F463EF" w14:textId="7316BA61" w:rsidR="00A460C6" w:rsidRPr="00086D29" w:rsidRDefault="00AB1120" w:rsidP="00F17C71">
            <w:pPr>
              <w:autoSpaceDE w:val="0"/>
              <w:autoSpaceDN w:val="0"/>
              <w:adjustRightInd w:val="0"/>
              <w:snapToGrid w:val="0"/>
              <w:spacing w:line="240" w:lineRule="auto"/>
              <w:jc w:val="center"/>
              <w:rPr>
                <w:color w:val="auto"/>
                <w:szCs w:val="18"/>
              </w:rPr>
            </w:pPr>
            <w:r>
              <w:rPr>
                <w:color w:val="auto"/>
                <w:szCs w:val="18"/>
              </w:rPr>
              <w:t>0</w:t>
            </w:r>
            <w:r w:rsidR="00A460C6" w:rsidRPr="00086D29">
              <w:rPr>
                <w:color w:val="auto"/>
                <w:szCs w:val="18"/>
              </w:rPr>
              <w:t>.088</w:t>
            </w:r>
          </w:p>
        </w:tc>
        <w:tc>
          <w:tcPr>
            <w:tcW w:w="253" w:type="pct"/>
            <w:tcBorders>
              <w:bottom w:val="single" w:sz="4" w:space="0" w:color="auto"/>
            </w:tcBorders>
            <w:shd w:val="clear" w:color="auto" w:fill="FFFFFF" w:themeFill="background1"/>
            <w:vAlign w:val="center"/>
          </w:tcPr>
          <w:p w14:paraId="4FAA826B" w14:textId="4E677C41" w:rsidR="00A460C6" w:rsidRPr="00086D29" w:rsidRDefault="00AB1120" w:rsidP="00F17C71">
            <w:pPr>
              <w:autoSpaceDE w:val="0"/>
              <w:autoSpaceDN w:val="0"/>
              <w:adjustRightInd w:val="0"/>
              <w:snapToGrid w:val="0"/>
              <w:spacing w:line="240" w:lineRule="auto"/>
              <w:jc w:val="center"/>
              <w:rPr>
                <w:color w:val="auto"/>
                <w:szCs w:val="18"/>
              </w:rPr>
            </w:pPr>
            <w:r>
              <w:rPr>
                <w:color w:val="auto"/>
                <w:szCs w:val="18"/>
              </w:rPr>
              <w:t>0</w:t>
            </w:r>
            <w:r w:rsidR="00A460C6" w:rsidRPr="00086D29">
              <w:rPr>
                <w:color w:val="auto"/>
                <w:szCs w:val="18"/>
              </w:rPr>
              <w:t>.18</w:t>
            </w:r>
          </w:p>
        </w:tc>
        <w:tc>
          <w:tcPr>
            <w:tcW w:w="361" w:type="pct"/>
            <w:tcBorders>
              <w:bottom w:val="single" w:sz="4" w:space="0" w:color="auto"/>
            </w:tcBorders>
            <w:shd w:val="clear" w:color="auto" w:fill="FFFFFF" w:themeFill="background1"/>
            <w:vAlign w:val="center"/>
          </w:tcPr>
          <w:p w14:paraId="58C9166E" w14:textId="77777777" w:rsidR="007A7068" w:rsidRPr="00086D29" w:rsidRDefault="00A460C6" w:rsidP="00F17C71">
            <w:pPr>
              <w:autoSpaceDE w:val="0"/>
              <w:autoSpaceDN w:val="0"/>
              <w:adjustRightInd w:val="0"/>
              <w:snapToGrid w:val="0"/>
              <w:spacing w:line="240" w:lineRule="auto"/>
              <w:jc w:val="center"/>
              <w:rPr>
                <w:color w:val="auto"/>
                <w:szCs w:val="18"/>
              </w:rPr>
            </w:pPr>
            <w:r w:rsidRPr="00086D29">
              <w:rPr>
                <w:color w:val="auto"/>
                <w:szCs w:val="18"/>
              </w:rPr>
              <w:t>0.12</w:t>
            </w:r>
          </w:p>
          <w:p w14:paraId="2B4B80F2" w14:textId="66255E86" w:rsidR="00A460C6" w:rsidRPr="00086D29" w:rsidRDefault="00A460C6" w:rsidP="00F17C71">
            <w:pPr>
              <w:autoSpaceDE w:val="0"/>
              <w:autoSpaceDN w:val="0"/>
              <w:adjustRightInd w:val="0"/>
              <w:snapToGrid w:val="0"/>
              <w:spacing w:line="240" w:lineRule="auto"/>
              <w:jc w:val="center"/>
              <w:rPr>
                <w:color w:val="auto"/>
                <w:szCs w:val="18"/>
              </w:rPr>
            </w:pPr>
            <w:r w:rsidRPr="00086D29">
              <w:rPr>
                <w:color w:val="auto"/>
                <w:szCs w:val="18"/>
              </w:rPr>
              <w:t>(0.06)</w:t>
            </w:r>
          </w:p>
        </w:tc>
        <w:tc>
          <w:tcPr>
            <w:tcW w:w="322" w:type="pct"/>
            <w:tcBorders>
              <w:bottom w:val="single" w:sz="4" w:space="0" w:color="auto"/>
            </w:tcBorders>
            <w:shd w:val="clear" w:color="auto" w:fill="FFFFFF" w:themeFill="background1"/>
            <w:vAlign w:val="center"/>
          </w:tcPr>
          <w:p w14:paraId="0A9E8F5F" w14:textId="6EFF786F" w:rsidR="00A460C6" w:rsidRPr="00086D29" w:rsidRDefault="00746E18" w:rsidP="00F17C71">
            <w:pPr>
              <w:autoSpaceDE w:val="0"/>
              <w:autoSpaceDN w:val="0"/>
              <w:adjustRightInd w:val="0"/>
              <w:snapToGrid w:val="0"/>
              <w:spacing w:line="240" w:lineRule="auto"/>
              <w:jc w:val="center"/>
              <w:rPr>
                <w:color w:val="auto"/>
                <w:szCs w:val="18"/>
              </w:rPr>
            </w:pPr>
            <w:r>
              <w:rPr>
                <w:color w:val="auto"/>
                <w:szCs w:val="18"/>
              </w:rPr>
              <w:t>−</w:t>
            </w:r>
            <w:r w:rsidR="00A460C6" w:rsidRPr="00086D29">
              <w:rPr>
                <w:color w:val="auto"/>
                <w:szCs w:val="18"/>
              </w:rPr>
              <w:t>0.00, 0.24</w:t>
            </w:r>
          </w:p>
        </w:tc>
        <w:tc>
          <w:tcPr>
            <w:tcW w:w="300" w:type="pct"/>
            <w:tcBorders>
              <w:bottom w:val="single" w:sz="4" w:space="0" w:color="auto"/>
            </w:tcBorders>
            <w:shd w:val="clear" w:color="auto" w:fill="FFFFFF" w:themeFill="background1"/>
            <w:vAlign w:val="center"/>
          </w:tcPr>
          <w:p w14:paraId="7FEEDF9D" w14:textId="77777777" w:rsidR="00A460C6" w:rsidRPr="00086D29" w:rsidRDefault="00A460C6" w:rsidP="00F17C71">
            <w:pPr>
              <w:autoSpaceDE w:val="0"/>
              <w:autoSpaceDN w:val="0"/>
              <w:adjustRightInd w:val="0"/>
              <w:snapToGrid w:val="0"/>
              <w:spacing w:line="240" w:lineRule="auto"/>
              <w:jc w:val="center"/>
              <w:rPr>
                <w:color w:val="auto"/>
                <w:szCs w:val="18"/>
              </w:rPr>
            </w:pPr>
            <w:r w:rsidRPr="00086D29">
              <w:rPr>
                <w:color w:val="auto"/>
                <w:szCs w:val="18"/>
              </w:rPr>
              <w:t>1.95</w:t>
            </w:r>
          </w:p>
        </w:tc>
        <w:tc>
          <w:tcPr>
            <w:tcW w:w="307" w:type="pct"/>
            <w:tcBorders>
              <w:bottom w:val="single" w:sz="4" w:space="0" w:color="auto"/>
            </w:tcBorders>
            <w:shd w:val="clear" w:color="auto" w:fill="FFFFFF" w:themeFill="background1"/>
            <w:vAlign w:val="center"/>
          </w:tcPr>
          <w:p w14:paraId="0A057B68" w14:textId="7A70E28A" w:rsidR="00A460C6" w:rsidRPr="00086D29" w:rsidRDefault="00AB1120" w:rsidP="00F17C71">
            <w:pPr>
              <w:autoSpaceDE w:val="0"/>
              <w:autoSpaceDN w:val="0"/>
              <w:adjustRightInd w:val="0"/>
              <w:snapToGrid w:val="0"/>
              <w:spacing w:line="240" w:lineRule="auto"/>
              <w:jc w:val="center"/>
              <w:rPr>
                <w:color w:val="auto"/>
                <w:szCs w:val="18"/>
              </w:rPr>
            </w:pPr>
            <w:r>
              <w:rPr>
                <w:color w:val="auto"/>
                <w:szCs w:val="18"/>
              </w:rPr>
              <w:t>0</w:t>
            </w:r>
            <w:r w:rsidR="00A460C6" w:rsidRPr="00086D29">
              <w:rPr>
                <w:color w:val="auto"/>
                <w:szCs w:val="18"/>
              </w:rPr>
              <w:t>.054</w:t>
            </w:r>
          </w:p>
        </w:tc>
      </w:tr>
      <w:tr w:rsidR="00C8300B" w:rsidRPr="00086D29" w14:paraId="2AB9BC87" w14:textId="77777777" w:rsidTr="00DB5DCF">
        <w:trPr>
          <w:gridAfter w:val="1"/>
          <w:wAfter w:w="35" w:type="pct"/>
          <w:cantSplit/>
          <w:jc w:val="center"/>
        </w:trPr>
        <w:tc>
          <w:tcPr>
            <w:tcW w:w="407" w:type="pct"/>
            <w:tcBorders>
              <w:top w:val="single" w:sz="4" w:space="0" w:color="auto"/>
            </w:tcBorders>
            <w:shd w:val="clear" w:color="auto" w:fill="FFFFFF" w:themeFill="background1"/>
            <w:vAlign w:val="center"/>
          </w:tcPr>
          <w:p w14:paraId="554D1949" w14:textId="77777777" w:rsidR="00A460C6" w:rsidRPr="00086D29" w:rsidRDefault="00A460C6" w:rsidP="00F17C71">
            <w:pPr>
              <w:autoSpaceDE w:val="0"/>
              <w:autoSpaceDN w:val="0"/>
              <w:adjustRightInd w:val="0"/>
              <w:snapToGrid w:val="0"/>
              <w:spacing w:line="240" w:lineRule="auto"/>
              <w:jc w:val="center"/>
              <w:rPr>
                <w:color w:val="auto"/>
                <w:szCs w:val="18"/>
              </w:rPr>
            </w:pPr>
            <w:r w:rsidRPr="00086D29">
              <w:rPr>
                <w:color w:val="auto"/>
                <w:szCs w:val="18"/>
              </w:rPr>
              <w:t>Step 3</w:t>
            </w:r>
          </w:p>
        </w:tc>
        <w:tc>
          <w:tcPr>
            <w:tcW w:w="1506" w:type="pct"/>
            <w:gridSpan w:val="5"/>
            <w:tcBorders>
              <w:top w:val="single" w:sz="4" w:space="0" w:color="auto"/>
            </w:tcBorders>
            <w:shd w:val="clear" w:color="auto" w:fill="FFFFFF" w:themeFill="background1"/>
            <w:vAlign w:val="center"/>
          </w:tcPr>
          <w:p w14:paraId="09CFF88A" w14:textId="4CFC4DE4" w:rsidR="00A460C6" w:rsidRPr="00086D29" w:rsidRDefault="00A460C6" w:rsidP="00F17C71">
            <w:pPr>
              <w:autoSpaceDE w:val="0"/>
              <w:autoSpaceDN w:val="0"/>
              <w:adjustRightInd w:val="0"/>
              <w:snapToGrid w:val="0"/>
              <w:spacing w:line="240" w:lineRule="auto"/>
              <w:jc w:val="center"/>
              <w:rPr>
                <w:color w:val="auto"/>
                <w:szCs w:val="18"/>
              </w:rPr>
            </w:pPr>
            <w:r w:rsidRPr="00086D29">
              <w:rPr>
                <w:i/>
                <w:iCs/>
                <w:color w:val="auto"/>
                <w:szCs w:val="18"/>
              </w:rPr>
              <w:sym w:font="Symbol" w:char="F044"/>
            </w:r>
            <w:r w:rsidRPr="00086D29">
              <w:rPr>
                <w:i/>
                <w:iCs/>
                <w:color w:val="auto"/>
                <w:szCs w:val="18"/>
              </w:rPr>
              <w:t>R</w:t>
            </w:r>
            <w:r w:rsidRPr="00086D29">
              <w:rPr>
                <w:i/>
                <w:iCs/>
                <w:color w:val="auto"/>
                <w:szCs w:val="18"/>
                <w:vertAlign w:val="superscript"/>
              </w:rPr>
              <w:t>2</w:t>
            </w:r>
            <w:r w:rsidRPr="00086D29">
              <w:rPr>
                <w:color w:val="auto"/>
                <w:szCs w:val="18"/>
              </w:rPr>
              <w:t xml:space="preserve"> =</w:t>
            </w:r>
            <w:r w:rsidR="008B3F57" w:rsidRPr="00086D29">
              <w:rPr>
                <w:color w:val="auto"/>
                <w:szCs w:val="18"/>
              </w:rPr>
              <w:t xml:space="preserve"> 0.</w:t>
            </w:r>
            <w:r w:rsidRPr="00086D29">
              <w:rPr>
                <w:color w:val="auto"/>
                <w:szCs w:val="18"/>
              </w:rPr>
              <w:t xml:space="preserve">00, </w:t>
            </w:r>
            <w:r w:rsidRPr="00086D29">
              <w:rPr>
                <w:i/>
                <w:iCs/>
                <w:color w:val="auto"/>
                <w:szCs w:val="18"/>
              </w:rPr>
              <w:sym w:font="Symbol" w:char="F044"/>
            </w:r>
            <w:r w:rsidRPr="00086D29">
              <w:rPr>
                <w:i/>
                <w:iCs/>
                <w:color w:val="auto"/>
                <w:szCs w:val="18"/>
              </w:rPr>
              <w:t>F</w:t>
            </w:r>
            <w:r w:rsidRPr="00086D29">
              <w:rPr>
                <w:color w:val="auto"/>
                <w:szCs w:val="18"/>
              </w:rPr>
              <w:t xml:space="preserve"> = 0.03, </w:t>
            </w:r>
            <w:r w:rsidRPr="00086D29">
              <w:rPr>
                <w:i/>
                <w:iCs/>
                <w:color w:val="auto"/>
                <w:szCs w:val="18"/>
              </w:rPr>
              <w:t>p</w:t>
            </w:r>
            <w:r w:rsidRPr="00086D29">
              <w:rPr>
                <w:color w:val="auto"/>
                <w:szCs w:val="18"/>
              </w:rPr>
              <w:t xml:space="preserve"> =</w:t>
            </w:r>
            <w:r w:rsidR="008B3F57" w:rsidRPr="00086D29">
              <w:rPr>
                <w:color w:val="auto"/>
                <w:szCs w:val="18"/>
              </w:rPr>
              <w:t xml:space="preserve"> 0.</w:t>
            </w:r>
            <w:r w:rsidRPr="00086D29">
              <w:rPr>
                <w:color w:val="auto"/>
                <w:szCs w:val="18"/>
              </w:rPr>
              <w:t>873</w:t>
            </w:r>
          </w:p>
        </w:tc>
        <w:tc>
          <w:tcPr>
            <w:tcW w:w="1510" w:type="pct"/>
            <w:gridSpan w:val="5"/>
            <w:tcBorders>
              <w:top w:val="single" w:sz="4" w:space="0" w:color="auto"/>
            </w:tcBorders>
            <w:shd w:val="clear" w:color="auto" w:fill="FFFFFF" w:themeFill="background1"/>
            <w:vAlign w:val="center"/>
          </w:tcPr>
          <w:p w14:paraId="0A7E72A5" w14:textId="63C76ED5" w:rsidR="00A460C6" w:rsidRPr="00086D29" w:rsidRDefault="00A460C6" w:rsidP="00F17C71">
            <w:pPr>
              <w:autoSpaceDE w:val="0"/>
              <w:autoSpaceDN w:val="0"/>
              <w:adjustRightInd w:val="0"/>
              <w:snapToGrid w:val="0"/>
              <w:spacing w:line="240" w:lineRule="auto"/>
              <w:jc w:val="center"/>
              <w:rPr>
                <w:color w:val="auto"/>
                <w:szCs w:val="18"/>
              </w:rPr>
            </w:pPr>
            <w:r w:rsidRPr="00086D29">
              <w:rPr>
                <w:i/>
                <w:iCs/>
                <w:color w:val="auto"/>
                <w:szCs w:val="18"/>
              </w:rPr>
              <w:sym w:font="Symbol" w:char="F044"/>
            </w:r>
            <w:r w:rsidRPr="00086D29">
              <w:rPr>
                <w:i/>
                <w:iCs/>
                <w:color w:val="auto"/>
                <w:szCs w:val="18"/>
              </w:rPr>
              <w:t>R</w:t>
            </w:r>
            <w:r w:rsidRPr="00086D29">
              <w:rPr>
                <w:i/>
                <w:iCs/>
                <w:color w:val="auto"/>
                <w:szCs w:val="18"/>
                <w:vertAlign w:val="superscript"/>
              </w:rPr>
              <w:t>2</w:t>
            </w:r>
            <w:r w:rsidRPr="00086D29">
              <w:rPr>
                <w:color w:val="auto"/>
                <w:szCs w:val="18"/>
              </w:rPr>
              <w:t xml:space="preserve"> =</w:t>
            </w:r>
            <w:r w:rsidR="008B3F57" w:rsidRPr="00086D29">
              <w:rPr>
                <w:color w:val="auto"/>
                <w:szCs w:val="18"/>
              </w:rPr>
              <w:t xml:space="preserve"> 0.</w:t>
            </w:r>
            <w:r w:rsidRPr="00086D29">
              <w:rPr>
                <w:color w:val="auto"/>
                <w:szCs w:val="18"/>
              </w:rPr>
              <w:t xml:space="preserve">02, </w:t>
            </w:r>
            <w:r w:rsidRPr="00086D29">
              <w:rPr>
                <w:i/>
                <w:iCs/>
                <w:color w:val="auto"/>
                <w:szCs w:val="18"/>
              </w:rPr>
              <w:sym w:font="Symbol" w:char="F044"/>
            </w:r>
            <w:r w:rsidRPr="00086D29">
              <w:rPr>
                <w:i/>
                <w:iCs/>
                <w:color w:val="auto"/>
                <w:szCs w:val="18"/>
              </w:rPr>
              <w:t>F</w:t>
            </w:r>
            <w:r w:rsidRPr="00086D29">
              <w:rPr>
                <w:color w:val="auto"/>
                <w:szCs w:val="18"/>
              </w:rPr>
              <w:t xml:space="preserve"> = 2.84, </w:t>
            </w:r>
            <w:r w:rsidRPr="00086D29">
              <w:rPr>
                <w:i/>
                <w:iCs/>
                <w:color w:val="auto"/>
                <w:szCs w:val="18"/>
              </w:rPr>
              <w:t>p</w:t>
            </w:r>
            <w:r w:rsidRPr="00086D29">
              <w:rPr>
                <w:color w:val="auto"/>
                <w:szCs w:val="18"/>
              </w:rPr>
              <w:t xml:space="preserve"> =</w:t>
            </w:r>
            <w:r w:rsidR="008B3F57" w:rsidRPr="00086D29">
              <w:rPr>
                <w:color w:val="auto"/>
                <w:szCs w:val="18"/>
              </w:rPr>
              <w:t xml:space="preserve"> 0.</w:t>
            </w:r>
            <w:r w:rsidRPr="00086D29">
              <w:rPr>
                <w:color w:val="auto"/>
                <w:szCs w:val="18"/>
              </w:rPr>
              <w:t>095</w:t>
            </w:r>
          </w:p>
        </w:tc>
        <w:tc>
          <w:tcPr>
            <w:tcW w:w="1543" w:type="pct"/>
            <w:gridSpan w:val="5"/>
            <w:tcBorders>
              <w:top w:val="single" w:sz="4" w:space="0" w:color="auto"/>
            </w:tcBorders>
            <w:shd w:val="clear" w:color="auto" w:fill="FFFFFF" w:themeFill="background1"/>
            <w:vAlign w:val="center"/>
          </w:tcPr>
          <w:p w14:paraId="3000D35F" w14:textId="5F1418F7" w:rsidR="00A460C6" w:rsidRPr="00086D29" w:rsidRDefault="00A460C6" w:rsidP="00F17C71">
            <w:pPr>
              <w:autoSpaceDE w:val="0"/>
              <w:autoSpaceDN w:val="0"/>
              <w:adjustRightInd w:val="0"/>
              <w:snapToGrid w:val="0"/>
              <w:spacing w:line="240" w:lineRule="auto"/>
              <w:jc w:val="center"/>
              <w:rPr>
                <w:color w:val="auto"/>
                <w:szCs w:val="18"/>
              </w:rPr>
            </w:pPr>
            <w:r w:rsidRPr="00086D29">
              <w:rPr>
                <w:i/>
                <w:iCs/>
                <w:color w:val="auto"/>
                <w:szCs w:val="18"/>
              </w:rPr>
              <w:sym w:font="Symbol" w:char="F044"/>
            </w:r>
            <w:r w:rsidRPr="00086D29">
              <w:rPr>
                <w:i/>
                <w:iCs/>
                <w:color w:val="auto"/>
                <w:szCs w:val="18"/>
              </w:rPr>
              <w:t>R</w:t>
            </w:r>
            <w:r w:rsidRPr="00086D29">
              <w:rPr>
                <w:i/>
                <w:iCs/>
                <w:color w:val="auto"/>
                <w:szCs w:val="18"/>
                <w:vertAlign w:val="superscript"/>
              </w:rPr>
              <w:t>2</w:t>
            </w:r>
            <w:r w:rsidRPr="00086D29">
              <w:rPr>
                <w:color w:val="auto"/>
                <w:szCs w:val="18"/>
              </w:rPr>
              <w:t xml:space="preserve"> =</w:t>
            </w:r>
            <w:r w:rsidR="008B3F57" w:rsidRPr="00086D29">
              <w:rPr>
                <w:color w:val="auto"/>
                <w:szCs w:val="18"/>
              </w:rPr>
              <w:t xml:space="preserve"> 0.</w:t>
            </w:r>
            <w:r w:rsidRPr="00086D29">
              <w:rPr>
                <w:color w:val="auto"/>
                <w:szCs w:val="18"/>
              </w:rPr>
              <w:t xml:space="preserve">00, </w:t>
            </w:r>
            <w:r w:rsidRPr="00086D29">
              <w:rPr>
                <w:i/>
                <w:iCs/>
                <w:color w:val="auto"/>
                <w:szCs w:val="18"/>
              </w:rPr>
              <w:sym w:font="Symbol" w:char="F044"/>
            </w:r>
            <w:r w:rsidRPr="00086D29">
              <w:rPr>
                <w:i/>
                <w:iCs/>
                <w:color w:val="auto"/>
                <w:szCs w:val="18"/>
              </w:rPr>
              <w:t>F</w:t>
            </w:r>
            <w:r w:rsidRPr="00086D29">
              <w:rPr>
                <w:color w:val="auto"/>
                <w:szCs w:val="18"/>
              </w:rPr>
              <w:t xml:space="preserve"> = 0.31, </w:t>
            </w:r>
            <w:r w:rsidRPr="00086D29">
              <w:rPr>
                <w:i/>
                <w:iCs/>
                <w:color w:val="auto"/>
                <w:szCs w:val="18"/>
              </w:rPr>
              <w:t>p</w:t>
            </w:r>
            <w:r w:rsidRPr="00086D29">
              <w:rPr>
                <w:color w:val="auto"/>
                <w:szCs w:val="18"/>
              </w:rPr>
              <w:t xml:space="preserve"> =</w:t>
            </w:r>
            <w:r w:rsidR="008B3F57" w:rsidRPr="00086D29">
              <w:rPr>
                <w:color w:val="auto"/>
                <w:szCs w:val="18"/>
              </w:rPr>
              <w:t xml:space="preserve"> 0.</w:t>
            </w:r>
            <w:r w:rsidRPr="00086D29">
              <w:rPr>
                <w:color w:val="auto"/>
                <w:szCs w:val="18"/>
              </w:rPr>
              <w:t>579</w:t>
            </w:r>
          </w:p>
        </w:tc>
      </w:tr>
      <w:tr w:rsidR="00F17C71" w:rsidRPr="00086D29" w14:paraId="675EE434" w14:textId="77777777" w:rsidTr="00DB5DCF">
        <w:trPr>
          <w:gridAfter w:val="1"/>
          <w:wAfter w:w="35" w:type="pct"/>
          <w:cantSplit/>
          <w:jc w:val="center"/>
        </w:trPr>
        <w:tc>
          <w:tcPr>
            <w:tcW w:w="407" w:type="pct"/>
            <w:shd w:val="clear" w:color="auto" w:fill="FFFFFF" w:themeFill="background1"/>
            <w:vAlign w:val="center"/>
          </w:tcPr>
          <w:p w14:paraId="328258CA" w14:textId="77777777" w:rsidR="00A460C6" w:rsidRPr="00086D29" w:rsidRDefault="00A460C6" w:rsidP="00F17C71">
            <w:pPr>
              <w:autoSpaceDE w:val="0"/>
              <w:autoSpaceDN w:val="0"/>
              <w:adjustRightInd w:val="0"/>
              <w:snapToGrid w:val="0"/>
              <w:spacing w:line="240" w:lineRule="auto"/>
              <w:jc w:val="center"/>
              <w:rPr>
                <w:color w:val="auto"/>
                <w:szCs w:val="18"/>
              </w:rPr>
            </w:pPr>
            <w:r w:rsidRPr="00086D29">
              <w:rPr>
                <w:color w:val="auto"/>
                <w:szCs w:val="18"/>
              </w:rPr>
              <w:t>Age</w:t>
            </w:r>
          </w:p>
        </w:tc>
        <w:tc>
          <w:tcPr>
            <w:tcW w:w="292" w:type="pct"/>
            <w:shd w:val="clear" w:color="auto" w:fill="FFFFFF" w:themeFill="background1"/>
            <w:vAlign w:val="center"/>
          </w:tcPr>
          <w:p w14:paraId="4D951DBD" w14:textId="2C43C36F" w:rsidR="00A460C6" w:rsidRPr="00086D29" w:rsidRDefault="00086D29" w:rsidP="00F17C71">
            <w:pPr>
              <w:autoSpaceDE w:val="0"/>
              <w:autoSpaceDN w:val="0"/>
              <w:adjustRightInd w:val="0"/>
              <w:snapToGrid w:val="0"/>
              <w:spacing w:line="240" w:lineRule="auto"/>
              <w:jc w:val="center"/>
              <w:rPr>
                <w:color w:val="auto"/>
                <w:szCs w:val="18"/>
              </w:rPr>
            </w:pPr>
            <w:r>
              <w:rPr>
                <w:color w:val="auto"/>
                <w:szCs w:val="18"/>
              </w:rPr>
              <w:t>0</w:t>
            </w:r>
            <w:r w:rsidR="00A460C6" w:rsidRPr="00086D29">
              <w:rPr>
                <w:color w:val="auto"/>
                <w:szCs w:val="18"/>
              </w:rPr>
              <w:t>.22</w:t>
            </w:r>
          </w:p>
        </w:tc>
        <w:tc>
          <w:tcPr>
            <w:tcW w:w="311" w:type="pct"/>
            <w:shd w:val="clear" w:color="auto" w:fill="FFFFFF" w:themeFill="background1"/>
            <w:vAlign w:val="center"/>
          </w:tcPr>
          <w:p w14:paraId="6CA2CC20" w14:textId="77777777" w:rsidR="00A460C6" w:rsidRPr="00086D29" w:rsidRDefault="00A460C6" w:rsidP="00F17C71">
            <w:pPr>
              <w:autoSpaceDE w:val="0"/>
              <w:autoSpaceDN w:val="0"/>
              <w:adjustRightInd w:val="0"/>
              <w:snapToGrid w:val="0"/>
              <w:spacing w:line="240" w:lineRule="auto"/>
              <w:jc w:val="center"/>
              <w:rPr>
                <w:color w:val="auto"/>
                <w:szCs w:val="18"/>
              </w:rPr>
            </w:pPr>
            <w:r w:rsidRPr="00086D29">
              <w:rPr>
                <w:color w:val="auto"/>
                <w:szCs w:val="18"/>
              </w:rPr>
              <w:t>0.07 (0.03)</w:t>
            </w:r>
          </w:p>
        </w:tc>
        <w:tc>
          <w:tcPr>
            <w:tcW w:w="375" w:type="pct"/>
            <w:shd w:val="clear" w:color="auto" w:fill="FFFFFF" w:themeFill="background1"/>
            <w:vAlign w:val="center"/>
          </w:tcPr>
          <w:p w14:paraId="3C7DDA1E" w14:textId="77777777" w:rsidR="00A460C6" w:rsidRPr="00086D29" w:rsidRDefault="00A460C6" w:rsidP="00F17C71">
            <w:pPr>
              <w:autoSpaceDE w:val="0"/>
              <w:autoSpaceDN w:val="0"/>
              <w:adjustRightInd w:val="0"/>
              <w:snapToGrid w:val="0"/>
              <w:spacing w:line="240" w:lineRule="auto"/>
              <w:jc w:val="center"/>
              <w:rPr>
                <w:color w:val="auto"/>
                <w:szCs w:val="18"/>
              </w:rPr>
            </w:pPr>
            <w:r w:rsidRPr="00086D29">
              <w:rPr>
                <w:color w:val="auto"/>
                <w:szCs w:val="18"/>
              </w:rPr>
              <w:t>0.02, 0.12</w:t>
            </w:r>
          </w:p>
        </w:tc>
        <w:tc>
          <w:tcPr>
            <w:tcW w:w="217" w:type="pct"/>
            <w:shd w:val="clear" w:color="auto" w:fill="FFFFFF" w:themeFill="background1"/>
            <w:vAlign w:val="center"/>
          </w:tcPr>
          <w:p w14:paraId="4325795B" w14:textId="77777777" w:rsidR="00A460C6" w:rsidRPr="00086D29" w:rsidRDefault="00A460C6" w:rsidP="00F17C71">
            <w:pPr>
              <w:autoSpaceDE w:val="0"/>
              <w:autoSpaceDN w:val="0"/>
              <w:adjustRightInd w:val="0"/>
              <w:snapToGrid w:val="0"/>
              <w:spacing w:line="240" w:lineRule="auto"/>
              <w:jc w:val="center"/>
              <w:rPr>
                <w:color w:val="auto"/>
                <w:szCs w:val="18"/>
              </w:rPr>
            </w:pPr>
            <w:r w:rsidRPr="00086D29">
              <w:rPr>
                <w:color w:val="auto"/>
                <w:szCs w:val="18"/>
              </w:rPr>
              <w:t>2.91</w:t>
            </w:r>
          </w:p>
        </w:tc>
        <w:tc>
          <w:tcPr>
            <w:tcW w:w="312" w:type="pct"/>
            <w:shd w:val="clear" w:color="auto" w:fill="FFFFFF" w:themeFill="background1"/>
            <w:vAlign w:val="center"/>
          </w:tcPr>
          <w:p w14:paraId="0FAD6457" w14:textId="69CB3458" w:rsidR="00A460C6" w:rsidRPr="00086D29" w:rsidRDefault="00AB1120" w:rsidP="00F17C71">
            <w:pPr>
              <w:autoSpaceDE w:val="0"/>
              <w:autoSpaceDN w:val="0"/>
              <w:adjustRightInd w:val="0"/>
              <w:snapToGrid w:val="0"/>
              <w:spacing w:line="240" w:lineRule="auto"/>
              <w:jc w:val="center"/>
              <w:rPr>
                <w:color w:val="auto"/>
                <w:szCs w:val="18"/>
              </w:rPr>
            </w:pPr>
            <w:r>
              <w:rPr>
                <w:color w:val="auto"/>
                <w:szCs w:val="18"/>
              </w:rPr>
              <w:t>0</w:t>
            </w:r>
            <w:r w:rsidR="00A460C6" w:rsidRPr="00086D29">
              <w:rPr>
                <w:color w:val="auto"/>
                <w:szCs w:val="18"/>
              </w:rPr>
              <w:t>.004</w:t>
            </w:r>
          </w:p>
        </w:tc>
        <w:tc>
          <w:tcPr>
            <w:tcW w:w="252" w:type="pct"/>
            <w:shd w:val="clear" w:color="auto" w:fill="FFFFFF" w:themeFill="background1"/>
            <w:vAlign w:val="center"/>
          </w:tcPr>
          <w:p w14:paraId="09EF0DA3" w14:textId="33A3F11B" w:rsidR="00A460C6" w:rsidRPr="00086D29" w:rsidRDefault="00AB1120" w:rsidP="00F17C71">
            <w:pPr>
              <w:autoSpaceDE w:val="0"/>
              <w:autoSpaceDN w:val="0"/>
              <w:adjustRightInd w:val="0"/>
              <w:snapToGrid w:val="0"/>
              <w:spacing w:line="240" w:lineRule="auto"/>
              <w:jc w:val="center"/>
              <w:rPr>
                <w:color w:val="auto"/>
                <w:szCs w:val="18"/>
              </w:rPr>
            </w:pPr>
            <w:r>
              <w:rPr>
                <w:color w:val="auto"/>
                <w:szCs w:val="18"/>
              </w:rPr>
              <w:t>0</w:t>
            </w:r>
            <w:r w:rsidR="00A460C6" w:rsidRPr="00086D29">
              <w:rPr>
                <w:color w:val="auto"/>
                <w:szCs w:val="18"/>
              </w:rPr>
              <w:t>.23</w:t>
            </w:r>
          </w:p>
        </w:tc>
        <w:tc>
          <w:tcPr>
            <w:tcW w:w="322" w:type="pct"/>
            <w:shd w:val="clear" w:color="auto" w:fill="FFFFFF" w:themeFill="background1"/>
            <w:vAlign w:val="center"/>
          </w:tcPr>
          <w:p w14:paraId="32EAEA40" w14:textId="77777777" w:rsidR="00A460C6" w:rsidRPr="00086D29" w:rsidRDefault="00A460C6" w:rsidP="00F17C71">
            <w:pPr>
              <w:autoSpaceDE w:val="0"/>
              <w:autoSpaceDN w:val="0"/>
              <w:adjustRightInd w:val="0"/>
              <w:snapToGrid w:val="0"/>
              <w:spacing w:line="240" w:lineRule="auto"/>
              <w:jc w:val="center"/>
              <w:rPr>
                <w:color w:val="auto"/>
                <w:szCs w:val="18"/>
              </w:rPr>
            </w:pPr>
            <w:r w:rsidRPr="00086D29">
              <w:rPr>
                <w:color w:val="auto"/>
                <w:szCs w:val="18"/>
              </w:rPr>
              <w:t>0.07 (0.03)</w:t>
            </w:r>
          </w:p>
        </w:tc>
        <w:tc>
          <w:tcPr>
            <w:tcW w:w="321" w:type="pct"/>
            <w:shd w:val="clear" w:color="auto" w:fill="FFFFFF" w:themeFill="background1"/>
            <w:vAlign w:val="center"/>
          </w:tcPr>
          <w:p w14:paraId="79297063" w14:textId="77777777" w:rsidR="00A460C6" w:rsidRPr="00086D29" w:rsidRDefault="00A460C6" w:rsidP="00F17C71">
            <w:pPr>
              <w:autoSpaceDE w:val="0"/>
              <w:autoSpaceDN w:val="0"/>
              <w:adjustRightInd w:val="0"/>
              <w:snapToGrid w:val="0"/>
              <w:spacing w:line="240" w:lineRule="auto"/>
              <w:jc w:val="center"/>
              <w:rPr>
                <w:color w:val="auto"/>
                <w:szCs w:val="18"/>
              </w:rPr>
            </w:pPr>
            <w:r w:rsidRPr="00086D29">
              <w:rPr>
                <w:color w:val="auto"/>
                <w:szCs w:val="18"/>
              </w:rPr>
              <w:t xml:space="preserve">0.02, </w:t>
            </w:r>
          </w:p>
          <w:p w14:paraId="45C98FAF" w14:textId="77777777" w:rsidR="00A460C6" w:rsidRPr="00086D29" w:rsidRDefault="00A460C6" w:rsidP="00F17C71">
            <w:pPr>
              <w:autoSpaceDE w:val="0"/>
              <w:autoSpaceDN w:val="0"/>
              <w:adjustRightInd w:val="0"/>
              <w:snapToGrid w:val="0"/>
              <w:spacing w:line="240" w:lineRule="auto"/>
              <w:jc w:val="center"/>
              <w:rPr>
                <w:color w:val="auto"/>
                <w:szCs w:val="18"/>
              </w:rPr>
            </w:pPr>
            <w:r w:rsidRPr="00086D29">
              <w:rPr>
                <w:color w:val="auto"/>
                <w:szCs w:val="18"/>
              </w:rPr>
              <w:t>0.12</w:t>
            </w:r>
          </w:p>
        </w:tc>
        <w:tc>
          <w:tcPr>
            <w:tcW w:w="300" w:type="pct"/>
            <w:shd w:val="clear" w:color="auto" w:fill="FFFFFF" w:themeFill="background1"/>
            <w:vAlign w:val="center"/>
          </w:tcPr>
          <w:p w14:paraId="609A0104" w14:textId="77777777" w:rsidR="00A460C6" w:rsidRPr="00086D29" w:rsidRDefault="00A460C6" w:rsidP="00F17C71">
            <w:pPr>
              <w:autoSpaceDE w:val="0"/>
              <w:autoSpaceDN w:val="0"/>
              <w:adjustRightInd w:val="0"/>
              <w:snapToGrid w:val="0"/>
              <w:spacing w:line="240" w:lineRule="auto"/>
              <w:jc w:val="center"/>
              <w:rPr>
                <w:color w:val="auto"/>
                <w:szCs w:val="18"/>
              </w:rPr>
            </w:pPr>
            <w:r w:rsidRPr="00086D29">
              <w:rPr>
                <w:color w:val="auto"/>
                <w:szCs w:val="18"/>
              </w:rPr>
              <w:t>2.72</w:t>
            </w:r>
          </w:p>
        </w:tc>
        <w:tc>
          <w:tcPr>
            <w:tcW w:w="315" w:type="pct"/>
            <w:shd w:val="clear" w:color="auto" w:fill="FFFFFF" w:themeFill="background1"/>
            <w:vAlign w:val="center"/>
          </w:tcPr>
          <w:p w14:paraId="0F25EB7F" w14:textId="14404EC5" w:rsidR="00A460C6" w:rsidRPr="00086D29" w:rsidRDefault="00AB1120" w:rsidP="00F17C71">
            <w:pPr>
              <w:autoSpaceDE w:val="0"/>
              <w:autoSpaceDN w:val="0"/>
              <w:adjustRightInd w:val="0"/>
              <w:snapToGrid w:val="0"/>
              <w:spacing w:line="240" w:lineRule="auto"/>
              <w:jc w:val="center"/>
              <w:rPr>
                <w:color w:val="auto"/>
                <w:szCs w:val="18"/>
              </w:rPr>
            </w:pPr>
            <w:r>
              <w:rPr>
                <w:color w:val="auto"/>
                <w:szCs w:val="18"/>
              </w:rPr>
              <w:t>0</w:t>
            </w:r>
            <w:r w:rsidR="00A460C6" w:rsidRPr="00086D29">
              <w:rPr>
                <w:color w:val="auto"/>
                <w:szCs w:val="18"/>
              </w:rPr>
              <w:t>.007</w:t>
            </w:r>
          </w:p>
        </w:tc>
        <w:tc>
          <w:tcPr>
            <w:tcW w:w="253" w:type="pct"/>
            <w:shd w:val="clear" w:color="auto" w:fill="FFFFFF" w:themeFill="background1"/>
            <w:vAlign w:val="center"/>
          </w:tcPr>
          <w:p w14:paraId="3CC80FF9" w14:textId="021A84DB" w:rsidR="00A460C6" w:rsidRPr="00086D29" w:rsidRDefault="00AB1120" w:rsidP="00F17C71">
            <w:pPr>
              <w:autoSpaceDE w:val="0"/>
              <w:autoSpaceDN w:val="0"/>
              <w:adjustRightInd w:val="0"/>
              <w:snapToGrid w:val="0"/>
              <w:spacing w:line="240" w:lineRule="auto"/>
              <w:jc w:val="center"/>
              <w:rPr>
                <w:color w:val="auto"/>
                <w:szCs w:val="18"/>
              </w:rPr>
            </w:pPr>
            <w:r>
              <w:rPr>
                <w:color w:val="auto"/>
                <w:szCs w:val="18"/>
              </w:rPr>
              <w:t>0</w:t>
            </w:r>
            <w:r w:rsidR="00A460C6" w:rsidRPr="00086D29">
              <w:rPr>
                <w:color w:val="auto"/>
                <w:szCs w:val="18"/>
              </w:rPr>
              <w:t>.21</w:t>
            </w:r>
          </w:p>
        </w:tc>
        <w:tc>
          <w:tcPr>
            <w:tcW w:w="361" w:type="pct"/>
            <w:shd w:val="clear" w:color="auto" w:fill="FFFFFF" w:themeFill="background1"/>
            <w:vAlign w:val="center"/>
          </w:tcPr>
          <w:p w14:paraId="5923F7BB" w14:textId="77777777" w:rsidR="007A7068" w:rsidRPr="00086D29" w:rsidRDefault="00A460C6" w:rsidP="00F17C71">
            <w:pPr>
              <w:autoSpaceDE w:val="0"/>
              <w:autoSpaceDN w:val="0"/>
              <w:adjustRightInd w:val="0"/>
              <w:snapToGrid w:val="0"/>
              <w:spacing w:line="240" w:lineRule="auto"/>
              <w:jc w:val="center"/>
              <w:rPr>
                <w:color w:val="auto"/>
                <w:szCs w:val="18"/>
              </w:rPr>
            </w:pPr>
            <w:r w:rsidRPr="00086D29">
              <w:rPr>
                <w:color w:val="auto"/>
                <w:szCs w:val="18"/>
              </w:rPr>
              <w:t>0.07</w:t>
            </w:r>
          </w:p>
          <w:p w14:paraId="0BAB9EAC" w14:textId="42A83902" w:rsidR="00A460C6" w:rsidRPr="00086D29" w:rsidRDefault="00A460C6" w:rsidP="00F17C71">
            <w:pPr>
              <w:autoSpaceDE w:val="0"/>
              <w:autoSpaceDN w:val="0"/>
              <w:adjustRightInd w:val="0"/>
              <w:snapToGrid w:val="0"/>
              <w:spacing w:line="240" w:lineRule="auto"/>
              <w:jc w:val="center"/>
              <w:rPr>
                <w:color w:val="auto"/>
                <w:szCs w:val="18"/>
              </w:rPr>
            </w:pPr>
            <w:r w:rsidRPr="00086D29">
              <w:rPr>
                <w:color w:val="auto"/>
                <w:szCs w:val="18"/>
              </w:rPr>
              <w:t>(0.03)</w:t>
            </w:r>
          </w:p>
        </w:tc>
        <w:tc>
          <w:tcPr>
            <w:tcW w:w="322" w:type="pct"/>
            <w:shd w:val="clear" w:color="auto" w:fill="FFFFFF" w:themeFill="background1"/>
            <w:vAlign w:val="center"/>
          </w:tcPr>
          <w:p w14:paraId="51F2EBDF" w14:textId="77777777" w:rsidR="00A460C6" w:rsidRPr="00086D29" w:rsidRDefault="00A460C6" w:rsidP="00F17C71">
            <w:pPr>
              <w:autoSpaceDE w:val="0"/>
              <w:autoSpaceDN w:val="0"/>
              <w:adjustRightInd w:val="0"/>
              <w:snapToGrid w:val="0"/>
              <w:spacing w:line="240" w:lineRule="auto"/>
              <w:jc w:val="center"/>
              <w:rPr>
                <w:color w:val="auto"/>
                <w:szCs w:val="18"/>
              </w:rPr>
            </w:pPr>
            <w:r w:rsidRPr="00086D29">
              <w:rPr>
                <w:color w:val="auto"/>
                <w:szCs w:val="18"/>
              </w:rPr>
              <w:t xml:space="preserve">0.01, </w:t>
            </w:r>
          </w:p>
          <w:p w14:paraId="6F4FBD79" w14:textId="77777777" w:rsidR="00A460C6" w:rsidRPr="00086D29" w:rsidRDefault="00A460C6" w:rsidP="00F17C71">
            <w:pPr>
              <w:autoSpaceDE w:val="0"/>
              <w:autoSpaceDN w:val="0"/>
              <w:adjustRightInd w:val="0"/>
              <w:snapToGrid w:val="0"/>
              <w:spacing w:line="240" w:lineRule="auto"/>
              <w:jc w:val="center"/>
              <w:rPr>
                <w:color w:val="auto"/>
                <w:szCs w:val="18"/>
              </w:rPr>
            </w:pPr>
            <w:r w:rsidRPr="00086D29">
              <w:rPr>
                <w:color w:val="auto"/>
                <w:szCs w:val="18"/>
              </w:rPr>
              <w:t>0.13</w:t>
            </w:r>
          </w:p>
        </w:tc>
        <w:tc>
          <w:tcPr>
            <w:tcW w:w="300" w:type="pct"/>
            <w:shd w:val="clear" w:color="auto" w:fill="FFFFFF" w:themeFill="background1"/>
            <w:vAlign w:val="center"/>
          </w:tcPr>
          <w:p w14:paraId="6124C7A3" w14:textId="77777777" w:rsidR="00A460C6" w:rsidRPr="00086D29" w:rsidRDefault="00A460C6" w:rsidP="00F17C71">
            <w:pPr>
              <w:autoSpaceDE w:val="0"/>
              <w:autoSpaceDN w:val="0"/>
              <w:adjustRightInd w:val="0"/>
              <w:snapToGrid w:val="0"/>
              <w:spacing w:line="240" w:lineRule="auto"/>
              <w:jc w:val="center"/>
              <w:rPr>
                <w:color w:val="auto"/>
                <w:szCs w:val="18"/>
              </w:rPr>
            </w:pPr>
            <w:r w:rsidRPr="00086D29">
              <w:rPr>
                <w:color w:val="auto"/>
                <w:szCs w:val="18"/>
              </w:rPr>
              <w:t>2.31</w:t>
            </w:r>
          </w:p>
        </w:tc>
        <w:tc>
          <w:tcPr>
            <w:tcW w:w="307" w:type="pct"/>
            <w:shd w:val="clear" w:color="auto" w:fill="FFFFFF" w:themeFill="background1"/>
            <w:vAlign w:val="center"/>
          </w:tcPr>
          <w:p w14:paraId="5B0B9BA5" w14:textId="57AFD3A6" w:rsidR="00A460C6" w:rsidRPr="00086D29" w:rsidRDefault="00AB1120" w:rsidP="00F17C71">
            <w:pPr>
              <w:autoSpaceDE w:val="0"/>
              <w:autoSpaceDN w:val="0"/>
              <w:adjustRightInd w:val="0"/>
              <w:snapToGrid w:val="0"/>
              <w:spacing w:line="240" w:lineRule="auto"/>
              <w:jc w:val="center"/>
              <w:rPr>
                <w:color w:val="auto"/>
                <w:szCs w:val="18"/>
              </w:rPr>
            </w:pPr>
            <w:r>
              <w:rPr>
                <w:color w:val="auto"/>
                <w:szCs w:val="18"/>
              </w:rPr>
              <w:t>0</w:t>
            </w:r>
            <w:r w:rsidR="00A460C6" w:rsidRPr="00086D29">
              <w:rPr>
                <w:color w:val="auto"/>
                <w:szCs w:val="18"/>
              </w:rPr>
              <w:t>.023</w:t>
            </w:r>
          </w:p>
        </w:tc>
      </w:tr>
      <w:tr w:rsidR="00F17C71" w:rsidRPr="00086D29" w14:paraId="4E109A76" w14:textId="77777777" w:rsidTr="00DB5DCF">
        <w:trPr>
          <w:gridAfter w:val="1"/>
          <w:wAfter w:w="35" w:type="pct"/>
          <w:cantSplit/>
          <w:jc w:val="center"/>
        </w:trPr>
        <w:tc>
          <w:tcPr>
            <w:tcW w:w="407" w:type="pct"/>
            <w:shd w:val="clear" w:color="auto" w:fill="FFFFFF" w:themeFill="background1"/>
            <w:vAlign w:val="center"/>
          </w:tcPr>
          <w:p w14:paraId="3E6581DF" w14:textId="77777777" w:rsidR="00A460C6" w:rsidRPr="00086D29" w:rsidRDefault="00A460C6" w:rsidP="00F17C71">
            <w:pPr>
              <w:autoSpaceDE w:val="0"/>
              <w:autoSpaceDN w:val="0"/>
              <w:adjustRightInd w:val="0"/>
              <w:snapToGrid w:val="0"/>
              <w:spacing w:line="240" w:lineRule="auto"/>
              <w:jc w:val="center"/>
              <w:rPr>
                <w:color w:val="auto"/>
                <w:szCs w:val="18"/>
              </w:rPr>
            </w:pPr>
            <w:r w:rsidRPr="00086D29">
              <w:rPr>
                <w:color w:val="auto"/>
                <w:szCs w:val="18"/>
              </w:rPr>
              <w:t>Gender</w:t>
            </w:r>
          </w:p>
        </w:tc>
        <w:tc>
          <w:tcPr>
            <w:tcW w:w="292" w:type="pct"/>
            <w:shd w:val="clear" w:color="auto" w:fill="FFFFFF" w:themeFill="background1"/>
            <w:vAlign w:val="center"/>
          </w:tcPr>
          <w:p w14:paraId="57341FD4" w14:textId="215E09FD" w:rsidR="00A460C6" w:rsidRPr="00086D29" w:rsidRDefault="00746E18" w:rsidP="00F17C71">
            <w:pPr>
              <w:autoSpaceDE w:val="0"/>
              <w:autoSpaceDN w:val="0"/>
              <w:adjustRightInd w:val="0"/>
              <w:snapToGrid w:val="0"/>
              <w:spacing w:line="240" w:lineRule="auto"/>
              <w:jc w:val="center"/>
              <w:rPr>
                <w:color w:val="auto"/>
                <w:szCs w:val="18"/>
              </w:rPr>
            </w:pPr>
            <w:r>
              <w:rPr>
                <w:color w:val="auto"/>
                <w:szCs w:val="18"/>
              </w:rPr>
              <w:t>−</w:t>
            </w:r>
            <w:r w:rsidR="00086D29">
              <w:rPr>
                <w:color w:val="auto"/>
                <w:szCs w:val="18"/>
              </w:rPr>
              <w:t>0</w:t>
            </w:r>
            <w:r w:rsidR="00A460C6" w:rsidRPr="00086D29">
              <w:rPr>
                <w:color w:val="auto"/>
                <w:szCs w:val="18"/>
              </w:rPr>
              <w:t>.11</w:t>
            </w:r>
          </w:p>
        </w:tc>
        <w:tc>
          <w:tcPr>
            <w:tcW w:w="311" w:type="pct"/>
            <w:shd w:val="clear" w:color="auto" w:fill="FFFFFF" w:themeFill="background1"/>
            <w:vAlign w:val="center"/>
          </w:tcPr>
          <w:p w14:paraId="05B5DD5D" w14:textId="568E9E67" w:rsidR="00A460C6" w:rsidRPr="00086D29" w:rsidRDefault="00746E18" w:rsidP="00F17C71">
            <w:pPr>
              <w:autoSpaceDE w:val="0"/>
              <w:autoSpaceDN w:val="0"/>
              <w:adjustRightInd w:val="0"/>
              <w:snapToGrid w:val="0"/>
              <w:spacing w:line="240" w:lineRule="auto"/>
              <w:jc w:val="center"/>
              <w:rPr>
                <w:color w:val="auto"/>
                <w:szCs w:val="18"/>
              </w:rPr>
            </w:pPr>
            <w:r>
              <w:rPr>
                <w:color w:val="auto"/>
                <w:szCs w:val="18"/>
              </w:rPr>
              <w:t>−</w:t>
            </w:r>
            <w:r w:rsidR="00A460C6" w:rsidRPr="00086D29">
              <w:rPr>
                <w:color w:val="auto"/>
                <w:szCs w:val="18"/>
              </w:rPr>
              <w:t>1.53 (1.00)</w:t>
            </w:r>
          </w:p>
        </w:tc>
        <w:tc>
          <w:tcPr>
            <w:tcW w:w="375" w:type="pct"/>
            <w:shd w:val="clear" w:color="auto" w:fill="FFFFFF" w:themeFill="background1"/>
            <w:vAlign w:val="center"/>
          </w:tcPr>
          <w:p w14:paraId="2CF9E7FE" w14:textId="4B90D49A" w:rsidR="00A460C6" w:rsidRPr="00086D29" w:rsidRDefault="00746E18" w:rsidP="00F17C71">
            <w:pPr>
              <w:autoSpaceDE w:val="0"/>
              <w:autoSpaceDN w:val="0"/>
              <w:adjustRightInd w:val="0"/>
              <w:snapToGrid w:val="0"/>
              <w:spacing w:line="240" w:lineRule="auto"/>
              <w:jc w:val="center"/>
              <w:rPr>
                <w:color w:val="auto"/>
                <w:szCs w:val="18"/>
              </w:rPr>
            </w:pPr>
            <w:r>
              <w:rPr>
                <w:color w:val="auto"/>
                <w:szCs w:val="18"/>
              </w:rPr>
              <w:t>−</w:t>
            </w:r>
            <w:r w:rsidR="00A460C6" w:rsidRPr="00086D29">
              <w:rPr>
                <w:color w:val="auto"/>
                <w:szCs w:val="18"/>
              </w:rPr>
              <w:t xml:space="preserve">3.50, 0.44 </w:t>
            </w:r>
          </w:p>
        </w:tc>
        <w:tc>
          <w:tcPr>
            <w:tcW w:w="217" w:type="pct"/>
            <w:shd w:val="clear" w:color="auto" w:fill="FFFFFF" w:themeFill="background1"/>
            <w:vAlign w:val="center"/>
          </w:tcPr>
          <w:p w14:paraId="0A45BF63" w14:textId="3B91C752" w:rsidR="00A460C6" w:rsidRPr="00086D29" w:rsidRDefault="00746E18" w:rsidP="00F17C71">
            <w:pPr>
              <w:autoSpaceDE w:val="0"/>
              <w:autoSpaceDN w:val="0"/>
              <w:adjustRightInd w:val="0"/>
              <w:snapToGrid w:val="0"/>
              <w:spacing w:line="240" w:lineRule="auto"/>
              <w:jc w:val="center"/>
              <w:rPr>
                <w:color w:val="auto"/>
                <w:szCs w:val="18"/>
              </w:rPr>
            </w:pPr>
            <w:r>
              <w:rPr>
                <w:color w:val="auto"/>
                <w:szCs w:val="18"/>
              </w:rPr>
              <w:t>−</w:t>
            </w:r>
            <w:r w:rsidR="00A460C6" w:rsidRPr="00086D29">
              <w:rPr>
                <w:color w:val="auto"/>
                <w:szCs w:val="18"/>
              </w:rPr>
              <w:t>1.53</w:t>
            </w:r>
          </w:p>
        </w:tc>
        <w:tc>
          <w:tcPr>
            <w:tcW w:w="312" w:type="pct"/>
            <w:shd w:val="clear" w:color="auto" w:fill="FFFFFF" w:themeFill="background1"/>
            <w:vAlign w:val="center"/>
          </w:tcPr>
          <w:p w14:paraId="30CBF0B6" w14:textId="33656A2F" w:rsidR="00A460C6" w:rsidRPr="00086D29" w:rsidRDefault="00AB1120" w:rsidP="00F17C71">
            <w:pPr>
              <w:autoSpaceDE w:val="0"/>
              <w:autoSpaceDN w:val="0"/>
              <w:adjustRightInd w:val="0"/>
              <w:snapToGrid w:val="0"/>
              <w:spacing w:line="240" w:lineRule="auto"/>
              <w:jc w:val="center"/>
              <w:rPr>
                <w:color w:val="auto"/>
                <w:szCs w:val="18"/>
              </w:rPr>
            </w:pPr>
            <w:r>
              <w:rPr>
                <w:color w:val="auto"/>
                <w:szCs w:val="18"/>
              </w:rPr>
              <w:t>0</w:t>
            </w:r>
            <w:r w:rsidR="00A460C6" w:rsidRPr="00086D29">
              <w:rPr>
                <w:color w:val="auto"/>
                <w:szCs w:val="18"/>
              </w:rPr>
              <w:t>.127</w:t>
            </w:r>
          </w:p>
        </w:tc>
        <w:tc>
          <w:tcPr>
            <w:tcW w:w="252" w:type="pct"/>
            <w:shd w:val="clear" w:color="auto" w:fill="FFFFFF" w:themeFill="background1"/>
            <w:vAlign w:val="center"/>
          </w:tcPr>
          <w:p w14:paraId="1ADE555B" w14:textId="096C2F9C" w:rsidR="00A460C6" w:rsidRPr="00086D29" w:rsidRDefault="00746E18" w:rsidP="00F17C71">
            <w:pPr>
              <w:autoSpaceDE w:val="0"/>
              <w:autoSpaceDN w:val="0"/>
              <w:adjustRightInd w:val="0"/>
              <w:snapToGrid w:val="0"/>
              <w:spacing w:line="240" w:lineRule="auto"/>
              <w:jc w:val="center"/>
              <w:rPr>
                <w:color w:val="auto"/>
                <w:szCs w:val="18"/>
              </w:rPr>
            </w:pPr>
            <w:r>
              <w:rPr>
                <w:color w:val="auto"/>
                <w:szCs w:val="18"/>
              </w:rPr>
              <w:t>−</w:t>
            </w:r>
            <w:r w:rsidR="00AB1120">
              <w:rPr>
                <w:color w:val="auto"/>
                <w:szCs w:val="18"/>
              </w:rPr>
              <w:t>0</w:t>
            </w:r>
            <w:r w:rsidR="00A460C6" w:rsidRPr="00086D29">
              <w:rPr>
                <w:color w:val="auto"/>
                <w:szCs w:val="18"/>
              </w:rPr>
              <w:t>.19</w:t>
            </w:r>
          </w:p>
        </w:tc>
        <w:tc>
          <w:tcPr>
            <w:tcW w:w="322" w:type="pct"/>
            <w:shd w:val="clear" w:color="auto" w:fill="FFFFFF" w:themeFill="background1"/>
            <w:vAlign w:val="center"/>
          </w:tcPr>
          <w:p w14:paraId="5E7D325D" w14:textId="265C9EE7" w:rsidR="00A460C6" w:rsidRPr="00086D29" w:rsidRDefault="00746E18" w:rsidP="00F17C71">
            <w:pPr>
              <w:autoSpaceDE w:val="0"/>
              <w:autoSpaceDN w:val="0"/>
              <w:adjustRightInd w:val="0"/>
              <w:snapToGrid w:val="0"/>
              <w:spacing w:line="240" w:lineRule="auto"/>
              <w:jc w:val="center"/>
              <w:rPr>
                <w:color w:val="auto"/>
                <w:szCs w:val="18"/>
              </w:rPr>
            </w:pPr>
            <w:r>
              <w:rPr>
                <w:color w:val="auto"/>
                <w:szCs w:val="18"/>
              </w:rPr>
              <w:t>−</w:t>
            </w:r>
            <w:r w:rsidR="00A460C6" w:rsidRPr="00086D29">
              <w:rPr>
                <w:color w:val="auto"/>
                <w:szCs w:val="18"/>
              </w:rPr>
              <w:t>2.56 (1.12)</w:t>
            </w:r>
          </w:p>
        </w:tc>
        <w:tc>
          <w:tcPr>
            <w:tcW w:w="321" w:type="pct"/>
            <w:shd w:val="clear" w:color="auto" w:fill="FFFFFF" w:themeFill="background1"/>
            <w:vAlign w:val="center"/>
          </w:tcPr>
          <w:p w14:paraId="24D1F75E" w14:textId="6650E597" w:rsidR="007A7068" w:rsidRPr="00086D29" w:rsidRDefault="00746E18" w:rsidP="00F17C71">
            <w:pPr>
              <w:autoSpaceDE w:val="0"/>
              <w:autoSpaceDN w:val="0"/>
              <w:adjustRightInd w:val="0"/>
              <w:snapToGrid w:val="0"/>
              <w:spacing w:line="240" w:lineRule="auto"/>
              <w:jc w:val="center"/>
              <w:rPr>
                <w:color w:val="auto"/>
                <w:szCs w:val="18"/>
              </w:rPr>
            </w:pPr>
            <w:r>
              <w:rPr>
                <w:color w:val="auto"/>
                <w:szCs w:val="18"/>
              </w:rPr>
              <w:t>−</w:t>
            </w:r>
            <w:r w:rsidR="00A460C6" w:rsidRPr="00086D29">
              <w:rPr>
                <w:color w:val="auto"/>
                <w:szCs w:val="18"/>
              </w:rPr>
              <w:t>4.75,</w:t>
            </w:r>
          </w:p>
          <w:p w14:paraId="5B61C1FC" w14:textId="2667EA11" w:rsidR="00A460C6" w:rsidRPr="00086D29" w:rsidRDefault="00746E18" w:rsidP="00F17C71">
            <w:pPr>
              <w:autoSpaceDE w:val="0"/>
              <w:autoSpaceDN w:val="0"/>
              <w:adjustRightInd w:val="0"/>
              <w:snapToGrid w:val="0"/>
              <w:spacing w:line="240" w:lineRule="auto"/>
              <w:jc w:val="center"/>
              <w:rPr>
                <w:color w:val="auto"/>
                <w:szCs w:val="18"/>
              </w:rPr>
            </w:pPr>
            <w:r>
              <w:rPr>
                <w:color w:val="auto"/>
                <w:szCs w:val="18"/>
              </w:rPr>
              <w:t>−</w:t>
            </w:r>
            <w:r w:rsidR="00A460C6" w:rsidRPr="00086D29">
              <w:rPr>
                <w:color w:val="auto"/>
                <w:szCs w:val="18"/>
              </w:rPr>
              <w:t>0.36</w:t>
            </w:r>
          </w:p>
        </w:tc>
        <w:tc>
          <w:tcPr>
            <w:tcW w:w="300" w:type="pct"/>
            <w:shd w:val="clear" w:color="auto" w:fill="FFFFFF" w:themeFill="background1"/>
            <w:vAlign w:val="center"/>
          </w:tcPr>
          <w:p w14:paraId="505BBB49" w14:textId="2E08544A" w:rsidR="00A460C6" w:rsidRPr="00086D29" w:rsidRDefault="00746E18" w:rsidP="00F17C71">
            <w:pPr>
              <w:autoSpaceDE w:val="0"/>
              <w:autoSpaceDN w:val="0"/>
              <w:adjustRightInd w:val="0"/>
              <w:snapToGrid w:val="0"/>
              <w:spacing w:line="240" w:lineRule="auto"/>
              <w:jc w:val="center"/>
              <w:rPr>
                <w:color w:val="auto"/>
                <w:szCs w:val="18"/>
              </w:rPr>
            </w:pPr>
            <w:r>
              <w:rPr>
                <w:color w:val="auto"/>
                <w:szCs w:val="18"/>
              </w:rPr>
              <w:t>−</w:t>
            </w:r>
            <w:r w:rsidR="00A460C6" w:rsidRPr="00086D29">
              <w:rPr>
                <w:color w:val="auto"/>
                <w:szCs w:val="18"/>
              </w:rPr>
              <w:t>2.31</w:t>
            </w:r>
          </w:p>
        </w:tc>
        <w:tc>
          <w:tcPr>
            <w:tcW w:w="315" w:type="pct"/>
            <w:shd w:val="clear" w:color="auto" w:fill="FFFFFF" w:themeFill="background1"/>
            <w:vAlign w:val="center"/>
          </w:tcPr>
          <w:p w14:paraId="6A2CB815" w14:textId="5010169C" w:rsidR="00A460C6" w:rsidRPr="00086D29" w:rsidRDefault="00AB1120" w:rsidP="00F17C71">
            <w:pPr>
              <w:autoSpaceDE w:val="0"/>
              <w:autoSpaceDN w:val="0"/>
              <w:adjustRightInd w:val="0"/>
              <w:snapToGrid w:val="0"/>
              <w:spacing w:line="240" w:lineRule="auto"/>
              <w:jc w:val="center"/>
              <w:rPr>
                <w:color w:val="auto"/>
                <w:szCs w:val="18"/>
              </w:rPr>
            </w:pPr>
            <w:r>
              <w:rPr>
                <w:color w:val="auto"/>
                <w:szCs w:val="18"/>
              </w:rPr>
              <w:t>0</w:t>
            </w:r>
            <w:r w:rsidR="00A460C6" w:rsidRPr="00086D29">
              <w:rPr>
                <w:color w:val="auto"/>
                <w:szCs w:val="18"/>
              </w:rPr>
              <w:t>.023</w:t>
            </w:r>
          </w:p>
        </w:tc>
        <w:tc>
          <w:tcPr>
            <w:tcW w:w="253" w:type="pct"/>
            <w:shd w:val="clear" w:color="auto" w:fill="FFFFFF" w:themeFill="background1"/>
            <w:vAlign w:val="center"/>
          </w:tcPr>
          <w:p w14:paraId="509EF24B" w14:textId="76C971B9" w:rsidR="00A460C6" w:rsidRPr="00086D29" w:rsidRDefault="00746E18" w:rsidP="00F17C71">
            <w:pPr>
              <w:autoSpaceDE w:val="0"/>
              <w:autoSpaceDN w:val="0"/>
              <w:adjustRightInd w:val="0"/>
              <w:snapToGrid w:val="0"/>
              <w:spacing w:line="240" w:lineRule="auto"/>
              <w:jc w:val="center"/>
              <w:rPr>
                <w:color w:val="auto"/>
                <w:szCs w:val="18"/>
              </w:rPr>
            </w:pPr>
            <w:r>
              <w:rPr>
                <w:color w:val="auto"/>
                <w:szCs w:val="18"/>
              </w:rPr>
              <w:t>−</w:t>
            </w:r>
            <w:r w:rsidR="00AB1120">
              <w:rPr>
                <w:color w:val="auto"/>
                <w:szCs w:val="18"/>
              </w:rPr>
              <w:t>0</w:t>
            </w:r>
            <w:r w:rsidR="00A460C6" w:rsidRPr="00086D29">
              <w:rPr>
                <w:color w:val="auto"/>
                <w:szCs w:val="18"/>
              </w:rPr>
              <w:t>.10</w:t>
            </w:r>
          </w:p>
        </w:tc>
        <w:tc>
          <w:tcPr>
            <w:tcW w:w="361" w:type="pct"/>
            <w:shd w:val="clear" w:color="auto" w:fill="FFFFFF" w:themeFill="background1"/>
            <w:vAlign w:val="center"/>
          </w:tcPr>
          <w:p w14:paraId="7CC1F9F7" w14:textId="4C3A26D4" w:rsidR="00A460C6" w:rsidRPr="00086D29" w:rsidRDefault="00746E18" w:rsidP="00F17C71">
            <w:pPr>
              <w:autoSpaceDE w:val="0"/>
              <w:autoSpaceDN w:val="0"/>
              <w:adjustRightInd w:val="0"/>
              <w:snapToGrid w:val="0"/>
              <w:spacing w:line="240" w:lineRule="auto"/>
              <w:jc w:val="center"/>
              <w:rPr>
                <w:color w:val="auto"/>
                <w:szCs w:val="18"/>
              </w:rPr>
            </w:pPr>
            <w:r>
              <w:rPr>
                <w:color w:val="auto"/>
                <w:szCs w:val="18"/>
              </w:rPr>
              <w:t>−</w:t>
            </w:r>
            <w:r w:rsidR="00A460C6" w:rsidRPr="00086D29">
              <w:rPr>
                <w:color w:val="auto"/>
                <w:szCs w:val="18"/>
              </w:rPr>
              <w:t xml:space="preserve">1.34 </w:t>
            </w:r>
          </w:p>
          <w:p w14:paraId="389F66F3" w14:textId="77777777" w:rsidR="00A460C6" w:rsidRPr="00086D29" w:rsidRDefault="00A460C6" w:rsidP="00F17C71">
            <w:pPr>
              <w:autoSpaceDE w:val="0"/>
              <w:autoSpaceDN w:val="0"/>
              <w:adjustRightInd w:val="0"/>
              <w:snapToGrid w:val="0"/>
              <w:spacing w:line="240" w:lineRule="auto"/>
              <w:jc w:val="center"/>
              <w:rPr>
                <w:color w:val="auto"/>
                <w:szCs w:val="18"/>
              </w:rPr>
            </w:pPr>
            <w:r w:rsidRPr="00086D29">
              <w:rPr>
                <w:color w:val="auto"/>
                <w:szCs w:val="18"/>
              </w:rPr>
              <w:t>(1.27)</w:t>
            </w:r>
          </w:p>
        </w:tc>
        <w:tc>
          <w:tcPr>
            <w:tcW w:w="322" w:type="pct"/>
            <w:shd w:val="clear" w:color="auto" w:fill="FFFFFF" w:themeFill="background1"/>
            <w:vAlign w:val="center"/>
          </w:tcPr>
          <w:p w14:paraId="563D599C" w14:textId="3A988A39" w:rsidR="00A460C6" w:rsidRPr="00086D29" w:rsidRDefault="00746E18" w:rsidP="00F17C71">
            <w:pPr>
              <w:autoSpaceDE w:val="0"/>
              <w:autoSpaceDN w:val="0"/>
              <w:adjustRightInd w:val="0"/>
              <w:snapToGrid w:val="0"/>
              <w:spacing w:line="240" w:lineRule="auto"/>
              <w:jc w:val="center"/>
              <w:rPr>
                <w:color w:val="auto"/>
                <w:szCs w:val="18"/>
              </w:rPr>
            </w:pPr>
            <w:r>
              <w:rPr>
                <w:color w:val="auto"/>
                <w:szCs w:val="18"/>
              </w:rPr>
              <w:t>−</w:t>
            </w:r>
            <w:r w:rsidR="00A460C6" w:rsidRPr="00086D29">
              <w:rPr>
                <w:color w:val="auto"/>
                <w:szCs w:val="18"/>
              </w:rPr>
              <w:t>3.85, 1.17</w:t>
            </w:r>
          </w:p>
        </w:tc>
        <w:tc>
          <w:tcPr>
            <w:tcW w:w="300" w:type="pct"/>
            <w:shd w:val="clear" w:color="auto" w:fill="FFFFFF" w:themeFill="background1"/>
            <w:vAlign w:val="center"/>
          </w:tcPr>
          <w:p w14:paraId="0AA38DA4" w14:textId="3517B284" w:rsidR="00A460C6" w:rsidRPr="00086D29" w:rsidRDefault="00746E18" w:rsidP="00F17C71">
            <w:pPr>
              <w:autoSpaceDE w:val="0"/>
              <w:autoSpaceDN w:val="0"/>
              <w:adjustRightInd w:val="0"/>
              <w:snapToGrid w:val="0"/>
              <w:spacing w:line="240" w:lineRule="auto"/>
              <w:jc w:val="center"/>
              <w:rPr>
                <w:color w:val="auto"/>
                <w:szCs w:val="18"/>
              </w:rPr>
            </w:pPr>
            <w:r>
              <w:rPr>
                <w:color w:val="auto"/>
                <w:szCs w:val="18"/>
              </w:rPr>
              <w:t>−</w:t>
            </w:r>
            <w:r w:rsidR="00A460C6" w:rsidRPr="00086D29">
              <w:rPr>
                <w:color w:val="auto"/>
                <w:szCs w:val="18"/>
              </w:rPr>
              <w:t>1.06</w:t>
            </w:r>
          </w:p>
        </w:tc>
        <w:tc>
          <w:tcPr>
            <w:tcW w:w="307" w:type="pct"/>
            <w:shd w:val="clear" w:color="auto" w:fill="FFFFFF" w:themeFill="background1"/>
            <w:vAlign w:val="center"/>
          </w:tcPr>
          <w:p w14:paraId="3F7D897F" w14:textId="0F57698A" w:rsidR="00A460C6" w:rsidRPr="00086D29" w:rsidRDefault="00AB1120" w:rsidP="00F17C71">
            <w:pPr>
              <w:autoSpaceDE w:val="0"/>
              <w:autoSpaceDN w:val="0"/>
              <w:adjustRightInd w:val="0"/>
              <w:snapToGrid w:val="0"/>
              <w:spacing w:line="240" w:lineRule="auto"/>
              <w:jc w:val="center"/>
              <w:rPr>
                <w:color w:val="auto"/>
                <w:szCs w:val="18"/>
              </w:rPr>
            </w:pPr>
            <w:r>
              <w:rPr>
                <w:color w:val="auto"/>
                <w:szCs w:val="18"/>
              </w:rPr>
              <w:t>0</w:t>
            </w:r>
            <w:r w:rsidR="00A460C6" w:rsidRPr="00086D29">
              <w:rPr>
                <w:color w:val="auto"/>
                <w:szCs w:val="18"/>
              </w:rPr>
              <w:t>.291</w:t>
            </w:r>
          </w:p>
        </w:tc>
      </w:tr>
      <w:tr w:rsidR="00F17C71" w:rsidRPr="00086D29" w14:paraId="6298AE0A" w14:textId="77777777" w:rsidTr="00DB5DCF">
        <w:trPr>
          <w:gridAfter w:val="1"/>
          <w:wAfter w:w="35" w:type="pct"/>
          <w:cantSplit/>
          <w:jc w:val="center"/>
        </w:trPr>
        <w:tc>
          <w:tcPr>
            <w:tcW w:w="407" w:type="pct"/>
            <w:shd w:val="clear" w:color="auto" w:fill="FFFFFF" w:themeFill="background1"/>
            <w:vAlign w:val="center"/>
          </w:tcPr>
          <w:p w14:paraId="6E028C16" w14:textId="77777777" w:rsidR="00A460C6" w:rsidRPr="00086D29" w:rsidRDefault="00A460C6" w:rsidP="00F17C71">
            <w:pPr>
              <w:autoSpaceDE w:val="0"/>
              <w:autoSpaceDN w:val="0"/>
              <w:adjustRightInd w:val="0"/>
              <w:snapToGrid w:val="0"/>
              <w:spacing w:line="240" w:lineRule="auto"/>
              <w:jc w:val="center"/>
              <w:rPr>
                <w:color w:val="auto"/>
                <w:szCs w:val="18"/>
              </w:rPr>
            </w:pPr>
            <w:r w:rsidRPr="00086D29">
              <w:rPr>
                <w:color w:val="auto"/>
                <w:szCs w:val="18"/>
              </w:rPr>
              <w:t>T1 FGA</w:t>
            </w:r>
          </w:p>
        </w:tc>
        <w:tc>
          <w:tcPr>
            <w:tcW w:w="292" w:type="pct"/>
            <w:shd w:val="clear" w:color="auto" w:fill="FFFFFF" w:themeFill="background1"/>
            <w:vAlign w:val="center"/>
          </w:tcPr>
          <w:p w14:paraId="72C5256B" w14:textId="0FE2CDE2" w:rsidR="00A460C6" w:rsidRPr="00086D29" w:rsidRDefault="00086D29" w:rsidP="00F17C71">
            <w:pPr>
              <w:autoSpaceDE w:val="0"/>
              <w:autoSpaceDN w:val="0"/>
              <w:adjustRightInd w:val="0"/>
              <w:snapToGrid w:val="0"/>
              <w:spacing w:line="240" w:lineRule="auto"/>
              <w:jc w:val="center"/>
              <w:rPr>
                <w:color w:val="auto"/>
                <w:szCs w:val="18"/>
              </w:rPr>
            </w:pPr>
            <w:r>
              <w:rPr>
                <w:color w:val="auto"/>
                <w:szCs w:val="18"/>
              </w:rPr>
              <w:t>0</w:t>
            </w:r>
            <w:r w:rsidR="00A460C6" w:rsidRPr="00086D29">
              <w:rPr>
                <w:color w:val="auto"/>
                <w:szCs w:val="18"/>
              </w:rPr>
              <w:t>.03</w:t>
            </w:r>
          </w:p>
        </w:tc>
        <w:tc>
          <w:tcPr>
            <w:tcW w:w="311" w:type="pct"/>
            <w:shd w:val="clear" w:color="auto" w:fill="FFFFFF" w:themeFill="background1"/>
            <w:vAlign w:val="center"/>
          </w:tcPr>
          <w:p w14:paraId="10397CC6" w14:textId="77777777" w:rsidR="00A460C6" w:rsidRPr="00086D29" w:rsidRDefault="00A460C6" w:rsidP="00F17C71">
            <w:pPr>
              <w:autoSpaceDE w:val="0"/>
              <w:autoSpaceDN w:val="0"/>
              <w:adjustRightInd w:val="0"/>
              <w:snapToGrid w:val="0"/>
              <w:spacing w:line="240" w:lineRule="auto"/>
              <w:jc w:val="center"/>
              <w:rPr>
                <w:color w:val="auto"/>
                <w:szCs w:val="18"/>
              </w:rPr>
            </w:pPr>
            <w:r w:rsidRPr="00086D29">
              <w:rPr>
                <w:color w:val="auto"/>
                <w:szCs w:val="18"/>
              </w:rPr>
              <w:t>0.02 (0.05)</w:t>
            </w:r>
          </w:p>
        </w:tc>
        <w:tc>
          <w:tcPr>
            <w:tcW w:w="375" w:type="pct"/>
            <w:shd w:val="clear" w:color="auto" w:fill="FFFFFF" w:themeFill="background1"/>
            <w:vAlign w:val="center"/>
          </w:tcPr>
          <w:p w14:paraId="087477FF" w14:textId="4613A8E8" w:rsidR="00A460C6" w:rsidRPr="00086D29" w:rsidRDefault="00746E18" w:rsidP="00F17C71">
            <w:pPr>
              <w:autoSpaceDE w:val="0"/>
              <w:autoSpaceDN w:val="0"/>
              <w:adjustRightInd w:val="0"/>
              <w:snapToGrid w:val="0"/>
              <w:spacing w:line="240" w:lineRule="auto"/>
              <w:jc w:val="center"/>
              <w:rPr>
                <w:color w:val="auto"/>
                <w:szCs w:val="18"/>
              </w:rPr>
            </w:pPr>
            <w:r>
              <w:rPr>
                <w:color w:val="auto"/>
                <w:szCs w:val="18"/>
              </w:rPr>
              <w:t>−</w:t>
            </w:r>
            <w:r w:rsidR="00A460C6" w:rsidRPr="00086D29">
              <w:rPr>
                <w:color w:val="auto"/>
                <w:szCs w:val="18"/>
              </w:rPr>
              <w:t>0.09, 0.13</w:t>
            </w:r>
          </w:p>
        </w:tc>
        <w:tc>
          <w:tcPr>
            <w:tcW w:w="217" w:type="pct"/>
            <w:shd w:val="clear" w:color="auto" w:fill="FFFFFF" w:themeFill="background1"/>
            <w:vAlign w:val="center"/>
          </w:tcPr>
          <w:p w14:paraId="772C30B9" w14:textId="77777777" w:rsidR="00A460C6" w:rsidRPr="00086D29" w:rsidRDefault="00A460C6" w:rsidP="00F17C71">
            <w:pPr>
              <w:autoSpaceDE w:val="0"/>
              <w:autoSpaceDN w:val="0"/>
              <w:adjustRightInd w:val="0"/>
              <w:snapToGrid w:val="0"/>
              <w:spacing w:line="240" w:lineRule="auto"/>
              <w:jc w:val="center"/>
              <w:rPr>
                <w:color w:val="auto"/>
                <w:szCs w:val="18"/>
              </w:rPr>
            </w:pPr>
            <w:r w:rsidRPr="00086D29">
              <w:rPr>
                <w:color w:val="auto"/>
                <w:szCs w:val="18"/>
              </w:rPr>
              <w:t>0.38</w:t>
            </w:r>
          </w:p>
        </w:tc>
        <w:tc>
          <w:tcPr>
            <w:tcW w:w="312" w:type="pct"/>
            <w:shd w:val="clear" w:color="auto" w:fill="FFFFFF" w:themeFill="background1"/>
            <w:vAlign w:val="center"/>
          </w:tcPr>
          <w:p w14:paraId="75562729" w14:textId="30E56191" w:rsidR="00A460C6" w:rsidRPr="00086D29" w:rsidRDefault="00AB1120" w:rsidP="00F17C71">
            <w:pPr>
              <w:autoSpaceDE w:val="0"/>
              <w:autoSpaceDN w:val="0"/>
              <w:adjustRightInd w:val="0"/>
              <w:snapToGrid w:val="0"/>
              <w:spacing w:line="240" w:lineRule="auto"/>
              <w:jc w:val="center"/>
              <w:rPr>
                <w:color w:val="auto"/>
                <w:szCs w:val="18"/>
              </w:rPr>
            </w:pPr>
            <w:r>
              <w:rPr>
                <w:color w:val="auto"/>
                <w:szCs w:val="18"/>
              </w:rPr>
              <w:t>0</w:t>
            </w:r>
            <w:r w:rsidR="00A460C6" w:rsidRPr="00086D29">
              <w:rPr>
                <w:color w:val="auto"/>
                <w:szCs w:val="18"/>
              </w:rPr>
              <w:t>.703</w:t>
            </w:r>
          </w:p>
        </w:tc>
        <w:tc>
          <w:tcPr>
            <w:tcW w:w="252" w:type="pct"/>
            <w:shd w:val="clear" w:color="auto" w:fill="FFFFFF" w:themeFill="background1"/>
            <w:vAlign w:val="center"/>
          </w:tcPr>
          <w:p w14:paraId="052936C6" w14:textId="6CF288D0" w:rsidR="00A460C6" w:rsidRPr="00086D29" w:rsidRDefault="00746E18" w:rsidP="00F17C71">
            <w:pPr>
              <w:autoSpaceDE w:val="0"/>
              <w:autoSpaceDN w:val="0"/>
              <w:adjustRightInd w:val="0"/>
              <w:snapToGrid w:val="0"/>
              <w:spacing w:line="240" w:lineRule="auto"/>
              <w:jc w:val="center"/>
              <w:rPr>
                <w:color w:val="auto"/>
                <w:szCs w:val="18"/>
              </w:rPr>
            </w:pPr>
            <w:r>
              <w:rPr>
                <w:color w:val="auto"/>
                <w:szCs w:val="18"/>
              </w:rPr>
              <w:t>−</w:t>
            </w:r>
            <w:r w:rsidR="00AB1120">
              <w:rPr>
                <w:color w:val="auto"/>
                <w:szCs w:val="18"/>
              </w:rPr>
              <w:t>0</w:t>
            </w:r>
            <w:r w:rsidR="00A460C6" w:rsidRPr="00086D29">
              <w:rPr>
                <w:color w:val="auto"/>
                <w:szCs w:val="18"/>
              </w:rPr>
              <w:t>.02</w:t>
            </w:r>
          </w:p>
        </w:tc>
        <w:tc>
          <w:tcPr>
            <w:tcW w:w="322" w:type="pct"/>
            <w:shd w:val="clear" w:color="auto" w:fill="FFFFFF" w:themeFill="background1"/>
            <w:vAlign w:val="center"/>
          </w:tcPr>
          <w:p w14:paraId="19270C8B" w14:textId="14E34C33" w:rsidR="00A460C6" w:rsidRPr="00086D29" w:rsidRDefault="00746E18" w:rsidP="00F17C71">
            <w:pPr>
              <w:autoSpaceDE w:val="0"/>
              <w:autoSpaceDN w:val="0"/>
              <w:adjustRightInd w:val="0"/>
              <w:snapToGrid w:val="0"/>
              <w:spacing w:line="240" w:lineRule="auto"/>
              <w:jc w:val="center"/>
              <w:rPr>
                <w:color w:val="auto"/>
                <w:szCs w:val="18"/>
              </w:rPr>
            </w:pPr>
            <w:r>
              <w:rPr>
                <w:color w:val="auto"/>
                <w:szCs w:val="18"/>
              </w:rPr>
              <w:t>−</w:t>
            </w:r>
            <w:r w:rsidR="00A460C6" w:rsidRPr="00086D29">
              <w:rPr>
                <w:color w:val="auto"/>
                <w:szCs w:val="18"/>
              </w:rPr>
              <w:t>0.01 (0.06)</w:t>
            </w:r>
          </w:p>
        </w:tc>
        <w:tc>
          <w:tcPr>
            <w:tcW w:w="321" w:type="pct"/>
            <w:shd w:val="clear" w:color="auto" w:fill="FFFFFF" w:themeFill="background1"/>
            <w:vAlign w:val="center"/>
          </w:tcPr>
          <w:p w14:paraId="0A18F655" w14:textId="63581666" w:rsidR="00A460C6" w:rsidRPr="00086D29" w:rsidRDefault="00746E18" w:rsidP="00F17C71">
            <w:pPr>
              <w:autoSpaceDE w:val="0"/>
              <w:autoSpaceDN w:val="0"/>
              <w:adjustRightInd w:val="0"/>
              <w:snapToGrid w:val="0"/>
              <w:spacing w:line="240" w:lineRule="auto"/>
              <w:jc w:val="center"/>
              <w:rPr>
                <w:color w:val="auto"/>
                <w:szCs w:val="18"/>
              </w:rPr>
            </w:pPr>
            <w:r>
              <w:rPr>
                <w:color w:val="auto"/>
                <w:szCs w:val="18"/>
              </w:rPr>
              <w:t>−</w:t>
            </w:r>
            <w:r w:rsidR="00A460C6" w:rsidRPr="00086D29">
              <w:rPr>
                <w:color w:val="auto"/>
                <w:szCs w:val="18"/>
              </w:rPr>
              <w:t>0.13, 0.10</w:t>
            </w:r>
          </w:p>
        </w:tc>
        <w:tc>
          <w:tcPr>
            <w:tcW w:w="300" w:type="pct"/>
            <w:shd w:val="clear" w:color="auto" w:fill="FFFFFF" w:themeFill="background1"/>
            <w:vAlign w:val="center"/>
          </w:tcPr>
          <w:p w14:paraId="7AAED971" w14:textId="180DD280" w:rsidR="00A460C6" w:rsidRPr="00086D29" w:rsidRDefault="00746E18" w:rsidP="00F17C71">
            <w:pPr>
              <w:autoSpaceDE w:val="0"/>
              <w:autoSpaceDN w:val="0"/>
              <w:adjustRightInd w:val="0"/>
              <w:snapToGrid w:val="0"/>
              <w:spacing w:line="240" w:lineRule="auto"/>
              <w:jc w:val="center"/>
              <w:rPr>
                <w:color w:val="auto"/>
                <w:szCs w:val="18"/>
              </w:rPr>
            </w:pPr>
            <w:r>
              <w:rPr>
                <w:color w:val="auto"/>
                <w:szCs w:val="18"/>
              </w:rPr>
              <w:t>−</w:t>
            </w:r>
            <w:r w:rsidR="00A460C6" w:rsidRPr="00086D29">
              <w:rPr>
                <w:color w:val="auto"/>
                <w:szCs w:val="18"/>
              </w:rPr>
              <w:t>0.19</w:t>
            </w:r>
          </w:p>
        </w:tc>
        <w:tc>
          <w:tcPr>
            <w:tcW w:w="315" w:type="pct"/>
            <w:shd w:val="clear" w:color="auto" w:fill="FFFFFF" w:themeFill="background1"/>
            <w:vAlign w:val="center"/>
          </w:tcPr>
          <w:p w14:paraId="20D8B798" w14:textId="31FD3586" w:rsidR="00A460C6" w:rsidRPr="00086D29" w:rsidRDefault="00AB1120" w:rsidP="00F17C71">
            <w:pPr>
              <w:autoSpaceDE w:val="0"/>
              <w:autoSpaceDN w:val="0"/>
              <w:adjustRightInd w:val="0"/>
              <w:snapToGrid w:val="0"/>
              <w:spacing w:line="240" w:lineRule="auto"/>
              <w:jc w:val="center"/>
              <w:rPr>
                <w:color w:val="auto"/>
                <w:szCs w:val="18"/>
              </w:rPr>
            </w:pPr>
            <w:r>
              <w:rPr>
                <w:color w:val="auto"/>
                <w:szCs w:val="18"/>
              </w:rPr>
              <w:t>0</w:t>
            </w:r>
            <w:r w:rsidR="00A460C6" w:rsidRPr="00086D29">
              <w:rPr>
                <w:color w:val="auto"/>
                <w:szCs w:val="18"/>
              </w:rPr>
              <w:t>.850</w:t>
            </w:r>
          </w:p>
        </w:tc>
        <w:tc>
          <w:tcPr>
            <w:tcW w:w="253" w:type="pct"/>
            <w:shd w:val="clear" w:color="auto" w:fill="FFFFFF" w:themeFill="background1"/>
            <w:vAlign w:val="center"/>
          </w:tcPr>
          <w:p w14:paraId="3507F94B" w14:textId="59FB2E9E" w:rsidR="00A460C6" w:rsidRPr="00086D29" w:rsidRDefault="00AB1120" w:rsidP="00F17C71">
            <w:pPr>
              <w:autoSpaceDE w:val="0"/>
              <w:autoSpaceDN w:val="0"/>
              <w:adjustRightInd w:val="0"/>
              <w:snapToGrid w:val="0"/>
              <w:spacing w:line="240" w:lineRule="auto"/>
              <w:jc w:val="center"/>
              <w:rPr>
                <w:color w:val="auto"/>
                <w:szCs w:val="18"/>
              </w:rPr>
            </w:pPr>
            <w:r>
              <w:rPr>
                <w:color w:val="auto"/>
                <w:szCs w:val="18"/>
              </w:rPr>
              <w:t>0</w:t>
            </w:r>
            <w:r w:rsidR="00A460C6" w:rsidRPr="00086D29">
              <w:rPr>
                <w:color w:val="auto"/>
                <w:szCs w:val="18"/>
              </w:rPr>
              <w:t>.14</w:t>
            </w:r>
          </w:p>
        </w:tc>
        <w:tc>
          <w:tcPr>
            <w:tcW w:w="361" w:type="pct"/>
            <w:shd w:val="clear" w:color="auto" w:fill="FFFFFF" w:themeFill="background1"/>
            <w:vAlign w:val="center"/>
          </w:tcPr>
          <w:p w14:paraId="2FE7E95B" w14:textId="77777777" w:rsidR="007A7068" w:rsidRPr="00086D29" w:rsidRDefault="00A460C6" w:rsidP="00F17C71">
            <w:pPr>
              <w:autoSpaceDE w:val="0"/>
              <w:autoSpaceDN w:val="0"/>
              <w:adjustRightInd w:val="0"/>
              <w:snapToGrid w:val="0"/>
              <w:spacing w:line="240" w:lineRule="auto"/>
              <w:jc w:val="center"/>
              <w:rPr>
                <w:color w:val="auto"/>
                <w:szCs w:val="18"/>
              </w:rPr>
            </w:pPr>
            <w:r w:rsidRPr="00086D29">
              <w:rPr>
                <w:color w:val="auto"/>
                <w:szCs w:val="18"/>
              </w:rPr>
              <w:t>.097</w:t>
            </w:r>
          </w:p>
          <w:p w14:paraId="507ABA62" w14:textId="73214B0D" w:rsidR="00A460C6" w:rsidRPr="00086D29" w:rsidRDefault="00A460C6" w:rsidP="00F17C71">
            <w:pPr>
              <w:autoSpaceDE w:val="0"/>
              <w:autoSpaceDN w:val="0"/>
              <w:adjustRightInd w:val="0"/>
              <w:snapToGrid w:val="0"/>
              <w:spacing w:line="240" w:lineRule="auto"/>
              <w:jc w:val="center"/>
              <w:rPr>
                <w:color w:val="auto"/>
                <w:szCs w:val="18"/>
              </w:rPr>
            </w:pPr>
            <w:r w:rsidRPr="00086D29">
              <w:rPr>
                <w:color w:val="auto"/>
                <w:szCs w:val="18"/>
              </w:rPr>
              <w:t>(0.07)</w:t>
            </w:r>
          </w:p>
        </w:tc>
        <w:tc>
          <w:tcPr>
            <w:tcW w:w="322" w:type="pct"/>
            <w:shd w:val="clear" w:color="auto" w:fill="FFFFFF" w:themeFill="background1"/>
            <w:vAlign w:val="center"/>
          </w:tcPr>
          <w:p w14:paraId="0F4D21D0" w14:textId="74FCF3E8" w:rsidR="00A460C6" w:rsidRPr="00086D29" w:rsidRDefault="00746E18" w:rsidP="00F17C71">
            <w:pPr>
              <w:autoSpaceDE w:val="0"/>
              <w:autoSpaceDN w:val="0"/>
              <w:adjustRightInd w:val="0"/>
              <w:snapToGrid w:val="0"/>
              <w:spacing w:line="240" w:lineRule="auto"/>
              <w:jc w:val="center"/>
              <w:rPr>
                <w:color w:val="auto"/>
                <w:szCs w:val="18"/>
              </w:rPr>
            </w:pPr>
            <w:r>
              <w:rPr>
                <w:color w:val="auto"/>
                <w:szCs w:val="18"/>
              </w:rPr>
              <w:t>−</w:t>
            </w:r>
            <w:r w:rsidR="00A460C6" w:rsidRPr="00086D29">
              <w:rPr>
                <w:color w:val="auto"/>
                <w:szCs w:val="18"/>
              </w:rPr>
              <w:t>0.04, 0.23</w:t>
            </w:r>
          </w:p>
        </w:tc>
        <w:tc>
          <w:tcPr>
            <w:tcW w:w="300" w:type="pct"/>
            <w:shd w:val="clear" w:color="auto" w:fill="FFFFFF" w:themeFill="background1"/>
            <w:vAlign w:val="center"/>
          </w:tcPr>
          <w:p w14:paraId="1D16E4BB" w14:textId="77777777" w:rsidR="00A460C6" w:rsidRPr="00086D29" w:rsidRDefault="00A460C6" w:rsidP="00F17C71">
            <w:pPr>
              <w:autoSpaceDE w:val="0"/>
              <w:autoSpaceDN w:val="0"/>
              <w:adjustRightInd w:val="0"/>
              <w:snapToGrid w:val="0"/>
              <w:spacing w:line="240" w:lineRule="auto"/>
              <w:jc w:val="center"/>
              <w:rPr>
                <w:color w:val="auto"/>
                <w:szCs w:val="18"/>
              </w:rPr>
            </w:pPr>
            <w:r w:rsidRPr="00086D29">
              <w:rPr>
                <w:color w:val="auto"/>
                <w:szCs w:val="18"/>
              </w:rPr>
              <w:t>1.43</w:t>
            </w:r>
          </w:p>
        </w:tc>
        <w:tc>
          <w:tcPr>
            <w:tcW w:w="307" w:type="pct"/>
            <w:shd w:val="clear" w:color="auto" w:fill="FFFFFF" w:themeFill="background1"/>
            <w:vAlign w:val="center"/>
          </w:tcPr>
          <w:p w14:paraId="1251AE4E" w14:textId="27788BA1" w:rsidR="00A460C6" w:rsidRPr="00086D29" w:rsidRDefault="00AB1120" w:rsidP="00F17C71">
            <w:pPr>
              <w:autoSpaceDE w:val="0"/>
              <w:autoSpaceDN w:val="0"/>
              <w:adjustRightInd w:val="0"/>
              <w:snapToGrid w:val="0"/>
              <w:spacing w:line="240" w:lineRule="auto"/>
              <w:jc w:val="center"/>
              <w:rPr>
                <w:color w:val="auto"/>
                <w:szCs w:val="18"/>
              </w:rPr>
            </w:pPr>
            <w:r>
              <w:rPr>
                <w:color w:val="auto"/>
                <w:szCs w:val="18"/>
              </w:rPr>
              <w:t>0</w:t>
            </w:r>
            <w:r w:rsidR="00A460C6" w:rsidRPr="00086D29">
              <w:rPr>
                <w:color w:val="auto"/>
                <w:szCs w:val="18"/>
              </w:rPr>
              <w:t>.157</w:t>
            </w:r>
          </w:p>
        </w:tc>
      </w:tr>
      <w:tr w:rsidR="00F17C71" w:rsidRPr="00086D29" w14:paraId="0C67FAEB" w14:textId="77777777" w:rsidTr="00DB5DCF">
        <w:trPr>
          <w:gridAfter w:val="1"/>
          <w:wAfter w:w="35" w:type="pct"/>
          <w:cantSplit/>
          <w:jc w:val="center"/>
        </w:trPr>
        <w:tc>
          <w:tcPr>
            <w:tcW w:w="407" w:type="pct"/>
            <w:shd w:val="clear" w:color="auto" w:fill="FFFFFF" w:themeFill="background1"/>
            <w:vAlign w:val="center"/>
          </w:tcPr>
          <w:p w14:paraId="1659AF52" w14:textId="77777777" w:rsidR="00A460C6" w:rsidRPr="00086D29" w:rsidRDefault="00A460C6" w:rsidP="00F17C71">
            <w:pPr>
              <w:autoSpaceDE w:val="0"/>
              <w:autoSpaceDN w:val="0"/>
              <w:adjustRightInd w:val="0"/>
              <w:snapToGrid w:val="0"/>
              <w:spacing w:line="240" w:lineRule="auto"/>
              <w:jc w:val="center"/>
              <w:rPr>
                <w:color w:val="auto"/>
                <w:szCs w:val="18"/>
              </w:rPr>
            </w:pPr>
            <w:r w:rsidRPr="00086D29">
              <w:rPr>
                <w:color w:val="auto"/>
                <w:szCs w:val="18"/>
              </w:rPr>
              <w:t>T1 TGP</w:t>
            </w:r>
          </w:p>
        </w:tc>
        <w:tc>
          <w:tcPr>
            <w:tcW w:w="292" w:type="pct"/>
            <w:shd w:val="clear" w:color="auto" w:fill="FFFFFF" w:themeFill="background1"/>
            <w:vAlign w:val="center"/>
          </w:tcPr>
          <w:p w14:paraId="09A78FAB" w14:textId="0B0122DC" w:rsidR="00A460C6" w:rsidRPr="00086D29" w:rsidRDefault="00086D29" w:rsidP="00F17C71">
            <w:pPr>
              <w:autoSpaceDE w:val="0"/>
              <w:autoSpaceDN w:val="0"/>
              <w:adjustRightInd w:val="0"/>
              <w:snapToGrid w:val="0"/>
              <w:spacing w:line="240" w:lineRule="auto"/>
              <w:jc w:val="center"/>
              <w:rPr>
                <w:color w:val="auto"/>
                <w:szCs w:val="18"/>
              </w:rPr>
            </w:pPr>
            <w:r>
              <w:rPr>
                <w:color w:val="auto"/>
                <w:szCs w:val="18"/>
              </w:rPr>
              <w:t>0</w:t>
            </w:r>
            <w:r w:rsidR="00A460C6" w:rsidRPr="00086D29">
              <w:rPr>
                <w:color w:val="auto"/>
                <w:szCs w:val="18"/>
              </w:rPr>
              <w:t>.19</w:t>
            </w:r>
          </w:p>
        </w:tc>
        <w:tc>
          <w:tcPr>
            <w:tcW w:w="311" w:type="pct"/>
            <w:shd w:val="clear" w:color="auto" w:fill="FFFFFF" w:themeFill="background1"/>
            <w:vAlign w:val="center"/>
          </w:tcPr>
          <w:p w14:paraId="7C3F5368" w14:textId="77777777" w:rsidR="00A460C6" w:rsidRPr="00086D29" w:rsidRDefault="00A460C6" w:rsidP="00F17C71">
            <w:pPr>
              <w:autoSpaceDE w:val="0"/>
              <w:autoSpaceDN w:val="0"/>
              <w:adjustRightInd w:val="0"/>
              <w:snapToGrid w:val="0"/>
              <w:spacing w:line="240" w:lineRule="auto"/>
              <w:jc w:val="center"/>
              <w:rPr>
                <w:color w:val="auto"/>
                <w:szCs w:val="18"/>
              </w:rPr>
            </w:pPr>
            <w:r w:rsidRPr="00086D29">
              <w:rPr>
                <w:color w:val="auto"/>
                <w:szCs w:val="18"/>
              </w:rPr>
              <w:t>0.13 (0.05)</w:t>
            </w:r>
          </w:p>
        </w:tc>
        <w:tc>
          <w:tcPr>
            <w:tcW w:w="375" w:type="pct"/>
            <w:shd w:val="clear" w:color="auto" w:fill="FFFFFF" w:themeFill="background1"/>
            <w:vAlign w:val="center"/>
          </w:tcPr>
          <w:p w14:paraId="246FB724" w14:textId="77777777" w:rsidR="00A460C6" w:rsidRPr="00086D29" w:rsidRDefault="00A460C6" w:rsidP="00F17C71">
            <w:pPr>
              <w:autoSpaceDE w:val="0"/>
              <w:autoSpaceDN w:val="0"/>
              <w:adjustRightInd w:val="0"/>
              <w:snapToGrid w:val="0"/>
              <w:spacing w:line="240" w:lineRule="auto"/>
              <w:jc w:val="center"/>
              <w:rPr>
                <w:color w:val="auto"/>
                <w:szCs w:val="18"/>
              </w:rPr>
            </w:pPr>
            <w:r w:rsidRPr="00086D29">
              <w:rPr>
                <w:color w:val="auto"/>
                <w:szCs w:val="18"/>
              </w:rPr>
              <w:t>0.03, 0.23</w:t>
            </w:r>
          </w:p>
        </w:tc>
        <w:tc>
          <w:tcPr>
            <w:tcW w:w="217" w:type="pct"/>
            <w:shd w:val="clear" w:color="auto" w:fill="FFFFFF" w:themeFill="background1"/>
            <w:vAlign w:val="center"/>
          </w:tcPr>
          <w:p w14:paraId="6CD1AB61" w14:textId="77777777" w:rsidR="00A460C6" w:rsidRPr="00086D29" w:rsidRDefault="00A460C6" w:rsidP="00F17C71">
            <w:pPr>
              <w:autoSpaceDE w:val="0"/>
              <w:autoSpaceDN w:val="0"/>
              <w:adjustRightInd w:val="0"/>
              <w:snapToGrid w:val="0"/>
              <w:spacing w:line="240" w:lineRule="auto"/>
              <w:jc w:val="center"/>
              <w:rPr>
                <w:color w:val="auto"/>
                <w:szCs w:val="18"/>
              </w:rPr>
            </w:pPr>
            <w:r w:rsidRPr="00086D29">
              <w:rPr>
                <w:color w:val="auto"/>
                <w:szCs w:val="18"/>
              </w:rPr>
              <w:t>2.47</w:t>
            </w:r>
          </w:p>
        </w:tc>
        <w:tc>
          <w:tcPr>
            <w:tcW w:w="312" w:type="pct"/>
            <w:shd w:val="clear" w:color="auto" w:fill="FFFFFF" w:themeFill="background1"/>
            <w:vAlign w:val="center"/>
          </w:tcPr>
          <w:p w14:paraId="42A89722" w14:textId="3208A187" w:rsidR="00A460C6" w:rsidRPr="00086D29" w:rsidRDefault="00AB1120" w:rsidP="00F17C71">
            <w:pPr>
              <w:autoSpaceDE w:val="0"/>
              <w:autoSpaceDN w:val="0"/>
              <w:adjustRightInd w:val="0"/>
              <w:snapToGrid w:val="0"/>
              <w:spacing w:line="240" w:lineRule="auto"/>
              <w:jc w:val="center"/>
              <w:rPr>
                <w:color w:val="auto"/>
                <w:szCs w:val="18"/>
              </w:rPr>
            </w:pPr>
            <w:r>
              <w:rPr>
                <w:color w:val="auto"/>
                <w:szCs w:val="18"/>
              </w:rPr>
              <w:t>0</w:t>
            </w:r>
            <w:r w:rsidR="00A460C6" w:rsidRPr="00086D29">
              <w:rPr>
                <w:color w:val="auto"/>
                <w:szCs w:val="18"/>
              </w:rPr>
              <w:t>.015</w:t>
            </w:r>
          </w:p>
        </w:tc>
        <w:tc>
          <w:tcPr>
            <w:tcW w:w="252" w:type="pct"/>
            <w:shd w:val="clear" w:color="auto" w:fill="FFFFFF" w:themeFill="background1"/>
            <w:vAlign w:val="center"/>
          </w:tcPr>
          <w:p w14:paraId="58BAC699" w14:textId="10297869" w:rsidR="00A460C6" w:rsidRPr="00086D29" w:rsidRDefault="00AB1120" w:rsidP="00F17C71">
            <w:pPr>
              <w:autoSpaceDE w:val="0"/>
              <w:autoSpaceDN w:val="0"/>
              <w:adjustRightInd w:val="0"/>
              <w:snapToGrid w:val="0"/>
              <w:spacing w:line="240" w:lineRule="auto"/>
              <w:jc w:val="center"/>
              <w:rPr>
                <w:color w:val="auto"/>
                <w:szCs w:val="18"/>
              </w:rPr>
            </w:pPr>
            <w:r>
              <w:rPr>
                <w:color w:val="auto"/>
                <w:szCs w:val="18"/>
              </w:rPr>
              <w:t>0</w:t>
            </w:r>
            <w:r w:rsidR="00A460C6" w:rsidRPr="00086D29">
              <w:rPr>
                <w:color w:val="auto"/>
                <w:szCs w:val="18"/>
              </w:rPr>
              <w:t>.13</w:t>
            </w:r>
          </w:p>
        </w:tc>
        <w:tc>
          <w:tcPr>
            <w:tcW w:w="322" w:type="pct"/>
            <w:shd w:val="clear" w:color="auto" w:fill="FFFFFF" w:themeFill="background1"/>
            <w:vAlign w:val="center"/>
          </w:tcPr>
          <w:p w14:paraId="1061ADDB" w14:textId="77777777" w:rsidR="00A460C6" w:rsidRPr="00086D29" w:rsidRDefault="00A460C6" w:rsidP="00F17C71">
            <w:pPr>
              <w:autoSpaceDE w:val="0"/>
              <w:autoSpaceDN w:val="0"/>
              <w:adjustRightInd w:val="0"/>
              <w:snapToGrid w:val="0"/>
              <w:spacing w:line="240" w:lineRule="auto"/>
              <w:jc w:val="center"/>
              <w:rPr>
                <w:color w:val="auto"/>
                <w:szCs w:val="18"/>
              </w:rPr>
            </w:pPr>
            <w:r w:rsidRPr="00086D29">
              <w:rPr>
                <w:color w:val="auto"/>
                <w:szCs w:val="18"/>
              </w:rPr>
              <w:t>0.08 (0.05)</w:t>
            </w:r>
          </w:p>
        </w:tc>
        <w:tc>
          <w:tcPr>
            <w:tcW w:w="321" w:type="pct"/>
            <w:shd w:val="clear" w:color="auto" w:fill="FFFFFF" w:themeFill="background1"/>
            <w:vAlign w:val="center"/>
          </w:tcPr>
          <w:p w14:paraId="0E576EF9" w14:textId="758E5417" w:rsidR="00A460C6" w:rsidRPr="00086D29" w:rsidRDefault="00746E18" w:rsidP="00F17C71">
            <w:pPr>
              <w:autoSpaceDE w:val="0"/>
              <w:autoSpaceDN w:val="0"/>
              <w:adjustRightInd w:val="0"/>
              <w:snapToGrid w:val="0"/>
              <w:spacing w:line="240" w:lineRule="auto"/>
              <w:jc w:val="center"/>
              <w:rPr>
                <w:color w:val="auto"/>
                <w:szCs w:val="18"/>
              </w:rPr>
            </w:pPr>
            <w:r>
              <w:rPr>
                <w:color w:val="auto"/>
                <w:szCs w:val="18"/>
              </w:rPr>
              <w:t>−</w:t>
            </w:r>
            <w:r w:rsidR="00A460C6" w:rsidRPr="00086D29">
              <w:rPr>
                <w:color w:val="auto"/>
                <w:szCs w:val="18"/>
              </w:rPr>
              <w:t>0.03, 0.19</w:t>
            </w:r>
          </w:p>
        </w:tc>
        <w:tc>
          <w:tcPr>
            <w:tcW w:w="300" w:type="pct"/>
            <w:shd w:val="clear" w:color="auto" w:fill="FFFFFF" w:themeFill="background1"/>
            <w:vAlign w:val="center"/>
          </w:tcPr>
          <w:p w14:paraId="4B48F3B7" w14:textId="77777777" w:rsidR="00A460C6" w:rsidRPr="00086D29" w:rsidRDefault="00A460C6" w:rsidP="00F17C71">
            <w:pPr>
              <w:autoSpaceDE w:val="0"/>
              <w:autoSpaceDN w:val="0"/>
              <w:adjustRightInd w:val="0"/>
              <w:snapToGrid w:val="0"/>
              <w:spacing w:line="240" w:lineRule="auto"/>
              <w:jc w:val="center"/>
              <w:rPr>
                <w:color w:val="auto"/>
                <w:szCs w:val="18"/>
              </w:rPr>
            </w:pPr>
            <w:r w:rsidRPr="00086D29">
              <w:rPr>
                <w:color w:val="auto"/>
                <w:szCs w:val="18"/>
              </w:rPr>
              <w:t>1.49</w:t>
            </w:r>
          </w:p>
        </w:tc>
        <w:tc>
          <w:tcPr>
            <w:tcW w:w="315" w:type="pct"/>
            <w:shd w:val="clear" w:color="auto" w:fill="FFFFFF" w:themeFill="background1"/>
            <w:vAlign w:val="center"/>
          </w:tcPr>
          <w:p w14:paraId="48BA823B" w14:textId="74B72B18" w:rsidR="00A460C6" w:rsidRPr="00086D29" w:rsidRDefault="00AB1120" w:rsidP="00F17C71">
            <w:pPr>
              <w:autoSpaceDE w:val="0"/>
              <w:autoSpaceDN w:val="0"/>
              <w:adjustRightInd w:val="0"/>
              <w:snapToGrid w:val="0"/>
              <w:spacing w:line="240" w:lineRule="auto"/>
              <w:jc w:val="center"/>
              <w:rPr>
                <w:color w:val="auto"/>
                <w:szCs w:val="18"/>
              </w:rPr>
            </w:pPr>
            <w:r>
              <w:rPr>
                <w:color w:val="auto"/>
                <w:szCs w:val="18"/>
              </w:rPr>
              <w:t>0</w:t>
            </w:r>
            <w:r w:rsidR="00A460C6" w:rsidRPr="00086D29">
              <w:rPr>
                <w:color w:val="auto"/>
                <w:szCs w:val="18"/>
              </w:rPr>
              <w:t>.138</w:t>
            </w:r>
          </w:p>
        </w:tc>
        <w:tc>
          <w:tcPr>
            <w:tcW w:w="253" w:type="pct"/>
            <w:shd w:val="clear" w:color="auto" w:fill="FFFFFF" w:themeFill="background1"/>
            <w:vAlign w:val="center"/>
          </w:tcPr>
          <w:p w14:paraId="3622E79A" w14:textId="3CC5360B" w:rsidR="00A460C6" w:rsidRPr="00086D29" w:rsidRDefault="00AB1120" w:rsidP="00F17C71">
            <w:pPr>
              <w:autoSpaceDE w:val="0"/>
              <w:autoSpaceDN w:val="0"/>
              <w:adjustRightInd w:val="0"/>
              <w:snapToGrid w:val="0"/>
              <w:spacing w:line="240" w:lineRule="auto"/>
              <w:jc w:val="center"/>
              <w:rPr>
                <w:color w:val="auto"/>
                <w:szCs w:val="18"/>
              </w:rPr>
            </w:pPr>
            <w:r>
              <w:rPr>
                <w:color w:val="auto"/>
                <w:szCs w:val="18"/>
              </w:rPr>
              <w:t>0</w:t>
            </w:r>
            <w:r w:rsidR="00A460C6" w:rsidRPr="00086D29">
              <w:rPr>
                <w:color w:val="auto"/>
                <w:szCs w:val="18"/>
              </w:rPr>
              <w:t>.18</w:t>
            </w:r>
          </w:p>
        </w:tc>
        <w:tc>
          <w:tcPr>
            <w:tcW w:w="361" w:type="pct"/>
            <w:shd w:val="clear" w:color="auto" w:fill="FFFFFF" w:themeFill="background1"/>
            <w:vAlign w:val="center"/>
          </w:tcPr>
          <w:p w14:paraId="3BDA71AE" w14:textId="77777777" w:rsidR="007A7068" w:rsidRPr="00086D29" w:rsidRDefault="00A460C6" w:rsidP="00F17C71">
            <w:pPr>
              <w:autoSpaceDE w:val="0"/>
              <w:autoSpaceDN w:val="0"/>
              <w:adjustRightInd w:val="0"/>
              <w:snapToGrid w:val="0"/>
              <w:spacing w:line="240" w:lineRule="auto"/>
              <w:jc w:val="center"/>
              <w:rPr>
                <w:color w:val="auto"/>
                <w:szCs w:val="18"/>
              </w:rPr>
            </w:pPr>
            <w:r w:rsidRPr="00086D29">
              <w:rPr>
                <w:color w:val="auto"/>
                <w:szCs w:val="18"/>
              </w:rPr>
              <w:t>0.11</w:t>
            </w:r>
          </w:p>
          <w:p w14:paraId="6AB1B031" w14:textId="5F491CF2" w:rsidR="00A460C6" w:rsidRPr="00086D29" w:rsidRDefault="00A460C6" w:rsidP="00F17C71">
            <w:pPr>
              <w:autoSpaceDE w:val="0"/>
              <w:autoSpaceDN w:val="0"/>
              <w:adjustRightInd w:val="0"/>
              <w:snapToGrid w:val="0"/>
              <w:spacing w:line="240" w:lineRule="auto"/>
              <w:jc w:val="center"/>
              <w:rPr>
                <w:color w:val="auto"/>
                <w:szCs w:val="18"/>
              </w:rPr>
            </w:pPr>
            <w:r w:rsidRPr="00086D29">
              <w:rPr>
                <w:color w:val="auto"/>
                <w:szCs w:val="18"/>
              </w:rPr>
              <w:t>(0.06)</w:t>
            </w:r>
          </w:p>
        </w:tc>
        <w:tc>
          <w:tcPr>
            <w:tcW w:w="322" w:type="pct"/>
            <w:shd w:val="clear" w:color="auto" w:fill="FFFFFF" w:themeFill="background1"/>
            <w:vAlign w:val="center"/>
          </w:tcPr>
          <w:p w14:paraId="3DC12A08" w14:textId="6BA69652" w:rsidR="00A460C6" w:rsidRPr="00086D29" w:rsidRDefault="00746E18" w:rsidP="00F17C71">
            <w:pPr>
              <w:autoSpaceDE w:val="0"/>
              <w:autoSpaceDN w:val="0"/>
              <w:adjustRightInd w:val="0"/>
              <w:snapToGrid w:val="0"/>
              <w:spacing w:line="240" w:lineRule="auto"/>
              <w:jc w:val="center"/>
              <w:rPr>
                <w:color w:val="auto"/>
                <w:szCs w:val="18"/>
              </w:rPr>
            </w:pPr>
            <w:r>
              <w:rPr>
                <w:color w:val="auto"/>
                <w:szCs w:val="18"/>
              </w:rPr>
              <w:t>−</w:t>
            </w:r>
            <w:r w:rsidR="00A460C6" w:rsidRPr="00086D29">
              <w:rPr>
                <w:color w:val="auto"/>
                <w:szCs w:val="18"/>
              </w:rPr>
              <w:t xml:space="preserve">0.01, </w:t>
            </w:r>
          </w:p>
          <w:p w14:paraId="367653C4" w14:textId="1DEDCD9D" w:rsidR="00A460C6" w:rsidRPr="00086D29" w:rsidRDefault="00746E18" w:rsidP="00F17C71">
            <w:pPr>
              <w:autoSpaceDE w:val="0"/>
              <w:autoSpaceDN w:val="0"/>
              <w:adjustRightInd w:val="0"/>
              <w:snapToGrid w:val="0"/>
              <w:spacing w:line="240" w:lineRule="auto"/>
              <w:jc w:val="center"/>
              <w:rPr>
                <w:color w:val="auto"/>
                <w:szCs w:val="18"/>
              </w:rPr>
            </w:pPr>
            <w:r>
              <w:rPr>
                <w:color w:val="auto"/>
                <w:szCs w:val="18"/>
              </w:rPr>
              <w:t>−</w:t>
            </w:r>
            <w:r w:rsidR="00A460C6" w:rsidRPr="00086D29">
              <w:rPr>
                <w:color w:val="auto"/>
                <w:szCs w:val="18"/>
              </w:rPr>
              <w:t>0.24</w:t>
            </w:r>
          </w:p>
        </w:tc>
        <w:tc>
          <w:tcPr>
            <w:tcW w:w="300" w:type="pct"/>
            <w:shd w:val="clear" w:color="auto" w:fill="FFFFFF" w:themeFill="background1"/>
            <w:vAlign w:val="center"/>
          </w:tcPr>
          <w:p w14:paraId="74785E64" w14:textId="77777777" w:rsidR="00A460C6" w:rsidRPr="00086D29" w:rsidRDefault="00A460C6" w:rsidP="00F17C71">
            <w:pPr>
              <w:autoSpaceDE w:val="0"/>
              <w:autoSpaceDN w:val="0"/>
              <w:adjustRightInd w:val="0"/>
              <w:snapToGrid w:val="0"/>
              <w:spacing w:line="240" w:lineRule="auto"/>
              <w:jc w:val="center"/>
              <w:rPr>
                <w:color w:val="auto"/>
                <w:szCs w:val="18"/>
              </w:rPr>
            </w:pPr>
            <w:r w:rsidRPr="00086D29">
              <w:rPr>
                <w:color w:val="auto"/>
                <w:szCs w:val="18"/>
              </w:rPr>
              <w:t>1.82</w:t>
            </w:r>
          </w:p>
        </w:tc>
        <w:tc>
          <w:tcPr>
            <w:tcW w:w="307" w:type="pct"/>
            <w:shd w:val="clear" w:color="auto" w:fill="FFFFFF" w:themeFill="background1"/>
            <w:vAlign w:val="center"/>
          </w:tcPr>
          <w:p w14:paraId="48CA1A83" w14:textId="569177AE" w:rsidR="00A460C6" w:rsidRPr="00086D29" w:rsidRDefault="00AB1120" w:rsidP="00F17C71">
            <w:pPr>
              <w:autoSpaceDE w:val="0"/>
              <w:autoSpaceDN w:val="0"/>
              <w:adjustRightInd w:val="0"/>
              <w:snapToGrid w:val="0"/>
              <w:spacing w:line="240" w:lineRule="auto"/>
              <w:jc w:val="center"/>
              <w:rPr>
                <w:color w:val="auto"/>
                <w:szCs w:val="18"/>
              </w:rPr>
            </w:pPr>
            <w:r>
              <w:rPr>
                <w:color w:val="auto"/>
                <w:szCs w:val="18"/>
              </w:rPr>
              <w:t>0</w:t>
            </w:r>
            <w:r w:rsidR="00A460C6" w:rsidRPr="00086D29">
              <w:rPr>
                <w:color w:val="auto"/>
                <w:szCs w:val="18"/>
              </w:rPr>
              <w:t>.071</w:t>
            </w:r>
          </w:p>
        </w:tc>
      </w:tr>
      <w:tr w:rsidR="00F17C71" w:rsidRPr="00086D29" w14:paraId="0089559B" w14:textId="77777777" w:rsidTr="00DB5DCF">
        <w:trPr>
          <w:gridAfter w:val="1"/>
          <w:wAfter w:w="35" w:type="pct"/>
          <w:cantSplit/>
          <w:jc w:val="center"/>
        </w:trPr>
        <w:tc>
          <w:tcPr>
            <w:tcW w:w="407" w:type="pct"/>
            <w:tcBorders>
              <w:bottom w:val="single" w:sz="4" w:space="0" w:color="auto"/>
            </w:tcBorders>
            <w:shd w:val="clear" w:color="auto" w:fill="FFFFFF" w:themeFill="background1"/>
            <w:vAlign w:val="center"/>
          </w:tcPr>
          <w:p w14:paraId="0C11CF5C" w14:textId="4BC3F13B" w:rsidR="00A460C6" w:rsidRPr="00086D29" w:rsidRDefault="00A460C6" w:rsidP="00F17C71">
            <w:pPr>
              <w:autoSpaceDE w:val="0"/>
              <w:autoSpaceDN w:val="0"/>
              <w:adjustRightInd w:val="0"/>
              <w:snapToGrid w:val="0"/>
              <w:spacing w:line="240" w:lineRule="auto"/>
              <w:jc w:val="center"/>
              <w:rPr>
                <w:color w:val="auto"/>
                <w:szCs w:val="18"/>
              </w:rPr>
            </w:pPr>
            <w:r w:rsidRPr="00086D29">
              <w:rPr>
                <w:color w:val="auto"/>
                <w:szCs w:val="18"/>
              </w:rPr>
              <w:t>T1 FGA X T1 TGP</w:t>
            </w:r>
          </w:p>
        </w:tc>
        <w:tc>
          <w:tcPr>
            <w:tcW w:w="292" w:type="pct"/>
            <w:tcBorders>
              <w:bottom w:val="single" w:sz="4" w:space="0" w:color="auto"/>
            </w:tcBorders>
            <w:shd w:val="clear" w:color="auto" w:fill="FFFFFF" w:themeFill="background1"/>
            <w:vAlign w:val="center"/>
          </w:tcPr>
          <w:p w14:paraId="224CA290" w14:textId="45A2F789" w:rsidR="00A460C6" w:rsidRPr="00086D29" w:rsidRDefault="00086D29" w:rsidP="00F17C71">
            <w:pPr>
              <w:autoSpaceDE w:val="0"/>
              <w:autoSpaceDN w:val="0"/>
              <w:adjustRightInd w:val="0"/>
              <w:snapToGrid w:val="0"/>
              <w:spacing w:line="240" w:lineRule="auto"/>
              <w:jc w:val="center"/>
              <w:rPr>
                <w:color w:val="auto"/>
                <w:szCs w:val="18"/>
              </w:rPr>
            </w:pPr>
            <w:r>
              <w:rPr>
                <w:color w:val="auto"/>
                <w:szCs w:val="18"/>
              </w:rPr>
              <w:t>0</w:t>
            </w:r>
            <w:r w:rsidR="00A460C6" w:rsidRPr="00086D29">
              <w:rPr>
                <w:color w:val="auto"/>
                <w:szCs w:val="18"/>
              </w:rPr>
              <w:t>.01</w:t>
            </w:r>
          </w:p>
        </w:tc>
        <w:tc>
          <w:tcPr>
            <w:tcW w:w="311" w:type="pct"/>
            <w:tcBorders>
              <w:bottom w:val="single" w:sz="4" w:space="0" w:color="auto"/>
            </w:tcBorders>
            <w:shd w:val="clear" w:color="auto" w:fill="FFFFFF" w:themeFill="background1"/>
            <w:vAlign w:val="center"/>
          </w:tcPr>
          <w:p w14:paraId="7105333E" w14:textId="77777777" w:rsidR="00A460C6" w:rsidRPr="00086D29" w:rsidRDefault="00A460C6" w:rsidP="00F17C71">
            <w:pPr>
              <w:autoSpaceDE w:val="0"/>
              <w:autoSpaceDN w:val="0"/>
              <w:adjustRightInd w:val="0"/>
              <w:snapToGrid w:val="0"/>
              <w:spacing w:line="240" w:lineRule="auto"/>
              <w:jc w:val="center"/>
              <w:rPr>
                <w:color w:val="auto"/>
                <w:szCs w:val="18"/>
              </w:rPr>
            </w:pPr>
            <w:r w:rsidRPr="00086D29">
              <w:rPr>
                <w:color w:val="auto"/>
                <w:szCs w:val="18"/>
              </w:rPr>
              <w:t>0.00 (0.01)</w:t>
            </w:r>
          </w:p>
        </w:tc>
        <w:tc>
          <w:tcPr>
            <w:tcW w:w="375" w:type="pct"/>
            <w:tcBorders>
              <w:bottom w:val="single" w:sz="4" w:space="0" w:color="auto"/>
            </w:tcBorders>
            <w:shd w:val="clear" w:color="auto" w:fill="FFFFFF" w:themeFill="background1"/>
            <w:vAlign w:val="center"/>
          </w:tcPr>
          <w:p w14:paraId="6F8BD5EB" w14:textId="5C58EA39" w:rsidR="00A460C6" w:rsidRPr="00086D29" w:rsidRDefault="00746E18" w:rsidP="00F17C71">
            <w:pPr>
              <w:autoSpaceDE w:val="0"/>
              <w:autoSpaceDN w:val="0"/>
              <w:adjustRightInd w:val="0"/>
              <w:snapToGrid w:val="0"/>
              <w:spacing w:line="240" w:lineRule="auto"/>
              <w:jc w:val="center"/>
              <w:rPr>
                <w:color w:val="auto"/>
                <w:szCs w:val="18"/>
              </w:rPr>
            </w:pPr>
            <w:r>
              <w:rPr>
                <w:color w:val="auto"/>
                <w:szCs w:val="18"/>
              </w:rPr>
              <w:t>−</w:t>
            </w:r>
            <w:r w:rsidR="00A460C6" w:rsidRPr="00086D29">
              <w:rPr>
                <w:color w:val="auto"/>
                <w:szCs w:val="18"/>
              </w:rPr>
              <w:t>0.01, 0.01</w:t>
            </w:r>
          </w:p>
        </w:tc>
        <w:tc>
          <w:tcPr>
            <w:tcW w:w="217" w:type="pct"/>
            <w:tcBorders>
              <w:bottom w:val="single" w:sz="4" w:space="0" w:color="auto"/>
            </w:tcBorders>
            <w:shd w:val="clear" w:color="auto" w:fill="FFFFFF" w:themeFill="background1"/>
            <w:vAlign w:val="center"/>
          </w:tcPr>
          <w:p w14:paraId="629A9713" w14:textId="77777777" w:rsidR="00A460C6" w:rsidRPr="00086D29" w:rsidRDefault="00A460C6" w:rsidP="00F17C71">
            <w:pPr>
              <w:autoSpaceDE w:val="0"/>
              <w:autoSpaceDN w:val="0"/>
              <w:adjustRightInd w:val="0"/>
              <w:snapToGrid w:val="0"/>
              <w:spacing w:line="240" w:lineRule="auto"/>
              <w:jc w:val="center"/>
              <w:rPr>
                <w:color w:val="auto"/>
                <w:szCs w:val="18"/>
              </w:rPr>
            </w:pPr>
            <w:r w:rsidRPr="00086D29">
              <w:rPr>
                <w:color w:val="auto"/>
                <w:szCs w:val="18"/>
              </w:rPr>
              <w:t>0.16</w:t>
            </w:r>
          </w:p>
        </w:tc>
        <w:tc>
          <w:tcPr>
            <w:tcW w:w="312" w:type="pct"/>
            <w:tcBorders>
              <w:bottom w:val="single" w:sz="4" w:space="0" w:color="auto"/>
            </w:tcBorders>
            <w:shd w:val="clear" w:color="auto" w:fill="FFFFFF" w:themeFill="background1"/>
            <w:vAlign w:val="center"/>
          </w:tcPr>
          <w:p w14:paraId="5FA293BC" w14:textId="21FD08BF" w:rsidR="00A460C6" w:rsidRPr="00086D29" w:rsidRDefault="00AB1120" w:rsidP="00F17C71">
            <w:pPr>
              <w:autoSpaceDE w:val="0"/>
              <w:autoSpaceDN w:val="0"/>
              <w:adjustRightInd w:val="0"/>
              <w:snapToGrid w:val="0"/>
              <w:spacing w:line="240" w:lineRule="auto"/>
              <w:jc w:val="center"/>
              <w:rPr>
                <w:color w:val="auto"/>
                <w:szCs w:val="18"/>
              </w:rPr>
            </w:pPr>
            <w:r>
              <w:rPr>
                <w:color w:val="auto"/>
                <w:szCs w:val="18"/>
              </w:rPr>
              <w:t>0</w:t>
            </w:r>
            <w:r w:rsidR="00A460C6" w:rsidRPr="00086D29">
              <w:rPr>
                <w:color w:val="auto"/>
                <w:szCs w:val="18"/>
              </w:rPr>
              <w:t>.873</w:t>
            </w:r>
          </w:p>
        </w:tc>
        <w:tc>
          <w:tcPr>
            <w:tcW w:w="252" w:type="pct"/>
            <w:tcBorders>
              <w:bottom w:val="single" w:sz="4" w:space="0" w:color="auto"/>
            </w:tcBorders>
            <w:shd w:val="clear" w:color="auto" w:fill="FFFFFF" w:themeFill="background1"/>
            <w:vAlign w:val="center"/>
          </w:tcPr>
          <w:p w14:paraId="7B0A7959" w14:textId="5F27EE4D" w:rsidR="00A460C6" w:rsidRPr="00086D29" w:rsidRDefault="00746E18" w:rsidP="00F17C71">
            <w:pPr>
              <w:autoSpaceDE w:val="0"/>
              <w:autoSpaceDN w:val="0"/>
              <w:adjustRightInd w:val="0"/>
              <w:snapToGrid w:val="0"/>
              <w:spacing w:line="240" w:lineRule="auto"/>
              <w:jc w:val="center"/>
              <w:rPr>
                <w:color w:val="auto"/>
                <w:szCs w:val="18"/>
              </w:rPr>
            </w:pPr>
            <w:r>
              <w:rPr>
                <w:color w:val="auto"/>
                <w:szCs w:val="18"/>
              </w:rPr>
              <w:t>−</w:t>
            </w:r>
            <w:r w:rsidR="00AB1120">
              <w:rPr>
                <w:color w:val="auto"/>
                <w:szCs w:val="18"/>
              </w:rPr>
              <w:t>0</w:t>
            </w:r>
            <w:r w:rsidR="00A460C6" w:rsidRPr="00086D29">
              <w:rPr>
                <w:color w:val="auto"/>
                <w:szCs w:val="18"/>
              </w:rPr>
              <w:t>.14</w:t>
            </w:r>
          </w:p>
        </w:tc>
        <w:tc>
          <w:tcPr>
            <w:tcW w:w="322" w:type="pct"/>
            <w:tcBorders>
              <w:bottom w:val="single" w:sz="4" w:space="0" w:color="auto"/>
            </w:tcBorders>
            <w:shd w:val="clear" w:color="auto" w:fill="FFFFFF" w:themeFill="background1"/>
            <w:vAlign w:val="center"/>
          </w:tcPr>
          <w:p w14:paraId="5BDE344E" w14:textId="5639C1AE" w:rsidR="00A460C6" w:rsidRPr="00086D29" w:rsidRDefault="00746E18" w:rsidP="00F17C71">
            <w:pPr>
              <w:autoSpaceDE w:val="0"/>
              <w:autoSpaceDN w:val="0"/>
              <w:adjustRightInd w:val="0"/>
              <w:snapToGrid w:val="0"/>
              <w:spacing w:line="240" w:lineRule="auto"/>
              <w:jc w:val="center"/>
              <w:rPr>
                <w:color w:val="auto"/>
                <w:szCs w:val="18"/>
              </w:rPr>
            </w:pPr>
            <w:r>
              <w:rPr>
                <w:color w:val="auto"/>
                <w:szCs w:val="18"/>
              </w:rPr>
              <w:t>−</w:t>
            </w:r>
            <w:r w:rsidR="00A460C6" w:rsidRPr="00086D29">
              <w:rPr>
                <w:color w:val="auto"/>
                <w:szCs w:val="18"/>
              </w:rPr>
              <w:t>0.01 (0.01)</w:t>
            </w:r>
          </w:p>
        </w:tc>
        <w:tc>
          <w:tcPr>
            <w:tcW w:w="321" w:type="pct"/>
            <w:tcBorders>
              <w:bottom w:val="single" w:sz="4" w:space="0" w:color="auto"/>
            </w:tcBorders>
            <w:shd w:val="clear" w:color="auto" w:fill="FFFFFF" w:themeFill="background1"/>
            <w:vAlign w:val="center"/>
          </w:tcPr>
          <w:p w14:paraId="7689809B" w14:textId="1695169F" w:rsidR="00A460C6" w:rsidRPr="00086D29" w:rsidRDefault="00746E18" w:rsidP="00F17C71">
            <w:pPr>
              <w:autoSpaceDE w:val="0"/>
              <w:autoSpaceDN w:val="0"/>
              <w:adjustRightInd w:val="0"/>
              <w:snapToGrid w:val="0"/>
              <w:spacing w:line="240" w:lineRule="auto"/>
              <w:jc w:val="center"/>
              <w:rPr>
                <w:color w:val="auto"/>
                <w:szCs w:val="18"/>
              </w:rPr>
            </w:pPr>
            <w:r>
              <w:rPr>
                <w:color w:val="auto"/>
                <w:szCs w:val="18"/>
              </w:rPr>
              <w:t>−</w:t>
            </w:r>
            <w:r w:rsidR="00A460C6" w:rsidRPr="00086D29">
              <w:rPr>
                <w:color w:val="auto"/>
                <w:szCs w:val="18"/>
              </w:rPr>
              <w:t>0.02, 0.00</w:t>
            </w:r>
          </w:p>
        </w:tc>
        <w:tc>
          <w:tcPr>
            <w:tcW w:w="300" w:type="pct"/>
            <w:tcBorders>
              <w:bottom w:val="single" w:sz="4" w:space="0" w:color="auto"/>
            </w:tcBorders>
            <w:shd w:val="clear" w:color="auto" w:fill="FFFFFF" w:themeFill="background1"/>
            <w:vAlign w:val="center"/>
          </w:tcPr>
          <w:p w14:paraId="1417A635" w14:textId="1904DA19" w:rsidR="00A460C6" w:rsidRPr="00086D29" w:rsidRDefault="00746E18" w:rsidP="00F17C71">
            <w:pPr>
              <w:autoSpaceDE w:val="0"/>
              <w:autoSpaceDN w:val="0"/>
              <w:adjustRightInd w:val="0"/>
              <w:snapToGrid w:val="0"/>
              <w:spacing w:line="240" w:lineRule="auto"/>
              <w:jc w:val="center"/>
              <w:rPr>
                <w:color w:val="auto"/>
                <w:szCs w:val="18"/>
              </w:rPr>
            </w:pPr>
            <w:r>
              <w:rPr>
                <w:color w:val="auto"/>
                <w:szCs w:val="18"/>
              </w:rPr>
              <w:t>−</w:t>
            </w:r>
            <w:r w:rsidR="00A460C6" w:rsidRPr="00086D29">
              <w:rPr>
                <w:color w:val="auto"/>
                <w:szCs w:val="18"/>
              </w:rPr>
              <w:t>1.68</w:t>
            </w:r>
          </w:p>
        </w:tc>
        <w:tc>
          <w:tcPr>
            <w:tcW w:w="315" w:type="pct"/>
            <w:tcBorders>
              <w:bottom w:val="single" w:sz="4" w:space="0" w:color="auto"/>
            </w:tcBorders>
            <w:shd w:val="clear" w:color="auto" w:fill="FFFFFF" w:themeFill="background1"/>
            <w:vAlign w:val="center"/>
          </w:tcPr>
          <w:p w14:paraId="6A50084F" w14:textId="14E12014" w:rsidR="00A460C6" w:rsidRPr="00086D29" w:rsidRDefault="00AB1120" w:rsidP="00F17C71">
            <w:pPr>
              <w:autoSpaceDE w:val="0"/>
              <w:autoSpaceDN w:val="0"/>
              <w:adjustRightInd w:val="0"/>
              <w:snapToGrid w:val="0"/>
              <w:spacing w:line="240" w:lineRule="auto"/>
              <w:jc w:val="center"/>
              <w:rPr>
                <w:color w:val="auto"/>
                <w:szCs w:val="18"/>
              </w:rPr>
            </w:pPr>
            <w:r>
              <w:rPr>
                <w:color w:val="auto"/>
                <w:szCs w:val="18"/>
              </w:rPr>
              <w:t>0</w:t>
            </w:r>
            <w:r w:rsidR="00A460C6" w:rsidRPr="00086D29">
              <w:rPr>
                <w:color w:val="auto"/>
                <w:szCs w:val="18"/>
              </w:rPr>
              <w:t>.095</w:t>
            </w:r>
          </w:p>
        </w:tc>
        <w:tc>
          <w:tcPr>
            <w:tcW w:w="253" w:type="pct"/>
            <w:tcBorders>
              <w:bottom w:val="single" w:sz="4" w:space="0" w:color="auto"/>
            </w:tcBorders>
            <w:shd w:val="clear" w:color="auto" w:fill="FFFFFF" w:themeFill="background1"/>
            <w:vAlign w:val="center"/>
          </w:tcPr>
          <w:p w14:paraId="1B5B9C5D" w14:textId="3FBA9FC7" w:rsidR="00A460C6" w:rsidRPr="00086D29" w:rsidRDefault="00746E18" w:rsidP="00F17C71">
            <w:pPr>
              <w:autoSpaceDE w:val="0"/>
              <w:autoSpaceDN w:val="0"/>
              <w:adjustRightInd w:val="0"/>
              <w:snapToGrid w:val="0"/>
              <w:spacing w:line="240" w:lineRule="auto"/>
              <w:jc w:val="center"/>
              <w:rPr>
                <w:color w:val="auto"/>
                <w:szCs w:val="18"/>
              </w:rPr>
            </w:pPr>
            <w:r>
              <w:rPr>
                <w:color w:val="auto"/>
                <w:szCs w:val="18"/>
              </w:rPr>
              <w:t>−</w:t>
            </w:r>
            <w:r w:rsidR="00AB1120">
              <w:rPr>
                <w:color w:val="auto"/>
                <w:szCs w:val="18"/>
              </w:rPr>
              <w:t>0</w:t>
            </w:r>
            <w:r w:rsidR="00A460C6" w:rsidRPr="00086D29">
              <w:rPr>
                <w:color w:val="auto"/>
                <w:szCs w:val="18"/>
              </w:rPr>
              <w:t>.05</w:t>
            </w:r>
          </w:p>
        </w:tc>
        <w:tc>
          <w:tcPr>
            <w:tcW w:w="361" w:type="pct"/>
            <w:tcBorders>
              <w:bottom w:val="single" w:sz="4" w:space="0" w:color="auto"/>
            </w:tcBorders>
            <w:shd w:val="clear" w:color="auto" w:fill="FFFFFF" w:themeFill="background1"/>
            <w:vAlign w:val="center"/>
          </w:tcPr>
          <w:p w14:paraId="248A5136" w14:textId="4182B755" w:rsidR="00A460C6" w:rsidRPr="00086D29" w:rsidRDefault="00746E18" w:rsidP="00F17C71">
            <w:pPr>
              <w:autoSpaceDE w:val="0"/>
              <w:autoSpaceDN w:val="0"/>
              <w:adjustRightInd w:val="0"/>
              <w:snapToGrid w:val="0"/>
              <w:spacing w:line="240" w:lineRule="auto"/>
              <w:jc w:val="center"/>
              <w:rPr>
                <w:color w:val="auto"/>
                <w:szCs w:val="18"/>
              </w:rPr>
            </w:pPr>
            <w:r>
              <w:rPr>
                <w:color w:val="auto"/>
                <w:szCs w:val="18"/>
              </w:rPr>
              <w:t>−</w:t>
            </w:r>
            <w:r w:rsidR="00A460C6" w:rsidRPr="00086D29">
              <w:rPr>
                <w:color w:val="auto"/>
                <w:szCs w:val="18"/>
              </w:rPr>
              <w:t xml:space="preserve">0.00 </w:t>
            </w:r>
          </w:p>
          <w:p w14:paraId="695A4BA6" w14:textId="77777777" w:rsidR="00A460C6" w:rsidRPr="00086D29" w:rsidRDefault="00A460C6" w:rsidP="00F17C71">
            <w:pPr>
              <w:autoSpaceDE w:val="0"/>
              <w:autoSpaceDN w:val="0"/>
              <w:adjustRightInd w:val="0"/>
              <w:snapToGrid w:val="0"/>
              <w:spacing w:line="240" w:lineRule="auto"/>
              <w:jc w:val="center"/>
              <w:rPr>
                <w:color w:val="auto"/>
                <w:szCs w:val="18"/>
              </w:rPr>
            </w:pPr>
            <w:r w:rsidRPr="00086D29">
              <w:rPr>
                <w:color w:val="auto"/>
                <w:szCs w:val="18"/>
              </w:rPr>
              <w:t>(0.01)</w:t>
            </w:r>
          </w:p>
        </w:tc>
        <w:tc>
          <w:tcPr>
            <w:tcW w:w="322" w:type="pct"/>
            <w:tcBorders>
              <w:bottom w:val="single" w:sz="4" w:space="0" w:color="auto"/>
            </w:tcBorders>
            <w:shd w:val="clear" w:color="auto" w:fill="FFFFFF" w:themeFill="background1"/>
            <w:vAlign w:val="center"/>
          </w:tcPr>
          <w:p w14:paraId="481500A3" w14:textId="3AFB7FEE" w:rsidR="00A460C6" w:rsidRPr="00086D29" w:rsidRDefault="00746E18" w:rsidP="00F17C71">
            <w:pPr>
              <w:autoSpaceDE w:val="0"/>
              <w:autoSpaceDN w:val="0"/>
              <w:adjustRightInd w:val="0"/>
              <w:snapToGrid w:val="0"/>
              <w:spacing w:line="240" w:lineRule="auto"/>
              <w:jc w:val="center"/>
              <w:rPr>
                <w:color w:val="auto"/>
                <w:szCs w:val="18"/>
              </w:rPr>
            </w:pPr>
            <w:r>
              <w:rPr>
                <w:color w:val="auto"/>
                <w:szCs w:val="18"/>
              </w:rPr>
              <w:t>−</w:t>
            </w:r>
            <w:r w:rsidR="00A460C6" w:rsidRPr="00086D29">
              <w:rPr>
                <w:color w:val="auto"/>
                <w:szCs w:val="18"/>
              </w:rPr>
              <w:t>0.02, 0.011</w:t>
            </w:r>
          </w:p>
        </w:tc>
        <w:tc>
          <w:tcPr>
            <w:tcW w:w="300" w:type="pct"/>
            <w:tcBorders>
              <w:bottom w:val="single" w:sz="4" w:space="0" w:color="auto"/>
            </w:tcBorders>
            <w:shd w:val="clear" w:color="auto" w:fill="FFFFFF" w:themeFill="background1"/>
            <w:vAlign w:val="center"/>
          </w:tcPr>
          <w:p w14:paraId="68C6452E" w14:textId="68F7EFC5" w:rsidR="00A460C6" w:rsidRPr="00086D29" w:rsidRDefault="00746E18" w:rsidP="00F17C71">
            <w:pPr>
              <w:autoSpaceDE w:val="0"/>
              <w:autoSpaceDN w:val="0"/>
              <w:adjustRightInd w:val="0"/>
              <w:snapToGrid w:val="0"/>
              <w:spacing w:line="240" w:lineRule="auto"/>
              <w:jc w:val="center"/>
              <w:rPr>
                <w:color w:val="auto"/>
                <w:szCs w:val="18"/>
              </w:rPr>
            </w:pPr>
            <w:r>
              <w:rPr>
                <w:color w:val="auto"/>
                <w:szCs w:val="18"/>
              </w:rPr>
              <w:t>−</w:t>
            </w:r>
            <w:r w:rsidR="00A460C6" w:rsidRPr="00086D29">
              <w:rPr>
                <w:color w:val="auto"/>
                <w:szCs w:val="18"/>
              </w:rPr>
              <w:t>0.56</w:t>
            </w:r>
          </w:p>
        </w:tc>
        <w:tc>
          <w:tcPr>
            <w:tcW w:w="307" w:type="pct"/>
            <w:tcBorders>
              <w:bottom w:val="single" w:sz="4" w:space="0" w:color="auto"/>
            </w:tcBorders>
            <w:shd w:val="clear" w:color="auto" w:fill="FFFFFF" w:themeFill="background1"/>
            <w:vAlign w:val="center"/>
          </w:tcPr>
          <w:p w14:paraId="1958D8FE" w14:textId="25A92009" w:rsidR="00A460C6" w:rsidRPr="00086D29" w:rsidRDefault="00AB1120" w:rsidP="00F17C71">
            <w:pPr>
              <w:autoSpaceDE w:val="0"/>
              <w:autoSpaceDN w:val="0"/>
              <w:adjustRightInd w:val="0"/>
              <w:snapToGrid w:val="0"/>
              <w:spacing w:line="240" w:lineRule="auto"/>
              <w:jc w:val="center"/>
              <w:rPr>
                <w:color w:val="auto"/>
                <w:szCs w:val="18"/>
              </w:rPr>
            </w:pPr>
            <w:r>
              <w:rPr>
                <w:color w:val="auto"/>
                <w:szCs w:val="18"/>
              </w:rPr>
              <w:t>0</w:t>
            </w:r>
            <w:r w:rsidR="00A460C6" w:rsidRPr="00086D29">
              <w:rPr>
                <w:color w:val="auto"/>
                <w:szCs w:val="18"/>
              </w:rPr>
              <w:t>.579</w:t>
            </w:r>
          </w:p>
        </w:tc>
      </w:tr>
      <w:tr w:rsidR="00C8300B" w:rsidRPr="00F17C71" w14:paraId="31D1EEA8" w14:textId="77777777" w:rsidTr="00DB5DCF">
        <w:trPr>
          <w:gridAfter w:val="1"/>
          <w:wAfter w:w="35" w:type="pct"/>
          <w:cantSplit/>
          <w:jc w:val="center"/>
        </w:trPr>
        <w:tc>
          <w:tcPr>
            <w:tcW w:w="407" w:type="pct"/>
            <w:tcBorders>
              <w:top w:val="single" w:sz="4" w:space="0" w:color="auto"/>
              <w:bottom w:val="single" w:sz="8" w:space="0" w:color="auto"/>
            </w:tcBorders>
            <w:shd w:val="clear" w:color="auto" w:fill="FFFFFF" w:themeFill="background1"/>
            <w:vAlign w:val="center"/>
          </w:tcPr>
          <w:p w14:paraId="2FA5B9CE" w14:textId="77777777" w:rsidR="00A460C6" w:rsidRPr="00086D29" w:rsidRDefault="00A460C6" w:rsidP="00F17C71">
            <w:pPr>
              <w:autoSpaceDE w:val="0"/>
              <w:autoSpaceDN w:val="0"/>
              <w:adjustRightInd w:val="0"/>
              <w:snapToGrid w:val="0"/>
              <w:spacing w:line="240" w:lineRule="auto"/>
              <w:jc w:val="center"/>
              <w:rPr>
                <w:color w:val="auto"/>
                <w:szCs w:val="18"/>
              </w:rPr>
            </w:pPr>
            <w:r w:rsidRPr="00DB5DCF">
              <w:rPr>
                <w:color w:val="auto"/>
                <w:szCs w:val="18"/>
              </w:rPr>
              <w:t>Model</w:t>
            </w:r>
            <w:r w:rsidRPr="00086D29">
              <w:rPr>
                <w:color w:val="auto"/>
                <w:szCs w:val="18"/>
              </w:rPr>
              <w:t>:</w:t>
            </w:r>
          </w:p>
        </w:tc>
        <w:tc>
          <w:tcPr>
            <w:tcW w:w="1506" w:type="pct"/>
            <w:gridSpan w:val="5"/>
            <w:tcBorders>
              <w:top w:val="single" w:sz="4" w:space="0" w:color="auto"/>
              <w:bottom w:val="single" w:sz="8" w:space="0" w:color="auto"/>
            </w:tcBorders>
            <w:shd w:val="clear" w:color="auto" w:fill="FFFFFF" w:themeFill="background1"/>
            <w:vAlign w:val="center"/>
          </w:tcPr>
          <w:p w14:paraId="03D5EAE8" w14:textId="557B55C7" w:rsidR="00A460C6" w:rsidRPr="00086D29" w:rsidRDefault="00A460C6" w:rsidP="00F17C71">
            <w:pPr>
              <w:autoSpaceDE w:val="0"/>
              <w:autoSpaceDN w:val="0"/>
              <w:adjustRightInd w:val="0"/>
              <w:snapToGrid w:val="0"/>
              <w:spacing w:line="240" w:lineRule="auto"/>
              <w:jc w:val="center"/>
              <w:rPr>
                <w:color w:val="auto"/>
                <w:szCs w:val="18"/>
              </w:rPr>
            </w:pPr>
            <w:r w:rsidRPr="00086D29">
              <w:rPr>
                <w:i/>
                <w:iCs/>
                <w:color w:val="auto"/>
                <w:szCs w:val="18"/>
              </w:rPr>
              <w:t>R</w:t>
            </w:r>
            <w:r w:rsidRPr="00086D29">
              <w:rPr>
                <w:color w:val="auto"/>
                <w:szCs w:val="18"/>
                <w:vertAlign w:val="superscript"/>
              </w:rPr>
              <w:t xml:space="preserve">2 </w:t>
            </w:r>
            <w:r w:rsidRPr="00086D29">
              <w:rPr>
                <w:color w:val="auto"/>
                <w:szCs w:val="18"/>
              </w:rPr>
              <w:t>=</w:t>
            </w:r>
            <w:r w:rsidR="008B3F57" w:rsidRPr="00086D29">
              <w:rPr>
                <w:color w:val="auto"/>
                <w:szCs w:val="18"/>
              </w:rPr>
              <w:t xml:space="preserve"> 0.</w:t>
            </w:r>
            <w:r w:rsidRPr="00086D29">
              <w:rPr>
                <w:color w:val="auto"/>
                <w:szCs w:val="18"/>
              </w:rPr>
              <w:t xml:space="preserve">11, </w:t>
            </w:r>
            <w:r w:rsidRPr="00086D29">
              <w:rPr>
                <w:i/>
                <w:iCs/>
                <w:color w:val="auto"/>
                <w:szCs w:val="18"/>
              </w:rPr>
              <w:t>F</w:t>
            </w:r>
            <w:r w:rsidRPr="00086D29">
              <w:rPr>
                <w:color w:val="auto"/>
                <w:szCs w:val="18"/>
              </w:rPr>
              <w:t xml:space="preserve"> (5, 170) = 4.14</w:t>
            </w:r>
            <w:r w:rsidR="00AB1120">
              <w:rPr>
                <w:color w:val="auto"/>
                <w:szCs w:val="18"/>
              </w:rPr>
              <w:t xml:space="preserve"> </w:t>
            </w:r>
            <w:r w:rsidRPr="00086D29">
              <w:rPr>
                <w:color w:val="auto"/>
                <w:szCs w:val="18"/>
              </w:rPr>
              <w:t>**</w:t>
            </w:r>
          </w:p>
        </w:tc>
        <w:tc>
          <w:tcPr>
            <w:tcW w:w="1510" w:type="pct"/>
            <w:gridSpan w:val="5"/>
            <w:tcBorders>
              <w:top w:val="single" w:sz="4" w:space="0" w:color="auto"/>
              <w:bottom w:val="single" w:sz="8" w:space="0" w:color="auto"/>
            </w:tcBorders>
            <w:shd w:val="clear" w:color="auto" w:fill="FFFFFF" w:themeFill="background1"/>
            <w:vAlign w:val="center"/>
          </w:tcPr>
          <w:p w14:paraId="40A187CE" w14:textId="7796A628" w:rsidR="00A460C6" w:rsidRPr="00086D29" w:rsidRDefault="00A460C6" w:rsidP="00F17C71">
            <w:pPr>
              <w:autoSpaceDE w:val="0"/>
              <w:autoSpaceDN w:val="0"/>
              <w:adjustRightInd w:val="0"/>
              <w:snapToGrid w:val="0"/>
              <w:spacing w:line="240" w:lineRule="auto"/>
              <w:jc w:val="center"/>
              <w:rPr>
                <w:color w:val="auto"/>
                <w:szCs w:val="18"/>
              </w:rPr>
            </w:pPr>
            <w:r w:rsidRPr="00086D29">
              <w:rPr>
                <w:i/>
                <w:iCs/>
                <w:color w:val="auto"/>
                <w:szCs w:val="18"/>
              </w:rPr>
              <w:t>R</w:t>
            </w:r>
            <w:r w:rsidRPr="00086D29">
              <w:rPr>
                <w:color w:val="auto"/>
                <w:szCs w:val="18"/>
                <w:vertAlign w:val="superscript"/>
              </w:rPr>
              <w:t xml:space="preserve">2 </w:t>
            </w:r>
            <w:r w:rsidRPr="00086D29">
              <w:rPr>
                <w:color w:val="auto"/>
                <w:szCs w:val="18"/>
              </w:rPr>
              <w:t>=</w:t>
            </w:r>
            <w:r w:rsidR="008B3F57" w:rsidRPr="00086D29">
              <w:rPr>
                <w:color w:val="auto"/>
                <w:szCs w:val="18"/>
              </w:rPr>
              <w:t xml:space="preserve"> 0.</w:t>
            </w:r>
            <w:r w:rsidRPr="00086D29">
              <w:rPr>
                <w:color w:val="auto"/>
                <w:szCs w:val="18"/>
              </w:rPr>
              <w:t xml:space="preserve">29, </w:t>
            </w:r>
            <w:r w:rsidRPr="00086D29">
              <w:rPr>
                <w:i/>
                <w:iCs/>
                <w:color w:val="auto"/>
                <w:szCs w:val="18"/>
              </w:rPr>
              <w:t>F</w:t>
            </w:r>
            <w:r w:rsidRPr="00086D29">
              <w:rPr>
                <w:color w:val="auto"/>
                <w:szCs w:val="18"/>
              </w:rPr>
              <w:t xml:space="preserve"> (5, 288) = 23.94</w:t>
            </w:r>
            <w:r w:rsidR="00AB1120">
              <w:rPr>
                <w:color w:val="auto"/>
                <w:szCs w:val="18"/>
              </w:rPr>
              <w:t xml:space="preserve"> </w:t>
            </w:r>
            <w:r w:rsidRPr="00086D29">
              <w:rPr>
                <w:color w:val="auto"/>
                <w:szCs w:val="18"/>
              </w:rPr>
              <w:t>***</w:t>
            </w:r>
          </w:p>
        </w:tc>
        <w:tc>
          <w:tcPr>
            <w:tcW w:w="1543" w:type="pct"/>
            <w:gridSpan w:val="5"/>
            <w:tcBorders>
              <w:top w:val="single" w:sz="4" w:space="0" w:color="auto"/>
              <w:bottom w:val="single" w:sz="8" w:space="0" w:color="auto"/>
            </w:tcBorders>
            <w:shd w:val="clear" w:color="auto" w:fill="FFFFFF" w:themeFill="background1"/>
            <w:vAlign w:val="center"/>
          </w:tcPr>
          <w:p w14:paraId="0FE3D0E7" w14:textId="643EBA3B" w:rsidR="00A460C6" w:rsidRPr="00F17C71" w:rsidRDefault="00A460C6" w:rsidP="00F17C71">
            <w:pPr>
              <w:autoSpaceDE w:val="0"/>
              <w:autoSpaceDN w:val="0"/>
              <w:adjustRightInd w:val="0"/>
              <w:snapToGrid w:val="0"/>
              <w:spacing w:line="240" w:lineRule="auto"/>
              <w:jc w:val="center"/>
              <w:rPr>
                <w:color w:val="auto"/>
                <w:szCs w:val="18"/>
              </w:rPr>
            </w:pPr>
            <w:r w:rsidRPr="00086D29">
              <w:rPr>
                <w:i/>
                <w:iCs/>
                <w:color w:val="auto"/>
                <w:szCs w:val="18"/>
              </w:rPr>
              <w:t>R</w:t>
            </w:r>
            <w:r w:rsidRPr="00086D29">
              <w:rPr>
                <w:color w:val="auto"/>
                <w:szCs w:val="18"/>
                <w:vertAlign w:val="superscript"/>
              </w:rPr>
              <w:t xml:space="preserve">2 </w:t>
            </w:r>
            <w:r w:rsidRPr="00086D29">
              <w:rPr>
                <w:color w:val="auto"/>
                <w:szCs w:val="18"/>
              </w:rPr>
              <w:t>=</w:t>
            </w:r>
            <w:r w:rsidR="008B3F57" w:rsidRPr="00086D29">
              <w:rPr>
                <w:color w:val="auto"/>
                <w:szCs w:val="18"/>
              </w:rPr>
              <w:t xml:space="preserve"> 0.</w:t>
            </w:r>
            <w:r w:rsidRPr="00086D29">
              <w:rPr>
                <w:color w:val="auto"/>
                <w:szCs w:val="18"/>
              </w:rPr>
              <w:t xml:space="preserve">10, </w:t>
            </w:r>
            <w:r w:rsidRPr="00086D29">
              <w:rPr>
                <w:i/>
                <w:iCs/>
                <w:color w:val="auto"/>
                <w:szCs w:val="18"/>
              </w:rPr>
              <w:t>F</w:t>
            </w:r>
            <w:r w:rsidRPr="00086D29">
              <w:rPr>
                <w:color w:val="auto"/>
                <w:szCs w:val="18"/>
              </w:rPr>
              <w:t xml:space="preserve"> (5, 106) = 3.38</w:t>
            </w:r>
            <w:r w:rsidR="00AB1120">
              <w:rPr>
                <w:color w:val="auto"/>
                <w:szCs w:val="18"/>
              </w:rPr>
              <w:t xml:space="preserve"> </w:t>
            </w:r>
            <w:r w:rsidRPr="00086D29">
              <w:rPr>
                <w:color w:val="auto"/>
                <w:szCs w:val="18"/>
              </w:rPr>
              <w:t>**</w:t>
            </w:r>
          </w:p>
        </w:tc>
      </w:tr>
    </w:tbl>
    <w:p w14:paraId="4C5516BA" w14:textId="6027ED7C" w:rsidR="004863FA" w:rsidRPr="00C8300B" w:rsidRDefault="004863FA" w:rsidP="00886CEF">
      <w:pPr>
        <w:pStyle w:val="MDPI43tablefooter"/>
        <w:spacing w:after="240"/>
        <w:rPr>
          <w:b/>
          <w:bCs/>
          <w:color w:val="auto"/>
        </w:rPr>
      </w:pPr>
      <w:r w:rsidRPr="00DB5DCF">
        <w:rPr>
          <w:i/>
          <w:iCs/>
        </w:rPr>
        <w:t>Notes</w:t>
      </w:r>
      <w:r w:rsidRPr="00D17656">
        <w:t>. *</w:t>
      </w:r>
      <w:r w:rsidRPr="00141D83">
        <w:t xml:space="preserve"> = </w:t>
      </w:r>
      <w:r w:rsidRPr="00141D83">
        <w:rPr>
          <w:i/>
        </w:rPr>
        <w:t>p</w:t>
      </w:r>
      <w:r w:rsidRPr="00141D83">
        <w:t xml:space="preserve"> &lt;</w:t>
      </w:r>
      <w:r w:rsidR="00196547" w:rsidRPr="00141D83">
        <w:t xml:space="preserve"> 0</w:t>
      </w:r>
      <w:r w:rsidRPr="00141D83">
        <w:t xml:space="preserve">.05, ** = </w:t>
      </w:r>
      <w:r w:rsidRPr="00141D83">
        <w:rPr>
          <w:i/>
        </w:rPr>
        <w:t>p</w:t>
      </w:r>
      <w:r w:rsidRPr="00141D83">
        <w:t xml:space="preserve"> &lt;</w:t>
      </w:r>
      <w:r w:rsidR="008B3F57" w:rsidRPr="00141D83">
        <w:t xml:space="preserve"> 0.</w:t>
      </w:r>
      <w:r w:rsidRPr="00141D83">
        <w:t xml:space="preserve">01, *** = </w:t>
      </w:r>
      <w:r w:rsidRPr="00141D83">
        <w:rPr>
          <w:i/>
        </w:rPr>
        <w:t>p</w:t>
      </w:r>
      <w:r w:rsidRPr="00141D83">
        <w:t xml:space="preserve"> &lt;</w:t>
      </w:r>
      <w:r w:rsidR="008B3F57" w:rsidRPr="00141D83">
        <w:t xml:space="preserve"> 0.</w:t>
      </w:r>
      <w:r w:rsidRPr="00141D83">
        <w:t>001. T = Time, FGA = Flexible Goal Pursuit, TGP = Tenacious Goal Pursuit.</w:t>
      </w:r>
    </w:p>
    <w:p w14:paraId="7755C112" w14:textId="77777777" w:rsidR="004863FA" w:rsidRPr="00C8300B" w:rsidRDefault="004863FA" w:rsidP="00A96E4B">
      <w:pPr>
        <w:snapToGrid w:val="0"/>
        <w:spacing w:line="480" w:lineRule="auto"/>
        <w:rPr>
          <w:color w:val="auto"/>
        </w:rPr>
        <w:sectPr w:rsidR="004863FA" w:rsidRPr="00C8300B" w:rsidSect="00C278DE">
          <w:pgSz w:w="16840" w:h="11900" w:orient="landscape"/>
          <w:pgMar w:top="1440" w:right="1440" w:bottom="1440" w:left="1440" w:header="680" w:footer="709" w:gutter="0"/>
          <w:cols w:space="708"/>
          <w:docGrid w:linePitch="360"/>
        </w:sectPr>
      </w:pPr>
    </w:p>
    <w:p w14:paraId="2FDCD822" w14:textId="61E323BC" w:rsidR="004863FA" w:rsidRPr="002B1549" w:rsidRDefault="002B1549" w:rsidP="002B1549">
      <w:pPr>
        <w:pStyle w:val="MDPI22heading2"/>
        <w:spacing w:before="240"/>
      </w:pPr>
      <w:r w:rsidRPr="002B1549">
        <w:lastRenderedPageBreak/>
        <w:t xml:space="preserve">3.4. </w:t>
      </w:r>
      <w:r w:rsidR="004863FA" w:rsidRPr="002B1549">
        <w:t xml:space="preserve">Do </w:t>
      </w:r>
      <w:r w:rsidRPr="002B1549">
        <w:t xml:space="preserve">Intrinsic </w:t>
      </w:r>
      <w:r w:rsidR="004863FA" w:rsidRPr="002B1549">
        <w:t xml:space="preserve">and </w:t>
      </w:r>
      <w:r w:rsidRPr="002B1549">
        <w:t xml:space="preserve">Extrinsic Motives Predict Mental Wellbeing </w:t>
      </w:r>
      <w:r w:rsidR="004863FA" w:rsidRPr="002B1549">
        <w:t xml:space="preserve">and </w:t>
      </w:r>
      <w:r w:rsidRPr="002B1549">
        <w:t>Exercise Resolution Stickability</w:t>
      </w:r>
      <w:r w:rsidR="004863FA" w:rsidRPr="002B1549">
        <w:t>?</w:t>
      </w:r>
    </w:p>
    <w:p w14:paraId="465C6F49" w14:textId="1BB109BC" w:rsidR="004863FA" w:rsidRPr="00C8300B" w:rsidRDefault="004863FA" w:rsidP="002B1549">
      <w:pPr>
        <w:pStyle w:val="MDPI31text"/>
      </w:pPr>
      <w:r w:rsidRPr="00C8300B">
        <w:t xml:space="preserve">Two separate multiple regression analyses were conducted to investigate if intrinsic motives (but not extrinsic motives) independently predicted increased mental wellbeing and New Year exercise resolution stickability over time, respectively. All variables were </w:t>
      </w:r>
      <w:r w:rsidRPr="002B1549">
        <w:t xml:space="preserve">entered into the model and the same Bonferroni corrections were applied (i.e., </w:t>
      </w:r>
      <w:r w:rsidRPr="002B1549">
        <w:rPr>
          <w:i/>
        </w:rPr>
        <w:t>p</w:t>
      </w:r>
      <w:r w:rsidRPr="002B1549">
        <w:t xml:space="preserve"> &lt;</w:t>
      </w:r>
      <w:r w:rsidR="00196547" w:rsidRPr="002B1549">
        <w:t xml:space="preserve"> 0.</w:t>
      </w:r>
      <w:r w:rsidRPr="002B1549">
        <w:t xml:space="preserve">0125 for mental wellbeing and </w:t>
      </w:r>
      <w:r w:rsidRPr="002B1549">
        <w:rPr>
          <w:i/>
        </w:rPr>
        <w:t>p</w:t>
      </w:r>
      <w:r w:rsidRPr="002B1549">
        <w:t xml:space="preserve"> &lt;</w:t>
      </w:r>
      <w:r w:rsidR="00196547" w:rsidRPr="002B1549">
        <w:t xml:space="preserve"> 0.</w:t>
      </w:r>
      <w:r w:rsidRPr="002B1549">
        <w:t>0167 for ‘stickability’). The</w:t>
      </w:r>
      <w:r w:rsidRPr="00C8300B">
        <w:t xml:space="preserve"> first multiple regression analysis investigated whether intrinsic (but not extrinsic motives) predicted mental wellbeing across time, while controlling for age and gender (see Table 4).</w:t>
      </w:r>
    </w:p>
    <w:p w14:paraId="50F04280" w14:textId="77777777" w:rsidR="004863FA" w:rsidRPr="00C8300B" w:rsidRDefault="004863FA" w:rsidP="00A96E4B">
      <w:pPr>
        <w:snapToGrid w:val="0"/>
        <w:spacing w:line="480" w:lineRule="auto"/>
        <w:ind w:firstLine="720"/>
        <w:rPr>
          <w:color w:val="auto"/>
        </w:rPr>
      </w:pPr>
    </w:p>
    <w:p w14:paraId="7DD6EA57" w14:textId="2ED232B6" w:rsidR="00506D66" w:rsidRPr="00C8300B" w:rsidRDefault="00506D66" w:rsidP="00A96E4B">
      <w:pPr>
        <w:snapToGrid w:val="0"/>
        <w:spacing w:line="480" w:lineRule="auto"/>
        <w:ind w:firstLine="720"/>
        <w:rPr>
          <w:color w:val="auto"/>
        </w:rPr>
        <w:sectPr w:rsidR="00506D66" w:rsidRPr="00C8300B" w:rsidSect="00A124A1">
          <w:pgSz w:w="11900" w:h="16840"/>
          <w:pgMar w:top="1440" w:right="1440" w:bottom="1440" w:left="1440" w:header="709" w:footer="709" w:gutter="0"/>
          <w:cols w:space="708"/>
          <w:docGrid w:linePitch="360"/>
        </w:sectPr>
      </w:pPr>
    </w:p>
    <w:p w14:paraId="0D0BFFAA" w14:textId="59B666BB" w:rsidR="00997FF1" w:rsidRPr="00C8300B" w:rsidRDefault="001A1D0B" w:rsidP="001A1D0B">
      <w:pPr>
        <w:pStyle w:val="MDPI41tablecaption"/>
      </w:pPr>
      <w:r w:rsidRPr="001A1D0B">
        <w:rPr>
          <w:b/>
          <w:bCs/>
        </w:rPr>
        <w:lastRenderedPageBreak/>
        <w:t xml:space="preserve">Table 4. </w:t>
      </w:r>
      <w:r w:rsidR="00997FF1" w:rsidRPr="00C8300B">
        <w:t>Intrinsic and extrinsic motives as predictors of mental wellbeing from Time 1 to Time 4.</w:t>
      </w:r>
    </w:p>
    <w:tbl>
      <w:tblPr>
        <w:tblW w:w="49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99"/>
        <w:gridCol w:w="625"/>
        <w:gridCol w:w="626"/>
        <w:gridCol w:w="626"/>
        <w:gridCol w:w="646"/>
        <w:gridCol w:w="637"/>
        <w:gridCol w:w="632"/>
        <w:gridCol w:w="635"/>
        <w:gridCol w:w="632"/>
        <w:gridCol w:w="643"/>
        <w:gridCol w:w="643"/>
        <w:gridCol w:w="635"/>
        <w:gridCol w:w="632"/>
        <w:gridCol w:w="635"/>
        <w:gridCol w:w="643"/>
        <w:gridCol w:w="643"/>
        <w:gridCol w:w="632"/>
        <w:gridCol w:w="635"/>
        <w:gridCol w:w="635"/>
        <w:gridCol w:w="649"/>
        <w:gridCol w:w="635"/>
      </w:tblGrid>
      <w:tr w:rsidR="0027678A" w:rsidRPr="00DB5DCF" w14:paraId="66D0BAB3" w14:textId="77777777" w:rsidTr="00197328">
        <w:trPr>
          <w:cantSplit/>
          <w:jc w:val="center"/>
        </w:trPr>
        <w:tc>
          <w:tcPr>
            <w:tcW w:w="431" w:type="pct"/>
            <w:tcBorders>
              <w:top w:val="single" w:sz="8" w:space="0" w:color="auto"/>
              <w:left w:val="nil"/>
              <w:bottom w:val="single" w:sz="4" w:space="0" w:color="auto"/>
              <w:right w:val="nil"/>
            </w:tcBorders>
            <w:shd w:val="clear" w:color="auto" w:fill="auto"/>
            <w:vAlign w:val="center"/>
          </w:tcPr>
          <w:p w14:paraId="1344E7A3" w14:textId="77777777" w:rsidR="00997FF1" w:rsidRPr="001A1D0B" w:rsidRDefault="00997FF1" w:rsidP="001A1D0B">
            <w:pPr>
              <w:autoSpaceDE w:val="0"/>
              <w:autoSpaceDN w:val="0"/>
              <w:adjustRightInd w:val="0"/>
              <w:snapToGrid w:val="0"/>
              <w:spacing w:line="240" w:lineRule="auto"/>
              <w:jc w:val="center"/>
              <w:rPr>
                <w:b/>
                <w:bCs/>
                <w:color w:val="auto"/>
                <w:szCs w:val="18"/>
              </w:rPr>
            </w:pPr>
          </w:p>
        </w:tc>
        <w:tc>
          <w:tcPr>
            <w:tcW w:w="225" w:type="pct"/>
            <w:tcBorders>
              <w:top w:val="single" w:sz="8" w:space="0" w:color="auto"/>
              <w:left w:val="nil"/>
              <w:bottom w:val="single" w:sz="4" w:space="0" w:color="auto"/>
              <w:right w:val="nil"/>
            </w:tcBorders>
            <w:shd w:val="clear" w:color="auto" w:fill="auto"/>
            <w:vAlign w:val="center"/>
          </w:tcPr>
          <w:p w14:paraId="557722C4" w14:textId="77777777" w:rsidR="00997FF1" w:rsidRPr="001A1D0B" w:rsidRDefault="00997FF1" w:rsidP="001A1D0B">
            <w:pPr>
              <w:autoSpaceDE w:val="0"/>
              <w:autoSpaceDN w:val="0"/>
              <w:adjustRightInd w:val="0"/>
              <w:snapToGrid w:val="0"/>
              <w:spacing w:line="240" w:lineRule="auto"/>
              <w:jc w:val="center"/>
              <w:rPr>
                <w:b/>
                <w:bCs/>
                <w:color w:val="auto"/>
                <w:szCs w:val="18"/>
              </w:rPr>
            </w:pPr>
          </w:p>
        </w:tc>
        <w:tc>
          <w:tcPr>
            <w:tcW w:w="682" w:type="pct"/>
            <w:gridSpan w:val="3"/>
            <w:tcBorders>
              <w:top w:val="single" w:sz="8" w:space="0" w:color="auto"/>
              <w:left w:val="nil"/>
              <w:bottom w:val="single" w:sz="4" w:space="0" w:color="auto"/>
              <w:right w:val="nil"/>
            </w:tcBorders>
            <w:shd w:val="clear" w:color="auto" w:fill="auto"/>
            <w:vAlign w:val="center"/>
          </w:tcPr>
          <w:p w14:paraId="567DAF24" w14:textId="77777777" w:rsidR="00997FF1" w:rsidRPr="00DB5DCF" w:rsidRDefault="00997FF1" w:rsidP="001A1D0B">
            <w:pPr>
              <w:autoSpaceDE w:val="0"/>
              <w:autoSpaceDN w:val="0"/>
              <w:adjustRightInd w:val="0"/>
              <w:snapToGrid w:val="0"/>
              <w:spacing w:line="240" w:lineRule="auto"/>
              <w:jc w:val="center"/>
              <w:rPr>
                <w:b/>
                <w:bCs/>
                <w:color w:val="auto"/>
                <w:szCs w:val="18"/>
              </w:rPr>
            </w:pPr>
            <w:r w:rsidRPr="00DB5DCF">
              <w:rPr>
                <w:b/>
                <w:bCs/>
                <w:color w:val="auto"/>
                <w:szCs w:val="18"/>
              </w:rPr>
              <w:t>T1 WEMWBS</w:t>
            </w:r>
          </w:p>
          <w:p w14:paraId="69563C82" w14:textId="58116E8B" w:rsidR="00997FF1" w:rsidRPr="00DB5DCF" w:rsidRDefault="00997FF1" w:rsidP="001A1D0B">
            <w:pPr>
              <w:autoSpaceDE w:val="0"/>
              <w:autoSpaceDN w:val="0"/>
              <w:adjustRightInd w:val="0"/>
              <w:snapToGrid w:val="0"/>
              <w:spacing w:line="240" w:lineRule="auto"/>
              <w:jc w:val="center"/>
              <w:rPr>
                <w:b/>
                <w:bCs/>
                <w:color w:val="auto"/>
                <w:szCs w:val="18"/>
              </w:rPr>
            </w:pPr>
            <w:r w:rsidRPr="00DB5DCF">
              <w:rPr>
                <w:b/>
                <w:bCs/>
                <w:color w:val="auto"/>
                <w:szCs w:val="18"/>
              </w:rPr>
              <w:t>(</w:t>
            </w:r>
            <w:r w:rsidRPr="00DB5DCF">
              <w:rPr>
                <w:b/>
                <w:bCs/>
                <w:i/>
                <w:iCs/>
                <w:color w:val="auto"/>
                <w:szCs w:val="18"/>
              </w:rPr>
              <w:t>n</w:t>
            </w:r>
            <w:r w:rsidRPr="00DB5DCF">
              <w:rPr>
                <w:b/>
                <w:bCs/>
                <w:color w:val="auto"/>
                <w:szCs w:val="18"/>
              </w:rPr>
              <w:t xml:space="preserve"> = 294)</w:t>
            </w:r>
          </w:p>
        </w:tc>
        <w:tc>
          <w:tcPr>
            <w:tcW w:w="229" w:type="pct"/>
            <w:tcBorders>
              <w:top w:val="single" w:sz="8" w:space="0" w:color="auto"/>
              <w:left w:val="nil"/>
              <w:bottom w:val="single" w:sz="4" w:space="0" w:color="auto"/>
              <w:right w:val="nil"/>
            </w:tcBorders>
            <w:shd w:val="clear" w:color="auto" w:fill="auto"/>
            <w:vAlign w:val="center"/>
          </w:tcPr>
          <w:p w14:paraId="2C5C2EDB" w14:textId="77777777" w:rsidR="00997FF1" w:rsidRPr="00DB5DCF" w:rsidRDefault="00997FF1" w:rsidP="001A1D0B">
            <w:pPr>
              <w:autoSpaceDE w:val="0"/>
              <w:autoSpaceDN w:val="0"/>
              <w:adjustRightInd w:val="0"/>
              <w:snapToGrid w:val="0"/>
              <w:spacing w:line="240" w:lineRule="auto"/>
              <w:jc w:val="center"/>
              <w:rPr>
                <w:b/>
                <w:bCs/>
                <w:color w:val="auto"/>
                <w:szCs w:val="18"/>
              </w:rPr>
            </w:pPr>
          </w:p>
        </w:tc>
        <w:tc>
          <w:tcPr>
            <w:tcW w:w="227" w:type="pct"/>
            <w:tcBorders>
              <w:top w:val="single" w:sz="8" w:space="0" w:color="auto"/>
              <w:left w:val="nil"/>
              <w:bottom w:val="single" w:sz="4" w:space="0" w:color="auto"/>
              <w:right w:val="nil"/>
            </w:tcBorders>
            <w:shd w:val="clear" w:color="auto" w:fill="auto"/>
            <w:vAlign w:val="center"/>
          </w:tcPr>
          <w:p w14:paraId="677E430D" w14:textId="77777777" w:rsidR="00997FF1" w:rsidRPr="00DB5DCF" w:rsidRDefault="00997FF1" w:rsidP="001A1D0B">
            <w:pPr>
              <w:autoSpaceDE w:val="0"/>
              <w:autoSpaceDN w:val="0"/>
              <w:adjustRightInd w:val="0"/>
              <w:snapToGrid w:val="0"/>
              <w:spacing w:line="240" w:lineRule="auto"/>
              <w:jc w:val="center"/>
              <w:rPr>
                <w:b/>
                <w:bCs/>
                <w:color w:val="auto"/>
                <w:szCs w:val="18"/>
              </w:rPr>
            </w:pPr>
          </w:p>
        </w:tc>
        <w:tc>
          <w:tcPr>
            <w:tcW w:w="686" w:type="pct"/>
            <w:gridSpan w:val="3"/>
            <w:tcBorders>
              <w:top w:val="single" w:sz="8" w:space="0" w:color="auto"/>
              <w:left w:val="nil"/>
              <w:bottom w:val="single" w:sz="4" w:space="0" w:color="auto"/>
              <w:right w:val="nil"/>
            </w:tcBorders>
            <w:shd w:val="clear" w:color="auto" w:fill="auto"/>
            <w:vAlign w:val="center"/>
          </w:tcPr>
          <w:p w14:paraId="71DF2C1A" w14:textId="77777777" w:rsidR="00997FF1" w:rsidRPr="00DB5DCF" w:rsidRDefault="00997FF1" w:rsidP="001A1D0B">
            <w:pPr>
              <w:autoSpaceDE w:val="0"/>
              <w:autoSpaceDN w:val="0"/>
              <w:adjustRightInd w:val="0"/>
              <w:snapToGrid w:val="0"/>
              <w:spacing w:line="240" w:lineRule="auto"/>
              <w:jc w:val="center"/>
              <w:rPr>
                <w:b/>
                <w:bCs/>
                <w:color w:val="auto"/>
                <w:szCs w:val="18"/>
              </w:rPr>
            </w:pPr>
            <w:r w:rsidRPr="00DB5DCF">
              <w:rPr>
                <w:b/>
                <w:bCs/>
                <w:color w:val="auto"/>
                <w:szCs w:val="18"/>
              </w:rPr>
              <w:t>T2 WEMWBS</w:t>
            </w:r>
          </w:p>
          <w:p w14:paraId="6F13F078" w14:textId="2FCAAA41" w:rsidR="00997FF1" w:rsidRPr="00DB5DCF" w:rsidRDefault="00997FF1" w:rsidP="001A1D0B">
            <w:pPr>
              <w:autoSpaceDE w:val="0"/>
              <w:autoSpaceDN w:val="0"/>
              <w:adjustRightInd w:val="0"/>
              <w:snapToGrid w:val="0"/>
              <w:spacing w:line="240" w:lineRule="auto"/>
              <w:jc w:val="center"/>
              <w:rPr>
                <w:b/>
                <w:bCs/>
                <w:color w:val="auto"/>
                <w:szCs w:val="18"/>
              </w:rPr>
            </w:pPr>
            <w:r w:rsidRPr="00DB5DCF">
              <w:rPr>
                <w:b/>
                <w:bCs/>
                <w:color w:val="auto"/>
                <w:szCs w:val="18"/>
              </w:rPr>
              <w:t>(</w:t>
            </w:r>
            <w:r w:rsidRPr="00DB5DCF">
              <w:rPr>
                <w:b/>
                <w:bCs/>
                <w:i/>
                <w:iCs/>
                <w:color w:val="auto"/>
                <w:szCs w:val="18"/>
              </w:rPr>
              <w:t>n</w:t>
            </w:r>
            <w:r w:rsidRPr="00DB5DCF">
              <w:rPr>
                <w:b/>
                <w:bCs/>
                <w:color w:val="auto"/>
                <w:szCs w:val="18"/>
              </w:rPr>
              <w:t xml:space="preserve"> =176)</w:t>
            </w:r>
          </w:p>
        </w:tc>
        <w:tc>
          <w:tcPr>
            <w:tcW w:w="230" w:type="pct"/>
            <w:tcBorders>
              <w:top w:val="single" w:sz="8" w:space="0" w:color="auto"/>
              <w:left w:val="nil"/>
              <w:bottom w:val="single" w:sz="4" w:space="0" w:color="auto"/>
              <w:right w:val="nil"/>
            </w:tcBorders>
            <w:shd w:val="clear" w:color="auto" w:fill="auto"/>
            <w:vAlign w:val="center"/>
          </w:tcPr>
          <w:p w14:paraId="6AFD2487" w14:textId="77777777" w:rsidR="00997FF1" w:rsidRPr="00DB5DCF" w:rsidRDefault="00997FF1" w:rsidP="001A1D0B">
            <w:pPr>
              <w:autoSpaceDE w:val="0"/>
              <w:autoSpaceDN w:val="0"/>
              <w:adjustRightInd w:val="0"/>
              <w:snapToGrid w:val="0"/>
              <w:spacing w:line="240" w:lineRule="auto"/>
              <w:jc w:val="center"/>
              <w:rPr>
                <w:b/>
                <w:bCs/>
                <w:color w:val="auto"/>
                <w:szCs w:val="18"/>
              </w:rPr>
            </w:pPr>
          </w:p>
        </w:tc>
        <w:tc>
          <w:tcPr>
            <w:tcW w:w="228" w:type="pct"/>
            <w:tcBorders>
              <w:top w:val="single" w:sz="8" w:space="0" w:color="auto"/>
              <w:left w:val="nil"/>
              <w:bottom w:val="single" w:sz="4" w:space="0" w:color="auto"/>
              <w:right w:val="nil"/>
            </w:tcBorders>
            <w:shd w:val="clear" w:color="auto" w:fill="auto"/>
            <w:vAlign w:val="center"/>
          </w:tcPr>
          <w:p w14:paraId="0C6F2F7B" w14:textId="77777777" w:rsidR="00997FF1" w:rsidRPr="00DB5DCF" w:rsidRDefault="00997FF1" w:rsidP="001A1D0B">
            <w:pPr>
              <w:autoSpaceDE w:val="0"/>
              <w:autoSpaceDN w:val="0"/>
              <w:adjustRightInd w:val="0"/>
              <w:snapToGrid w:val="0"/>
              <w:spacing w:line="240" w:lineRule="auto"/>
              <w:jc w:val="center"/>
              <w:rPr>
                <w:b/>
                <w:bCs/>
                <w:color w:val="auto"/>
                <w:szCs w:val="18"/>
              </w:rPr>
            </w:pPr>
          </w:p>
        </w:tc>
        <w:tc>
          <w:tcPr>
            <w:tcW w:w="686" w:type="pct"/>
            <w:gridSpan w:val="3"/>
            <w:tcBorders>
              <w:top w:val="single" w:sz="8" w:space="0" w:color="auto"/>
              <w:left w:val="nil"/>
              <w:bottom w:val="single" w:sz="4" w:space="0" w:color="auto"/>
              <w:right w:val="nil"/>
            </w:tcBorders>
            <w:shd w:val="clear" w:color="auto" w:fill="auto"/>
            <w:vAlign w:val="center"/>
          </w:tcPr>
          <w:p w14:paraId="207D2C78" w14:textId="77777777" w:rsidR="00997FF1" w:rsidRPr="00DB5DCF" w:rsidRDefault="00997FF1" w:rsidP="001A1D0B">
            <w:pPr>
              <w:autoSpaceDE w:val="0"/>
              <w:autoSpaceDN w:val="0"/>
              <w:adjustRightInd w:val="0"/>
              <w:snapToGrid w:val="0"/>
              <w:spacing w:line="240" w:lineRule="auto"/>
              <w:jc w:val="center"/>
              <w:rPr>
                <w:b/>
                <w:bCs/>
                <w:color w:val="auto"/>
                <w:szCs w:val="18"/>
              </w:rPr>
            </w:pPr>
            <w:r w:rsidRPr="00DB5DCF">
              <w:rPr>
                <w:b/>
                <w:bCs/>
                <w:color w:val="auto"/>
                <w:szCs w:val="18"/>
              </w:rPr>
              <w:t>T3 WEMWBS</w:t>
            </w:r>
          </w:p>
          <w:p w14:paraId="471193C0" w14:textId="0CF25EB3" w:rsidR="00997FF1" w:rsidRPr="00DB5DCF" w:rsidRDefault="00997FF1" w:rsidP="001A1D0B">
            <w:pPr>
              <w:autoSpaceDE w:val="0"/>
              <w:autoSpaceDN w:val="0"/>
              <w:adjustRightInd w:val="0"/>
              <w:snapToGrid w:val="0"/>
              <w:spacing w:line="240" w:lineRule="auto"/>
              <w:jc w:val="center"/>
              <w:rPr>
                <w:b/>
                <w:bCs/>
                <w:color w:val="auto"/>
                <w:szCs w:val="18"/>
              </w:rPr>
            </w:pPr>
            <w:r w:rsidRPr="00DB5DCF">
              <w:rPr>
                <w:b/>
                <w:bCs/>
                <w:color w:val="auto"/>
                <w:szCs w:val="18"/>
              </w:rPr>
              <w:t>(</w:t>
            </w:r>
            <w:r w:rsidRPr="00DB5DCF">
              <w:rPr>
                <w:b/>
                <w:bCs/>
                <w:i/>
                <w:iCs/>
                <w:color w:val="auto"/>
                <w:szCs w:val="18"/>
              </w:rPr>
              <w:t>n</w:t>
            </w:r>
            <w:r w:rsidRPr="00DB5DCF">
              <w:rPr>
                <w:b/>
                <w:bCs/>
                <w:color w:val="auto"/>
                <w:szCs w:val="18"/>
              </w:rPr>
              <w:t xml:space="preserve"> = 133)</w:t>
            </w:r>
          </w:p>
        </w:tc>
        <w:tc>
          <w:tcPr>
            <w:tcW w:w="230" w:type="pct"/>
            <w:tcBorders>
              <w:top w:val="single" w:sz="8" w:space="0" w:color="auto"/>
              <w:left w:val="nil"/>
              <w:bottom w:val="single" w:sz="4" w:space="0" w:color="auto"/>
              <w:right w:val="nil"/>
            </w:tcBorders>
            <w:shd w:val="clear" w:color="auto" w:fill="auto"/>
            <w:vAlign w:val="center"/>
          </w:tcPr>
          <w:p w14:paraId="085DF5F5" w14:textId="77777777" w:rsidR="00997FF1" w:rsidRPr="00DB5DCF" w:rsidRDefault="00997FF1" w:rsidP="001A1D0B">
            <w:pPr>
              <w:autoSpaceDE w:val="0"/>
              <w:autoSpaceDN w:val="0"/>
              <w:adjustRightInd w:val="0"/>
              <w:snapToGrid w:val="0"/>
              <w:spacing w:line="240" w:lineRule="auto"/>
              <w:jc w:val="center"/>
              <w:rPr>
                <w:b/>
                <w:bCs/>
                <w:color w:val="auto"/>
                <w:szCs w:val="18"/>
              </w:rPr>
            </w:pPr>
          </w:p>
        </w:tc>
        <w:tc>
          <w:tcPr>
            <w:tcW w:w="227" w:type="pct"/>
            <w:tcBorders>
              <w:top w:val="single" w:sz="8" w:space="0" w:color="auto"/>
              <w:left w:val="nil"/>
              <w:bottom w:val="single" w:sz="4" w:space="0" w:color="auto"/>
              <w:right w:val="nil"/>
            </w:tcBorders>
            <w:shd w:val="clear" w:color="auto" w:fill="auto"/>
            <w:vAlign w:val="center"/>
          </w:tcPr>
          <w:p w14:paraId="17B17D3E" w14:textId="77777777" w:rsidR="00997FF1" w:rsidRPr="00DB5DCF" w:rsidRDefault="00997FF1" w:rsidP="001A1D0B">
            <w:pPr>
              <w:autoSpaceDE w:val="0"/>
              <w:autoSpaceDN w:val="0"/>
              <w:adjustRightInd w:val="0"/>
              <w:snapToGrid w:val="0"/>
              <w:spacing w:line="240" w:lineRule="auto"/>
              <w:jc w:val="center"/>
              <w:rPr>
                <w:b/>
                <w:bCs/>
                <w:color w:val="auto"/>
                <w:szCs w:val="18"/>
              </w:rPr>
            </w:pPr>
          </w:p>
        </w:tc>
        <w:tc>
          <w:tcPr>
            <w:tcW w:w="689" w:type="pct"/>
            <w:gridSpan w:val="3"/>
            <w:tcBorders>
              <w:top w:val="single" w:sz="8" w:space="0" w:color="auto"/>
              <w:left w:val="nil"/>
              <w:bottom w:val="single" w:sz="4" w:space="0" w:color="auto"/>
              <w:right w:val="nil"/>
            </w:tcBorders>
            <w:shd w:val="clear" w:color="auto" w:fill="auto"/>
            <w:vAlign w:val="center"/>
          </w:tcPr>
          <w:p w14:paraId="0F1E60B5" w14:textId="77777777" w:rsidR="00997FF1" w:rsidRPr="00DB5DCF" w:rsidRDefault="00997FF1" w:rsidP="001A1D0B">
            <w:pPr>
              <w:autoSpaceDE w:val="0"/>
              <w:autoSpaceDN w:val="0"/>
              <w:adjustRightInd w:val="0"/>
              <w:snapToGrid w:val="0"/>
              <w:spacing w:line="240" w:lineRule="auto"/>
              <w:jc w:val="center"/>
              <w:rPr>
                <w:b/>
                <w:bCs/>
                <w:color w:val="auto"/>
                <w:szCs w:val="18"/>
              </w:rPr>
            </w:pPr>
            <w:r w:rsidRPr="00DB5DCF">
              <w:rPr>
                <w:b/>
                <w:bCs/>
                <w:color w:val="auto"/>
                <w:szCs w:val="18"/>
              </w:rPr>
              <w:t>T4 WEMWBS</w:t>
            </w:r>
          </w:p>
          <w:p w14:paraId="50A3AD0F" w14:textId="4927BFC2" w:rsidR="00997FF1" w:rsidRPr="00DB5DCF" w:rsidRDefault="00997FF1" w:rsidP="001A1D0B">
            <w:pPr>
              <w:autoSpaceDE w:val="0"/>
              <w:autoSpaceDN w:val="0"/>
              <w:adjustRightInd w:val="0"/>
              <w:snapToGrid w:val="0"/>
              <w:spacing w:line="240" w:lineRule="auto"/>
              <w:jc w:val="center"/>
              <w:rPr>
                <w:b/>
                <w:bCs/>
                <w:color w:val="auto"/>
                <w:szCs w:val="18"/>
              </w:rPr>
            </w:pPr>
            <w:r w:rsidRPr="00DB5DCF">
              <w:rPr>
                <w:b/>
                <w:bCs/>
                <w:color w:val="auto"/>
                <w:szCs w:val="18"/>
              </w:rPr>
              <w:t>(</w:t>
            </w:r>
            <w:r w:rsidRPr="00DB5DCF">
              <w:rPr>
                <w:b/>
                <w:bCs/>
                <w:i/>
                <w:iCs/>
                <w:color w:val="auto"/>
                <w:szCs w:val="18"/>
              </w:rPr>
              <w:t xml:space="preserve">n </w:t>
            </w:r>
            <w:r w:rsidRPr="00DB5DCF">
              <w:rPr>
                <w:b/>
                <w:bCs/>
                <w:color w:val="auto"/>
                <w:szCs w:val="18"/>
              </w:rPr>
              <w:t>= 112)</w:t>
            </w:r>
          </w:p>
        </w:tc>
        <w:tc>
          <w:tcPr>
            <w:tcW w:w="228" w:type="pct"/>
            <w:tcBorders>
              <w:top w:val="single" w:sz="8" w:space="0" w:color="auto"/>
              <w:left w:val="nil"/>
              <w:bottom w:val="single" w:sz="4" w:space="0" w:color="auto"/>
              <w:right w:val="nil"/>
            </w:tcBorders>
            <w:shd w:val="clear" w:color="auto" w:fill="auto"/>
            <w:vAlign w:val="center"/>
          </w:tcPr>
          <w:p w14:paraId="3232ED92" w14:textId="77777777" w:rsidR="00997FF1" w:rsidRPr="00DB5DCF" w:rsidRDefault="00997FF1" w:rsidP="001A1D0B">
            <w:pPr>
              <w:autoSpaceDE w:val="0"/>
              <w:autoSpaceDN w:val="0"/>
              <w:adjustRightInd w:val="0"/>
              <w:snapToGrid w:val="0"/>
              <w:spacing w:line="240" w:lineRule="auto"/>
              <w:jc w:val="center"/>
              <w:rPr>
                <w:b/>
                <w:bCs/>
                <w:color w:val="auto"/>
                <w:szCs w:val="18"/>
              </w:rPr>
            </w:pPr>
          </w:p>
        </w:tc>
      </w:tr>
      <w:tr w:rsidR="00197328" w:rsidRPr="00DB5DCF" w14:paraId="060AD88E" w14:textId="77777777" w:rsidTr="00197328">
        <w:trPr>
          <w:cantSplit/>
          <w:jc w:val="center"/>
        </w:trPr>
        <w:tc>
          <w:tcPr>
            <w:tcW w:w="431" w:type="pct"/>
            <w:tcBorders>
              <w:top w:val="single" w:sz="4" w:space="0" w:color="auto"/>
              <w:left w:val="nil"/>
              <w:bottom w:val="single" w:sz="4" w:space="0" w:color="auto"/>
              <w:right w:val="nil"/>
            </w:tcBorders>
            <w:shd w:val="clear" w:color="auto" w:fill="auto"/>
            <w:vAlign w:val="center"/>
          </w:tcPr>
          <w:p w14:paraId="70975BDC" w14:textId="77777777" w:rsidR="00997FF1" w:rsidRPr="00DB5DCF" w:rsidRDefault="00997FF1" w:rsidP="001A1D0B">
            <w:pPr>
              <w:autoSpaceDE w:val="0"/>
              <w:autoSpaceDN w:val="0"/>
              <w:adjustRightInd w:val="0"/>
              <w:snapToGrid w:val="0"/>
              <w:spacing w:line="240" w:lineRule="auto"/>
              <w:jc w:val="center"/>
              <w:rPr>
                <w:b/>
                <w:bCs/>
                <w:color w:val="auto"/>
                <w:szCs w:val="18"/>
              </w:rPr>
            </w:pPr>
            <w:r w:rsidRPr="00DB5DCF">
              <w:rPr>
                <w:b/>
                <w:bCs/>
                <w:color w:val="auto"/>
                <w:szCs w:val="18"/>
              </w:rPr>
              <w:t xml:space="preserve">Variable </w:t>
            </w:r>
          </w:p>
        </w:tc>
        <w:tc>
          <w:tcPr>
            <w:tcW w:w="225" w:type="pct"/>
            <w:tcBorders>
              <w:top w:val="single" w:sz="4" w:space="0" w:color="auto"/>
              <w:left w:val="nil"/>
              <w:bottom w:val="single" w:sz="4" w:space="0" w:color="auto"/>
              <w:right w:val="nil"/>
            </w:tcBorders>
            <w:shd w:val="clear" w:color="auto" w:fill="auto"/>
            <w:vAlign w:val="center"/>
          </w:tcPr>
          <w:p w14:paraId="79AC0A45" w14:textId="4BBFE021" w:rsidR="00997FF1" w:rsidRPr="00DB5DCF" w:rsidRDefault="00305720" w:rsidP="001A1D0B">
            <w:pPr>
              <w:autoSpaceDE w:val="0"/>
              <w:autoSpaceDN w:val="0"/>
              <w:adjustRightInd w:val="0"/>
              <w:snapToGrid w:val="0"/>
              <w:spacing w:line="240" w:lineRule="auto"/>
              <w:jc w:val="center"/>
              <w:rPr>
                <w:b/>
                <w:bCs/>
                <w:i/>
                <w:iCs/>
                <w:color w:val="auto"/>
                <w:szCs w:val="18"/>
              </w:rPr>
            </w:pPr>
            <w:r w:rsidRPr="00DB5DCF">
              <w:rPr>
                <w:b/>
                <w:bCs/>
                <w:i/>
                <w:iCs/>
                <w:color w:val="auto"/>
                <w:szCs w:val="18"/>
              </w:rPr>
              <w:t>β</w:t>
            </w:r>
          </w:p>
        </w:tc>
        <w:tc>
          <w:tcPr>
            <w:tcW w:w="225" w:type="pct"/>
            <w:tcBorders>
              <w:top w:val="single" w:sz="4" w:space="0" w:color="auto"/>
              <w:left w:val="nil"/>
              <w:bottom w:val="single" w:sz="4" w:space="0" w:color="auto"/>
              <w:right w:val="nil"/>
            </w:tcBorders>
            <w:shd w:val="clear" w:color="auto" w:fill="auto"/>
            <w:vAlign w:val="center"/>
          </w:tcPr>
          <w:p w14:paraId="5812E2F0" w14:textId="77777777" w:rsidR="00997FF1" w:rsidRPr="00DB5DCF" w:rsidRDefault="00997FF1" w:rsidP="001A1D0B">
            <w:pPr>
              <w:autoSpaceDE w:val="0"/>
              <w:autoSpaceDN w:val="0"/>
              <w:adjustRightInd w:val="0"/>
              <w:snapToGrid w:val="0"/>
              <w:spacing w:line="240" w:lineRule="auto"/>
              <w:jc w:val="center"/>
              <w:rPr>
                <w:b/>
                <w:bCs/>
                <w:i/>
                <w:iCs/>
                <w:color w:val="auto"/>
                <w:szCs w:val="18"/>
              </w:rPr>
            </w:pPr>
            <w:r w:rsidRPr="00DB5DCF">
              <w:rPr>
                <w:b/>
                <w:bCs/>
                <w:i/>
                <w:iCs/>
                <w:color w:val="auto"/>
                <w:szCs w:val="18"/>
              </w:rPr>
              <w:t>b(SE)</w:t>
            </w:r>
          </w:p>
        </w:tc>
        <w:tc>
          <w:tcPr>
            <w:tcW w:w="225" w:type="pct"/>
            <w:tcBorders>
              <w:top w:val="single" w:sz="4" w:space="0" w:color="auto"/>
              <w:left w:val="nil"/>
              <w:bottom w:val="single" w:sz="4" w:space="0" w:color="auto"/>
              <w:right w:val="nil"/>
            </w:tcBorders>
            <w:shd w:val="clear" w:color="auto" w:fill="auto"/>
            <w:vAlign w:val="center"/>
          </w:tcPr>
          <w:p w14:paraId="6799045A" w14:textId="77777777" w:rsidR="00997FF1" w:rsidRPr="00DB5DCF" w:rsidRDefault="00997FF1" w:rsidP="001A1D0B">
            <w:pPr>
              <w:autoSpaceDE w:val="0"/>
              <w:autoSpaceDN w:val="0"/>
              <w:adjustRightInd w:val="0"/>
              <w:snapToGrid w:val="0"/>
              <w:spacing w:line="240" w:lineRule="auto"/>
              <w:jc w:val="center"/>
              <w:rPr>
                <w:b/>
                <w:bCs/>
                <w:color w:val="auto"/>
                <w:szCs w:val="18"/>
              </w:rPr>
            </w:pPr>
            <w:r w:rsidRPr="00DB5DCF">
              <w:rPr>
                <w:b/>
                <w:bCs/>
                <w:color w:val="auto"/>
                <w:szCs w:val="18"/>
              </w:rPr>
              <w:t>95% CIs</w:t>
            </w:r>
          </w:p>
        </w:tc>
        <w:tc>
          <w:tcPr>
            <w:tcW w:w="231" w:type="pct"/>
            <w:tcBorders>
              <w:top w:val="single" w:sz="4" w:space="0" w:color="auto"/>
              <w:left w:val="nil"/>
              <w:bottom w:val="single" w:sz="4" w:space="0" w:color="auto"/>
              <w:right w:val="nil"/>
            </w:tcBorders>
            <w:shd w:val="clear" w:color="auto" w:fill="auto"/>
            <w:vAlign w:val="center"/>
          </w:tcPr>
          <w:p w14:paraId="7448D180" w14:textId="77777777" w:rsidR="00997FF1" w:rsidRPr="00DB5DCF" w:rsidRDefault="00997FF1" w:rsidP="001A1D0B">
            <w:pPr>
              <w:autoSpaceDE w:val="0"/>
              <w:autoSpaceDN w:val="0"/>
              <w:adjustRightInd w:val="0"/>
              <w:snapToGrid w:val="0"/>
              <w:spacing w:line="240" w:lineRule="auto"/>
              <w:jc w:val="center"/>
              <w:rPr>
                <w:b/>
                <w:bCs/>
                <w:i/>
                <w:iCs/>
                <w:color w:val="auto"/>
                <w:szCs w:val="18"/>
              </w:rPr>
            </w:pPr>
            <w:r w:rsidRPr="00DB5DCF">
              <w:rPr>
                <w:b/>
                <w:bCs/>
                <w:i/>
                <w:iCs/>
                <w:color w:val="auto"/>
                <w:szCs w:val="18"/>
              </w:rPr>
              <w:t>t</w:t>
            </w:r>
          </w:p>
        </w:tc>
        <w:tc>
          <w:tcPr>
            <w:tcW w:w="229" w:type="pct"/>
            <w:tcBorders>
              <w:top w:val="single" w:sz="4" w:space="0" w:color="auto"/>
              <w:left w:val="nil"/>
              <w:bottom w:val="single" w:sz="4" w:space="0" w:color="auto"/>
              <w:right w:val="nil"/>
            </w:tcBorders>
            <w:shd w:val="clear" w:color="auto" w:fill="auto"/>
            <w:vAlign w:val="center"/>
          </w:tcPr>
          <w:p w14:paraId="289A0F6A" w14:textId="77777777" w:rsidR="00997FF1" w:rsidRPr="00DB5DCF" w:rsidRDefault="00997FF1" w:rsidP="001A1D0B">
            <w:pPr>
              <w:autoSpaceDE w:val="0"/>
              <w:autoSpaceDN w:val="0"/>
              <w:adjustRightInd w:val="0"/>
              <w:snapToGrid w:val="0"/>
              <w:spacing w:line="240" w:lineRule="auto"/>
              <w:jc w:val="center"/>
              <w:rPr>
                <w:b/>
                <w:bCs/>
                <w:i/>
                <w:iCs/>
                <w:color w:val="auto"/>
                <w:szCs w:val="18"/>
              </w:rPr>
            </w:pPr>
            <w:r w:rsidRPr="00DB5DCF">
              <w:rPr>
                <w:b/>
                <w:bCs/>
                <w:i/>
                <w:iCs/>
                <w:color w:val="auto"/>
                <w:szCs w:val="18"/>
              </w:rPr>
              <w:t>p</w:t>
            </w:r>
          </w:p>
        </w:tc>
        <w:tc>
          <w:tcPr>
            <w:tcW w:w="227" w:type="pct"/>
            <w:tcBorders>
              <w:top w:val="single" w:sz="4" w:space="0" w:color="auto"/>
              <w:left w:val="nil"/>
              <w:bottom w:val="single" w:sz="4" w:space="0" w:color="auto"/>
              <w:right w:val="nil"/>
            </w:tcBorders>
            <w:shd w:val="clear" w:color="auto" w:fill="auto"/>
            <w:vAlign w:val="center"/>
          </w:tcPr>
          <w:p w14:paraId="394E2F59" w14:textId="073A0692" w:rsidR="00997FF1" w:rsidRPr="00DB5DCF" w:rsidRDefault="00574BF3" w:rsidP="001A1D0B">
            <w:pPr>
              <w:autoSpaceDE w:val="0"/>
              <w:autoSpaceDN w:val="0"/>
              <w:adjustRightInd w:val="0"/>
              <w:snapToGrid w:val="0"/>
              <w:spacing w:line="240" w:lineRule="auto"/>
              <w:jc w:val="center"/>
              <w:rPr>
                <w:b/>
                <w:bCs/>
                <w:i/>
                <w:iCs/>
                <w:color w:val="auto"/>
                <w:szCs w:val="18"/>
              </w:rPr>
            </w:pPr>
            <w:r w:rsidRPr="00DB5DCF">
              <w:rPr>
                <w:b/>
                <w:bCs/>
                <w:i/>
                <w:iCs/>
                <w:color w:val="auto"/>
                <w:szCs w:val="18"/>
              </w:rPr>
              <w:t>β</w:t>
            </w:r>
          </w:p>
        </w:tc>
        <w:tc>
          <w:tcPr>
            <w:tcW w:w="228" w:type="pct"/>
            <w:tcBorders>
              <w:top w:val="single" w:sz="4" w:space="0" w:color="auto"/>
              <w:left w:val="nil"/>
              <w:bottom w:val="single" w:sz="4" w:space="0" w:color="auto"/>
              <w:right w:val="nil"/>
            </w:tcBorders>
            <w:shd w:val="clear" w:color="auto" w:fill="auto"/>
            <w:vAlign w:val="center"/>
          </w:tcPr>
          <w:p w14:paraId="077B3B02" w14:textId="77777777" w:rsidR="00997FF1" w:rsidRPr="00DB5DCF" w:rsidRDefault="00997FF1" w:rsidP="001A1D0B">
            <w:pPr>
              <w:autoSpaceDE w:val="0"/>
              <w:autoSpaceDN w:val="0"/>
              <w:adjustRightInd w:val="0"/>
              <w:snapToGrid w:val="0"/>
              <w:spacing w:line="240" w:lineRule="auto"/>
              <w:jc w:val="center"/>
              <w:rPr>
                <w:b/>
                <w:bCs/>
                <w:color w:val="auto"/>
                <w:szCs w:val="18"/>
              </w:rPr>
            </w:pPr>
            <w:r w:rsidRPr="00DB5DCF">
              <w:rPr>
                <w:b/>
                <w:bCs/>
                <w:i/>
                <w:iCs/>
                <w:color w:val="auto"/>
                <w:szCs w:val="18"/>
              </w:rPr>
              <w:t>b(SE)</w:t>
            </w:r>
          </w:p>
        </w:tc>
        <w:tc>
          <w:tcPr>
            <w:tcW w:w="227" w:type="pct"/>
            <w:tcBorders>
              <w:top w:val="single" w:sz="4" w:space="0" w:color="auto"/>
              <w:left w:val="nil"/>
              <w:bottom w:val="single" w:sz="4" w:space="0" w:color="auto"/>
              <w:right w:val="nil"/>
            </w:tcBorders>
            <w:shd w:val="clear" w:color="auto" w:fill="auto"/>
            <w:vAlign w:val="center"/>
          </w:tcPr>
          <w:p w14:paraId="1D936EC1" w14:textId="77777777" w:rsidR="00997FF1" w:rsidRPr="00DB5DCF" w:rsidRDefault="00997FF1" w:rsidP="001A1D0B">
            <w:pPr>
              <w:autoSpaceDE w:val="0"/>
              <w:autoSpaceDN w:val="0"/>
              <w:adjustRightInd w:val="0"/>
              <w:snapToGrid w:val="0"/>
              <w:spacing w:line="240" w:lineRule="auto"/>
              <w:jc w:val="center"/>
              <w:rPr>
                <w:b/>
                <w:bCs/>
                <w:color w:val="auto"/>
                <w:szCs w:val="18"/>
              </w:rPr>
            </w:pPr>
            <w:r w:rsidRPr="00DB5DCF">
              <w:rPr>
                <w:b/>
                <w:bCs/>
                <w:color w:val="auto"/>
                <w:szCs w:val="18"/>
              </w:rPr>
              <w:t xml:space="preserve">95% CIs </w:t>
            </w:r>
          </w:p>
        </w:tc>
        <w:tc>
          <w:tcPr>
            <w:tcW w:w="231" w:type="pct"/>
            <w:tcBorders>
              <w:top w:val="single" w:sz="4" w:space="0" w:color="auto"/>
              <w:left w:val="nil"/>
              <w:bottom w:val="single" w:sz="4" w:space="0" w:color="auto"/>
              <w:right w:val="nil"/>
            </w:tcBorders>
            <w:shd w:val="clear" w:color="auto" w:fill="auto"/>
            <w:vAlign w:val="center"/>
          </w:tcPr>
          <w:p w14:paraId="3C0CB057" w14:textId="77777777" w:rsidR="00997FF1" w:rsidRPr="00DB5DCF" w:rsidRDefault="00997FF1" w:rsidP="001A1D0B">
            <w:pPr>
              <w:autoSpaceDE w:val="0"/>
              <w:autoSpaceDN w:val="0"/>
              <w:adjustRightInd w:val="0"/>
              <w:snapToGrid w:val="0"/>
              <w:spacing w:line="240" w:lineRule="auto"/>
              <w:jc w:val="center"/>
              <w:rPr>
                <w:b/>
                <w:bCs/>
                <w:i/>
                <w:iCs/>
                <w:color w:val="auto"/>
                <w:szCs w:val="18"/>
              </w:rPr>
            </w:pPr>
            <w:r w:rsidRPr="00DB5DCF">
              <w:rPr>
                <w:b/>
                <w:bCs/>
                <w:i/>
                <w:iCs/>
                <w:color w:val="auto"/>
                <w:szCs w:val="18"/>
              </w:rPr>
              <w:t>t</w:t>
            </w:r>
          </w:p>
        </w:tc>
        <w:tc>
          <w:tcPr>
            <w:tcW w:w="230" w:type="pct"/>
            <w:tcBorders>
              <w:top w:val="single" w:sz="4" w:space="0" w:color="auto"/>
              <w:left w:val="nil"/>
              <w:bottom w:val="single" w:sz="4" w:space="0" w:color="auto"/>
              <w:right w:val="nil"/>
            </w:tcBorders>
            <w:shd w:val="clear" w:color="auto" w:fill="auto"/>
            <w:vAlign w:val="center"/>
          </w:tcPr>
          <w:p w14:paraId="4DD5C55C" w14:textId="77777777" w:rsidR="00997FF1" w:rsidRPr="00DB5DCF" w:rsidRDefault="00997FF1" w:rsidP="001A1D0B">
            <w:pPr>
              <w:autoSpaceDE w:val="0"/>
              <w:autoSpaceDN w:val="0"/>
              <w:adjustRightInd w:val="0"/>
              <w:snapToGrid w:val="0"/>
              <w:spacing w:line="240" w:lineRule="auto"/>
              <w:jc w:val="center"/>
              <w:rPr>
                <w:b/>
                <w:bCs/>
                <w:i/>
                <w:iCs/>
                <w:color w:val="auto"/>
                <w:szCs w:val="18"/>
              </w:rPr>
            </w:pPr>
            <w:r w:rsidRPr="00DB5DCF">
              <w:rPr>
                <w:b/>
                <w:bCs/>
                <w:i/>
                <w:iCs/>
                <w:color w:val="auto"/>
                <w:szCs w:val="18"/>
              </w:rPr>
              <w:t>p</w:t>
            </w:r>
          </w:p>
        </w:tc>
        <w:tc>
          <w:tcPr>
            <w:tcW w:w="228" w:type="pct"/>
            <w:tcBorders>
              <w:top w:val="single" w:sz="4" w:space="0" w:color="auto"/>
              <w:left w:val="nil"/>
              <w:bottom w:val="single" w:sz="4" w:space="0" w:color="auto"/>
              <w:right w:val="nil"/>
            </w:tcBorders>
            <w:shd w:val="clear" w:color="auto" w:fill="auto"/>
            <w:vAlign w:val="center"/>
          </w:tcPr>
          <w:p w14:paraId="1D012667" w14:textId="1870D36D" w:rsidR="00997FF1" w:rsidRPr="00DB5DCF" w:rsidRDefault="00574BF3" w:rsidP="001A1D0B">
            <w:pPr>
              <w:autoSpaceDE w:val="0"/>
              <w:autoSpaceDN w:val="0"/>
              <w:adjustRightInd w:val="0"/>
              <w:snapToGrid w:val="0"/>
              <w:spacing w:line="240" w:lineRule="auto"/>
              <w:jc w:val="center"/>
              <w:rPr>
                <w:b/>
                <w:bCs/>
                <w:i/>
                <w:iCs/>
                <w:color w:val="auto"/>
                <w:szCs w:val="18"/>
              </w:rPr>
            </w:pPr>
            <w:r w:rsidRPr="00DB5DCF">
              <w:rPr>
                <w:b/>
                <w:bCs/>
                <w:i/>
                <w:iCs/>
                <w:color w:val="auto"/>
                <w:szCs w:val="18"/>
              </w:rPr>
              <w:t>β</w:t>
            </w:r>
          </w:p>
        </w:tc>
        <w:tc>
          <w:tcPr>
            <w:tcW w:w="227" w:type="pct"/>
            <w:tcBorders>
              <w:top w:val="single" w:sz="4" w:space="0" w:color="auto"/>
              <w:left w:val="nil"/>
              <w:bottom w:val="single" w:sz="4" w:space="0" w:color="auto"/>
              <w:right w:val="nil"/>
            </w:tcBorders>
            <w:shd w:val="clear" w:color="auto" w:fill="auto"/>
            <w:vAlign w:val="center"/>
          </w:tcPr>
          <w:p w14:paraId="502AF7F0" w14:textId="77777777" w:rsidR="00997FF1" w:rsidRPr="00DB5DCF" w:rsidRDefault="00997FF1" w:rsidP="001A1D0B">
            <w:pPr>
              <w:autoSpaceDE w:val="0"/>
              <w:autoSpaceDN w:val="0"/>
              <w:adjustRightInd w:val="0"/>
              <w:snapToGrid w:val="0"/>
              <w:spacing w:line="240" w:lineRule="auto"/>
              <w:jc w:val="center"/>
              <w:rPr>
                <w:b/>
                <w:bCs/>
                <w:color w:val="auto"/>
                <w:szCs w:val="18"/>
              </w:rPr>
            </w:pPr>
            <w:r w:rsidRPr="00DB5DCF">
              <w:rPr>
                <w:b/>
                <w:bCs/>
                <w:i/>
                <w:iCs/>
                <w:color w:val="auto"/>
                <w:szCs w:val="18"/>
              </w:rPr>
              <w:t>b(SE)</w:t>
            </w:r>
          </w:p>
        </w:tc>
        <w:tc>
          <w:tcPr>
            <w:tcW w:w="228" w:type="pct"/>
            <w:tcBorders>
              <w:top w:val="single" w:sz="4" w:space="0" w:color="auto"/>
              <w:left w:val="nil"/>
              <w:bottom w:val="single" w:sz="4" w:space="0" w:color="auto"/>
              <w:right w:val="nil"/>
            </w:tcBorders>
            <w:shd w:val="clear" w:color="auto" w:fill="auto"/>
            <w:vAlign w:val="center"/>
          </w:tcPr>
          <w:p w14:paraId="1B7686B6" w14:textId="77777777" w:rsidR="00997FF1" w:rsidRPr="00DB5DCF" w:rsidRDefault="00997FF1" w:rsidP="001A1D0B">
            <w:pPr>
              <w:autoSpaceDE w:val="0"/>
              <w:autoSpaceDN w:val="0"/>
              <w:adjustRightInd w:val="0"/>
              <w:snapToGrid w:val="0"/>
              <w:spacing w:line="240" w:lineRule="auto"/>
              <w:jc w:val="center"/>
              <w:rPr>
                <w:b/>
                <w:bCs/>
                <w:color w:val="auto"/>
                <w:szCs w:val="18"/>
              </w:rPr>
            </w:pPr>
            <w:r w:rsidRPr="00DB5DCF">
              <w:rPr>
                <w:b/>
                <w:bCs/>
                <w:color w:val="auto"/>
                <w:szCs w:val="18"/>
              </w:rPr>
              <w:t>95% CIs</w:t>
            </w:r>
          </w:p>
        </w:tc>
        <w:tc>
          <w:tcPr>
            <w:tcW w:w="231" w:type="pct"/>
            <w:tcBorders>
              <w:top w:val="single" w:sz="4" w:space="0" w:color="auto"/>
              <w:left w:val="nil"/>
              <w:bottom w:val="single" w:sz="4" w:space="0" w:color="auto"/>
              <w:right w:val="nil"/>
            </w:tcBorders>
            <w:shd w:val="clear" w:color="auto" w:fill="auto"/>
            <w:vAlign w:val="center"/>
          </w:tcPr>
          <w:p w14:paraId="2D1AA366" w14:textId="77777777" w:rsidR="00997FF1" w:rsidRPr="00DB5DCF" w:rsidRDefault="00997FF1" w:rsidP="001A1D0B">
            <w:pPr>
              <w:autoSpaceDE w:val="0"/>
              <w:autoSpaceDN w:val="0"/>
              <w:adjustRightInd w:val="0"/>
              <w:snapToGrid w:val="0"/>
              <w:spacing w:line="240" w:lineRule="auto"/>
              <w:jc w:val="center"/>
              <w:rPr>
                <w:b/>
                <w:bCs/>
                <w:i/>
                <w:iCs/>
                <w:color w:val="auto"/>
                <w:szCs w:val="18"/>
              </w:rPr>
            </w:pPr>
            <w:r w:rsidRPr="00DB5DCF">
              <w:rPr>
                <w:b/>
                <w:bCs/>
                <w:i/>
                <w:iCs/>
                <w:color w:val="auto"/>
                <w:szCs w:val="18"/>
              </w:rPr>
              <w:t>t</w:t>
            </w:r>
          </w:p>
        </w:tc>
        <w:tc>
          <w:tcPr>
            <w:tcW w:w="230" w:type="pct"/>
            <w:tcBorders>
              <w:top w:val="single" w:sz="4" w:space="0" w:color="auto"/>
              <w:left w:val="nil"/>
              <w:bottom w:val="single" w:sz="4" w:space="0" w:color="auto"/>
              <w:right w:val="nil"/>
            </w:tcBorders>
            <w:shd w:val="clear" w:color="auto" w:fill="auto"/>
            <w:vAlign w:val="center"/>
          </w:tcPr>
          <w:p w14:paraId="71FB4B21" w14:textId="77777777" w:rsidR="00997FF1" w:rsidRPr="00DB5DCF" w:rsidRDefault="00997FF1" w:rsidP="001A1D0B">
            <w:pPr>
              <w:autoSpaceDE w:val="0"/>
              <w:autoSpaceDN w:val="0"/>
              <w:adjustRightInd w:val="0"/>
              <w:snapToGrid w:val="0"/>
              <w:spacing w:line="240" w:lineRule="auto"/>
              <w:jc w:val="center"/>
              <w:rPr>
                <w:b/>
                <w:bCs/>
                <w:i/>
                <w:iCs/>
                <w:color w:val="auto"/>
                <w:szCs w:val="18"/>
              </w:rPr>
            </w:pPr>
            <w:r w:rsidRPr="00DB5DCF">
              <w:rPr>
                <w:b/>
                <w:bCs/>
                <w:i/>
                <w:iCs/>
                <w:color w:val="auto"/>
                <w:szCs w:val="18"/>
              </w:rPr>
              <w:t>p</w:t>
            </w:r>
          </w:p>
        </w:tc>
        <w:tc>
          <w:tcPr>
            <w:tcW w:w="227" w:type="pct"/>
            <w:tcBorders>
              <w:top w:val="single" w:sz="4" w:space="0" w:color="auto"/>
              <w:left w:val="nil"/>
              <w:bottom w:val="single" w:sz="4" w:space="0" w:color="auto"/>
              <w:right w:val="nil"/>
            </w:tcBorders>
            <w:shd w:val="clear" w:color="auto" w:fill="auto"/>
            <w:vAlign w:val="center"/>
          </w:tcPr>
          <w:p w14:paraId="507E3157" w14:textId="2EB02AAB" w:rsidR="00997FF1" w:rsidRPr="00DB5DCF" w:rsidRDefault="00574BF3" w:rsidP="001A1D0B">
            <w:pPr>
              <w:autoSpaceDE w:val="0"/>
              <w:autoSpaceDN w:val="0"/>
              <w:adjustRightInd w:val="0"/>
              <w:snapToGrid w:val="0"/>
              <w:spacing w:line="240" w:lineRule="auto"/>
              <w:jc w:val="center"/>
              <w:rPr>
                <w:b/>
                <w:bCs/>
                <w:i/>
                <w:iCs/>
                <w:color w:val="auto"/>
                <w:szCs w:val="18"/>
              </w:rPr>
            </w:pPr>
            <w:r w:rsidRPr="00DB5DCF">
              <w:rPr>
                <w:b/>
                <w:bCs/>
                <w:i/>
                <w:iCs/>
                <w:color w:val="auto"/>
                <w:szCs w:val="18"/>
              </w:rPr>
              <w:t>β</w:t>
            </w:r>
          </w:p>
        </w:tc>
        <w:tc>
          <w:tcPr>
            <w:tcW w:w="228" w:type="pct"/>
            <w:tcBorders>
              <w:top w:val="single" w:sz="4" w:space="0" w:color="auto"/>
              <w:left w:val="nil"/>
              <w:bottom w:val="single" w:sz="4" w:space="0" w:color="auto"/>
              <w:right w:val="nil"/>
            </w:tcBorders>
            <w:shd w:val="clear" w:color="auto" w:fill="auto"/>
            <w:vAlign w:val="center"/>
          </w:tcPr>
          <w:p w14:paraId="1437B64B" w14:textId="77777777" w:rsidR="00997FF1" w:rsidRPr="00DB5DCF" w:rsidRDefault="00997FF1" w:rsidP="001A1D0B">
            <w:pPr>
              <w:autoSpaceDE w:val="0"/>
              <w:autoSpaceDN w:val="0"/>
              <w:adjustRightInd w:val="0"/>
              <w:snapToGrid w:val="0"/>
              <w:spacing w:line="240" w:lineRule="auto"/>
              <w:jc w:val="center"/>
              <w:rPr>
                <w:b/>
                <w:bCs/>
                <w:color w:val="auto"/>
                <w:szCs w:val="18"/>
              </w:rPr>
            </w:pPr>
            <w:r w:rsidRPr="00DB5DCF">
              <w:rPr>
                <w:b/>
                <w:bCs/>
                <w:i/>
                <w:iCs/>
                <w:color w:val="auto"/>
                <w:szCs w:val="18"/>
              </w:rPr>
              <w:t>b(SE)</w:t>
            </w:r>
          </w:p>
        </w:tc>
        <w:tc>
          <w:tcPr>
            <w:tcW w:w="228" w:type="pct"/>
            <w:tcBorders>
              <w:top w:val="single" w:sz="4" w:space="0" w:color="auto"/>
              <w:left w:val="nil"/>
              <w:bottom w:val="single" w:sz="4" w:space="0" w:color="auto"/>
              <w:right w:val="nil"/>
            </w:tcBorders>
            <w:shd w:val="clear" w:color="auto" w:fill="auto"/>
            <w:vAlign w:val="center"/>
          </w:tcPr>
          <w:p w14:paraId="38590D00" w14:textId="77777777" w:rsidR="00997FF1" w:rsidRPr="00DB5DCF" w:rsidRDefault="00997FF1" w:rsidP="001A1D0B">
            <w:pPr>
              <w:autoSpaceDE w:val="0"/>
              <w:autoSpaceDN w:val="0"/>
              <w:adjustRightInd w:val="0"/>
              <w:snapToGrid w:val="0"/>
              <w:spacing w:line="240" w:lineRule="auto"/>
              <w:jc w:val="center"/>
              <w:rPr>
                <w:b/>
                <w:bCs/>
                <w:color w:val="auto"/>
                <w:szCs w:val="18"/>
              </w:rPr>
            </w:pPr>
            <w:r w:rsidRPr="00DB5DCF">
              <w:rPr>
                <w:b/>
                <w:bCs/>
                <w:color w:val="auto"/>
                <w:szCs w:val="18"/>
              </w:rPr>
              <w:t>95% CIs</w:t>
            </w:r>
          </w:p>
        </w:tc>
        <w:tc>
          <w:tcPr>
            <w:tcW w:w="232" w:type="pct"/>
            <w:tcBorders>
              <w:top w:val="single" w:sz="4" w:space="0" w:color="auto"/>
              <w:left w:val="nil"/>
              <w:bottom w:val="single" w:sz="4" w:space="0" w:color="auto"/>
              <w:right w:val="nil"/>
            </w:tcBorders>
            <w:shd w:val="clear" w:color="auto" w:fill="auto"/>
            <w:vAlign w:val="center"/>
          </w:tcPr>
          <w:p w14:paraId="4B5483DA" w14:textId="77777777" w:rsidR="00997FF1" w:rsidRPr="00DB5DCF" w:rsidRDefault="00997FF1" w:rsidP="001A1D0B">
            <w:pPr>
              <w:autoSpaceDE w:val="0"/>
              <w:autoSpaceDN w:val="0"/>
              <w:adjustRightInd w:val="0"/>
              <w:snapToGrid w:val="0"/>
              <w:spacing w:line="240" w:lineRule="auto"/>
              <w:jc w:val="center"/>
              <w:rPr>
                <w:b/>
                <w:bCs/>
                <w:i/>
                <w:iCs/>
                <w:color w:val="auto"/>
                <w:szCs w:val="18"/>
              </w:rPr>
            </w:pPr>
            <w:r w:rsidRPr="00DB5DCF">
              <w:rPr>
                <w:b/>
                <w:bCs/>
                <w:i/>
                <w:iCs/>
                <w:color w:val="auto"/>
                <w:szCs w:val="18"/>
              </w:rPr>
              <w:t>t</w:t>
            </w:r>
          </w:p>
        </w:tc>
        <w:tc>
          <w:tcPr>
            <w:tcW w:w="228" w:type="pct"/>
            <w:tcBorders>
              <w:top w:val="single" w:sz="4" w:space="0" w:color="auto"/>
              <w:left w:val="nil"/>
              <w:bottom w:val="single" w:sz="4" w:space="0" w:color="auto"/>
              <w:right w:val="nil"/>
            </w:tcBorders>
            <w:shd w:val="clear" w:color="auto" w:fill="auto"/>
            <w:vAlign w:val="center"/>
          </w:tcPr>
          <w:p w14:paraId="04532DA5" w14:textId="77777777" w:rsidR="00997FF1" w:rsidRPr="00DB5DCF" w:rsidRDefault="00997FF1" w:rsidP="001A1D0B">
            <w:pPr>
              <w:autoSpaceDE w:val="0"/>
              <w:autoSpaceDN w:val="0"/>
              <w:adjustRightInd w:val="0"/>
              <w:snapToGrid w:val="0"/>
              <w:spacing w:line="240" w:lineRule="auto"/>
              <w:jc w:val="center"/>
              <w:rPr>
                <w:b/>
                <w:bCs/>
                <w:i/>
                <w:iCs/>
                <w:color w:val="auto"/>
                <w:szCs w:val="18"/>
              </w:rPr>
            </w:pPr>
            <w:r w:rsidRPr="00DB5DCF">
              <w:rPr>
                <w:b/>
                <w:bCs/>
                <w:i/>
                <w:iCs/>
                <w:color w:val="auto"/>
                <w:szCs w:val="18"/>
              </w:rPr>
              <w:t>p</w:t>
            </w:r>
          </w:p>
        </w:tc>
      </w:tr>
      <w:tr w:rsidR="00197328" w:rsidRPr="00DB5DCF" w14:paraId="26B2FE30" w14:textId="77777777" w:rsidTr="00197328">
        <w:trPr>
          <w:cantSplit/>
          <w:jc w:val="center"/>
        </w:trPr>
        <w:tc>
          <w:tcPr>
            <w:tcW w:w="431" w:type="pct"/>
            <w:tcBorders>
              <w:top w:val="single" w:sz="4" w:space="0" w:color="auto"/>
              <w:left w:val="nil"/>
              <w:bottom w:val="nil"/>
              <w:right w:val="nil"/>
            </w:tcBorders>
            <w:shd w:val="clear" w:color="auto" w:fill="auto"/>
            <w:vAlign w:val="center"/>
          </w:tcPr>
          <w:p w14:paraId="6922693E" w14:textId="77777777" w:rsidR="00997FF1" w:rsidRPr="00DB5DCF" w:rsidRDefault="00997FF1" w:rsidP="001A1D0B">
            <w:pPr>
              <w:autoSpaceDE w:val="0"/>
              <w:autoSpaceDN w:val="0"/>
              <w:adjustRightInd w:val="0"/>
              <w:snapToGrid w:val="0"/>
              <w:spacing w:line="240" w:lineRule="auto"/>
              <w:jc w:val="center"/>
              <w:rPr>
                <w:color w:val="auto"/>
                <w:szCs w:val="18"/>
              </w:rPr>
            </w:pPr>
            <w:r w:rsidRPr="00DB5DCF">
              <w:rPr>
                <w:color w:val="auto"/>
                <w:szCs w:val="18"/>
              </w:rPr>
              <w:t xml:space="preserve">Age </w:t>
            </w:r>
          </w:p>
        </w:tc>
        <w:tc>
          <w:tcPr>
            <w:tcW w:w="225" w:type="pct"/>
            <w:tcBorders>
              <w:top w:val="single" w:sz="4" w:space="0" w:color="auto"/>
              <w:left w:val="nil"/>
              <w:bottom w:val="nil"/>
              <w:right w:val="nil"/>
            </w:tcBorders>
            <w:shd w:val="clear" w:color="auto" w:fill="auto"/>
            <w:vAlign w:val="center"/>
          </w:tcPr>
          <w:p w14:paraId="682C6F6D" w14:textId="38AABBE3" w:rsidR="00997FF1" w:rsidRPr="00DB5DCF" w:rsidRDefault="00FC5240" w:rsidP="001A1D0B">
            <w:pPr>
              <w:autoSpaceDE w:val="0"/>
              <w:autoSpaceDN w:val="0"/>
              <w:adjustRightInd w:val="0"/>
              <w:snapToGrid w:val="0"/>
              <w:spacing w:line="240" w:lineRule="auto"/>
              <w:jc w:val="center"/>
              <w:rPr>
                <w:color w:val="auto"/>
                <w:szCs w:val="18"/>
              </w:rPr>
            </w:pPr>
            <w:r w:rsidRPr="00DB5DCF">
              <w:rPr>
                <w:color w:val="auto"/>
                <w:szCs w:val="18"/>
              </w:rPr>
              <w:t>0</w:t>
            </w:r>
            <w:r w:rsidR="00997FF1" w:rsidRPr="00DB5DCF">
              <w:rPr>
                <w:color w:val="auto"/>
                <w:szCs w:val="18"/>
              </w:rPr>
              <w:t>.06</w:t>
            </w:r>
          </w:p>
        </w:tc>
        <w:tc>
          <w:tcPr>
            <w:tcW w:w="225" w:type="pct"/>
            <w:tcBorders>
              <w:top w:val="single" w:sz="4" w:space="0" w:color="auto"/>
              <w:left w:val="nil"/>
              <w:bottom w:val="nil"/>
              <w:right w:val="nil"/>
            </w:tcBorders>
            <w:shd w:val="clear" w:color="auto" w:fill="auto"/>
            <w:vAlign w:val="center"/>
          </w:tcPr>
          <w:p w14:paraId="0BBB84C3" w14:textId="77777777" w:rsidR="00997FF1" w:rsidRPr="00DB5DCF" w:rsidRDefault="00997FF1" w:rsidP="001A1D0B">
            <w:pPr>
              <w:autoSpaceDE w:val="0"/>
              <w:autoSpaceDN w:val="0"/>
              <w:adjustRightInd w:val="0"/>
              <w:snapToGrid w:val="0"/>
              <w:spacing w:line="240" w:lineRule="auto"/>
              <w:jc w:val="center"/>
              <w:rPr>
                <w:color w:val="auto"/>
                <w:szCs w:val="18"/>
              </w:rPr>
            </w:pPr>
            <w:r w:rsidRPr="00DB5DCF">
              <w:rPr>
                <w:color w:val="auto"/>
                <w:szCs w:val="18"/>
              </w:rPr>
              <w:t>0.04 (0.04)</w:t>
            </w:r>
          </w:p>
        </w:tc>
        <w:tc>
          <w:tcPr>
            <w:tcW w:w="225" w:type="pct"/>
            <w:tcBorders>
              <w:top w:val="single" w:sz="4" w:space="0" w:color="auto"/>
              <w:left w:val="nil"/>
              <w:bottom w:val="nil"/>
              <w:right w:val="nil"/>
            </w:tcBorders>
            <w:shd w:val="clear" w:color="auto" w:fill="auto"/>
            <w:vAlign w:val="center"/>
          </w:tcPr>
          <w:p w14:paraId="33E0F05A" w14:textId="70661449" w:rsidR="00997FF1" w:rsidRPr="00DB5DCF" w:rsidRDefault="0027678A" w:rsidP="001A1D0B">
            <w:pPr>
              <w:autoSpaceDE w:val="0"/>
              <w:autoSpaceDN w:val="0"/>
              <w:adjustRightInd w:val="0"/>
              <w:snapToGrid w:val="0"/>
              <w:spacing w:line="240" w:lineRule="auto"/>
              <w:jc w:val="center"/>
              <w:rPr>
                <w:color w:val="auto"/>
                <w:szCs w:val="18"/>
              </w:rPr>
            </w:pPr>
            <w:r w:rsidRPr="00DB5DCF">
              <w:rPr>
                <w:color w:val="auto"/>
                <w:szCs w:val="18"/>
              </w:rPr>
              <w:t>−</w:t>
            </w:r>
            <w:r w:rsidR="00997FF1" w:rsidRPr="00DB5DCF">
              <w:rPr>
                <w:color w:val="auto"/>
                <w:szCs w:val="18"/>
              </w:rPr>
              <w:t>0.04, 0.11</w:t>
            </w:r>
          </w:p>
        </w:tc>
        <w:tc>
          <w:tcPr>
            <w:tcW w:w="231" w:type="pct"/>
            <w:tcBorders>
              <w:top w:val="single" w:sz="4" w:space="0" w:color="auto"/>
              <w:left w:val="nil"/>
              <w:bottom w:val="nil"/>
              <w:right w:val="nil"/>
            </w:tcBorders>
            <w:shd w:val="clear" w:color="auto" w:fill="auto"/>
            <w:vAlign w:val="center"/>
          </w:tcPr>
          <w:p w14:paraId="5771796C" w14:textId="77777777" w:rsidR="00997FF1" w:rsidRPr="00DB5DCF" w:rsidRDefault="00997FF1" w:rsidP="001A1D0B">
            <w:pPr>
              <w:autoSpaceDE w:val="0"/>
              <w:autoSpaceDN w:val="0"/>
              <w:adjustRightInd w:val="0"/>
              <w:snapToGrid w:val="0"/>
              <w:spacing w:line="240" w:lineRule="auto"/>
              <w:jc w:val="center"/>
              <w:rPr>
                <w:color w:val="auto"/>
                <w:szCs w:val="18"/>
              </w:rPr>
            </w:pPr>
            <w:r w:rsidRPr="00DB5DCF">
              <w:rPr>
                <w:color w:val="auto"/>
                <w:szCs w:val="18"/>
              </w:rPr>
              <w:t>0.97</w:t>
            </w:r>
          </w:p>
        </w:tc>
        <w:tc>
          <w:tcPr>
            <w:tcW w:w="229" w:type="pct"/>
            <w:tcBorders>
              <w:top w:val="single" w:sz="4" w:space="0" w:color="auto"/>
              <w:left w:val="nil"/>
              <w:bottom w:val="nil"/>
              <w:right w:val="nil"/>
            </w:tcBorders>
            <w:shd w:val="clear" w:color="auto" w:fill="auto"/>
            <w:vAlign w:val="center"/>
          </w:tcPr>
          <w:p w14:paraId="374BFE13" w14:textId="18F83923" w:rsidR="00997FF1" w:rsidRPr="00DB5DCF" w:rsidRDefault="00FC5240" w:rsidP="001A1D0B">
            <w:pPr>
              <w:autoSpaceDE w:val="0"/>
              <w:autoSpaceDN w:val="0"/>
              <w:adjustRightInd w:val="0"/>
              <w:snapToGrid w:val="0"/>
              <w:spacing w:line="240" w:lineRule="auto"/>
              <w:jc w:val="center"/>
              <w:rPr>
                <w:color w:val="auto"/>
                <w:szCs w:val="18"/>
              </w:rPr>
            </w:pPr>
            <w:r w:rsidRPr="00DB5DCF">
              <w:rPr>
                <w:color w:val="auto"/>
                <w:szCs w:val="18"/>
              </w:rPr>
              <w:t>0</w:t>
            </w:r>
            <w:r w:rsidR="00997FF1" w:rsidRPr="00DB5DCF">
              <w:rPr>
                <w:color w:val="auto"/>
                <w:szCs w:val="18"/>
              </w:rPr>
              <w:t>.335</w:t>
            </w:r>
          </w:p>
        </w:tc>
        <w:tc>
          <w:tcPr>
            <w:tcW w:w="227" w:type="pct"/>
            <w:tcBorders>
              <w:top w:val="single" w:sz="4" w:space="0" w:color="auto"/>
              <w:left w:val="nil"/>
              <w:bottom w:val="nil"/>
              <w:right w:val="nil"/>
            </w:tcBorders>
            <w:shd w:val="clear" w:color="auto" w:fill="auto"/>
            <w:vAlign w:val="center"/>
          </w:tcPr>
          <w:p w14:paraId="795EF092" w14:textId="01E00D8D" w:rsidR="00997FF1" w:rsidRPr="00DB5DCF" w:rsidRDefault="00FC5240" w:rsidP="001A1D0B">
            <w:pPr>
              <w:autoSpaceDE w:val="0"/>
              <w:autoSpaceDN w:val="0"/>
              <w:adjustRightInd w:val="0"/>
              <w:snapToGrid w:val="0"/>
              <w:spacing w:line="240" w:lineRule="auto"/>
              <w:jc w:val="center"/>
              <w:rPr>
                <w:color w:val="auto"/>
                <w:szCs w:val="18"/>
              </w:rPr>
            </w:pPr>
            <w:r w:rsidRPr="00DB5DCF">
              <w:rPr>
                <w:color w:val="auto"/>
                <w:szCs w:val="18"/>
              </w:rPr>
              <w:t>0</w:t>
            </w:r>
            <w:r w:rsidR="00997FF1" w:rsidRPr="00DB5DCF">
              <w:rPr>
                <w:color w:val="auto"/>
                <w:szCs w:val="18"/>
              </w:rPr>
              <w:t>.12</w:t>
            </w:r>
          </w:p>
        </w:tc>
        <w:tc>
          <w:tcPr>
            <w:tcW w:w="228" w:type="pct"/>
            <w:tcBorders>
              <w:top w:val="single" w:sz="4" w:space="0" w:color="auto"/>
              <w:left w:val="nil"/>
              <w:bottom w:val="nil"/>
              <w:right w:val="nil"/>
            </w:tcBorders>
            <w:shd w:val="clear" w:color="auto" w:fill="auto"/>
            <w:vAlign w:val="center"/>
          </w:tcPr>
          <w:p w14:paraId="4A4010CB" w14:textId="77777777" w:rsidR="00997FF1" w:rsidRPr="00DB5DCF" w:rsidRDefault="00997FF1" w:rsidP="001A1D0B">
            <w:pPr>
              <w:autoSpaceDE w:val="0"/>
              <w:autoSpaceDN w:val="0"/>
              <w:adjustRightInd w:val="0"/>
              <w:snapToGrid w:val="0"/>
              <w:spacing w:line="240" w:lineRule="auto"/>
              <w:jc w:val="center"/>
              <w:rPr>
                <w:color w:val="auto"/>
                <w:szCs w:val="18"/>
              </w:rPr>
            </w:pPr>
            <w:r w:rsidRPr="00DB5DCF">
              <w:rPr>
                <w:color w:val="auto"/>
                <w:szCs w:val="18"/>
              </w:rPr>
              <w:t>0.08 (0.05)</w:t>
            </w:r>
          </w:p>
        </w:tc>
        <w:tc>
          <w:tcPr>
            <w:tcW w:w="227" w:type="pct"/>
            <w:tcBorders>
              <w:top w:val="single" w:sz="4" w:space="0" w:color="auto"/>
              <w:left w:val="nil"/>
              <w:bottom w:val="nil"/>
              <w:right w:val="nil"/>
            </w:tcBorders>
            <w:shd w:val="clear" w:color="auto" w:fill="auto"/>
            <w:vAlign w:val="center"/>
          </w:tcPr>
          <w:p w14:paraId="16D10A0D" w14:textId="0884390C" w:rsidR="00997FF1" w:rsidRPr="00DB5DCF" w:rsidRDefault="0027678A" w:rsidP="001A1D0B">
            <w:pPr>
              <w:autoSpaceDE w:val="0"/>
              <w:autoSpaceDN w:val="0"/>
              <w:adjustRightInd w:val="0"/>
              <w:snapToGrid w:val="0"/>
              <w:spacing w:line="240" w:lineRule="auto"/>
              <w:jc w:val="center"/>
              <w:rPr>
                <w:color w:val="auto"/>
                <w:szCs w:val="18"/>
              </w:rPr>
            </w:pPr>
            <w:r w:rsidRPr="00DB5DCF">
              <w:rPr>
                <w:color w:val="auto"/>
                <w:szCs w:val="18"/>
              </w:rPr>
              <w:t>−</w:t>
            </w:r>
            <w:r w:rsidR="00997FF1" w:rsidRPr="00DB5DCF">
              <w:rPr>
                <w:color w:val="auto"/>
                <w:szCs w:val="18"/>
              </w:rPr>
              <w:t>0.01, 0.17</w:t>
            </w:r>
          </w:p>
        </w:tc>
        <w:tc>
          <w:tcPr>
            <w:tcW w:w="231" w:type="pct"/>
            <w:tcBorders>
              <w:top w:val="single" w:sz="4" w:space="0" w:color="auto"/>
              <w:left w:val="nil"/>
              <w:bottom w:val="nil"/>
              <w:right w:val="nil"/>
            </w:tcBorders>
            <w:shd w:val="clear" w:color="auto" w:fill="auto"/>
            <w:vAlign w:val="center"/>
          </w:tcPr>
          <w:p w14:paraId="6C7B4114" w14:textId="77777777" w:rsidR="00997FF1" w:rsidRPr="00DB5DCF" w:rsidRDefault="00997FF1" w:rsidP="001A1D0B">
            <w:pPr>
              <w:autoSpaceDE w:val="0"/>
              <w:autoSpaceDN w:val="0"/>
              <w:adjustRightInd w:val="0"/>
              <w:snapToGrid w:val="0"/>
              <w:spacing w:line="240" w:lineRule="auto"/>
              <w:jc w:val="center"/>
              <w:rPr>
                <w:color w:val="auto"/>
                <w:szCs w:val="18"/>
              </w:rPr>
            </w:pPr>
            <w:r w:rsidRPr="00DB5DCF">
              <w:rPr>
                <w:color w:val="auto"/>
                <w:szCs w:val="18"/>
              </w:rPr>
              <w:t>1.71</w:t>
            </w:r>
          </w:p>
        </w:tc>
        <w:tc>
          <w:tcPr>
            <w:tcW w:w="230" w:type="pct"/>
            <w:tcBorders>
              <w:top w:val="single" w:sz="4" w:space="0" w:color="auto"/>
              <w:left w:val="nil"/>
              <w:bottom w:val="nil"/>
              <w:right w:val="nil"/>
            </w:tcBorders>
            <w:shd w:val="clear" w:color="auto" w:fill="auto"/>
            <w:vAlign w:val="center"/>
          </w:tcPr>
          <w:p w14:paraId="4F7C8A7C" w14:textId="2CF331CA" w:rsidR="00997FF1" w:rsidRPr="00DB5DCF" w:rsidRDefault="00FC5240" w:rsidP="001A1D0B">
            <w:pPr>
              <w:autoSpaceDE w:val="0"/>
              <w:autoSpaceDN w:val="0"/>
              <w:adjustRightInd w:val="0"/>
              <w:snapToGrid w:val="0"/>
              <w:spacing w:line="240" w:lineRule="auto"/>
              <w:jc w:val="center"/>
              <w:rPr>
                <w:color w:val="auto"/>
                <w:szCs w:val="18"/>
              </w:rPr>
            </w:pPr>
            <w:r w:rsidRPr="00DB5DCF">
              <w:rPr>
                <w:color w:val="auto"/>
                <w:szCs w:val="18"/>
              </w:rPr>
              <w:t>0</w:t>
            </w:r>
            <w:r w:rsidR="00997FF1" w:rsidRPr="00DB5DCF">
              <w:rPr>
                <w:color w:val="auto"/>
                <w:szCs w:val="18"/>
              </w:rPr>
              <w:t>.090</w:t>
            </w:r>
          </w:p>
        </w:tc>
        <w:tc>
          <w:tcPr>
            <w:tcW w:w="228" w:type="pct"/>
            <w:tcBorders>
              <w:top w:val="single" w:sz="4" w:space="0" w:color="auto"/>
              <w:left w:val="nil"/>
              <w:bottom w:val="nil"/>
              <w:right w:val="nil"/>
            </w:tcBorders>
            <w:shd w:val="clear" w:color="auto" w:fill="auto"/>
            <w:vAlign w:val="center"/>
          </w:tcPr>
          <w:p w14:paraId="77D99860" w14:textId="41AF63F6" w:rsidR="00997FF1" w:rsidRPr="00DB5DCF" w:rsidRDefault="00FC5240" w:rsidP="001A1D0B">
            <w:pPr>
              <w:autoSpaceDE w:val="0"/>
              <w:autoSpaceDN w:val="0"/>
              <w:adjustRightInd w:val="0"/>
              <w:snapToGrid w:val="0"/>
              <w:spacing w:line="240" w:lineRule="auto"/>
              <w:jc w:val="center"/>
              <w:rPr>
                <w:color w:val="auto"/>
                <w:szCs w:val="18"/>
              </w:rPr>
            </w:pPr>
            <w:r w:rsidRPr="00DB5DCF">
              <w:rPr>
                <w:color w:val="auto"/>
                <w:szCs w:val="18"/>
              </w:rPr>
              <w:t>0</w:t>
            </w:r>
            <w:r w:rsidR="00997FF1" w:rsidRPr="00DB5DCF">
              <w:rPr>
                <w:color w:val="auto"/>
                <w:szCs w:val="18"/>
              </w:rPr>
              <w:t>.21</w:t>
            </w:r>
          </w:p>
        </w:tc>
        <w:tc>
          <w:tcPr>
            <w:tcW w:w="227" w:type="pct"/>
            <w:tcBorders>
              <w:top w:val="single" w:sz="4" w:space="0" w:color="auto"/>
              <w:left w:val="nil"/>
              <w:bottom w:val="nil"/>
              <w:right w:val="nil"/>
            </w:tcBorders>
            <w:shd w:val="clear" w:color="auto" w:fill="auto"/>
            <w:vAlign w:val="center"/>
          </w:tcPr>
          <w:p w14:paraId="71B79934" w14:textId="77777777" w:rsidR="00997FF1" w:rsidRPr="00DB5DCF" w:rsidRDefault="00997FF1" w:rsidP="001A1D0B">
            <w:pPr>
              <w:autoSpaceDE w:val="0"/>
              <w:autoSpaceDN w:val="0"/>
              <w:adjustRightInd w:val="0"/>
              <w:snapToGrid w:val="0"/>
              <w:spacing w:line="240" w:lineRule="auto"/>
              <w:jc w:val="center"/>
              <w:rPr>
                <w:color w:val="auto"/>
                <w:szCs w:val="18"/>
              </w:rPr>
            </w:pPr>
            <w:r w:rsidRPr="00DB5DCF">
              <w:rPr>
                <w:color w:val="auto"/>
                <w:szCs w:val="18"/>
              </w:rPr>
              <w:t>0.13, 0.05</w:t>
            </w:r>
          </w:p>
        </w:tc>
        <w:tc>
          <w:tcPr>
            <w:tcW w:w="228" w:type="pct"/>
            <w:tcBorders>
              <w:top w:val="single" w:sz="4" w:space="0" w:color="auto"/>
              <w:left w:val="nil"/>
              <w:bottom w:val="nil"/>
              <w:right w:val="nil"/>
            </w:tcBorders>
            <w:shd w:val="clear" w:color="auto" w:fill="auto"/>
            <w:vAlign w:val="center"/>
          </w:tcPr>
          <w:p w14:paraId="2B7D4352" w14:textId="77777777" w:rsidR="00997FF1" w:rsidRPr="00DB5DCF" w:rsidRDefault="00997FF1" w:rsidP="001A1D0B">
            <w:pPr>
              <w:autoSpaceDE w:val="0"/>
              <w:autoSpaceDN w:val="0"/>
              <w:adjustRightInd w:val="0"/>
              <w:snapToGrid w:val="0"/>
              <w:spacing w:line="240" w:lineRule="auto"/>
              <w:jc w:val="center"/>
              <w:rPr>
                <w:color w:val="auto"/>
                <w:szCs w:val="18"/>
              </w:rPr>
            </w:pPr>
            <w:r w:rsidRPr="00DB5DCF">
              <w:rPr>
                <w:color w:val="auto"/>
                <w:szCs w:val="18"/>
              </w:rPr>
              <w:t>.026, 0.23</w:t>
            </w:r>
          </w:p>
        </w:tc>
        <w:tc>
          <w:tcPr>
            <w:tcW w:w="231" w:type="pct"/>
            <w:tcBorders>
              <w:top w:val="single" w:sz="4" w:space="0" w:color="auto"/>
              <w:left w:val="nil"/>
              <w:bottom w:val="nil"/>
              <w:right w:val="nil"/>
            </w:tcBorders>
            <w:shd w:val="clear" w:color="auto" w:fill="auto"/>
            <w:vAlign w:val="center"/>
          </w:tcPr>
          <w:p w14:paraId="7F8C7C20" w14:textId="77777777" w:rsidR="00997FF1" w:rsidRPr="00DB5DCF" w:rsidRDefault="00997FF1" w:rsidP="001A1D0B">
            <w:pPr>
              <w:autoSpaceDE w:val="0"/>
              <w:autoSpaceDN w:val="0"/>
              <w:adjustRightInd w:val="0"/>
              <w:snapToGrid w:val="0"/>
              <w:spacing w:line="240" w:lineRule="auto"/>
              <w:jc w:val="center"/>
              <w:rPr>
                <w:color w:val="auto"/>
                <w:szCs w:val="18"/>
              </w:rPr>
            </w:pPr>
            <w:r w:rsidRPr="00DB5DCF">
              <w:rPr>
                <w:color w:val="auto"/>
                <w:szCs w:val="18"/>
              </w:rPr>
              <w:t>2.49</w:t>
            </w:r>
          </w:p>
        </w:tc>
        <w:tc>
          <w:tcPr>
            <w:tcW w:w="230" w:type="pct"/>
            <w:tcBorders>
              <w:top w:val="single" w:sz="4" w:space="0" w:color="auto"/>
              <w:left w:val="nil"/>
              <w:bottom w:val="nil"/>
              <w:right w:val="nil"/>
            </w:tcBorders>
            <w:shd w:val="clear" w:color="auto" w:fill="auto"/>
            <w:vAlign w:val="center"/>
          </w:tcPr>
          <w:p w14:paraId="4B82C193" w14:textId="54DA370F" w:rsidR="00997FF1" w:rsidRPr="00DB5DCF" w:rsidRDefault="00FC5240" w:rsidP="001A1D0B">
            <w:pPr>
              <w:autoSpaceDE w:val="0"/>
              <w:autoSpaceDN w:val="0"/>
              <w:adjustRightInd w:val="0"/>
              <w:snapToGrid w:val="0"/>
              <w:spacing w:line="240" w:lineRule="auto"/>
              <w:jc w:val="center"/>
              <w:rPr>
                <w:color w:val="auto"/>
                <w:szCs w:val="18"/>
              </w:rPr>
            </w:pPr>
            <w:r w:rsidRPr="00DB5DCF">
              <w:rPr>
                <w:color w:val="auto"/>
                <w:szCs w:val="18"/>
              </w:rPr>
              <w:t>0</w:t>
            </w:r>
            <w:r w:rsidR="00997FF1" w:rsidRPr="00DB5DCF">
              <w:rPr>
                <w:color w:val="auto"/>
                <w:szCs w:val="18"/>
              </w:rPr>
              <w:t>.014</w:t>
            </w:r>
          </w:p>
        </w:tc>
        <w:tc>
          <w:tcPr>
            <w:tcW w:w="227" w:type="pct"/>
            <w:tcBorders>
              <w:top w:val="single" w:sz="4" w:space="0" w:color="auto"/>
              <w:left w:val="nil"/>
              <w:bottom w:val="nil"/>
              <w:right w:val="nil"/>
            </w:tcBorders>
            <w:shd w:val="clear" w:color="auto" w:fill="auto"/>
            <w:vAlign w:val="center"/>
          </w:tcPr>
          <w:p w14:paraId="7248F83F" w14:textId="527F0DC5" w:rsidR="00997FF1" w:rsidRPr="00DB5DCF" w:rsidRDefault="00FC5240" w:rsidP="001A1D0B">
            <w:pPr>
              <w:autoSpaceDE w:val="0"/>
              <w:autoSpaceDN w:val="0"/>
              <w:adjustRightInd w:val="0"/>
              <w:snapToGrid w:val="0"/>
              <w:spacing w:line="240" w:lineRule="auto"/>
              <w:jc w:val="center"/>
              <w:rPr>
                <w:color w:val="auto"/>
                <w:szCs w:val="18"/>
              </w:rPr>
            </w:pPr>
            <w:r w:rsidRPr="00DB5DCF">
              <w:rPr>
                <w:color w:val="auto"/>
                <w:szCs w:val="18"/>
              </w:rPr>
              <w:t>0</w:t>
            </w:r>
            <w:r w:rsidR="00997FF1" w:rsidRPr="00DB5DCF">
              <w:rPr>
                <w:color w:val="auto"/>
                <w:szCs w:val="18"/>
              </w:rPr>
              <w:t>.10</w:t>
            </w:r>
          </w:p>
        </w:tc>
        <w:tc>
          <w:tcPr>
            <w:tcW w:w="228" w:type="pct"/>
            <w:tcBorders>
              <w:top w:val="single" w:sz="4" w:space="0" w:color="auto"/>
              <w:left w:val="nil"/>
              <w:bottom w:val="nil"/>
              <w:right w:val="nil"/>
            </w:tcBorders>
            <w:shd w:val="clear" w:color="auto" w:fill="auto"/>
            <w:vAlign w:val="center"/>
          </w:tcPr>
          <w:p w14:paraId="74686C8A" w14:textId="77777777" w:rsidR="00997FF1" w:rsidRPr="00DB5DCF" w:rsidRDefault="00997FF1" w:rsidP="001A1D0B">
            <w:pPr>
              <w:autoSpaceDE w:val="0"/>
              <w:autoSpaceDN w:val="0"/>
              <w:adjustRightInd w:val="0"/>
              <w:snapToGrid w:val="0"/>
              <w:spacing w:line="240" w:lineRule="auto"/>
              <w:jc w:val="center"/>
              <w:rPr>
                <w:color w:val="auto"/>
                <w:szCs w:val="18"/>
              </w:rPr>
            </w:pPr>
            <w:r w:rsidRPr="00DB5DCF">
              <w:rPr>
                <w:color w:val="auto"/>
                <w:szCs w:val="18"/>
              </w:rPr>
              <w:t>0.06 (0.06)</w:t>
            </w:r>
          </w:p>
        </w:tc>
        <w:tc>
          <w:tcPr>
            <w:tcW w:w="228" w:type="pct"/>
            <w:tcBorders>
              <w:top w:val="single" w:sz="4" w:space="0" w:color="auto"/>
              <w:left w:val="nil"/>
              <w:bottom w:val="nil"/>
              <w:right w:val="nil"/>
            </w:tcBorders>
            <w:shd w:val="clear" w:color="auto" w:fill="auto"/>
            <w:vAlign w:val="center"/>
          </w:tcPr>
          <w:p w14:paraId="6518DA73" w14:textId="5AE9F264" w:rsidR="00997FF1" w:rsidRPr="00DB5DCF" w:rsidRDefault="0048167C" w:rsidP="001A1D0B">
            <w:pPr>
              <w:autoSpaceDE w:val="0"/>
              <w:autoSpaceDN w:val="0"/>
              <w:adjustRightInd w:val="0"/>
              <w:snapToGrid w:val="0"/>
              <w:spacing w:line="240" w:lineRule="auto"/>
              <w:jc w:val="center"/>
              <w:rPr>
                <w:color w:val="auto"/>
                <w:szCs w:val="18"/>
              </w:rPr>
            </w:pPr>
            <w:r w:rsidRPr="00DB5DCF">
              <w:rPr>
                <w:color w:val="auto"/>
                <w:szCs w:val="18"/>
              </w:rPr>
              <w:t>−</w:t>
            </w:r>
            <w:r w:rsidR="00997FF1" w:rsidRPr="00DB5DCF">
              <w:rPr>
                <w:color w:val="auto"/>
                <w:szCs w:val="18"/>
              </w:rPr>
              <w:t>0.06, 0.18</w:t>
            </w:r>
          </w:p>
        </w:tc>
        <w:tc>
          <w:tcPr>
            <w:tcW w:w="232" w:type="pct"/>
            <w:tcBorders>
              <w:top w:val="single" w:sz="4" w:space="0" w:color="auto"/>
              <w:left w:val="nil"/>
              <w:bottom w:val="nil"/>
              <w:right w:val="nil"/>
            </w:tcBorders>
            <w:shd w:val="clear" w:color="auto" w:fill="auto"/>
            <w:vAlign w:val="center"/>
          </w:tcPr>
          <w:p w14:paraId="05815269" w14:textId="77777777" w:rsidR="00997FF1" w:rsidRPr="00DB5DCF" w:rsidRDefault="00997FF1" w:rsidP="001A1D0B">
            <w:pPr>
              <w:autoSpaceDE w:val="0"/>
              <w:autoSpaceDN w:val="0"/>
              <w:adjustRightInd w:val="0"/>
              <w:snapToGrid w:val="0"/>
              <w:spacing w:line="240" w:lineRule="auto"/>
              <w:jc w:val="center"/>
              <w:rPr>
                <w:color w:val="auto"/>
                <w:szCs w:val="18"/>
              </w:rPr>
            </w:pPr>
            <w:r w:rsidRPr="00DB5DCF">
              <w:rPr>
                <w:color w:val="auto"/>
                <w:szCs w:val="18"/>
              </w:rPr>
              <w:t>1.01</w:t>
            </w:r>
          </w:p>
        </w:tc>
        <w:tc>
          <w:tcPr>
            <w:tcW w:w="228" w:type="pct"/>
            <w:tcBorders>
              <w:top w:val="single" w:sz="4" w:space="0" w:color="auto"/>
              <w:left w:val="nil"/>
              <w:bottom w:val="nil"/>
              <w:right w:val="nil"/>
            </w:tcBorders>
            <w:shd w:val="clear" w:color="auto" w:fill="auto"/>
            <w:vAlign w:val="center"/>
          </w:tcPr>
          <w:p w14:paraId="4D433772" w14:textId="08DE207E" w:rsidR="00997FF1" w:rsidRPr="00DB5DCF" w:rsidRDefault="00FC5240" w:rsidP="001A1D0B">
            <w:pPr>
              <w:autoSpaceDE w:val="0"/>
              <w:autoSpaceDN w:val="0"/>
              <w:adjustRightInd w:val="0"/>
              <w:snapToGrid w:val="0"/>
              <w:spacing w:line="240" w:lineRule="auto"/>
              <w:jc w:val="center"/>
              <w:rPr>
                <w:color w:val="auto"/>
                <w:szCs w:val="18"/>
              </w:rPr>
            </w:pPr>
            <w:r w:rsidRPr="00DB5DCF">
              <w:rPr>
                <w:color w:val="auto"/>
                <w:szCs w:val="18"/>
              </w:rPr>
              <w:t>0</w:t>
            </w:r>
            <w:r w:rsidR="00997FF1" w:rsidRPr="00DB5DCF">
              <w:rPr>
                <w:color w:val="auto"/>
                <w:szCs w:val="18"/>
              </w:rPr>
              <w:t>.317</w:t>
            </w:r>
          </w:p>
        </w:tc>
      </w:tr>
      <w:tr w:rsidR="00197328" w:rsidRPr="00DB5DCF" w14:paraId="4977FEC9" w14:textId="77777777" w:rsidTr="00197328">
        <w:trPr>
          <w:cantSplit/>
          <w:jc w:val="center"/>
        </w:trPr>
        <w:tc>
          <w:tcPr>
            <w:tcW w:w="431" w:type="pct"/>
            <w:tcBorders>
              <w:top w:val="nil"/>
              <w:left w:val="nil"/>
              <w:bottom w:val="nil"/>
              <w:right w:val="nil"/>
            </w:tcBorders>
            <w:shd w:val="clear" w:color="auto" w:fill="auto"/>
            <w:vAlign w:val="center"/>
          </w:tcPr>
          <w:p w14:paraId="3BCE2EE3" w14:textId="77777777" w:rsidR="00997FF1" w:rsidRPr="00DB5DCF" w:rsidRDefault="00997FF1" w:rsidP="001A1D0B">
            <w:pPr>
              <w:autoSpaceDE w:val="0"/>
              <w:autoSpaceDN w:val="0"/>
              <w:adjustRightInd w:val="0"/>
              <w:snapToGrid w:val="0"/>
              <w:spacing w:line="240" w:lineRule="auto"/>
              <w:jc w:val="center"/>
              <w:rPr>
                <w:color w:val="auto"/>
                <w:szCs w:val="18"/>
              </w:rPr>
            </w:pPr>
            <w:r w:rsidRPr="00DB5DCF">
              <w:rPr>
                <w:color w:val="auto"/>
                <w:szCs w:val="18"/>
              </w:rPr>
              <w:t>Gender</w:t>
            </w:r>
          </w:p>
        </w:tc>
        <w:tc>
          <w:tcPr>
            <w:tcW w:w="225" w:type="pct"/>
            <w:tcBorders>
              <w:top w:val="nil"/>
              <w:left w:val="nil"/>
              <w:bottom w:val="nil"/>
              <w:right w:val="nil"/>
            </w:tcBorders>
            <w:shd w:val="clear" w:color="auto" w:fill="auto"/>
            <w:vAlign w:val="center"/>
          </w:tcPr>
          <w:p w14:paraId="6FE97DD3" w14:textId="6898C549" w:rsidR="00997FF1" w:rsidRPr="00DB5DCF" w:rsidRDefault="0027678A" w:rsidP="001A1D0B">
            <w:pPr>
              <w:autoSpaceDE w:val="0"/>
              <w:autoSpaceDN w:val="0"/>
              <w:adjustRightInd w:val="0"/>
              <w:snapToGrid w:val="0"/>
              <w:spacing w:line="240" w:lineRule="auto"/>
              <w:jc w:val="center"/>
              <w:rPr>
                <w:color w:val="auto"/>
                <w:szCs w:val="18"/>
              </w:rPr>
            </w:pPr>
            <w:r w:rsidRPr="00DB5DCF">
              <w:rPr>
                <w:color w:val="auto"/>
                <w:szCs w:val="18"/>
              </w:rPr>
              <w:t>−</w:t>
            </w:r>
            <w:r w:rsidR="00FC5240" w:rsidRPr="00DB5DCF">
              <w:rPr>
                <w:color w:val="auto"/>
                <w:szCs w:val="18"/>
              </w:rPr>
              <w:t>0</w:t>
            </w:r>
            <w:r w:rsidR="00997FF1" w:rsidRPr="00DB5DCF">
              <w:rPr>
                <w:color w:val="auto"/>
                <w:szCs w:val="18"/>
              </w:rPr>
              <w:t>.10</w:t>
            </w:r>
          </w:p>
        </w:tc>
        <w:tc>
          <w:tcPr>
            <w:tcW w:w="225" w:type="pct"/>
            <w:tcBorders>
              <w:top w:val="nil"/>
              <w:left w:val="nil"/>
              <w:bottom w:val="nil"/>
              <w:right w:val="nil"/>
            </w:tcBorders>
            <w:shd w:val="clear" w:color="auto" w:fill="auto"/>
            <w:vAlign w:val="center"/>
          </w:tcPr>
          <w:p w14:paraId="6B8CECCE" w14:textId="63BC14F0" w:rsidR="00997FF1" w:rsidRPr="00DB5DCF" w:rsidRDefault="0027678A" w:rsidP="001A1D0B">
            <w:pPr>
              <w:autoSpaceDE w:val="0"/>
              <w:autoSpaceDN w:val="0"/>
              <w:adjustRightInd w:val="0"/>
              <w:snapToGrid w:val="0"/>
              <w:spacing w:line="240" w:lineRule="auto"/>
              <w:jc w:val="center"/>
              <w:rPr>
                <w:color w:val="auto"/>
                <w:szCs w:val="18"/>
              </w:rPr>
            </w:pPr>
            <w:r w:rsidRPr="00DB5DCF">
              <w:rPr>
                <w:color w:val="auto"/>
                <w:szCs w:val="18"/>
              </w:rPr>
              <w:t>−</w:t>
            </w:r>
            <w:r w:rsidR="00997FF1" w:rsidRPr="00DB5DCF">
              <w:rPr>
                <w:color w:val="auto"/>
                <w:szCs w:val="18"/>
              </w:rPr>
              <w:t>2.27 (1.30)</w:t>
            </w:r>
          </w:p>
        </w:tc>
        <w:tc>
          <w:tcPr>
            <w:tcW w:w="225" w:type="pct"/>
            <w:tcBorders>
              <w:top w:val="nil"/>
              <w:left w:val="nil"/>
              <w:bottom w:val="nil"/>
              <w:right w:val="nil"/>
            </w:tcBorders>
            <w:shd w:val="clear" w:color="auto" w:fill="auto"/>
            <w:vAlign w:val="center"/>
          </w:tcPr>
          <w:p w14:paraId="18657D12" w14:textId="5510A7BC" w:rsidR="00997FF1" w:rsidRPr="00DB5DCF" w:rsidRDefault="0027678A" w:rsidP="001A1D0B">
            <w:pPr>
              <w:autoSpaceDE w:val="0"/>
              <w:autoSpaceDN w:val="0"/>
              <w:adjustRightInd w:val="0"/>
              <w:snapToGrid w:val="0"/>
              <w:spacing w:line="240" w:lineRule="auto"/>
              <w:jc w:val="center"/>
              <w:rPr>
                <w:color w:val="auto"/>
                <w:szCs w:val="18"/>
              </w:rPr>
            </w:pPr>
            <w:r w:rsidRPr="00DB5DCF">
              <w:rPr>
                <w:color w:val="auto"/>
                <w:szCs w:val="18"/>
              </w:rPr>
              <w:t>−</w:t>
            </w:r>
            <w:r w:rsidR="00997FF1" w:rsidRPr="00DB5DCF">
              <w:rPr>
                <w:color w:val="auto"/>
                <w:szCs w:val="18"/>
              </w:rPr>
              <w:t xml:space="preserve">4.82, </w:t>
            </w:r>
          </w:p>
          <w:p w14:paraId="087BD41D" w14:textId="77777777" w:rsidR="00997FF1" w:rsidRPr="00DB5DCF" w:rsidRDefault="00997FF1" w:rsidP="001A1D0B">
            <w:pPr>
              <w:autoSpaceDE w:val="0"/>
              <w:autoSpaceDN w:val="0"/>
              <w:adjustRightInd w:val="0"/>
              <w:snapToGrid w:val="0"/>
              <w:spacing w:line="240" w:lineRule="auto"/>
              <w:jc w:val="center"/>
              <w:rPr>
                <w:color w:val="auto"/>
                <w:szCs w:val="18"/>
              </w:rPr>
            </w:pPr>
            <w:r w:rsidRPr="00DB5DCF">
              <w:rPr>
                <w:color w:val="auto"/>
                <w:szCs w:val="18"/>
              </w:rPr>
              <w:t>0.29</w:t>
            </w:r>
          </w:p>
        </w:tc>
        <w:tc>
          <w:tcPr>
            <w:tcW w:w="231" w:type="pct"/>
            <w:tcBorders>
              <w:top w:val="nil"/>
              <w:left w:val="nil"/>
              <w:bottom w:val="nil"/>
              <w:right w:val="nil"/>
            </w:tcBorders>
            <w:shd w:val="clear" w:color="auto" w:fill="auto"/>
            <w:vAlign w:val="center"/>
          </w:tcPr>
          <w:p w14:paraId="11851555" w14:textId="3DAE83B9" w:rsidR="00997FF1" w:rsidRPr="00DB5DCF" w:rsidRDefault="0027678A" w:rsidP="001A1D0B">
            <w:pPr>
              <w:autoSpaceDE w:val="0"/>
              <w:autoSpaceDN w:val="0"/>
              <w:adjustRightInd w:val="0"/>
              <w:snapToGrid w:val="0"/>
              <w:spacing w:line="240" w:lineRule="auto"/>
              <w:jc w:val="center"/>
              <w:rPr>
                <w:color w:val="auto"/>
                <w:szCs w:val="18"/>
              </w:rPr>
            </w:pPr>
            <w:r w:rsidRPr="00DB5DCF">
              <w:rPr>
                <w:color w:val="auto"/>
                <w:szCs w:val="18"/>
              </w:rPr>
              <w:t>−</w:t>
            </w:r>
            <w:r w:rsidR="00997FF1" w:rsidRPr="00DB5DCF">
              <w:rPr>
                <w:color w:val="auto"/>
                <w:szCs w:val="18"/>
              </w:rPr>
              <w:t>1.75</w:t>
            </w:r>
          </w:p>
        </w:tc>
        <w:tc>
          <w:tcPr>
            <w:tcW w:w="229" w:type="pct"/>
            <w:tcBorders>
              <w:top w:val="nil"/>
              <w:left w:val="nil"/>
              <w:bottom w:val="nil"/>
              <w:right w:val="nil"/>
            </w:tcBorders>
            <w:shd w:val="clear" w:color="auto" w:fill="auto"/>
            <w:vAlign w:val="center"/>
          </w:tcPr>
          <w:p w14:paraId="39902B95" w14:textId="05B4BDBF" w:rsidR="00997FF1" w:rsidRPr="00DB5DCF" w:rsidRDefault="00FC5240" w:rsidP="001A1D0B">
            <w:pPr>
              <w:autoSpaceDE w:val="0"/>
              <w:autoSpaceDN w:val="0"/>
              <w:adjustRightInd w:val="0"/>
              <w:snapToGrid w:val="0"/>
              <w:spacing w:line="240" w:lineRule="auto"/>
              <w:jc w:val="center"/>
              <w:rPr>
                <w:color w:val="auto"/>
                <w:szCs w:val="18"/>
              </w:rPr>
            </w:pPr>
            <w:r w:rsidRPr="00DB5DCF">
              <w:rPr>
                <w:color w:val="auto"/>
                <w:szCs w:val="18"/>
              </w:rPr>
              <w:t>0</w:t>
            </w:r>
            <w:r w:rsidR="00997FF1" w:rsidRPr="00DB5DCF">
              <w:rPr>
                <w:color w:val="auto"/>
                <w:szCs w:val="18"/>
              </w:rPr>
              <w:t>.081</w:t>
            </w:r>
          </w:p>
        </w:tc>
        <w:tc>
          <w:tcPr>
            <w:tcW w:w="227" w:type="pct"/>
            <w:tcBorders>
              <w:top w:val="nil"/>
              <w:left w:val="nil"/>
              <w:bottom w:val="nil"/>
              <w:right w:val="nil"/>
            </w:tcBorders>
            <w:shd w:val="clear" w:color="auto" w:fill="auto"/>
            <w:vAlign w:val="center"/>
          </w:tcPr>
          <w:p w14:paraId="6AE4B477" w14:textId="01CF8F39" w:rsidR="00997FF1" w:rsidRPr="00DB5DCF" w:rsidRDefault="0027678A" w:rsidP="001A1D0B">
            <w:pPr>
              <w:autoSpaceDE w:val="0"/>
              <w:autoSpaceDN w:val="0"/>
              <w:adjustRightInd w:val="0"/>
              <w:snapToGrid w:val="0"/>
              <w:spacing w:line="240" w:lineRule="auto"/>
              <w:jc w:val="center"/>
              <w:rPr>
                <w:color w:val="auto"/>
                <w:szCs w:val="18"/>
              </w:rPr>
            </w:pPr>
            <w:r w:rsidRPr="00DB5DCF">
              <w:rPr>
                <w:color w:val="auto"/>
                <w:szCs w:val="18"/>
              </w:rPr>
              <w:t>−</w:t>
            </w:r>
            <w:r w:rsidR="00FC5240" w:rsidRPr="00DB5DCF">
              <w:rPr>
                <w:color w:val="auto"/>
                <w:szCs w:val="18"/>
              </w:rPr>
              <w:t>0</w:t>
            </w:r>
            <w:r w:rsidR="00997FF1" w:rsidRPr="00DB5DCF">
              <w:rPr>
                <w:color w:val="auto"/>
                <w:szCs w:val="18"/>
              </w:rPr>
              <w:t>.14</w:t>
            </w:r>
          </w:p>
        </w:tc>
        <w:tc>
          <w:tcPr>
            <w:tcW w:w="228" w:type="pct"/>
            <w:tcBorders>
              <w:top w:val="nil"/>
              <w:left w:val="nil"/>
              <w:bottom w:val="nil"/>
              <w:right w:val="nil"/>
            </w:tcBorders>
            <w:shd w:val="clear" w:color="auto" w:fill="auto"/>
            <w:vAlign w:val="center"/>
          </w:tcPr>
          <w:p w14:paraId="62EC220E" w14:textId="72AC2832" w:rsidR="00997FF1" w:rsidRPr="00DB5DCF" w:rsidRDefault="0027678A" w:rsidP="001A1D0B">
            <w:pPr>
              <w:autoSpaceDE w:val="0"/>
              <w:autoSpaceDN w:val="0"/>
              <w:adjustRightInd w:val="0"/>
              <w:snapToGrid w:val="0"/>
              <w:spacing w:line="240" w:lineRule="auto"/>
              <w:jc w:val="center"/>
              <w:rPr>
                <w:color w:val="auto"/>
                <w:szCs w:val="18"/>
              </w:rPr>
            </w:pPr>
            <w:r w:rsidRPr="00DB5DCF">
              <w:rPr>
                <w:color w:val="auto"/>
                <w:szCs w:val="18"/>
              </w:rPr>
              <w:t>−</w:t>
            </w:r>
            <w:r w:rsidR="00997FF1" w:rsidRPr="00DB5DCF">
              <w:rPr>
                <w:color w:val="auto"/>
                <w:szCs w:val="18"/>
              </w:rPr>
              <w:t>3.61 (1.82)</w:t>
            </w:r>
          </w:p>
        </w:tc>
        <w:tc>
          <w:tcPr>
            <w:tcW w:w="227" w:type="pct"/>
            <w:tcBorders>
              <w:top w:val="nil"/>
              <w:left w:val="nil"/>
              <w:bottom w:val="nil"/>
              <w:right w:val="nil"/>
            </w:tcBorders>
            <w:shd w:val="clear" w:color="auto" w:fill="auto"/>
            <w:vAlign w:val="center"/>
          </w:tcPr>
          <w:p w14:paraId="17E3516C" w14:textId="72EC243F" w:rsidR="00997FF1" w:rsidRPr="00DB5DCF" w:rsidRDefault="0027678A" w:rsidP="001A1D0B">
            <w:pPr>
              <w:autoSpaceDE w:val="0"/>
              <w:autoSpaceDN w:val="0"/>
              <w:adjustRightInd w:val="0"/>
              <w:snapToGrid w:val="0"/>
              <w:spacing w:line="240" w:lineRule="auto"/>
              <w:jc w:val="center"/>
              <w:rPr>
                <w:color w:val="auto"/>
                <w:szCs w:val="18"/>
              </w:rPr>
            </w:pPr>
            <w:r w:rsidRPr="00DB5DCF">
              <w:rPr>
                <w:color w:val="auto"/>
                <w:szCs w:val="18"/>
              </w:rPr>
              <w:t>−</w:t>
            </w:r>
            <w:r w:rsidR="00997FF1" w:rsidRPr="00DB5DCF">
              <w:rPr>
                <w:color w:val="auto"/>
                <w:szCs w:val="18"/>
              </w:rPr>
              <w:t xml:space="preserve">7.21, </w:t>
            </w:r>
          </w:p>
          <w:p w14:paraId="06B76A04" w14:textId="326752CB" w:rsidR="00997FF1" w:rsidRPr="00DB5DCF" w:rsidRDefault="0027678A" w:rsidP="001A1D0B">
            <w:pPr>
              <w:autoSpaceDE w:val="0"/>
              <w:autoSpaceDN w:val="0"/>
              <w:adjustRightInd w:val="0"/>
              <w:snapToGrid w:val="0"/>
              <w:spacing w:line="240" w:lineRule="auto"/>
              <w:jc w:val="center"/>
              <w:rPr>
                <w:color w:val="auto"/>
                <w:szCs w:val="18"/>
              </w:rPr>
            </w:pPr>
            <w:r w:rsidRPr="00DB5DCF">
              <w:rPr>
                <w:color w:val="auto"/>
                <w:szCs w:val="18"/>
              </w:rPr>
              <w:t>−</w:t>
            </w:r>
            <w:r w:rsidR="00997FF1" w:rsidRPr="00DB5DCF">
              <w:rPr>
                <w:color w:val="auto"/>
                <w:szCs w:val="18"/>
              </w:rPr>
              <w:t>0.02</w:t>
            </w:r>
          </w:p>
        </w:tc>
        <w:tc>
          <w:tcPr>
            <w:tcW w:w="231" w:type="pct"/>
            <w:tcBorders>
              <w:top w:val="nil"/>
              <w:left w:val="nil"/>
              <w:bottom w:val="nil"/>
              <w:right w:val="nil"/>
            </w:tcBorders>
            <w:shd w:val="clear" w:color="auto" w:fill="auto"/>
            <w:vAlign w:val="center"/>
          </w:tcPr>
          <w:p w14:paraId="456ABD65" w14:textId="41A29160" w:rsidR="00997FF1" w:rsidRPr="00DB5DCF" w:rsidRDefault="0048167C" w:rsidP="001A1D0B">
            <w:pPr>
              <w:autoSpaceDE w:val="0"/>
              <w:autoSpaceDN w:val="0"/>
              <w:adjustRightInd w:val="0"/>
              <w:snapToGrid w:val="0"/>
              <w:spacing w:line="240" w:lineRule="auto"/>
              <w:jc w:val="center"/>
              <w:rPr>
                <w:color w:val="auto"/>
                <w:szCs w:val="18"/>
              </w:rPr>
            </w:pPr>
            <w:r w:rsidRPr="00DB5DCF">
              <w:rPr>
                <w:color w:val="auto"/>
                <w:szCs w:val="18"/>
              </w:rPr>
              <w:t>−</w:t>
            </w:r>
            <w:r w:rsidR="00997FF1" w:rsidRPr="00DB5DCF">
              <w:rPr>
                <w:color w:val="auto"/>
                <w:szCs w:val="18"/>
              </w:rPr>
              <w:t>1.98</w:t>
            </w:r>
          </w:p>
        </w:tc>
        <w:tc>
          <w:tcPr>
            <w:tcW w:w="230" w:type="pct"/>
            <w:tcBorders>
              <w:top w:val="nil"/>
              <w:left w:val="nil"/>
              <w:bottom w:val="nil"/>
              <w:right w:val="nil"/>
            </w:tcBorders>
            <w:shd w:val="clear" w:color="auto" w:fill="auto"/>
            <w:vAlign w:val="center"/>
          </w:tcPr>
          <w:p w14:paraId="2AF0B066" w14:textId="08C9D2FA" w:rsidR="00997FF1" w:rsidRPr="00DB5DCF" w:rsidRDefault="00FC5240" w:rsidP="001A1D0B">
            <w:pPr>
              <w:autoSpaceDE w:val="0"/>
              <w:autoSpaceDN w:val="0"/>
              <w:adjustRightInd w:val="0"/>
              <w:snapToGrid w:val="0"/>
              <w:spacing w:line="240" w:lineRule="auto"/>
              <w:jc w:val="center"/>
              <w:rPr>
                <w:color w:val="auto"/>
                <w:szCs w:val="18"/>
              </w:rPr>
            </w:pPr>
            <w:r w:rsidRPr="00DB5DCF">
              <w:rPr>
                <w:color w:val="auto"/>
                <w:szCs w:val="18"/>
              </w:rPr>
              <w:t>0</w:t>
            </w:r>
            <w:r w:rsidR="00997FF1" w:rsidRPr="00DB5DCF">
              <w:rPr>
                <w:color w:val="auto"/>
                <w:szCs w:val="18"/>
              </w:rPr>
              <w:t>.049</w:t>
            </w:r>
          </w:p>
        </w:tc>
        <w:tc>
          <w:tcPr>
            <w:tcW w:w="228" w:type="pct"/>
            <w:tcBorders>
              <w:top w:val="nil"/>
              <w:left w:val="nil"/>
              <w:bottom w:val="nil"/>
              <w:right w:val="nil"/>
            </w:tcBorders>
            <w:shd w:val="clear" w:color="auto" w:fill="auto"/>
            <w:vAlign w:val="center"/>
          </w:tcPr>
          <w:p w14:paraId="6EABF153" w14:textId="38E882B5" w:rsidR="00997FF1" w:rsidRPr="00DB5DCF" w:rsidRDefault="0048167C" w:rsidP="001A1D0B">
            <w:pPr>
              <w:autoSpaceDE w:val="0"/>
              <w:autoSpaceDN w:val="0"/>
              <w:adjustRightInd w:val="0"/>
              <w:snapToGrid w:val="0"/>
              <w:spacing w:line="240" w:lineRule="auto"/>
              <w:jc w:val="center"/>
              <w:rPr>
                <w:color w:val="auto"/>
                <w:szCs w:val="18"/>
              </w:rPr>
            </w:pPr>
            <w:r w:rsidRPr="00DB5DCF">
              <w:rPr>
                <w:color w:val="auto"/>
                <w:szCs w:val="18"/>
              </w:rPr>
              <w:t>−</w:t>
            </w:r>
            <w:r w:rsidR="00FC5240" w:rsidRPr="00DB5DCF">
              <w:rPr>
                <w:color w:val="auto"/>
                <w:szCs w:val="18"/>
              </w:rPr>
              <w:t>0</w:t>
            </w:r>
            <w:r w:rsidR="00997FF1" w:rsidRPr="00DB5DCF">
              <w:rPr>
                <w:color w:val="auto"/>
                <w:szCs w:val="18"/>
              </w:rPr>
              <w:t>.02</w:t>
            </w:r>
          </w:p>
        </w:tc>
        <w:tc>
          <w:tcPr>
            <w:tcW w:w="227" w:type="pct"/>
            <w:tcBorders>
              <w:top w:val="nil"/>
              <w:left w:val="nil"/>
              <w:bottom w:val="nil"/>
              <w:right w:val="nil"/>
            </w:tcBorders>
            <w:shd w:val="clear" w:color="auto" w:fill="auto"/>
            <w:vAlign w:val="center"/>
          </w:tcPr>
          <w:p w14:paraId="5555E6CD" w14:textId="3D4C52B3" w:rsidR="00997FF1" w:rsidRPr="00DB5DCF" w:rsidRDefault="0048167C" w:rsidP="001A1D0B">
            <w:pPr>
              <w:autoSpaceDE w:val="0"/>
              <w:autoSpaceDN w:val="0"/>
              <w:adjustRightInd w:val="0"/>
              <w:snapToGrid w:val="0"/>
              <w:spacing w:line="240" w:lineRule="auto"/>
              <w:jc w:val="center"/>
              <w:rPr>
                <w:color w:val="auto"/>
                <w:szCs w:val="18"/>
              </w:rPr>
            </w:pPr>
            <w:r w:rsidRPr="00DB5DCF">
              <w:rPr>
                <w:color w:val="auto"/>
                <w:szCs w:val="18"/>
              </w:rPr>
              <w:t>−</w:t>
            </w:r>
            <w:r w:rsidR="00997FF1" w:rsidRPr="00DB5DCF">
              <w:rPr>
                <w:color w:val="auto"/>
                <w:szCs w:val="18"/>
              </w:rPr>
              <w:t>0.56, 2.20</w:t>
            </w:r>
          </w:p>
        </w:tc>
        <w:tc>
          <w:tcPr>
            <w:tcW w:w="228" w:type="pct"/>
            <w:tcBorders>
              <w:top w:val="nil"/>
              <w:left w:val="nil"/>
              <w:bottom w:val="nil"/>
              <w:right w:val="nil"/>
            </w:tcBorders>
            <w:shd w:val="clear" w:color="auto" w:fill="auto"/>
            <w:vAlign w:val="center"/>
          </w:tcPr>
          <w:p w14:paraId="5B8424CE" w14:textId="03C3F241" w:rsidR="00997FF1" w:rsidRPr="00DB5DCF" w:rsidRDefault="0048167C" w:rsidP="001A1D0B">
            <w:pPr>
              <w:autoSpaceDE w:val="0"/>
              <w:autoSpaceDN w:val="0"/>
              <w:adjustRightInd w:val="0"/>
              <w:snapToGrid w:val="0"/>
              <w:spacing w:line="240" w:lineRule="auto"/>
              <w:jc w:val="center"/>
              <w:rPr>
                <w:color w:val="auto"/>
                <w:szCs w:val="18"/>
              </w:rPr>
            </w:pPr>
            <w:r w:rsidRPr="00DB5DCF">
              <w:rPr>
                <w:color w:val="auto"/>
                <w:szCs w:val="18"/>
              </w:rPr>
              <w:t>−</w:t>
            </w:r>
            <w:r w:rsidR="00997FF1" w:rsidRPr="00DB5DCF">
              <w:rPr>
                <w:color w:val="auto"/>
                <w:szCs w:val="18"/>
              </w:rPr>
              <w:t>4.90, 3.77</w:t>
            </w:r>
          </w:p>
        </w:tc>
        <w:tc>
          <w:tcPr>
            <w:tcW w:w="231" w:type="pct"/>
            <w:tcBorders>
              <w:top w:val="nil"/>
              <w:left w:val="nil"/>
              <w:bottom w:val="nil"/>
              <w:right w:val="nil"/>
            </w:tcBorders>
            <w:shd w:val="clear" w:color="auto" w:fill="auto"/>
            <w:vAlign w:val="center"/>
          </w:tcPr>
          <w:p w14:paraId="7784E6F9" w14:textId="750D012D" w:rsidR="00997FF1" w:rsidRPr="00DB5DCF" w:rsidRDefault="0048167C" w:rsidP="001A1D0B">
            <w:pPr>
              <w:autoSpaceDE w:val="0"/>
              <w:autoSpaceDN w:val="0"/>
              <w:adjustRightInd w:val="0"/>
              <w:snapToGrid w:val="0"/>
              <w:spacing w:line="240" w:lineRule="auto"/>
              <w:jc w:val="center"/>
              <w:rPr>
                <w:color w:val="auto"/>
                <w:szCs w:val="18"/>
              </w:rPr>
            </w:pPr>
            <w:r w:rsidRPr="00DB5DCF">
              <w:rPr>
                <w:color w:val="auto"/>
                <w:szCs w:val="18"/>
              </w:rPr>
              <w:t>−</w:t>
            </w:r>
            <w:r w:rsidR="00997FF1" w:rsidRPr="00DB5DCF">
              <w:rPr>
                <w:color w:val="auto"/>
                <w:szCs w:val="18"/>
              </w:rPr>
              <w:t>0.26</w:t>
            </w:r>
          </w:p>
        </w:tc>
        <w:tc>
          <w:tcPr>
            <w:tcW w:w="230" w:type="pct"/>
            <w:tcBorders>
              <w:top w:val="nil"/>
              <w:left w:val="nil"/>
              <w:bottom w:val="nil"/>
              <w:right w:val="nil"/>
            </w:tcBorders>
            <w:shd w:val="clear" w:color="auto" w:fill="auto"/>
            <w:vAlign w:val="center"/>
          </w:tcPr>
          <w:p w14:paraId="409DCD20" w14:textId="36D64322" w:rsidR="00997FF1" w:rsidRPr="00DB5DCF" w:rsidRDefault="00FC5240" w:rsidP="001A1D0B">
            <w:pPr>
              <w:autoSpaceDE w:val="0"/>
              <w:autoSpaceDN w:val="0"/>
              <w:adjustRightInd w:val="0"/>
              <w:snapToGrid w:val="0"/>
              <w:spacing w:line="240" w:lineRule="auto"/>
              <w:jc w:val="center"/>
              <w:rPr>
                <w:color w:val="auto"/>
                <w:szCs w:val="18"/>
              </w:rPr>
            </w:pPr>
            <w:r w:rsidRPr="00DB5DCF">
              <w:rPr>
                <w:color w:val="auto"/>
                <w:szCs w:val="18"/>
              </w:rPr>
              <w:t>0</w:t>
            </w:r>
            <w:r w:rsidR="00997FF1" w:rsidRPr="00DB5DCF">
              <w:rPr>
                <w:color w:val="auto"/>
                <w:szCs w:val="18"/>
              </w:rPr>
              <w:t>.797</w:t>
            </w:r>
          </w:p>
        </w:tc>
        <w:tc>
          <w:tcPr>
            <w:tcW w:w="227" w:type="pct"/>
            <w:tcBorders>
              <w:top w:val="nil"/>
              <w:left w:val="nil"/>
              <w:bottom w:val="nil"/>
              <w:right w:val="nil"/>
            </w:tcBorders>
            <w:shd w:val="clear" w:color="auto" w:fill="auto"/>
            <w:vAlign w:val="center"/>
          </w:tcPr>
          <w:p w14:paraId="00D32968" w14:textId="2066371C" w:rsidR="00997FF1" w:rsidRPr="00DB5DCF" w:rsidRDefault="0048167C" w:rsidP="001A1D0B">
            <w:pPr>
              <w:autoSpaceDE w:val="0"/>
              <w:autoSpaceDN w:val="0"/>
              <w:adjustRightInd w:val="0"/>
              <w:snapToGrid w:val="0"/>
              <w:spacing w:line="240" w:lineRule="auto"/>
              <w:jc w:val="center"/>
              <w:rPr>
                <w:color w:val="auto"/>
                <w:szCs w:val="18"/>
              </w:rPr>
            </w:pPr>
            <w:r w:rsidRPr="00DB5DCF">
              <w:rPr>
                <w:color w:val="auto"/>
                <w:szCs w:val="18"/>
              </w:rPr>
              <w:t>−</w:t>
            </w:r>
            <w:r w:rsidR="00FC5240" w:rsidRPr="00DB5DCF">
              <w:rPr>
                <w:color w:val="auto"/>
                <w:szCs w:val="18"/>
              </w:rPr>
              <w:t>0</w:t>
            </w:r>
            <w:r w:rsidR="00997FF1" w:rsidRPr="00DB5DCF">
              <w:rPr>
                <w:color w:val="auto"/>
                <w:szCs w:val="18"/>
              </w:rPr>
              <w:t>.09</w:t>
            </w:r>
          </w:p>
        </w:tc>
        <w:tc>
          <w:tcPr>
            <w:tcW w:w="228" w:type="pct"/>
            <w:tcBorders>
              <w:top w:val="nil"/>
              <w:left w:val="nil"/>
              <w:bottom w:val="nil"/>
              <w:right w:val="nil"/>
            </w:tcBorders>
            <w:shd w:val="clear" w:color="auto" w:fill="auto"/>
            <w:vAlign w:val="center"/>
          </w:tcPr>
          <w:p w14:paraId="3FE83A05" w14:textId="62FAA846" w:rsidR="00997FF1" w:rsidRPr="00DB5DCF" w:rsidRDefault="0048167C" w:rsidP="001A1D0B">
            <w:pPr>
              <w:autoSpaceDE w:val="0"/>
              <w:autoSpaceDN w:val="0"/>
              <w:adjustRightInd w:val="0"/>
              <w:snapToGrid w:val="0"/>
              <w:spacing w:line="240" w:lineRule="auto"/>
              <w:jc w:val="center"/>
              <w:rPr>
                <w:color w:val="auto"/>
                <w:szCs w:val="18"/>
              </w:rPr>
            </w:pPr>
            <w:r w:rsidRPr="00DB5DCF">
              <w:rPr>
                <w:color w:val="auto"/>
                <w:szCs w:val="18"/>
              </w:rPr>
              <w:t>−</w:t>
            </w:r>
            <w:r w:rsidR="00997FF1" w:rsidRPr="00DB5DCF">
              <w:rPr>
                <w:color w:val="auto"/>
                <w:szCs w:val="18"/>
              </w:rPr>
              <w:t>2.36 (2.54)</w:t>
            </w:r>
          </w:p>
        </w:tc>
        <w:tc>
          <w:tcPr>
            <w:tcW w:w="228" w:type="pct"/>
            <w:tcBorders>
              <w:top w:val="nil"/>
              <w:left w:val="nil"/>
              <w:bottom w:val="nil"/>
              <w:right w:val="nil"/>
            </w:tcBorders>
            <w:shd w:val="clear" w:color="auto" w:fill="auto"/>
            <w:vAlign w:val="center"/>
          </w:tcPr>
          <w:p w14:paraId="4B06B758" w14:textId="0BACCE0E" w:rsidR="00997FF1" w:rsidRPr="00DB5DCF" w:rsidRDefault="0048167C" w:rsidP="001A1D0B">
            <w:pPr>
              <w:autoSpaceDE w:val="0"/>
              <w:autoSpaceDN w:val="0"/>
              <w:adjustRightInd w:val="0"/>
              <w:snapToGrid w:val="0"/>
              <w:spacing w:line="240" w:lineRule="auto"/>
              <w:jc w:val="center"/>
              <w:rPr>
                <w:color w:val="auto"/>
                <w:szCs w:val="18"/>
              </w:rPr>
            </w:pPr>
            <w:r w:rsidRPr="00DB5DCF">
              <w:rPr>
                <w:color w:val="auto"/>
                <w:szCs w:val="18"/>
              </w:rPr>
              <w:t>−</w:t>
            </w:r>
            <w:r w:rsidR="00997FF1" w:rsidRPr="00DB5DCF">
              <w:rPr>
                <w:color w:val="auto"/>
                <w:szCs w:val="18"/>
              </w:rPr>
              <w:t>7.38, 2.67</w:t>
            </w:r>
          </w:p>
        </w:tc>
        <w:tc>
          <w:tcPr>
            <w:tcW w:w="232" w:type="pct"/>
            <w:tcBorders>
              <w:top w:val="nil"/>
              <w:left w:val="nil"/>
              <w:bottom w:val="nil"/>
              <w:right w:val="nil"/>
            </w:tcBorders>
            <w:shd w:val="clear" w:color="auto" w:fill="auto"/>
            <w:vAlign w:val="center"/>
          </w:tcPr>
          <w:p w14:paraId="5BB494FE" w14:textId="111B70AC" w:rsidR="00997FF1" w:rsidRPr="00DB5DCF" w:rsidRDefault="0048167C" w:rsidP="001A1D0B">
            <w:pPr>
              <w:autoSpaceDE w:val="0"/>
              <w:autoSpaceDN w:val="0"/>
              <w:adjustRightInd w:val="0"/>
              <w:snapToGrid w:val="0"/>
              <w:spacing w:line="240" w:lineRule="auto"/>
              <w:jc w:val="center"/>
              <w:rPr>
                <w:color w:val="auto"/>
                <w:szCs w:val="18"/>
              </w:rPr>
            </w:pPr>
            <w:r w:rsidRPr="00DB5DCF">
              <w:rPr>
                <w:color w:val="auto"/>
                <w:szCs w:val="18"/>
              </w:rPr>
              <w:t>−</w:t>
            </w:r>
            <w:r w:rsidR="00997FF1" w:rsidRPr="00DB5DCF">
              <w:rPr>
                <w:color w:val="auto"/>
                <w:szCs w:val="18"/>
              </w:rPr>
              <w:t>0.93</w:t>
            </w:r>
          </w:p>
        </w:tc>
        <w:tc>
          <w:tcPr>
            <w:tcW w:w="228" w:type="pct"/>
            <w:tcBorders>
              <w:top w:val="nil"/>
              <w:left w:val="nil"/>
              <w:bottom w:val="nil"/>
              <w:right w:val="nil"/>
            </w:tcBorders>
            <w:shd w:val="clear" w:color="auto" w:fill="auto"/>
            <w:vAlign w:val="center"/>
          </w:tcPr>
          <w:p w14:paraId="39C4AEF0" w14:textId="4C912F8E" w:rsidR="00997FF1" w:rsidRPr="00DB5DCF" w:rsidRDefault="00FC5240" w:rsidP="001A1D0B">
            <w:pPr>
              <w:autoSpaceDE w:val="0"/>
              <w:autoSpaceDN w:val="0"/>
              <w:adjustRightInd w:val="0"/>
              <w:snapToGrid w:val="0"/>
              <w:spacing w:line="240" w:lineRule="auto"/>
              <w:jc w:val="center"/>
              <w:rPr>
                <w:color w:val="auto"/>
                <w:szCs w:val="18"/>
              </w:rPr>
            </w:pPr>
            <w:r w:rsidRPr="00DB5DCF">
              <w:rPr>
                <w:color w:val="auto"/>
                <w:szCs w:val="18"/>
              </w:rPr>
              <w:t>0</w:t>
            </w:r>
            <w:r w:rsidR="00997FF1" w:rsidRPr="00DB5DCF">
              <w:rPr>
                <w:color w:val="auto"/>
                <w:szCs w:val="18"/>
              </w:rPr>
              <w:t>.355</w:t>
            </w:r>
          </w:p>
        </w:tc>
      </w:tr>
      <w:tr w:rsidR="00197328" w:rsidRPr="00DB5DCF" w14:paraId="6C9142C8" w14:textId="77777777" w:rsidTr="00197328">
        <w:trPr>
          <w:cantSplit/>
          <w:jc w:val="center"/>
        </w:trPr>
        <w:tc>
          <w:tcPr>
            <w:tcW w:w="431" w:type="pct"/>
            <w:tcBorders>
              <w:top w:val="nil"/>
              <w:left w:val="nil"/>
              <w:bottom w:val="nil"/>
              <w:right w:val="nil"/>
            </w:tcBorders>
            <w:shd w:val="clear" w:color="auto" w:fill="auto"/>
            <w:vAlign w:val="center"/>
          </w:tcPr>
          <w:p w14:paraId="1B763771" w14:textId="77777777" w:rsidR="00997FF1" w:rsidRPr="00DB5DCF" w:rsidRDefault="00997FF1" w:rsidP="001A1D0B">
            <w:pPr>
              <w:autoSpaceDE w:val="0"/>
              <w:autoSpaceDN w:val="0"/>
              <w:adjustRightInd w:val="0"/>
              <w:snapToGrid w:val="0"/>
              <w:spacing w:line="240" w:lineRule="auto"/>
              <w:jc w:val="center"/>
              <w:rPr>
                <w:color w:val="auto"/>
                <w:szCs w:val="18"/>
              </w:rPr>
            </w:pPr>
            <w:r w:rsidRPr="00DB5DCF">
              <w:rPr>
                <w:color w:val="auto"/>
                <w:szCs w:val="18"/>
              </w:rPr>
              <w:t>T1 Int Motive</w:t>
            </w:r>
          </w:p>
        </w:tc>
        <w:tc>
          <w:tcPr>
            <w:tcW w:w="225" w:type="pct"/>
            <w:tcBorders>
              <w:top w:val="nil"/>
              <w:left w:val="nil"/>
              <w:bottom w:val="nil"/>
              <w:right w:val="nil"/>
            </w:tcBorders>
            <w:shd w:val="clear" w:color="auto" w:fill="auto"/>
            <w:vAlign w:val="center"/>
          </w:tcPr>
          <w:p w14:paraId="2139BC66" w14:textId="7EBEE00C" w:rsidR="00997FF1" w:rsidRPr="00DB5DCF" w:rsidRDefault="00FC5240" w:rsidP="001A1D0B">
            <w:pPr>
              <w:autoSpaceDE w:val="0"/>
              <w:autoSpaceDN w:val="0"/>
              <w:adjustRightInd w:val="0"/>
              <w:snapToGrid w:val="0"/>
              <w:spacing w:line="240" w:lineRule="auto"/>
              <w:jc w:val="center"/>
              <w:rPr>
                <w:color w:val="auto"/>
                <w:szCs w:val="18"/>
              </w:rPr>
            </w:pPr>
            <w:r w:rsidRPr="00DB5DCF">
              <w:rPr>
                <w:color w:val="auto"/>
                <w:szCs w:val="18"/>
              </w:rPr>
              <w:t>0</w:t>
            </w:r>
            <w:r w:rsidR="00997FF1" w:rsidRPr="00DB5DCF">
              <w:rPr>
                <w:color w:val="auto"/>
                <w:szCs w:val="18"/>
              </w:rPr>
              <w:t>.18</w:t>
            </w:r>
          </w:p>
        </w:tc>
        <w:tc>
          <w:tcPr>
            <w:tcW w:w="225" w:type="pct"/>
            <w:tcBorders>
              <w:top w:val="nil"/>
              <w:left w:val="nil"/>
              <w:bottom w:val="nil"/>
              <w:right w:val="nil"/>
            </w:tcBorders>
            <w:shd w:val="clear" w:color="auto" w:fill="auto"/>
            <w:vAlign w:val="center"/>
          </w:tcPr>
          <w:p w14:paraId="3EFD606F" w14:textId="77777777" w:rsidR="00997FF1" w:rsidRPr="00DB5DCF" w:rsidRDefault="00997FF1" w:rsidP="001A1D0B">
            <w:pPr>
              <w:autoSpaceDE w:val="0"/>
              <w:autoSpaceDN w:val="0"/>
              <w:adjustRightInd w:val="0"/>
              <w:snapToGrid w:val="0"/>
              <w:spacing w:line="240" w:lineRule="auto"/>
              <w:jc w:val="center"/>
              <w:rPr>
                <w:color w:val="auto"/>
                <w:szCs w:val="18"/>
              </w:rPr>
            </w:pPr>
            <w:r w:rsidRPr="00DB5DCF">
              <w:rPr>
                <w:color w:val="auto"/>
                <w:szCs w:val="18"/>
              </w:rPr>
              <w:t>0.72</w:t>
            </w:r>
          </w:p>
          <w:p w14:paraId="196951D3" w14:textId="77777777" w:rsidR="00997FF1" w:rsidRPr="00DB5DCF" w:rsidRDefault="00997FF1" w:rsidP="001A1D0B">
            <w:pPr>
              <w:autoSpaceDE w:val="0"/>
              <w:autoSpaceDN w:val="0"/>
              <w:adjustRightInd w:val="0"/>
              <w:snapToGrid w:val="0"/>
              <w:spacing w:line="240" w:lineRule="auto"/>
              <w:jc w:val="center"/>
              <w:rPr>
                <w:color w:val="auto"/>
                <w:szCs w:val="18"/>
              </w:rPr>
            </w:pPr>
            <w:r w:rsidRPr="00DB5DCF">
              <w:rPr>
                <w:color w:val="auto"/>
                <w:szCs w:val="18"/>
              </w:rPr>
              <w:t>(0.23)</w:t>
            </w:r>
          </w:p>
        </w:tc>
        <w:tc>
          <w:tcPr>
            <w:tcW w:w="225" w:type="pct"/>
            <w:tcBorders>
              <w:top w:val="nil"/>
              <w:left w:val="nil"/>
              <w:bottom w:val="nil"/>
              <w:right w:val="nil"/>
            </w:tcBorders>
            <w:shd w:val="clear" w:color="auto" w:fill="auto"/>
            <w:vAlign w:val="center"/>
          </w:tcPr>
          <w:p w14:paraId="7874DAC6" w14:textId="77777777" w:rsidR="00997FF1" w:rsidRPr="00DB5DCF" w:rsidRDefault="00997FF1" w:rsidP="001A1D0B">
            <w:pPr>
              <w:autoSpaceDE w:val="0"/>
              <w:autoSpaceDN w:val="0"/>
              <w:adjustRightInd w:val="0"/>
              <w:snapToGrid w:val="0"/>
              <w:spacing w:line="240" w:lineRule="auto"/>
              <w:jc w:val="center"/>
              <w:rPr>
                <w:color w:val="auto"/>
                <w:szCs w:val="18"/>
              </w:rPr>
            </w:pPr>
            <w:r w:rsidRPr="00DB5DCF">
              <w:rPr>
                <w:color w:val="auto"/>
                <w:szCs w:val="18"/>
              </w:rPr>
              <w:t>0.26, 1.18</w:t>
            </w:r>
          </w:p>
        </w:tc>
        <w:tc>
          <w:tcPr>
            <w:tcW w:w="231" w:type="pct"/>
            <w:tcBorders>
              <w:top w:val="nil"/>
              <w:left w:val="nil"/>
              <w:bottom w:val="nil"/>
              <w:right w:val="nil"/>
            </w:tcBorders>
            <w:shd w:val="clear" w:color="auto" w:fill="auto"/>
            <w:vAlign w:val="center"/>
          </w:tcPr>
          <w:p w14:paraId="35F9D6F1" w14:textId="77777777" w:rsidR="00997FF1" w:rsidRPr="00DB5DCF" w:rsidRDefault="00997FF1" w:rsidP="001A1D0B">
            <w:pPr>
              <w:autoSpaceDE w:val="0"/>
              <w:autoSpaceDN w:val="0"/>
              <w:adjustRightInd w:val="0"/>
              <w:snapToGrid w:val="0"/>
              <w:spacing w:line="240" w:lineRule="auto"/>
              <w:jc w:val="center"/>
              <w:rPr>
                <w:color w:val="auto"/>
                <w:szCs w:val="18"/>
              </w:rPr>
            </w:pPr>
            <w:r w:rsidRPr="00DB5DCF">
              <w:rPr>
                <w:color w:val="auto"/>
                <w:szCs w:val="18"/>
              </w:rPr>
              <w:t>3.06</w:t>
            </w:r>
          </w:p>
        </w:tc>
        <w:tc>
          <w:tcPr>
            <w:tcW w:w="229" w:type="pct"/>
            <w:tcBorders>
              <w:top w:val="nil"/>
              <w:left w:val="nil"/>
              <w:bottom w:val="nil"/>
              <w:right w:val="nil"/>
            </w:tcBorders>
            <w:shd w:val="clear" w:color="auto" w:fill="auto"/>
            <w:vAlign w:val="center"/>
          </w:tcPr>
          <w:p w14:paraId="4CB79C83" w14:textId="59D2D5C3" w:rsidR="00997FF1" w:rsidRPr="00DB5DCF" w:rsidRDefault="00FC5240" w:rsidP="001A1D0B">
            <w:pPr>
              <w:autoSpaceDE w:val="0"/>
              <w:autoSpaceDN w:val="0"/>
              <w:adjustRightInd w:val="0"/>
              <w:snapToGrid w:val="0"/>
              <w:spacing w:line="240" w:lineRule="auto"/>
              <w:jc w:val="center"/>
              <w:rPr>
                <w:color w:val="auto"/>
                <w:szCs w:val="18"/>
              </w:rPr>
            </w:pPr>
            <w:r w:rsidRPr="00DB5DCF">
              <w:rPr>
                <w:color w:val="auto"/>
                <w:szCs w:val="18"/>
              </w:rPr>
              <w:t>0</w:t>
            </w:r>
            <w:r w:rsidR="00997FF1" w:rsidRPr="00DB5DCF">
              <w:rPr>
                <w:color w:val="auto"/>
                <w:szCs w:val="18"/>
              </w:rPr>
              <w:t>.002</w:t>
            </w:r>
          </w:p>
        </w:tc>
        <w:tc>
          <w:tcPr>
            <w:tcW w:w="227" w:type="pct"/>
            <w:tcBorders>
              <w:top w:val="nil"/>
              <w:left w:val="nil"/>
              <w:bottom w:val="nil"/>
              <w:right w:val="nil"/>
            </w:tcBorders>
            <w:shd w:val="clear" w:color="auto" w:fill="auto"/>
            <w:vAlign w:val="center"/>
          </w:tcPr>
          <w:p w14:paraId="3AFC39F0" w14:textId="0F701498" w:rsidR="00997FF1" w:rsidRPr="00DB5DCF" w:rsidRDefault="00FC5240" w:rsidP="001A1D0B">
            <w:pPr>
              <w:autoSpaceDE w:val="0"/>
              <w:autoSpaceDN w:val="0"/>
              <w:adjustRightInd w:val="0"/>
              <w:snapToGrid w:val="0"/>
              <w:spacing w:line="240" w:lineRule="auto"/>
              <w:jc w:val="center"/>
              <w:rPr>
                <w:color w:val="auto"/>
                <w:szCs w:val="18"/>
              </w:rPr>
            </w:pPr>
            <w:r w:rsidRPr="00DB5DCF">
              <w:rPr>
                <w:color w:val="auto"/>
                <w:szCs w:val="18"/>
              </w:rPr>
              <w:t>0</w:t>
            </w:r>
            <w:r w:rsidR="00997FF1" w:rsidRPr="00DB5DCF">
              <w:rPr>
                <w:color w:val="auto"/>
                <w:szCs w:val="18"/>
              </w:rPr>
              <w:t>.24</w:t>
            </w:r>
          </w:p>
        </w:tc>
        <w:tc>
          <w:tcPr>
            <w:tcW w:w="228" w:type="pct"/>
            <w:tcBorders>
              <w:top w:val="nil"/>
              <w:left w:val="nil"/>
              <w:bottom w:val="nil"/>
              <w:right w:val="nil"/>
            </w:tcBorders>
            <w:shd w:val="clear" w:color="auto" w:fill="auto"/>
            <w:vAlign w:val="center"/>
          </w:tcPr>
          <w:p w14:paraId="794778B0" w14:textId="77777777" w:rsidR="00997FF1" w:rsidRPr="00DB5DCF" w:rsidRDefault="00997FF1" w:rsidP="001A1D0B">
            <w:pPr>
              <w:autoSpaceDE w:val="0"/>
              <w:autoSpaceDN w:val="0"/>
              <w:adjustRightInd w:val="0"/>
              <w:snapToGrid w:val="0"/>
              <w:spacing w:line="240" w:lineRule="auto"/>
              <w:jc w:val="center"/>
              <w:rPr>
                <w:color w:val="auto"/>
                <w:szCs w:val="18"/>
              </w:rPr>
            </w:pPr>
            <w:r w:rsidRPr="00DB5DCF">
              <w:rPr>
                <w:color w:val="auto"/>
                <w:szCs w:val="18"/>
              </w:rPr>
              <w:t>0.98 (0.30)</w:t>
            </w:r>
          </w:p>
        </w:tc>
        <w:tc>
          <w:tcPr>
            <w:tcW w:w="227" w:type="pct"/>
            <w:tcBorders>
              <w:top w:val="nil"/>
              <w:left w:val="nil"/>
              <w:bottom w:val="nil"/>
              <w:right w:val="nil"/>
            </w:tcBorders>
            <w:shd w:val="clear" w:color="auto" w:fill="auto"/>
            <w:vAlign w:val="center"/>
          </w:tcPr>
          <w:p w14:paraId="45EDE33C" w14:textId="77777777" w:rsidR="00997FF1" w:rsidRPr="00DB5DCF" w:rsidRDefault="00997FF1" w:rsidP="001A1D0B">
            <w:pPr>
              <w:autoSpaceDE w:val="0"/>
              <w:autoSpaceDN w:val="0"/>
              <w:adjustRightInd w:val="0"/>
              <w:snapToGrid w:val="0"/>
              <w:spacing w:line="240" w:lineRule="auto"/>
              <w:jc w:val="center"/>
              <w:rPr>
                <w:color w:val="auto"/>
                <w:szCs w:val="18"/>
              </w:rPr>
            </w:pPr>
            <w:r w:rsidRPr="00DB5DCF">
              <w:rPr>
                <w:color w:val="auto"/>
                <w:szCs w:val="18"/>
              </w:rPr>
              <w:t>0.39, 1.56</w:t>
            </w:r>
          </w:p>
        </w:tc>
        <w:tc>
          <w:tcPr>
            <w:tcW w:w="231" w:type="pct"/>
            <w:tcBorders>
              <w:top w:val="nil"/>
              <w:left w:val="nil"/>
              <w:bottom w:val="nil"/>
              <w:right w:val="nil"/>
            </w:tcBorders>
            <w:shd w:val="clear" w:color="auto" w:fill="auto"/>
            <w:vAlign w:val="center"/>
          </w:tcPr>
          <w:p w14:paraId="523352D5" w14:textId="77777777" w:rsidR="00997FF1" w:rsidRPr="00DB5DCF" w:rsidRDefault="00997FF1" w:rsidP="001A1D0B">
            <w:pPr>
              <w:autoSpaceDE w:val="0"/>
              <w:autoSpaceDN w:val="0"/>
              <w:adjustRightInd w:val="0"/>
              <w:snapToGrid w:val="0"/>
              <w:spacing w:line="240" w:lineRule="auto"/>
              <w:jc w:val="center"/>
              <w:rPr>
                <w:color w:val="auto"/>
                <w:szCs w:val="18"/>
              </w:rPr>
            </w:pPr>
            <w:r w:rsidRPr="00DB5DCF">
              <w:rPr>
                <w:color w:val="auto"/>
                <w:szCs w:val="18"/>
              </w:rPr>
              <w:t>3.29</w:t>
            </w:r>
          </w:p>
        </w:tc>
        <w:tc>
          <w:tcPr>
            <w:tcW w:w="230" w:type="pct"/>
            <w:tcBorders>
              <w:top w:val="nil"/>
              <w:left w:val="nil"/>
              <w:bottom w:val="nil"/>
              <w:right w:val="nil"/>
            </w:tcBorders>
            <w:shd w:val="clear" w:color="auto" w:fill="auto"/>
            <w:vAlign w:val="center"/>
          </w:tcPr>
          <w:p w14:paraId="15FD8DA6" w14:textId="4D1D94E2" w:rsidR="00997FF1" w:rsidRPr="00DB5DCF" w:rsidRDefault="00FC5240" w:rsidP="001A1D0B">
            <w:pPr>
              <w:autoSpaceDE w:val="0"/>
              <w:autoSpaceDN w:val="0"/>
              <w:adjustRightInd w:val="0"/>
              <w:snapToGrid w:val="0"/>
              <w:spacing w:line="240" w:lineRule="auto"/>
              <w:jc w:val="center"/>
              <w:rPr>
                <w:color w:val="auto"/>
                <w:szCs w:val="18"/>
              </w:rPr>
            </w:pPr>
            <w:r w:rsidRPr="00DB5DCF">
              <w:rPr>
                <w:color w:val="auto"/>
                <w:szCs w:val="18"/>
              </w:rPr>
              <w:t>0</w:t>
            </w:r>
            <w:r w:rsidR="00997FF1" w:rsidRPr="00DB5DCF">
              <w:rPr>
                <w:color w:val="auto"/>
                <w:szCs w:val="18"/>
              </w:rPr>
              <w:t>.001</w:t>
            </w:r>
          </w:p>
        </w:tc>
        <w:tc>
          <w:tcPr>
            <w:tcW w:w="228" w:type="pct"/>
            <w:tcBorders>
              <w:top w:val="nil"/>
              <w:left w:val="nil"/>
              <w:bottom w:val="nil"/>
              <w:right w:val="nil"/>
            </w:tcBorders>
            <w:shd w:val="clear" w:color="auto" w:fill="auto"/>
            <w:vAlign w:val="center"/>
          </w:tcPr>
          <w:p w14:paraId="3B2FCBBB" w14:textId="4A30CC61" w:rsidR="00997FF1" w:rsidRPr="00DB5DCF" w:rsidRDefault="00FC5240" w:rsidP="001A1D0B">
            <w:pPr>
              <w:autoSpaceDE w:val="0"/>
              <w:autoSpaceDN w:val="0"/>
              <w:adjustRightInd w:val="0"/>
              <w:snapToGrid w:val="0"/>
              <w:spacing w:line="240" w:lineRule="auto"/>
              <w:jc w:val="center"/>
              <w:rPr>
                <w:color w:val="auto"/>
                <w:szCs w:val="18"/>
              </w:rPr>
            </w:pPr>
            <w:r w:rsidRPr="00DB5DCF">
              <w:rPr>
                <w:color w:val="auto"/>
                <w:szCs w:val="18"/>
              </w:rPr>
              <w:t>0</w:t>
            </w:r>
            <w:r w:rsidR="00997FF1" w:rsidRPr="00DB5DCF">
              <w:rPr>
                <w:color w:val="auto"/>
                <w:szCs w:val="18"/>
              </w:rPr>
              <w:t>.16</w:t>
            </w:r>
          </w:p>
        </w:tc>
        <w:tc>
          <w:tcPr>
            <w:tcW w:w="227" w:type="pct"/>
            <w:tcBorders>
              <w:top w:val="nil"/>
              <w:left w:val="nil"/>
              <w:bottom w:val="nil"/>
              <w:right w:val="nil"/>
            </w:tcBorders>
            <w:shd w:val="clear" w:color="auto" w:fill="auto"/>
            <w:vAlign w:val="center"/>
          </w:tcPr>
          <w:p w14:paraId="33A7A824" w14:textId="77777777" w:rsidR="00997FF1" w:rsidRPr="00DB5DCF" w:rsidRDefault="00997FF1" w:rsidP="001A1D0B">
            <w:pPr>
              <w:autoSpaceDE w:val="0"/>
              <w:autoSpaceDN w:val="0"/>
              <w:adjustRightInd w:val="0"/>
              <w:snapToGrid w:val="0"/>
              <w:spacing w:line="240" w:lineRule="auto"/>
              <w:jc w:val="center"/>
              <w:rPr>
                <w:color w:val="auto"/>
                <w:szCs w:val="18"/>
              </w:rPr>
            </w:pPr>
            <w:r w:rsidRPr="00DB5DCF">
              <w:rPr>
                <w:color w:val="auto"/>
                <w:szCs w:val="18"/>
              </w:rPr>
              <w:t>0.66, 0.36</w:t>
            </w:r>
          </w:p>
        </w:tc>
        <w:tc>
          <w:tcPr>
            <w:tcW w:w="228" w:type="pct"/>
            <w:tcBorders>
              <w:top w:val="nil"/>
              <w:left w:val="nil"/>
              <w:bottom w:val="nil"/>
              <w:right w:val="nil"/>
            </w:tcBorders>
            <w:shd w:val="clear" w:color="auto" w:fill="auto"/>
            <w:vAlign w:val="center"/>
          </w:tcPr>
          <w:p w14:paraId="41EA3370" w14:textId="6D7C5E20" w:rsidR="00997FF1" w:rsidRPr="00DB5DCF" w:rsidRDefault="0048167C" w:rsidP="001A1D0B">
            <w:pPr>
              <w:autoSpaceDE w:val="0"/>
              <w:autoSpaceDN w:val="0"/>
              <w:adjustRightInd w:val="0"/>
              <w:snapToGrid w:val="0"/>
              <w:spacing w:line="240" w:lineRule="auto"/>
              <w:jc w:val="center"/>
              <w:rPr>
                <w:color w:val="auto"/>
                <w:szCs w:val="18"/>
              </w:rPr>
            </w:pPr>
            <w:r w:rsidRPr="00DB5DCF">
              <w:rPr>
                <w:color w:val="auto"/>
                <w:szCs w:val="18"/>
              </w:rPr>
              <w:t>−</w:t>
            </w:r>
            <w:r w:rsidR="00997FF1" w:rsidRPr="00DB5DCF">
              <w:rPr>
                <w:color w:val="auto"/>
                <w:szCs w:val="18"/>
              </w:rPr>
              <w:t>0.06, 1.38</w:t>
            </w:r>
          </w:p>
        </w:tc>
        <w:tc>
          <w:tcPr>
            <w:tcW w:w="231" w:type="pct"/>
            <w:tcBorders>
              <w:top w:val="nil"/>
              <w:left w:val="nil"/>
              <w:bottom w:val="nil"/>
              <w:right w:val="nil"/>
            </w:tcBorders>
            <w:shd w:val="clear" w:color="auto" w:fill="auto"/>
            <w:vAlign w:val="center"/>
          </w:tcPr>
          <w:p w14:paraId="50C418AB" w14:textId="77777777" w:rsidR="00997FF1" w:rsidRPr="00DB5DCF" w:rsidRDefault="00997FF1" w:rsidP="001A1D0B">
            <w:pPr>
              <w:autoSpaceDE w:val="0"/>
              <w:autoSpaceDN w:val="0"/>
              <w:adjustRightInd w:val="0"/>
              <w:snapToGrid w:val="0"/>
              <w:spacing w:line="240" w:lineRule="auto"/>
              <w:jc w:val="center"/>
              <w:rPr>
                <w:color w:val="auto"/>
                <w:szCs w:val="18"/>
              </w:rPr>
            </w:pPr>
            <w:r w:rsidRPr="00DB5DCF">
              <w:rPr>
                <w:color w:val="auto"/>
                <w:szCs w:val="18"/>
              </w:rPr>
              <w:t>1.83</w:t>
            </w:r>
          </w:p>
        </w:tc>
        <w:tc>
          <w:tcPr>
            <w:tcW w:w="230" w:type="pct"/>
            <w:tcBorders>
              <w:top w:val="nil"/>
              <w:left w:val="nil"/>
              <w:bottom w:val="nil"/>
              <w:right w:val="nil"/>
            </w:tcBorders>
            <w:shd w:val="clear" w:color="auto" w:fill="auto"/>
            <w:vAlign w:val="center"/>
          </w:tcPr>
          <w:p w14:paraId="0DF32ED1" w14:textId="2466880D" w:rsidR="00997FF1" w:rsidRPr="00DB5DCF" w:rsidRDefault="00FC5240" w:rsidP="001A1D0B">
            <w:pPr>
              <w:autoSpaceDE w:val="0"/>
              <w:autoSpaceDN w:val="0"/>
              <w:adjustRightInd w:val="0"/>
              <w:snapToGrid w:val="0"/>
              <w:spacing w:line="240" w:lineRule="auto"/>
              <w:jc w:val="center"/>
              <w:rPr>
                <w:color w:val="auto"/>
                <w:szCs w:val="18"/>
              </w:rPr>
            </w:pPr>
            <w:r w:rsidRPr="00DB5DCF">
              <w:rPr>
                <w:color w:val="auto"/>
                <w:szCs w:val="18"/>
              </w:rPr>
              <w:t>0</w:t>
            </w:r>
            <w:r w:rsidR="00997FF1" w:rsidRPr="00DB5DCF">
              <w:rPr>
                <w:color w:val="auto"/>
                <w:szCs w:val="18"/>
              </w:rPr>
              <w:t>.070</w:t>
            </w:r>
          </w:p>
        </w:tc>
        <w:tc>
          <w:tcPr>
            <w:tcW w:w="227" w:type="pct"/>
            <w:tcBorders>
              <w:top w:val="nil"/>
              <w:left w:val="nil"/>
              <w:bottom w:val="nil"/>
              <w:right w:val="nil"/>
            </w:tcBorders>
            <w:shd w:val="clear" w:color="auto" w:fill="auto"/>
            <w:vAlign w:val="center"/>
          </w:tcPr>
          <w:p w14:paraId="4557C179" w14:textId="5C4F5C8D" w:rsidR="00997FF1" w:rsidRPr="00DB5DCF" w:rsidRDefault="00FC5240" w:rsidP="001A1D0B">
            <w:pPr>
              <w:autoSpaceDE w:val="0"/>
              <w:autoSpaceDN w:val="0"/>
              <w:adjustRightInd w:val="0"/>
              <w:snapToGrid w:val="0"/>
              <w:spacing w:line="240" w:lineRule="auto"/>
              <w:jc w:val="center"/>
              <w:rPr>
                <w:color w:val="auto"/>
                <w:szCs w:val="18"/>
              </w:rPr>
            </w:pPr>
            <w:r w:rsidRPr="00DB5DCF">
              <w:rPr>
                <w:color w:val="auto"/>
                <w:szCs w:val="18"/>
              </w:rPr>
              <w:t>0</w:t>
            </w:r>
            <w:r w:rsidR="00997FF1" w:rsidRPr="00DB5DCF">
              <w:rPr>
                <w:color w:val="auto"/>
                <w:szCs w:val="18"/>
              </w:rPr>
              <w:t>.19</w:t>
            </w:r>
          </w:p>
        </w:tc>
        <w:tc>
          <w:tcPr>
            <w:tcW w:w="228" w:type="pct"/>
            <w:tcBorders>
              <w:top w:val="nil"/>
              <w:left w:val="nil"/>
              <w:bottom w:val="nil"/>
              <w:right w:val="nil"/>
            </w:tcBorders>
            <w:shd w:val="clear" w:color="auto" w:fill="auto"/>
            <w:vAlign w:val="center"/>
          </w:tcPr>
          <w:p w14:paraId="52A6059D" w14:textId="77777777" w:rsidR="00997FF1" w:rsidRPr="00DB5DCF" w:rsidRDefault="00997FF1" w:rsidP="001A1D0B">
            <w:pPr>
              <w:autoSpaceDE w:val="0"/>
              <w:autoSpaceDN w:val="0"/>
              <w:adjustRightInd w:val="0"/>
              <w:snapToGrid w:val="0"/>
              <w:spacing w:line="240" w:lineRule="auto"/>
              <w:jc w:val="center"/>
              <w:rPr>
                <w:color w:val="auto"/>
                <w:szCs w:val="18"/>
              </w:rPr>
            </w:pPr>
            <w:r w:rsidRPr="00DB5DCF">
              <w:rPr>
                <w:color w:val="auto"/>
                <w:szCs w:val="18"/>
              </w:rPr>
              <w:t>0.79 (0.43)</w:t>
            </w:r>
          </w:p>
        </w:tc>
        <w:tc>
          <w:tcPr>
            <w:tcW w:w="228" w:type="pct"/>
            <w:tcBorders>
              <w:top w:val="nil"/>
              <w:left w:val="nil"/>
              <w:bottom w:val="nil"/>
              <w:right w:val="nil"/>
            </w:tcBorders>
            <w:shd w:val="clear" w:color="auto" w:fill="auto"/>
            <w:vAlign w:val="center"/>
          </w:tcPr>
          <w:p w14:paraId="46323CE3" w14:textId="7B2DCDA9" w:rsidR="00997FF1" w:rsidRPr="00DB5DCF" w:rsidRDefault="0048167C" w:rsidP="001A1D0B">
            <w:pPr>
              <w:autoSpaceDE w:val="0"/>
              <w:autoSpaceDN w:val="0"/>
              <w:adjustRightInd w:val="0"/>
              <w:snapToGrid w:val="0"/>
              <w:spacing w:line="240" w:lineRule="auto"/>
              <w:jc w:val="center"/>
              <w:rPr>
                <w:color w:val="auto"/>
                <w:szCs w:val="18"/>
              </w:rPr>
            </w:pPr>
            <w:r w:rsidRPr="00DB5DCF">
              <w:rPr>
                <w:color w:val="auto"/>
                <w:szCs w:val="18"/>
              </w:rPr>
              <w:t>−</w:t>
            </w:r>
            <w:r w:rsidR="00997FF1" w:rsidRPr="00DB5DCF">
              <w:rPr>
                <w:color w:val="auto"/>
                <w:szCs w:val="18"/>
              </w:rPr>
              <w:t>0.06, 1.65</w:t>
            </w:r>
          </w:p>
        </w:tc>
        <w:tc>
          <w:tcPr>
            <w:tcW w:w="232" w:type="pct"/>
            <w:tcBorders>
              <w:top w:val="nil"/>
              <w:left w:val="nil"/>
              <w:bottom w:val="nil"/>
              <w:right w:val="nil"/>
            </w:tcBorders>
            <w:shd w:val="clear" w:color="auto" w:fill="auto"/>
            <w:vAlign w:val="center"/>
          </w:tcPr>
          <w:p w14:paraId="1056BD0A" w14:textId="77777777" w:rsidR="00997FF1" w:rsidRPr="00DB5DCF" w:rsidRDefault="00997FF1" w:rsidP="001A1D0B">
            <w:pPr>
              <w:autoSpaceDE w:val="0"/>
              <w:autoSpaceDN w:val="0"/>
              <w:adjustRightInd w:val="0"/>
              <w:snapToGrid w:val="0"/>
              <w:spacing w:line="240" w:lineRule="auto"/>
              <w:jc w:val="center"/>
              <w:rPr>
                <w:color w:val="auto"/>
                <w:szCs w:val="18"/>
              </w:rPr>
            </w:pPr>
            <w:r w:rsidRPr="00DB5DCF">
              <w:rPr>
                <w:color w:val="auto"/>
                <w:szCs w:val="18"/>
              </w:rPr>
              <w:t>1.84</w:t>
            </w:r>
          </w:p>
        </w:tc>
        <w:tc>
          <w:tcPr>
            <w:tcW w:w="228" w:type="pct"/>
            <w:tcBorders>
              <w:top w:val="nil"/>
              <w:left w:val="nil"/>
              <w:bottom w:val="nil"/>
              <w:right w:val="nil"/>
            </w:tcBorders>
            <w:shd w:val="clear" w:color="auto" w:fill="auto"/>
            <w:vAlign w:val="center"/>
          </w:tcPr>
          <w:p w14:paraId="6A9EE3AD" w14:textId="78DA33BF" w:rsidR="00997FF1" w:rsidRPr="00DB5DCF" w:rsidRDefault="00FC5240" w:rsidP="001A1D0B">
            <w:pPr>
              <w:autoSpaceDE w:val="0"/>
              <w:autoSpaceDN w:val="0"/>
              <w:adjustRightInd w:val="0"/>
              <w:snapToGrid w:val="0"/>
              <w:spacing w:line="240" w:lineRule="auto"/>
              <w:jc w:val="center"/>
              <w:rPr>
                <w:color w:val="auto"/>
                <w:szCs w:val="18"/>
              </w:rPr>
            </w:pPr>
            <w:r w:rsidRPr="00DB5DCF">
              <w:rPr>
                <w:color w:val="auto"/>
                <w:szCs w:val="18"/>
              </w:rPr>
              <w:t>0</w:t>
            </w:r>
            <w:r w:rsidR="00997FF1" w:rsidRPr="00DB5DCF">
              <w:rPr>
                <w:color w:val="auto"/>
                <w:szCs w:val="18"/>
              </w:rPr>
              <w:t>.068</w:t>
            </w:r>
          </w:p>
        </w:tc>
      </w:tr>
      <w:tr w:rsidR="00197328" w:rsidRPr="00DB5DCF" w14:paraId="591CBF8A" w14:textId="77777777" w:rsidTr="00197328">
        <w:trPr>
          <w:cantSplit/>
          <w:jc w:val="center"/>
        </w:trPr>
        <w:tc>
          <w:tcPr>
            <w:tcW w:w="431" w:type="pct"/>
            <w:tcBorders>
              <w:top w:val="nil"/>
              <w:left w:val="nil"/>
              <w:bottom w:val="single" w:sz="4" w:space="0" w:color="auto"/>
              <w:right w:val="nil"/>
            </w:tcBorders>
            <w:shd w:val="clear" w:color="auto" w:fill="auto"/>
            <w:vAlign w:val="center"/>
          </w:tcPr>
          <w:p w14:paraId="1BBBD1D1" w14:textId="77777777" w:rsidR="00997FF1" w:rsidRPr="00DB5DCF" w:rsidRDefault="00997FF1" w:rsidP="001A1D0B">
            <w:pPr>
              <w:autoSpaceDE w:val="0"/>
              <w:autoSpaceDN w:val="0"/>
              <w:adjustRightInd w:val="0"/>
              <w:snapToGrid w:val="0"/>
              <w:spacing w:line="240" w:lineRule="auto"/>
              <w:jc w:val="center"/>
              <w:rPr>
                <w:color w:val="auto"/>
                <w:szCs w:val="18"/>
              </w:rPr>
            </w:pPr>
            <w:r w:rsidRPr="00DB5DCF">
              <w:rPr>
                <w:color w:val="auto"/>
                <w:szCs w:val="18"/>
              </w:rPr>
              <w:t xml:space="preserve">T1 Ext Motive </w:t>
            </w:r>
          </w:p>
        </w:tc>
        <w:tc>
          <w:tcPr>
            <w:tcW w:w="225" w:type="pct"/>
            <w:tcBorders>
              <w:top w:val="nil"/>
              <w:left w:val="nil"/>
              <w:bottom w:val="single" w:sz="4" w:space="0" w:color="auto"/>
              <w:right w:val="nil"/>
            </w:tcBorders>
            <w:shd w:val="clear" w:color="auto" w:fill="auto"/>
            <w:vAlign w:val="center"/>
          </w:tcPr>
          <w:p w14:paraId="0F6D0CC8" w14:textId="6E7AE265" w:rsidR="00997FF1" w:rsidRPr="00DB5DCF" w:rsidRDefault="0027678A" w:rsidP="001A1D0B">
            <w:pPr>
              <w:autoSpaceDE w:val="0"/>
              <w:autoSpaceDN w:val="0"/>
              <w:adjustRightInd w:val="0"/>
              <w:snapToGrid w:val="0"/>
              <w:spacing w:line="240" w:lineRule="auto"/>
              <w:jc w:val="center"/>
              <w:rPr>
                <w:color w:val="auto"/>
                <w:szCs w:val="18"/>
              </w:rPr>
            </w:pPr>
            <w:r w:rsidRPr="00DB5DCF">
              <w:rPr>
                <w:color w:val="auto"/>
                <w:szCs w:val="18"/>
              </w:rPr>
              <w:t>−</w:t>
            </w:r>
            <w:r w:rsidR="00FC5240" w:rsidRPr="00DB5DCF">
              <w:rPr>
                <w:color w:val="auto"/>
                <w:szCs w:val="18"/>
              </w:rPr>
              <w:t>0</w:t>
            </w:r>
            <w:r w:rsidR="00997FF1" w:rsidRPr="00DB5DCF">
              <w:rPr>
                <w:color w:val="auto"/>
                <w:szCs w:val="18"/>
              </w:rPr>
              <w:t>.21</w:t>
            </w:r>
          </w:p>
        </w:tc>
        <w:tc>
          <w:tcPr>
            <w:tcW w:w="225" w:type="pct"/>
            <w:tcBorders>
              <w:top w:val="nil"/>
              <w:left w:val="nil"/>
              <w:bottom w:val="single" w:sz="4" w:space="0" w:color="auto"/>
              <w:right w:val="nil"/>
            </w:tcBorders>
            <w:shd w:val="clear" w:color="auto" w:fill="auto"/>
            <w:vAlign w:val="center"/>
          </w:tcPr>
          <w:p w14:paraId="658FFD91" w14:textId="34E8E476" w:rsidR="00997FF1" w:rsidRPr="00DB5DCF" w:rsidRDefault="0027678A" w:rsidP="001A1D0B">
            <w:pPr>
              <w:autoSpaceDE w:val="0"/>
              <w:autoSpaceDN w:val="0"/>
              <w:adjustRightInd w:val="0"/>
              <w:snapToGrid w:val="0"/>
              <w:spacing w:line="240" w:lineRule="auto"/>
              <w:jc w:val="center"/>
              <w:rPr>
                <w:color w:val="auto"/>
                <w:szCs w:val="18"/>
              </w:rPr>
            </w:pPr>
            <w:r w:rsidRPr="00DB5DCF">
              <w:rPr>
                <w:color w:val="auto"/>
                <w:szCs w:val="18"/>
              </w:rPr>
              <w:t>−</w:t>
            </w:r>
            <w:r w:rsidR="00997FF1" w:rsidRPr="00DB5DCF">
              <w:rPr>
                <w:color w:val="auto"/>
                <w:szCs w:val="18"/>
              </w:rPr>
              <w:t>0.78 (0.22)</w:t>
            </w:r>
          </w:p>
        </w:tc>
        <w:tc>
          <w:tcPr>
            <w:tcW w:w="225" w:type="pct"/>
            <w:tcBorders>
              <w:top w:val="nil"/>
              <w:left w:val="nil"/>
              <w:bottom w:val="single" w:sz="4" w:space="0" w:color="auto"/>
              <w:right w:val="nil"/>
            </w:tcBorders>
            <w:shd w:val="clear" w:color="auto" w:fill="auto"/>
            <w:vAlign w:val="center"/>
          </w:tcPr>
          <w:p w14:paraId="5FFF8442" w14:textId="1436E216" w:rsidR="00997FF1" w:rsidRPr="00DB5DCF" w:rsidRDefault="0027678A" w:rsidP="001A1D0B">
            <w:pPr>
              <w:autoSpaceDE w:val="0"/>
              <w:autoSpaceDN w:val="0"/>
              <w:adjustRightInd w:val="0"/>
              <w:snapToGrid w:val="0"/>
              <w:spacing w:line="240" w:lineRule="auto"/>
              <w:jc w:val="center"/>
              <w:rPr>
                <w:color w:val="auto"/>
                <w:szCs w:val="18"/>
              </w:rPr>
            </w:pPr>
            <w:r w:rsidRPr="00DB5DCF">
              <w:rPr>
                <w:color w:val="auto"/>
                <w:szCs w:val="18"/>
              </w:rPr>
              <w:t>−</w:t>
            </w:r>
            <w:r w:rsidR="00997FF1" w:rsidRPr="00DB5DCF">
              <w:rPr>
                <w:color w:val="auto"/>
                <w:szCs w:val="18"/>
              </w:rPr>
              <w:t xml:space="preserve">1.20, </w:t>
            </w:r>
          </w:p>
          <w:p w14:paraId="6881B6FC" w14:textId="50E52BD6" w:rsidR="00997FF1" w:rsidRPr="00DB5DCF" w:rsidRDefault="0027678A" w:rsidP="001A1D0B">
            <w:pPr>
              <w:autoSpaceDE w:val="0"/>
              <w:autoSpaceDN w:val="0"/>
              <w:adjustRightInd w:val="0"/>
              <w:snapToGrid w:val="0"/>
              <w:spacing w:line="240" w:lineRule="auto"/>
              <w:jc w:val="center"/>
              <w:rPr>
                <w:color w:val="auto"/>
                <w:szCs w:val="18"/>
              </w:rPr>
            </w:pPr>
            <w:r w:rsidRPr="00DB5DCF">
              <w:rPr>
                <w:color w:val="auto"/>
                <w:szCs w:val="18"/>
              </w:rPr>
              <w:t>−</w:t>
            </w:r>
            <w:r w:rsidR="00997FF1" w:rsidRPr="00DB5DCF">
              <w:rPr>
                <w:color w:val="auto"/>
                <w:szCs w:val="18"/>
              </w:rPr>
              <w:t>0.35</w:t>
            </w:r>
          </w:p>
        </w:tc>
        <w:tc>
          <w:tcPr>
            <w:tcW w:w="231" w:type="pct"/>
            <w:tcBorders>
              <w:top w:val="nil"/>
              <w:left w:val="nil"/>
              <w:bottom w:val="single" w:sz="4" w:space="0" w:color="auto"/>
              <w:right w:val="nil"/>
            </w:tcBorders>
            <w:shd w:val="clear" w:color="auto" w:fill="auto"/>
            <w:vAlign w:val="center"/>
          </w:tcPr>
          <w:p w14:paraId="5355C7AC" w14:textId="6EA84BF0" w:rsidR="00997FF1" w:rsidRPr="00DB5DCF" w:rsidRDefault="0027678A" w:rsidP="001A1D0B">
            <w:pPr>
              <w:autoSpaceDE w:val="0"/>
              <w:autoSpaceDN w:val="0"/>
              <w:adjustRightInd w:val="0"/>
              <w:snapToGrid w:val="0"/>
              <w:spacing w:line="240" w:lineRule="auto"/>
              <w:jc w:val="center"/>
              <w:rPr>
                <w:color w:val="auto"/>
                <w:szCs w:val="18"/>
              </w:rPr>
            </w:pPr>
            <w:r w:rsidRPr="00DB5DCF">
              <w:rPr>
                <w:color w:val="auto"/>
                <w:szCs w:val="18"/>
              </w:rPr>
              <w:t>−</w:t>
            </w:r>
            <w:r w:rsidR="00997FF1" w:rsidRPr="00DB5DCF">
              <w:rPr>
                <w:color w:val="auto"/>
                <w:szCs w:val="18"/>
              </w:rPr>
              <w:t>3.58</w:t>
            </w:r>
          </w:p>
        </w:tc>
        <w:tc>
          <w:tcPr>
            <w:tcW w:w="229" w:type="pct"/>
            <w:tcBorders>
              <w:top w:val="nil"/>
              <w:left w:val="nil"/>
              <w:bottom w:val="single" w:sz="4" w:space="0" w:color="auto"/>
              <w:right w:val="nil"/>
            </w:tcBorders>
            <w:shd w:val="clear" w:color="auto" w:fill="auto"/>
            <w:vAlign w:val="center"/>
          </w:tcPr>
          <w:p w14:paraId="1CDA016E" w14:textId="085F8088" w:rsidR="00997FF1" w:rsidRPr="00DB5DCF" w:rsidRDefault="00997FF1" w:rsidP="001A1D0B">
            <w:pPr>
              <w:autoSpaceDE w:val="0"/>
              <w:autoSpaceDN w:val="0"/>
              <w:adjustRightInd w:val="0"/>
              <w:snapToGrid w:val="0"/>
              <w:spacing w:line="240" w:lineRule="auto"/>
              <w:jc w:val="center"/>
              <w:rPr>
                <w:color w:val="auto"/>
                <w:szCs w:val="18"/>
              </w:rPr>
            </w:pPr>
            <w:r w:rsidRPr="00DB5DCF">
              <w:rPr>
                <w:color w:val="auto"/>
                <w:szCs w:val="18"/>
              </w:rPr>
              <w:t>&lt;</w:t>
            </w:r>
            <w:r w:rsidR="00FC5240" w:rsidRPr="00DB5DCF">
              <w:rPr>
                <w:color w:val="auto"/>
                <w:szCs w:val="18"/>
              </w:rPr>
              <w:t>0</w:t>
            </w:r>
            <w:r w:rsidRPr="00DB5DCF">
              <w:rPr>
                <w:color w:val="auto"/>
                <w:szCs w:val="18"/>
              </w:rPr>
              <w:t>.001</w:t>
            </w:r>
          </w:p>
        </w:tc>
        <w:tc>
          <w:tcPr>
            <w:tcW w:w="227" w:type="pct"/>
            <w:tcBorders>
              <w:top w:val="nil"/>
              <w:left w:val="nil"/>
              <w:bottom w:val="single" w:sz="4" w:space="0" w:color="auto"/>
              <w:right w:val="nil"/>
            </w:tcBorders>
            <w:shd w:val="clear" w:color="auto" w:fill="auto"/>
            <w:vAlign w:val="center"/>
          </w:tcPr>
          <w:p w14:paraId="72759AAC" w14:textId="53C46906" w:rsidR="00997FF1" w:rsidRPr="00DB5DCF" w:rsidRDefault="0027678A" w:rsidP="001A1D0B">
            <w:pPr>
              <w:autoSpaceDE w:val="0"/>
              <w:autoSpaceDN w:val="0"/>
              <w:adjustRightInd w:val="0"/>
              <w:snapToGrid w:val="0"/>
              <w:spacing w:line="240" w:lineRule="auto"/>
              <w:jc w:val="center"/>
              <w:rPr>
                <w:color w:val="auto"/>
                <w:szCs w:val="18"/>
              </w:rPr>
            </w:pPr>
            <w:r w:rsidRPr="00DB5DCF">
              <w:rPr>
                <w:color w:val="auto"/>
                <w:szCs w:val="18"/>
              </w:rPr>
              <w:t>−</w:t>
            </w:r>
            <w:r w:rsidR="00FC5240" w:rsidRPr="00DB5DCF">
              <w:rPr>
                <w:color w:val="auto"/>
                <w:szCs w:val="18"/>
              </w:rPr>
              <w:t>0</w:t>
            </w:r>
            <w:r w:rsidR="00997FF1" w:rsidRPr="00DB5DCF">
              <w:rPr>
                <w:color w:val="auto"/>
                <w:szCs w:val="18"/>
              </w:rPr>
              <w:t>.23</w:t>
            </w:r>
          </w:p>
        </w:tc>
        <w:tc>
          <w:tcPr>
            <w:tcW w:w="228" w:type="pct"/>
            <w:tcBorders>
              <w:top w:val="nil"/>
              <w:left w:val="nil"/>
              <w:bottom w:val="single" w:sz="4" w:space="0" w:color="auto"/>
              <w:right w:val="nil"/>
            </w:tcBorders>
            <w:shd w:val="clear" w:color="auto" w:fill="auto"/>
            <w:vAlign w:val="center"/>
          </w:tcPr>
          <w:p w14:paraId="24BB9DCA" w14:textId="19334C60" w:rsidR="00997FF1" w:rsidRPr="00DB5DCF" w:rsidRDefault="0027678A" w:rsidP="001A1D0B">
            <w:pPr>
              <w:autoSpaceDE w:val="0"/>
              <w:autoSpaceDN w:val="0"/>
              <w:adjustRightInd w:val="0"/>
              <w:snapToGrid w:val="0"/>
              <w:spacing w:line="240" w:lineRule="auto"/>
              <w:jc w:val="center"/>
              <w:rPr>
                <w:color w:val="auto"/>
                <w:szCs w:val="18"/>
              </w:rPr>
            </w:pPr>
            <w:r w:rsidRPr="00DB5DCF">
              <w:rPr>
                <w:color w:val="auto"/>
                <w:szCs w:val="18"/>
              </w:rPr>
              <w:t>−</w:t>
            </w:r>
            <w:r w:rsidR="00997FF1" w:rsidRPr="00DB5DCF">
              <w:rPr>
                <w:color w:val="auto"/>
                <w:szCs w:val="18"/>
              </w:rPr>
              <w:t>1.01 (0.32)</w:t>
            </w:r>
          </w:p>
        </w:tc>
        <w:tc>
          <w:tcPr>
            <w:tcW w:w="227" w:type="pct"/>
            <w:tcBorders>
              <w:top w:val="nil"/>
              <w:left w:val="nil"/>
              <w:bottom w:val="single" w:sz="4" w:space="0" w:color="auto"/>
              <w:right w:val="nil"/>
            </w:tcBorders>
            <w:shd w:val="clear" w:color="auto" w:fill="auto"/>
            <w:vAlign w:val="center"/>
          </w:tcPr>
          <w:p w14:paraId="4CA11809" w14:textId="59272F5F" w:rsidR="00997FF1" w:rsidRPr="00DB5DCF" w:rsidRDefault="0027678A" w:rsidP="001A1D0B">
            <w:pPr>
              <w:autoSpaceDE w:val="0"/>
              <w:autoSpaceDN w:val="0"/>
              <w:adjustRightInd w:val="0"/>
              <w:snapToGrid w:val="0"/>
              <w:spacing w:line="240" w:lineRule="auto"/>
              <w:jc w:val="center"/>
              <w:rPr>
                <w:color w:val="auto"/>
                <w:szCs w:val="18"/>
              </w:rPr>
            </w:pPr>
            <w:r w:rsidRPr="00DB5DCF">
              <w:rPr>
                <w:color w:val="auto"/>
                <w:szCs w:val="18"/>
              </w:rPr>
              <w:t>−</w:t>
            </w:r>
            <w:r w:rsidR="00997FF1" w:rsidRPr="00DB5DCF">
              <w:rPr>
                <w:color w:val="auto"/>
                <w:szCs w:val="18"/>
              </w:rPr>
              <w:t xml:space="preserve">1.64, </w:t>
            </w:r>
          </w:p>
          <w:p w14:paraId="5B240050" w14:textId="774D57A2" w:rsidR="00997FF1" w:rsidRPr="00DB5DCF" w:rsidRDefault="0027678A" w:rsidP="001A1D0B">
            <w:pPr>
              <w:autoSpaceDE w:val="0"/>
              <w:autoSpaceDN w:val="0"/>
              <w:adjustRightInd w:val="0"/>
              <w:snapToGrid w:val="0"/>
              <w:spacing w:line="240" w:lineRule="auto"/>
              <w:jc w:val="center"/>
              <w:rPr>
                <w:color w:val="auto"/>
                <w:szCs w:val="18"/>
              </w:rPr>
            </w:pPr>
            <w:r w:rsidRPr="00DB5DCF">
              <w:rPr>
                <w:color w:val="auto"/>
                <w:szCs w:val="18"/>
              </w:rPr>
              <w:t>−</w:t>
            </w:r>
            <w:r w:rsidR="00997FF1" w:rsidRPr="00DB5DCF">
              <w:rPr>
                <w:color w:val="auto"/>
                <w:szCs w:val="18"/>
              </w:rPr>
              <w:t>0.39</w:t>
            </w:r>
          </w:p>
        </w:tc>
        <w:tc>
          <w:tcPr>
            <w:tcW w:w="231" w:type="pct"/>
            <w:tcBorders>
              <w:top w:val="nil"/>
              <w:left w:val="nil"/>
              <w:bottom w:val="single" w:sz="4" w:space="0" w:color="auto"/>
              <w:right w:val="nil"/>
            </w:tcBorders>
            <w:shd w:val="clear" w:color="auto" w:fill="auto"/>
            <w:vAlign w:val="center"/>
          </w:tcPr>
          <w:p w14:paraId="0F2CDE3F" w14:textId="228B7D16" w:rsidR="00997FF1" w:rsidRPr="00DB5DCF" w:rsidRDefault="0048167C" w:rsidP="001A1D0B">
            <w:pPr>
              <w:autoSpaceDE w:val="0"/>
              <w:autoSpaceDN w:val="0"/>
              <w:adjustRightInd w:val="0"/>
              <w:snapToGrid w:val="0"/>
              <w:spacing w:line="240" w:lineRule="auto"/>
              <w:jc w:val="center"/>
              <w:rPr>
                <w:color w:val="auto"/>
                <w:szCs w:val="18"/>
              </w:rPr>
            </w:pPr>
            <w:r w:rsidRPr="00DB5DCF">
              <w:rPr>
                <w:color w:val="auto"/>
                <w:szCs w:val="18"/>
              </w:rPr>
              <w:t>−</w:t>
            </w:r>
            <w:r w:rsidR="00997FF1" w:rsidRPr="00DB5DCF">
              <w:rPr>
                <w:color w:val="auto"/>
                <w:szCs w:val="18"/>
              </w:rPr>
              <w:t>3.20</w:t>
            </w:r>
          </w:p>
        </w:tc>
        <w:tc>
          <w:tcPr>
            <w:tcW w:w="230" w:type="pct"/>
            <w:tcBorders>
              <w:top w:val="nil"/>
              <w:left w:val="nil"/>
              <w:bottom w:val="single" w:sz="4" w:space="0" w:color="auto"/>
              <w:right w:val="nil"/>
            </w:tcBorders>
            <w:shd w:val="clear" w:color="auto" w:fill="auto"/>
            <w:vAlign w:val="center"/>
          </w:tcPr>
          <w:p w14:paraId="4756E0EA" w14:textId="02E579C6" w:rsidR="00997FF1" w:rsidRPr="00DB5DCF" w:rsidRDefault="00FC5240" w:rsidP="001A1D0B">
            <w:pPr>
              <w:autoSpaceDE w:val="0"/>
              <w:autoSpaceDN w:val="0"/>
              <w:adjustRightInd w:val="0"/>
              <w:snapToGrid w:val="0"/>
              <w:spacing w:line="240" w:lineRule="auto"/>
              <w:jc w:val="center"/>
              <w:rPr>
                <w:color w:val="auto"/>
                <w:szCs w:val="18"/>
              </w:rPr>
            </w:pPr>
            <w:r w:rsidRPr="00DB5DCF">
              <w:rPr>
                <w:color w:val="auto"/>
                <w:szCs w:val="18"/>
              </w:rPr>
              <w:t>0</w:t>
            </w:r>
            <w:r w:rsidR="00997FF1" w:rsidRPr="00DB5DCF">
              <w:rPr>
                <w:color w:val="auto"/>
                <w:szCs w:val="18"/>
              </w:rPr>
              <w:t>.002</w:t>
            </w:r>
          </w:p>
        </w:tc>
        <w:tc>
          <w:tcPr>
            <w:tcW w:w="228" w:type="pct"/>
            <w:tcBorders>
              <w:top w:val="nil"/>
              <w:left w:val="nil"/>
              <w:bottom w:val="single" w:sz="4" w:space="0" w:color="auto"/>
              <w:right w:val="nil"/>
            </w:tcBorders>
            <w:shd w:val="clear" w:color="auto" w:fill="auto"/>
            <w:vAlign w:val="center"/>
          </w:tcPr>
          <w:p w14:paraId="6AFF5C87" w14:textId="31E383BC" w:rsidR="00997FF1" w:rsidRPr="00DB5DCF" w:rsidRDefault="0048167C" w:rsidP="001A1D0B">
            <w:pPr>
              <w:autoSpaceDE w:val="0"/>
              <w:autoSpaceDN w:val="0"/>
              <w:adjustRightInd w:val="0"/>
              <w:snapToGrid w:val="0"/>
              <w:spacing w:line="240" w:lineRule="auto"/>
              <w:jc w:val="center"/>
              <w:rPr>
                <w:color w:val="auto"/>
                <w:szCs w:val="18"/>
              </w:rPr>
            </w:pPr>
            <w:r w:rsidRPr="00DB5DCF">
              <w:rPr>
                <w:color w:val="auto"/>
                <w:szCs w:val="18"/>
              </w:rPr>
              <w:t>−</w:t>
            </w:r>
            <w:r w:rsidR="00FC5240" w:rsidRPr="00DB5DCF">
              <w:rPr>
                <w:color w:val="auto"/>
                <w:szCs w:val="18"/>
              </w:rPr>
              <w:t>0</w:t>
            </w:r>
            <w:r w:rsidR="00997FF1" w:rsidRPr="00DB5DCF">
              <w:rPr>
                <w:color w:val="auto"/>
                <w:szCs w:val="18"/>
              </w:rPr>
              <w:t>.18</w:t>
            </w:r>
          </w:p>
        </w:tc>
        <w:tc>
          <w:tcPr>
            <w:tcW w:w="227" w:type="pct"/>
            <w:tcBorders>
              <w:top w:val="nil"/>
              <w:left w:val="nil"/>
              <w:bottom w:val="single" w:sz="4" w:space="0" w:color="auto"/>
              <w:right w:val="nil"/>
            </w:tcBorders>
            <w:shd w:val="clear" w:color="auto" w:fill="auto"/>
            <w:vAlign w:val="center"/>
          </w:tcPr>
          <w:p w14:paraId="618D99FB" w14:textId="6F53039A" w:rsidR="00997FF1" w:rsidRPr="00DB5DCF" w:rsidRDefault="0048167C" w:rsidP="001A1D0B">
            <w:pPr>
              <w:autoSpaceDE w:val="0"/>
              <w:autoSpaceDN w:val="0"/>
              <w:adjustRightInd w:val="0"/>
              <w:snapToGrid w:val="0"/>
              <w:spacing w:line="240" w:lineRule="auto"/>
              <w:jc w:val="center"/>
              <w:rPr>
                <w:color w:val="auto"/>
                <w:szCs w:val="18"/>
              </w:rPr>
            </w:pPr>
            <w:r w:rsidRPr="00DB5DCF">
              <w:rPr>
                <w:color w:val="auto"/>
                <w:szCs w:val="18"/>
              </w:rPr>
              <w:t>−</w:t>
            </w:r>
            <w:r w:rsidR="00997FF1" w:rsidRPr="00DB5DCF">
              <w:rPr>
                <w:color w:val="auto"/>
                <w:szCs w:val="18"/>
              </w:rPr>
              <w:t>0.73, 0.36</w:t>
            </w:r>
          </w:p>
        </w:tc>
        <w:tc>
          <w:tcPr>
            <w:tcW w:w="228" w:type="pct"/>
            <w:tcBorders>
              <w:top w:val="nil"/>
              <w:left w:val="nil"/>
              <w:bottom w:val="single" w:sz="4" w:space="0" w:color="auto"/>
              <w:right w:val="nil"/>
            </w:tcBorders>
            <w:shd w:val="clear" w:color="auto" w:fill="auto"/>
            <w:vAlign w:val="center"/>
          </w:tcPr>
          <w:p w14:paraId="1059249A" w14:textId="3D84F3A7" w:rsidR="00997FF1" w:rsidRPr="00DB5DCF" w:rsidRDefault="0048167C" w:rsidP="001A1D0B">
            <w:pPr>
              <w:autoSpaceDE w:val="0"/>
              <w:autoSpaceDN w:val="0"/>
              <w:adjustRightInd w:val="0"/>
              <w:snapToGrid w:val="0"/>
              <w:spacing w:line="240" w:lineRule="auto"/>
              <w:jc w:val="center"/>
              <w:rPr>
                <w:color w:val="auto"/>
                <w:szCs w:val="18"/>
              </w:rPr>
            </w:pPr>
            <w:r w:rsidRPr="00DB5DCF">
              <w:rPr>
                <w:color w:val="auto"/>
                <w:szCs w:val="18"/>
              </w:rPr>
              <w:t>−</w:t>
            </w:r>
            <w:r w:rsidR="00997FF1" w:rsidRPr="00DB5DCF">
              <w:rPr>
                <w:color w:val="auto"/>
                <w:szCs w:val="18"/>
              </w:rPr>
              <w:t xml:space="preserve">1.45, </w:t>
            </w:r>
          </w:p>
          <w:p w14:paraId="46DDE96F" w14:textId="578AE7CE" w:rsidR="00997FF1" w:rsidRPr="00DB5DCF" w:rsidRDefault="0048167C" w:rsidP="001A1D0B">
            <w:pPr>
              <w:autoSpaceDE w:val="0"/>
              <w:autoSpaceDN w:val="0"/>
              <w:adjustRightInd w:val="0"/>
              <w:snapToGrid w:val="0"/>
              <w:spacing w:line="240" w:lineRule="auto"/>
              <w:jc w:val="center"/>
              <w:rPr>
                <w:color w:val="auto"/>
                <w:szCs w:val="18"/>
              </w:rPr>
            </w:pPr>
            <w:r w:rsidRPr="00DB5DCF">
              <w:rPr>
                <w:color w:val="auto"/>
                <w:szCs w:val="18"/>
              </w:rPr>
              <w:t>−</w:t>
            </w:r>
            <w:r w:rsidR="00997FF1" w:rsidRPr="00DB5DCF">
              <w:rPr>
                <w:color w:val="auto"/>
                <w:szCs w:val="18"/>
              </w:rPr>
              <w:t>0.02</w:t>
            </w:r>
          </w:p>
        </w:tc>
        <w:tc>
          <w:tcPr>
            <w:tcW w:w="231" w:type="pct"/>
            <w:tcBorders>
              <w:top w:val="nil"/>
              <w:left w:val="nil"/>
              <w:bottom w:val="single" w:sz="4" w:space="0" w:color="auto"/>
              <w:right w:val="nil"/>
            </w:tcBorders>
            <w:shd w:val="clear" w:color="auto" w:fill="auto"/>
            <w:vAlign w:val="center"/>
          </w:tcPr>
          <w:p w14:paraId="4A5117B9" w14:textId="1A1B0834" w:rsidR="00997FF1" w:rsidRPr="00DB5DCF" w:rsidRDefault="0048167C" w:rsidP="001A1D0B">
            <w:pPr>
              <w:autoSpaceDE w:val="0"/>
              <w:autoSpaceDN w:val="0"/>
              <w:adjustRightInd w:val="0"/>
              <w:snapToGrid w:val="0"/>
              <w:spacing w:line="240" w:lineRule="auto"/>
              <w:jc w:val="center"/>
              <w:rPr>
                <w:color w:val="auto"/>
                <w:szCs w:val="18"/>
              </w:rPr>
            </w:pPr>
            <w:r w:rsidRPr="00DB5DCF">
              <w:rPr>
                <w:color w:val="auto"/>
                <w:szCs w:val="18"/>
              </w:rPr>
              <w:t>−</w:t>
            </w:r>
            <w:r w:rsidR="00997FF1" w:rsidRPr="00DB5DCF">
              <w:rPr>
                <w:color w:val="auto"/>
                <w:szCs w:val="18"/>
              </w:rPr>
              <w:t>2.04</w:t>
            </w:r>
          </w:p>
        </w:tc>
        <w:tc>
          <w:tcPr>
            <w:tcW w:w="230" w:type="pct"/>
            <w:tcBorders>
              <w:top w:val="nil"/>
              <w:left w:val="nil"/>
              <w:bottom w:val="single" w:sz="4" w:space="0" w:color="auto"/>
              <w:right w:val="nil"/>
            </w:tcBorders>
            <w:shd w:val="clear" w:color="auto" w:fill="auto"/>
            <w:vAlign w:val="center"/>
          </w:tcPr>
          <w:p w14:paraId="2407EA3A" w14:textId="417AF06E" w:rsidR="00997FF1" w:rsidRPr="00DB5DCF" w:rsidRDefault="00FC5240" w:rsidP="001A1D0B">
            <w:pPr>
              <w:autoSpaceDE w:val="0"/>
              <w:autoSpaceDN w:val="0"/>
              <w:adjustRightInd w:val="0"/>
              <w:snapToGrid w:val="0"/>
              <w:spacing w:line="240" w:lineRule="auto"/>
              <w:jc w:val="center"/>
              <w:rPr>
                <w:color w:val="auto"/>
                <w:szCs w:val="18"/>
              </w:rPr>
            </w:pPr>
            <w:r w:rsidRPr="00DB5DCF">
              <w:rPr>
                <w:color w:val="auto"/>
                <w:szCs w:val="18"/>
              </w:rPr>
              <w:t>0</w:t>
            </w:r>
            <w:r w:rsidR="00997FF1" w:rsidRPr="00DB5DCF">
              <w:rPr>
                <w:color w:val="auto"/>
                <w:szCs w:val="18"/>
              </w:rPr>
              <w:t>.043</w:t>
            </w:r>
          </w:p>
        </w:tc>
        <w:tc>
          <w:tcPr>
            <w:tcW w:w="227" w:type="pct"/>
            <w:tcBorders>
              <w:top w:val="nil"/>
              <w:left w:val="nil"/>
              <w:bottom w:val="single" w:sz="4" w:space="0" w:color="auto"/>
              <w:right w:val="nil"/>
            </w:tcBorders>
            <w:shd w:val="clear" w:color="auto" w:fill="auto"/>
            <w:vAlign w:val="center"/>
          </w:tcPr>
          <w:p w14:paraId="5EB17AA0" w14:textId="67F1DADD" w:rsidR="00997FF1" w:rsidRPr="00DB5DCF" w:rsidRDefault="0048167C" w:rsidP="001A1D0B">
            <w:pPr>
              <w:autoSpaceDE w:val="0"/>
              <w:autoSpaceDN w:val="0"/>
              <w:adjustRightInd w:val="0"/>
              <w:snapToGrid w:val="0"/>
              <w:spacing w:line="240" w:lineRule="auto"/>
              <w:jc w:val="center"/>
              <w:rPr>
                <w:color w:val="auto"/>
                <w:szCs w:val="18"/>
              </w:rPr>
            </w:pPr>
            <w:r w:rsidRPr="00DB5DCF">
              <w:rPr>
                <w:color w:val="auto"/>
                <w:szCs w:val="18"/>
              </w:rPr>
              <w:t>−</w:t>
            </w:r>
            <w:r w:rsidR="00FC5240" w:rsidRPr="00DB5DCF">
              <w:rPr>
                <w:color w:val="auto"/>
                <w:szCs w:val="18"/>
              </w:rPr>
              <w:t>0</w:t>
            </w:r>
            <w:r w:rsidR="00997FF1" w:rsidRPr="00DB5DCF">
              <w:rPr>
                <w:color w:val="auto"/>
                <w:szCs w:val="18"/>
              </w:rPr>
              <w:t>.23</w:t>
            </w:r>
          </w:p>
        </w:tc>
        <w:tc>
          <w:tcPr>
            <w:tcW w:w="228" w:type="pct"/>
            <w:tcBorders>
              <w:top w:val="nil"/>
              <w:left w:val="nil"/>
              <w:bottom w:val="single" w:sz="4" w:space="0" w:color="auto"/>
              <w:right w:val="nil"/>
            </w:tcBorders>
            <w:shd w:val="clear" w:color="auto" w:fill="auto"/>
            <w:vAlign w:val="center"/>
          </w:tcPr>
          <w:p w14:paraId="59BA37DF" w14:textId="1F707388" w:rsidR="00997FF1" w:rsidRPr="00DB5DCF" w:rsidRDefault="0048167C" w:rsidP="001A1D0B">
            <w:pPr>
              <w:autoSpaceDE w:val="0"/>
              <w:autoSpaceDN w:val="0"/>
              <w:adjustRightInd w:val="0"/>
              <w:snapToGrid w:val="0"/>
              <w:spacing w:line="240" w:lineRule="auto"/>
              <w:jc w:val="center"/>
              <w:rPr>
                <w:color w:val="auto"/>
                <w:szCs w:val="18"/>
              </w:rPr>
            </w:pPr>
            <w:r w:rsidRPr="00DB5DCF">
              <w:rPr>
                <w:color w:val="auto"/>
                <w:szCs w:val="18"/>
              </w:rPr>
              <w:t>−</w:t>
            </w:r>
            <w:r w:rsidR="00997FF1" w:rsidRPr="00DB5DCF">
              <w:rPr>
                <w:color w:val="auto"/>
                <w:szCs w:val="18"/>
              </w:rPr>
              <w:t>0.97 (0.42)</w:t>
            </w:r>
          </w:p>
        </w:tc>
        <w:tc>
          <w:tcPr>
            <w:tcW w:w="228" w:type="pct"/>
            <w:tcBorders>
              <w:top w:val="nil"/>
              <w:left w:val="nil"/>
              <w:bottom w:val="single" w:sz="4" w:space="0" w:color="auto"/>
              <w:right w:val="nil"/>
            </w:tcBorders>
            <w:shd w:val="clear" w:color="auto" w:fill="auto"/>
            <w:vAlign w:val="center"/>
          </w:tcPr>
          <w:p w14:paraId="57FE477E" w14:textId="34FA3D1E" w:rsidR="00997FF1" w:rsidRPr="00DB5DCF" w:rsidRDefault="0048167C" w:rsidP="001A1D0B">
            <w:pPr>
              <w:autoSpaceDE w:val="0"/>
              <w:autoSpaceDN w:val="0"/>
              <w:adjustRightInd w:val="0"/>
              <w:snapToGrid w:val="0"/>
              <w:spacing w:line="240" w:lineRule="auto"/>
              <w:jc w:val="center"/>
              <w:rPr>
                <w:color w:val="auto"/>
                <w:szCs w:val="18"/>
              </w:rPr>
            </w:pPr>
            <w:r w:rsidRPr="00DB5DCF">
              <w:rPr>
                <w:color w:val="auto"/>
                <w:szCs w:val="18"/>
              </w:rPr>
              <w:t>−</w:t>
            </w:r>
            <w:r w:rsidR="00997FF1" w:rsidRPr="00DB5DCF">
              <w:rPr>
                <w:color w:val="auto"/>
                <w:szCs w:val="18"/>
              </w:rPr>
              <w:t xml:space="preserve">1.81, </w:t>
            </w:r>
            <w:r w:rsidRPr="00DB5DCF">
              <w:rPr>
                <w:color w:val="auto"/>
                <w:szCs w:val="18"/>
              </w:rPr>
              <w:t>−</w:t>
            </w:r>
            <w:r w:rsidR="00997FF1" w:rsidRPr="00DB5DCF">
              <w:rPr>
                <w:color w:val="auto"/>
                <w:szCs w:val="18"/>
              </w:rPr>
              <w:t>0.14</w:t>
            </w:r>
          </w:p>
        </w:tc>
        <w:tc>
          <w:tcPr>
            <w:tcW w:w="232" w:type="pct"/>
            <w:tcBorders>
              <w:top w:val="nil"/>
              <w:left w:val="nil"/>
              <w:bottom w:val="single" w:sz="4" w:space="0" w:color="auto"/>
              <w:right w:val="nil"/>
            </w:tcBorders>
            <w:shd w:val="clear" w:color="auto" w:fill="auto"/>
            <w:vAlign w:val="center"/>
          </w:tcPr>
          <w:p w14:paraId="510992AD" w14:textId="5BE3FA08" w:rsidR="00997FF1" w:rsidRPr="00DB5DCF" w:rsidRDefault="0048167C" w:rsidP="001A1D0B">
            <w:pPr>
              <w:autoSpaceDE w:val="0"/>
              <w:autoSpaceDN w:val="0"/>
              <w:adjustRightInd w:val="0"/>
              <w:snapToGrid w:val="0"/>
              <w:spacing w:line="240" w:lineRule="auto"/>
              <w:jc w:val="center"/>
              <w:rPr>
                <w:color w:val="auto"/>
                <w:szCs w:val="18"/>
              </w:rPr>
            </w:pPr>
            <w:r w:rsidRPr="00DB5DCF">
              <w:rPr>
                <w:color w:val="auto"/>
                <w:szCs w:val="18"/>
              </w:rPr>
              <w:t>−</w:t>
            </w:r>
            <w:r w:rsidR="00997FF1" w:rsidRPr="00DB5DCF">
              <w:rPr>
                <w:color w:val="auto"/>
                <w:szCs w:val="18"/>
              </w:rPr>
              <w:t>2.32</w:t>
            </w:r>
          </w:p>
        </w:tc>
        <w:tc>
          <w:tcPr>
            <w:tcW w:w="228" w:type="pct"/>
            <w:tcBorders>
              <w:top w:val="nil"/>
              <w:left w:val="nil"/>
              <w:bottom w:val="single" w:sz="4" w:space="0" w:color="auto"/>
              <w:right w:val="nil"/>
            </w:tcBorders>
            <w:shd w:val="clear" w:color="auto" w:fill="auto"/>
            <w:vAlign w:val="center"/>
          </w:tcPr>
          <w:p w14:paraId="774CD1E2" w14:textId="66002C6E" w:rsidR="00997FF1" w:rsidRPr="00DB5DCF" w:rsidRDefault="00FC5240" w:rsidP="001A1D0B">
            <w:pPr>
              <w:autoSpaceDE w:val="0"/>
              <w:autoSpaceDN w:val="0"/>
              <w:adjustRightInd w:val="0"/>
              <w:snapToGrid w:val="0"/>
              <w:spacing w:line="240" w:lineRule="auto"/>
              <w:jc w:val="center"/>
              <w:rPr>
                <w:color w:val="auto"/>
                <w:szCs w:val="18"/>
              </w:rPr>
            </w:pPr>
            <w:r w:rsidRPr="00DB5DCF">
              <w:rPr>
                <w:color w:val="auto"/>
                <w:szCs w:val="18"/>
              </w:rPr>
              <w:t>0</w:t>
            </w:r>
            <w:r w:rsidR="00997FF1" w:rsidRPr="00DB5DCF">
              <w:rPr>
                <w:color w:val="auto"/>
                <w:szCs w:val="18"/>
              </w:rPr>
              <w:t>.022</w:t>
            </w:r>
          </w:p>
        </w:tc>
      </w:tr>
      <w:tr w:rsidR="001A1D0B" w:rsidRPr="00DB5DCF" w14:paraId="01C6B2D4" w14:textId="77777777" w:rsidTr="00197328">
        <w:trPr>
          <w:cantSplit/>
          <w:jc w:val="center"/>
        </w:trPr>
        <w:tc>
          <w:tcPr>
            <w:tcW w:w="431" w:type="pct"/>
            <w:tcBorders>
              <w:top w:val="single" w:sz="4" w:space="0" w:color="auto"/>
              <w:left w:val="nil"/>
              <w:bottom w:val="single" w:sz="8" w:space="0" w:color="auto"/>
              <w:right w:val="nil"/>
            </w:tcBorders>
            <w:shd w:val="clear" w:color="auto" w:fill="auto"/>
            <w:vAlign w:val="center"/>
          </w:tcPr>
          <w:p w14:paraId="3EECF576" w14:textId="77777777" w:rsidR="00997FF1" w:rsidRPr="00DB5DCF" w:rsidRDefault="00997FF1" w:rsidP="001A1D0B">
            <w:pPr>
              <w:autoSpaceDE w:val="0"/>
              <w:autoSpaceDN w:val="0"/>
              <w:adjustRightInd w:val="0"/>
              <w:snapToGrid w:val="0"/>
              <w:spacing w:line="240" w:lineRule="auto"/>
              <w:jc w:val="center"/>
              <w:rPr>
                <w:color w:val="auto"/>
                <w:szCs w:val="18"/>
              </w:rPr>
            </w:pPr>
            <w:r w:rsidRPr="00DB5DCF">
              <w:rPr>
                <w:color w:val="auto"/>
                <w:szCs w:val="18"/>
              </w:rPr>
              <w:t>Model:</w:t>
            </w:r>
          </w:p>
        </w:tc>
        <w:tc>
          <w:tcPr>
            <w:tcW w:w="225" w:type="pct"/>
            <w:tcBorders>
              <w:top w:val="single" w:sz="4" w:space="0" w:color="auto"/>
              <w:left w:val="nil"/>
              <w:bottom w:val="single" w:sz="8" w:space="0" w:color="auto"/>
              <w:right w:val="nil"/>
            </w:tcBorders>
            <w:shd w:val="clear" w:color="auto" w:fill="auto"/>
            <w:vAlign w:val="center"/>
          </w:tcPr>
          <w:p w14:paraId="23919206" w14:textId="77777777" w:rsidR="00997FF1" w:rsidRPr="00DB5DCF" w:rsidRDefault="00997FF1" w:rsidP="001A1D0B">
            <w:pPr>
              <w:autoSpaceDE w:val="0"/>
              <w:autoSpaceDN w:val="0"/>
              <w:adjustRightInd w:val="0"/>
              <w:snapToGrid w:val="0"/>
              <w:spacing w:line="240" w:lineRule="auto"/>
              <w:jc w:val="center"/>
              <w:rPr>
                <w:color w:val="auto"/>
                <w:szCs w:val="18"/>
              </w:rPr>
            </w:pPr>
          </w:p>
        </w:tc>
        <w:tc>
          <w:tcPr>
            <w:tcW w:w="911" w:type="pct"/>
            <w:gridSpan w:val="4"/>
            <w:tcBorders>
              <w:top w:val="single" w:sz="4" w:space="0" w:color="auto"/>
              <w:left w:val="nil"/>
              <w:bottom w:val="single" w:sz="8" w:space="0" w:color="auto"/>
              <w:right w:val="nil"/>
            </w:tcBorders>
            <w:shd w:val="clear" w:color="auto" w:fill="auto"/>
            <w:vAlign w:val="center"/>
          </w:tcPr>
          <w:p w14:paraId="229BC813" w14:textId="512D0749" w:rsidR="00997FF1" w:rsidRPr="00DB5DCF" w:rsidRDefault="00997FF1" w:rsidP="001A1D0B">
            <w:pPr>
              <w:autoSpaceDE w:val="0"/>
              <w:autoSpaceDN w:val="0"/>
              <w:adjustRightInd w:val="0"/>
              <w:snapToGrid w:val="0"/>
              <w:spacing w:line="240" w:lineRule="auto"/>
              <w:jc w:val="center"/>
              <w:rPr>
                <w:color w:val="auto"/>
                <w:szCs w:val="18"/>
              </w:rPr>
            </w:pPr>
            <w:r w:rsidRPr="00DB5DCF">
              <w:rPr>
                <w:i/>
                <w:iCs/>
                <w:color w:val="auto"/>
                <w:szCs w:val="18"/>
              </w:rPr>
              <w:t>R</w:t>
            </w:r>
            <w:r w:rsidRPr="00DB5DCF">
              <w:rPr>
                <w:color w:val="auto"/>
                <w:szCs w:val="18"/>
                <w:vertAlign w:val="superscript"/>
              </w:rPr>
              <w:t>2</w:t>
            </w:r>
            <w:r w:rsidR="00FC5240" w:rsidRPr="00DB5DCF">
              <w:rPr>
                <w:color w:val="auto"/>
                <w:szCs w:val="18"/>
                <w:vertAlign w:val="superscript"/>
              </w:rPr>
              <w:t xml:space="preserve"> </w:t>
            </w:r>
            <w:r w:rsidRPr="00DB5DCF">
              <w:rPr>
                <w:color w:val="auto"/>
                <w:szCs w:val="18"/>
              </w:rPr>
              <w:t>=</w:t>
            </w:r>
            <w:r w:rsidR="00196547" w:rsidRPr="00DB5DCF">
              <w:rPr>
                <w:color w:val="auto"/>
                <w:szCs w:val="18"/>
              </w:rPr>
              <w:t xml:space="preserve"> 0.</w:t>
            </w:r>
            <w:r w:rsidRPr="00DB5DCF">
              <w:rPr>
                <w:color w:val="auto"/>
                <w:szCs w:val="18"/>
              </w:rPr>
              <w:t xml:space="preserve">08, </w:t>
            </w:r>
            <w:r w:rsidRPr="00DB5DCF">
              <w:rPr>
                <w:i/>
                <w:iCs/>
                <w:color w:val="auto"/>
                <w:szCs w:val="18"/>
              </w:rPr>
              <w:t>F</w:t>
            </w:r>
            <w:r w:rsidRPr="00DB5DCF">
              <w:rPr>
                <w:color w:val="auto"/>
                <w:szCs w:val="18"/>
              </w:rPr>
              <w:t xml:space="preserve"> (4,</w:t>
            </w:r>
            <w:r w:rsidR="00FC5240" w:rsidRPr="00DB5DCF">
              <w:rPr>
                <w:color w:val="auto"/>
                <w:szCs w:val="18"/>
              </w:rPr>
              <w:t xml:space="preserve"> </w:t>
            </w:r>
            <w:r w:rsidRPr="00DB5DCF">
              <w:rPr>
                <w:color w:val="auto"/>
                <w:szCs w:val="18"/>
              </w:rPr>
              <w:t>289) = 6.66</w:t>
            </w:r>
            <w:r w:rsidR="00FC5240" w:rsidRPr="00DB5DCF">
              <w:rPr>
                <w:color w:val="auto"/>
                <w:szCs w:val="18"/>
              </w:rPr>
              <w:t xml:space="preserve"> </w:t>
            </w:r>
            <w:r w:rsidRPr="00DB5DCF">
              <w:rPr>
                <w:color w:val="auto"/>
                <w:szCs w:val="18"/>
              </w:rPr>
              <w:t xml:space="preserve">*** </w:t>
            </w:r>
          </w:p>
        </w:tc>
        <w:tc>
          <w:tcPr>
            <w:tcW w:w="227" w:type="pct"/>
            <w:tcBorders>
              <w:top w:val="single" w:sz="4" w:space="0" w:color="auto"/>
              <w:left w:val="nil"/>
              <w:bottom w:val="single" w:sz="8" w:space="0" w:color="auto"/>
              <w:right w:val="nil"/>
            </w:tcBorders>
            <w:shd w:val="clear" w:color="auto" w:fill="auto"/>
            <w:vAlign w:val="center"/>
          </w:tcPr>
          <w:p w14:paraId="4D5736DA" w14:textId="77777777" w:rsidR="00997FF1" w:rsidRPr="00DB5DCF" w:rsidRDefault="00997FF1" w:rsidP="001A1D0B">
            <w:pPr>
              <w:autoSpaceDE w:val="0"/>
              <w:autoSpaceDN w:val="0"/>
              <w:adjustRightInd w:val="0"/>
              <w:snapToGrid w:val="0"/>
              <w:spacing w:line="240" w:lineRule="auto"/>
              <w:jc w:val="center"/>
              <w:rPr>
                <w:color w:val="auto"/>
                <w:szCs w:val="18"/>
              </w:rPr>
            </w:pPr>
          </w:p>
        </w:tc>
        <w:tc>
          <w:tcPr>
            <w:tcW w:w="917" w:type="pct"/>
            <w:gridSpan w:val="4"/>
            <w:tcBorders>
              <w:top w:val="single" w:sz="4" w:space="0" w:color="auto"/>
              <w:left w:val="nil"/>
              <w:bottom w:val="single" w:sz="8" w:space="0" w:color="auto"/>
              <w:right w:val="nil"/>
            </w:tcBorders>
            <w:shd w:val="clear" w:color="auto" w:fill="auto"/>
            <w:vAlign w:val="center"/>
          </w:tcPr>
          <w:p w14:paraId="25E01AA5" w14:textId="2CCDF584" w:rsidR="00997FF1" w:rsidRPr="00DB5DCF" w:rsidRDefault="00997FF1" w:rsidP="001A1D0B">
            <w:pPr>
              <w:autoSpaceDE w:val="0"/>
              <w:autoSpaceDN w:val="0"/>
              <w:adjustRightInd w:val="0"/>
              <w:snapToGrid w:val="0"/>
              <w:spacing w:line="240" w:lineRule="auto"/>
              <w:jc w:val="center"/>
              <w:rPr>
                <w:color w:val="auto"/>
                <w:szCs w:val="18"/>
              </w:rPr>
            </w:pPr>
            <w:r w:rsidRPr="00DB5DCF">
              <w:rPr>
                <w:i/>
                <w:iCs/>
                <w:color w:val="auto"/>
                <w:szCs w:val="18"/>
              </w:rPr>
              <w:t>R</w:t>
            </w:r>
            <w:r w:rsidRPr="00DB5DCF">
              <w:rPr>
                <w:color w:val="auto"/>
                <w:szCs w:val="18"/>
                <w:vertAlign w:val="superscript"/>
              </w:rPr>
              <w:t xml:space="preserve">2 </w:t>
            </w:r>
            <w:r w:rsidRPr="00DB5DCF">
              <w:rPr>
                <w:color w:val="auto"/>
                <w:szCs w:val="18"/>
              </w:rPr>
              <w:t>=</w:t>
            </w:r>
            <w:r w:rsidR="00196547" w:rsidRPr="00DB5DCF">
              <w:rPr>
                <w:color w:val="auto"/>
                <w:szCs w:val="18"/>
              </w:rPr>
              <w:t xml:space="preserve"> 0.</w:t>
            </w:r>
            <w:r w:rsidRPr="00DB5DCF">
              <w:rPr>
                <w:color w:val="auto"/>
                <w:szCs w:val="18"/>
              </w:rPr>
              <w:t xml:space="preserve">14, </w:t>
            </w:r>
            <w:r w:rsidRPr="00DB5DCF">
              <w:rPr>
                <w:i/>
                <w:iCs/>
                <w:color w:val="auto"/>
                <w:szCs w:val="18"/>
              </w:rPr>
              <w:t>F</w:t>
            </w:r>
            <w:r w:rsidRPr="00DB5DCF">
              <w:rPr>
                <w:color w:val="auto"/>
                <w:szCs w:val="18"/>
              </w:rPr>
              <w:t xml:space="preserve"> (4,</w:t>
            </w:r>
            <w:r w:rsidR="00AB54F9" w:rsidRPr="00DB5DCF">
              <w:rPr>
                <w:color w:val="auto"/>
                <w:szCs w:val="18"/>
              </w:rPr>
              <w:t xml:space="preserve"> </w:t>
            </w:r>
            <w:r w:rsidRPr="00DB5DCF">
              <w:rPr>
                <w:color w:val="auto"/>
                <w:szCs w:val="18"/>
              </w:rPr>
              <w:t>171) = 7.03</w:t>
            </w:r>
            <w:r w:rsidR="00FC5240" w:rsidRPr="00DB5DCF">
              <w:rPr>
                <w:color w:val="auto"/>
                <w:szCs w:val="18"/>
              </w:rPr>
              <w:t xml:space="preserve"> </w:t>
            </w:r>
            <w:r w:rsidRPr="00DB5DCF">
              <w:rPr>
                <w:color w:val="auto"/>
                <w:szCs w:val="18"/>
              </w:rPr>
              <w:t>***</w:t>
            </w:r>
          </w:p>
        </w:tc>
        <w:tc>
          <w:tcPr>
            <w:tcW w:w="228" w:type="pct"/>
            <w:tcBorders>
              <w:top w:val="single" w:sz="4" w:space="0" w:color="auto"/>
              <w:left w:val="nil"/>
              <w:bottom w:val="single" w:sz="8" w:space="0" w:color="auto"/>
              <w:right w:val="nil"/>
            </w:tcBorders>
            <w:shd w:val="clear" w:color="auto" w:fill="auto"/>
            <w:vAlign w:val="center"/>
          </w:tcPr>
          <w:p w14:paraId="216AF06E" w14:textId="77777777" w:rsidR="00997FF1" w:rsidRPr="00DB5DCF" w:rsidRDefault="00997FF1" w:rsidP="001A1D0B">
            <w:pPr>
              <w:autoSpaceDE w:val="0"/>
              <w:autoSpaceDN w:val="0"/>
              <w:adjustRightInd w:val="0"/>
              <w:snapToGrid w:val="0"/>
              <w:spacing w:line="240" w:lineRule="auto"/>
              <w:jc w:val="center"/>
              <w:rPr>
                <w:color w:val="auto"/>
                <w:szCs w:val="18"/>
              </w:rPr>
            </w:pPr>
          </w:p>
        </w:tc>
        <w:tc>
          <w:tcPr>
            <w:tcW w:w="917" w:type="pct"/>
            <w:gridSpan w:val="4"/>
            <w:tcBorders>
              <w:top w:val="single" w:sz="4" w:space="0" w:color="auto"/>
              <w:left w:val="nil"/>
              <w:bottom w:val="single" w:sz="8" w:space="0" w:color="auto"/>
              <w:right w:val="nil"/>
            </w:tcBorders>
            <w:shd w:val="clear" w:color="auto" w:fill="auto"/>
            <w:vAlign w:val="center"/>
          </w:tcPr>
          <w:p w14:paraId="1E966030" w14:textId="74509D78" w:rsidR="00997FF1" w:rsidRPr="00DB5DCF" w:rsidRDefault="00997FF1" w:rsidP="001A1D0B">
            <w:pPr>
              <w:autoSpaceDE w:val="0"/>
              <w:autoSpaceDN w:val="0"/>
              <w:adjustRightInd w:val="0"/>
              <w:snapToGrid w:val="0"/>
              <w:spacing w:line="240" w:lineRule="auto"/>
              <w:jc w:val="center"/>
              <w:rPr>
                <w:color w:val="auto"/>
                <w:szCs w:val="18"/>
              </w:rPr>
            </w:pPr>
            <w:r w:rsidRPr="00DB5DCF">
              <w:rPr>
                <w:i/>
                <w:iCs/>
                <w:color w:val="auto"/>
                <w:szCs w:val="18"/>
              </w:rPr>
              <w:t>R</w:t>
            </w:r>
            <w:r w:rsidRPr="00DB5DCF">
              <w:rPr>
                <w:color w:val="auto"/>
                <w:szCs w:val="18"/>
                <w:vertAlign w:val="superscript"/>
              </w:rPr>
              <w:t xml:space="preserve">2 </w:t>
            </w:r>
            <w:r w:rsidRPr="00DB5DCF">
              <w:rPr>
                <w:color w:val="auto"/>
                <w:szCs w:val="18"/>
              </w:rPr>
              <w:t>=</w:t>
            </w:r>
            <w:r w:rsidR="00196547" w:rsidRPr="00DB5DCF">
              <w:rPr>
                <w:color w:val="auto"/>
                <w:szCs w:val="18"/>
              </w:rPr>
              <w:t xml:space="preserve"> 0.</w:t>
            </w:r>
            <w:r w:rsidRPr="00DB5DCF">
              <w:rPr>
                <w:color w:val="auto"/>
                <w:szCs w:val="18"/>
              </w:rPr>
              <w:t xml:space="preserve">10, </w:t>
            </w:r>
            <w:r w:rsidRPr="00DB5DCF">
              <w:rPr>
                <w:i/>
                <w:iCs/>
                <w:color w:val="auto"/>
                <w:szCs w:val="18"/>
              </w:rPr>
              <w:t>F</w:t>
            </w:r>
            <w:r w:rsidRPr="00DB5DCF">
              <w:rPr>
                <w:color w:val="auto"/>
                <w:szCs w:val="18"/>
              </w:rPr>
              <w:t xml:space="preserve"> (4,</w:t>
            </w:r>
            <w:r w:rsidR="00AB54F9" w:rsidRPr="00DB5DCF">
              <w:rPr>
                <w:color w:val="auto"/>
                <w:szCs w:val="18"/>
              </w:rPr>
              <w:t xml:space="preserve"> </w:t>
            </w:r>
            <w:r w:rsidRPr="00DB5DCF">
              <w:rPr>
                <w:color w:val="auto"/>
                <w:szCs w:val="18"/>
              </w:rPr>
              <w:t>128) = 3.73</w:t>
            </w:r>
            <w:r w:rsidR="00FC5240" w:rsidRPr="00DB5DCF">
              <w:rPr>
                <w:color w:val="auto"/>
                <w:szCs w:val="18"/>
              </w:rPr>
              <w:t xml:space="preserve"> </w:t>
            </w:r>
            <w:r w:rsidRPr="00DB5DCF">
              <w:rPr>
                <w:color w:val="auto"/>
                <w:szCs w:val="18"/>
              </w:rPr>
              <w:t>**</w:t>
            </w:r>
          </w:p>
        </w:tc>
        <w:tc>
          <w:tcPr>
            <w:tcW w:w="227" w:type="pct"/>
            <w:tcBorders>
              <w:top w:val="single" w:sz="4" w:space="0" w:color="auto"/>
              <w:left w:val="nil"/>
              <w:bottom w:val="single" w:sz="8" w:space="0" w:color="auto"/>
              <w:right w:val="nil"/>
            </w:tcBorders>
            <w:shd w:val="clear" w:color="auto" w:fill="auto"/>
            <w:vAlign w:val="center"/>
          </w:tcPr>
          <w:p w14:paraId="09F4DC12" w14:textId="77777777" w:rsidR="00997FF1" w:rsidRPr="00DB5DCF" w:rsidRDefault="00997FF1" w:rsidP="001A1D0B">
            <w:pPr>
              <w:autoSpaceDE w:val="0"/>
              <w:autoSpaceDN w:val="0"/>
              <w:adjustRightInd w:val="0"/>
              <w:snapToGrid w:val="0"/>
              <w:spacing w:line="240" w:lineRule="auto"/>
              <w:jc w:val="center"/>
              <w:rPr>
                <w:color w:val="auto"/>
                <w:szCs w:val="18"/>
              </w:rPr>
            </w:pPr>
          </w:p>
        </w:tc>
        <w:tc>
          <w:tcPr>
            <w:tcW w:w="917" w:type="pct"/>
            <w:gridSpan w:val="4"/>
            <w:tcBorders>
              <w:top w:val="single" w:sz="4" w:space="0" w:color="auto"/>
              <w:left w:val="nil"/>
              <w:bottom w:val="single" w:sz="8" w:space="0" w:color="auto"/>
              <w:right w:val="nil"/>
            </w:tcBorders>
            <w:shd w:val="clear" w:color="auto" w:fill="auto"/>
            <w:vAlign w:val="center"/>
          </w:tcPr>
          <w:p w14:paraId="73F7BAD0" w14:textId="5F9077C6" w:rsidR="00997FF1" w:rsidRPr="00DB5DCF" w:rsidRDefault="00997FF1" w:rsidP="00FC5240">
            <w:pPr>
              <w:autoSpaceDE w:val="0"/>
              <w:autoSpaceDN w:val="0"/>
              <w:adjustRightInd w:val="0"/>
              <w:snapToGrid w:val="0"/>
              <w:spacing w:line="240" w:lineRule="auto"/>
              <w:jc w:val="center"/>
              <w:rPr>
                <w:color w:val="auto"/>
                <w:szCs w:val="18"/>
              </w:rPr>
            </w:pPr>
            <w:r w:rsidRPr="00DB5DCF">
              <w:rPr>
                <w:i/>
                <w:iCs/>
                <w:color w:val="auto"/>
                <w:szCs w:val="18"/>
              </w:rPr>
              <w:t>R</w:t>
            </w:r>
            <w:r w:rsidRPr="00DB5DCF">
              <w:rPr>
                <w:color w:val="auto"/>
                <w:szCs w:val="18"/>
                <w:vertAlign w:val="superscript"/>
              </w:rPr>
              <w:t xml:space="preserve">2 </w:t>
            </w:r>
            <w:r w:rsidRPr="00DB5DCF">
              <w:rPr>
                <w:color w:val="auto"/>
                <w:szCs w:val="18"/>
              </w:rPr>
              <w:t>=</w:t>
            </w:r>
            <w:r w:rsidR="00196547" w:rsidRPr="00DB5DCF">
              <w:rPr>
                <w:color w:val="auto"/>
                <w:szCs w:val="18"/>
              </w:rPr>
              <w:t xml:space="preserve"> 0.</w:t>
            </w:r>
            <w:r w:rsidRPr="00DB5DCF">
              <w:rPr>
                <w:color w:val="auto"/>
                <w:szCs w:val="18"/>
              </w:rPr>
              <w:t xml:space="preserve">09, </w:t>
            </w:r>
            <w:r w:rsidRPr="00DB5DCF">
              <w:rPr>
                <w:i/>
                <w:iCs/>
                <w:color w:val="auto"/>
                <w:szCs w:val="18"/>
              </w:rPr>
              <w:t>F</w:t>
            </w:r>
            <w:r w:rsidRPr="00DB5DCF">
              <w:rPr>
                <w:color w:val="auto"/>
                <w:szCs w:val="18"/>
              </w:rPr>
              <w:t xml:space="preserve"> (4, 107) = 2.56</w:t>
            </w:r>
            <w:r w:rsidR="00FC5240" w:rsidRPr="00DB5DCF">
              <w:rPr>
                <w:color w:val="auto"/>
                <w:szCs w:val="18"/>
              </w:rPr>
              <w:t xml:space="preserve"> </w:t>
            </w:r>
            <w:r w:rsidRPr="00DB5DCF">
              <w:rPr>
                <w:color w:val="auto"/>
                <w:szCs w:val="18"/>
              </w:rPr>
              <w:t>*</w:t>
            </w:r>
          </w:p>
        </w:tc>
      </w:tr>
    </w:tbl>
    <w:p w14:paraId="75DE6B13" w14:textId="46BDDDF7" w:rsidR="00997FF1" w:rsidRPr="00C8300B" w:rsidRDefault="00997FF1" w:rsidP="00DB5DCF">
      <w:pPr>
        <w:pStyle w:val="MDPI43tablefooter"/>
        <w:ind w:left="425" w:right="425"/>
        <w:jc w:val="center"/>
      </w:pPr>
      <w:r w:rsidRPr="00DB5DCF">
        <w:rPr>
          <w:i/>
          <w:iCs/>
        </w:rPr>
        <w:t>Notes</w:t>
      </w:r>
      <w:r w:rsidRPr="00DB5DCF">
        <w:t xml:space="preserve">. * = </w:t>
      </w:r>
      <w:r w:rsidRPr="00DB5DCF">
        <w:rPr>
          <w:i/>
          <w:iCs/>
        </w:rPr>
        <w:t>p</w:t>
      </w:r>
      <w:r w:rsidRPr="00DB5DCF">
        <w:t xml:space="preserve"> &lt;</w:t>
      </w:r>
      <w:r w:rsidR="00196547" w:rsidRPr="00DB5DCF">
        <w:t xml:space="preserve"> 0</w:t>
      </w:r>
      <w:r w:rsidR="00196547" w:rsidRPr="006701C8">
        <w:t>.</w:t>
      </w:r>
      <w:r w:rsidRPr="006701C8">
        <w:t xml:space="preserve">05, ** = </w:t>
      </w:r>
      <w:r w:rsidRPr="006701C8">
        <w:rPr>
          <w:i/>
          <w:iCs/>
        </w:rPr>
        <w:t>p</w:t>
      </w:r>
      <w:r w:rsidRPr="006701C8">
        <w:t xml:space="preserve"> &lt;</w:t>
      </w:r>
      <w:r w:rsidR="00196547" w:rsidRPr="006701C8">
        <w:t xml:space="preserve"> 0.</w:t>
      </w:r>
      <w:r w:rsidRPr="006701C8">
        <w:t xml:space="preserve">01. *** = </w:t>
      </w:r>
      <w:r w:rsidRPr="006701C8">
        <w:rPr>
          <w:i/>
          <w:iCs/>
        </w:rPr>
        <w:t>p</w:t>
      </w:r>
      <w:r w:rsidRPr="006701C8">
        <w:t xml:space="preserve"> &lt;</w:t>
      </w:r>
      <w:r w:rsidR="00196547" w:rsidRPr="006701C8">
        <w:t xml:space="preserve"> 0.</w:t>
      </w:r>
      <w:r w:rsidRPr="006701C8">
        <w:t>001. T = Time; WEMWBS = Warwick-Edinburgh Mental Well-Being Scale, Int = Intrinsic, Ext = Extrinsic.</w:t>
      </w:r>
    </w:p>
    <w:p w14:paraId="3AADC621" w14:textId="77777777" w:rsidR="004328C0" w:rsidRPr="00C8300B" w:rsidRDefault="004328C0" w:rsidP="00A96E4B">
      <w:pPr>
        <w:snapToGrid w:val="0"/>
        <w:rPr>
          <w:b/>
          <w:bCs/>
          <w:color w:val="auto"/>
        </w:rPr>
      </w:pPr>
    </w:p>
    <w:p w14:paraId="35528B8E" w14:textId="09C1A68D" w:rsidR="004863FA" w:rsidRPr="00C8300B" w:rsidRDefault="004863FA" w:rsidP="004328C0">
      <w:pPr>
        <w:pStyle w:val="MDPI31text"/>
        <w:rPr>
          <w:color w:val="auto"/>
        </w:rPr>
        <w:sectPr w:rsidR="004863FA" w:rsidRPr="00C8300B" w:rsidSect="00AE356D">
          <w:headerReference w:type="even" r:id="rId17"/>
          <w:headerReference w:type="default" r:id="rId18"/>
          <w:footerReference w:type="default" r:id="rId19"/>
          <w:headerReference w:type="first" r:id="rId20"/>
          <w:footerReference w:type="first" r:id="rId21"/>
          <w:pgSz w:w="16840" w:h="11900" w:orient="landscape"/>
          <w:pgMar w:top="1440" w:right="1440" w:bottom="1440" w:left="1440" w:header="709" w:footer="709" w:gutter="0"/>
          <w:cols w:space="708"/>
          <w:docGrid w:linePitch="360"/>
        </w:sectPr>
      </w:pPr>
    </w:p>
    <w:p w14:paraId="60ADE254" w14:textId="77777777" w:rsidR="006D0B83" w:rsidRPr="00C8300B" w:rsidRDefault="006D0B83" w:rsidP="0002524A">
      <w:pPr>
        <w:pStyle w:val="MDPI31text"/>
      </w:pPr>
      <w:r w:rsidRPr="00C8300B">
        <w:lastRenderedPageBreak/>
        <w:t>Intrinsic motives independently predicted increased mental wellbeing at Time 1 and 2 and approached significance at Time 3 and 4. Extrinsic motives negatively predicted mental wellbeing at Time 1 and Time 2 and approached significance at Time 3 and Time 4. In summary, although not significant across all time points, the results suggest a trend toward intrinsic motives being beneficial for mental wellbeing whereas extrinsic motives tend to be negatively associated with wellbeing.</w:t>
      </w:r>
    </w:p>
    <w:p w14:paraId="55CDA13C" w14:textId="2F234F59" w:rsidR="0002524A" w:rsidRDefault="0002524A" w:rsidP="0002524A">
      <w:pPr>
        <w:pStyle w:val="MDPI31text"/>
        <w:sectPr w:rsidR="0002524A" w:rsidSect="0002524A">
          <w:pgSz w:w="11906" w:h="16838" w:code="9"/>
          <w:pgMar w:top="1417" w:right="720" w:bottom="1077" w:left="720" w:header="1020" w:footer="340" w:gutter="0"/>
          <w:cols w:space="425"/>
          <w:bidi/>
          <w:docGrid w:type="lines" w:linePitch="326"/>
        </w:sectPr>
      </w:pPr>
      <w:r w:rsidRPr="00C8300B">
        <w:t xml:space="preserve">The second multiple </w:t>
      </w:r>
      <w:proofErr w:type="gramStart"/>
      <w:r w:rsidRPr="00C8300B">
        <w:t>regression</w:t>
      </w:r>
      <w:proofErr w:type="gramEnd"/>
      <w:r w:rsidRPr="00C8300B">
        <w:t xml:space="preserve"> examined intrinsic and extrinsic motives as predictors of resolution stickability (see Table 5). As </w:t>
      </w:r>
      <w:proofErr w:type="spellStart"/>
      <w:r w:rsidRPr="00C8300B">
        <w:t>hypothesised</w:t>
      </w:r>
      <w:proofErr w:type="spellEnd"/>
      <w:r w:rsidRPr="00C8300B">
        <w:t>, intrinsic motives (but not extrinsic motives) positively predicted exercise resolution stickability at all time points. Hence, the results indicate that intrinsic motives (but not extrinsic motives) are beneficial in assisting people to sustain their New Year exercise resolutions</w:t>
      </w:r>
    </w:p>
    <w:p w14:paraId="37816F5E" w14:textId="1D042A84" w:rsidR="00B23D5B" w:rsidRPr="00224567" w:rsidRDefault="0002524A" w:rsidP="0002524A">
      <w:pPr>
        <w:pStyle w:val="MDPI41tablecaption"/>
      </w:pPr>
      <w:r w:rsidRPr="00224567">
        <w:rPr>
          <w:b/>
          <w:bCs/>
        </w:rPr>
        <w:lastRenderedPageBreak/>
        <w:t xml:space="preserve">Table 5. </w:t>
      </w:r>
      <w:r w:rsidR="00B23D5B" w:rsidRPr="00224567">
        <w:t>Intrinsic and extrinsic motives as predictors of resolution stickability from Time 2 to Time 4</w:t>
      </w:r>
      <w:r w:rsidRPr="00224567">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54"/>
        <w:gridCol w:w="954"/>
        <w:gridCol w:w="958"/>
        <w:gridCol w:w="958"/>
        <w:gridCol w:w="967"/>
        <w:gridCol w:w="961"/>
        <w:gridCol w:w="961"/>
        <w:gridCol w:w="961"/>
        <w:gridCol w:w="961"/>
        <w:gridCol w:w="970"/>
        <w:gridCol w:w="961"/>
        <w:gridCol w:w="961"/>
        <w:gridCol w:w="961"/>
        <w:gridCol w:w="961"/>
        <w:gridCol w:w="970"/>
        <w:gridCol w:w="979"/>
      </w:tblGrid>
      <w:tr w:rsidR="0002524A" w:rsidRPr="00224567" w14:paraId="26CD8C47" w14:textId="77777777" w:rsidTr="0002524A">
        <w:trPr>
          <w:cantSplit/>
          <w:jc w:val="center"/>
        </w:trPr>
        <w:tc>
          <w:tcPr>
            <w:tcW w:w="310" w:type="pct"/>
            <w:tcBorders>
              <w:top w:val="single" w:sz="8" w:space="0" w:color="auto"/>
              <w:left w:val="nil"/>
              <w:bottom w:val="nil"/>
              <w:right w:val="nil"/>
            </w:tcBorders>
            <w:shd w:val="clear" w:color="auto" w:fill="auto"/>
            <w:vAlign w:val="center"/>
          </w:tcPr>
          <w:p w14:paraId="7B9A4070" w14:textId="77777777" w:rsidR="00B23D5B" w:rsidRPr="00224567" w:rsidRDefault="00B23D5B" w:rsidP="0002524A">
            <w:pPr>
              <w:autoSpaceDE w:val="0"/>
              <w:autoSpaceDN w:val="0"/>
              <w:adjustRightInd w:val="0"/>
              <w:snapToGrid w:val="0"/>
              <w:spacing w:line="240" w:lineRule="auto"/>
              <w:jc w:val="center"/>
              <w:rPr>
                <w:b/>
                <w:bCs/>
                <w:color w:val="auto"/>
                <w:szCs w:val="18"/>
              </w:rPr>
            </w:pPr>
          </w:p>
        </w:tc>
        <w:tc>
          <w:tcPr>
            <w:tcW w:w="310" w:type="pct"/>
            <w:tcBorders>
              <w:top w:val="single" w:sz="8" w:space="0" w:color="auto"/>
              <w:left w:val="nil"/>
              <w:bottom w:val="single" w:sz="4" w:space="0" w:color="auto"/>
              <w:right w:val="nil"/>
            </w:tcBorders>
            <w:shd w:val="clear" w:color="auto" w:fill="auto"/>
            <w:vAlign w:val="center"/>
          </w:tcPr>
          <w:p w14:paraId="67A6F9FA" w14:textId="77777777" w:rsidR="00B23D5B" w:rsidRPr="00224567" w:rsidRDefault="00B23D5B" w:rsidP="0002524A">
            <w:pPr>
              <w:autoSpaceDE w:val="0"/>
              <w:autoSpaceDN w:val="0"/>
              <w:adjustRightInd w:val="0"/>
              <w:snapToGrid w:val="0"/>
              <w:spacing w:line="240" w:lineRule="auto"/>
              <w:jc w:val="center"/>
              <w:rPr>
                <w:b/>
                <w:bCs/>
                <w:color w:val="auto"/>
                <w:szCs w:val="18"/>
              </w:rPr>
            </w:pPr>
          </w:p>
        </w:tc>
        <w:tc>
          <w:tcPr>
            <w:tcW w:w="935" w:type="pct"/>
            <w:gridSpan w:val="3"/>
            <w:tcBorders>
              <w:top w:val="single" w:sz="8" w:space="0" w:color="auto"/>
              <w:left w:val="nil"/>
              <w:bottom w:val="single" w:sz="4" w:space="0" w:color="auto"/>
              <w:right w:val="nil"/>
            </w:tcBorders>
            <w:shd w:val="clear" w:color="auto" w:fill="auto"/>
            <w:vAlign w:val="center"/>
          </w:tcPr>
          <w:p w14:paraId="0BD0DE3D" w14:textId="77777777" w:rsidR="00B23D5B" w:rsidRPr="00224567" w:rsidRDefault="00B23D5B" w:rsidP="0002524A">
            <w:pPr>
              <w:autoSpaceDE w:val="0"/>
              <w:autoSpaceDN w:val="0"/>
              <w:adjustRightInd w:val="0"/>
              <w:snapToGrid w:val="0"/>
              <w:spacing w:line="240" w:lineRule="auto"/>
              <w:jc w:val="center"/>
              <w:rPr>
                <w:b/>
                <w:bCs/>
                <w:color w:val="auto"/>
                <w:szCs w:val="18"/>
              </w:rPr>
            </w:pPr>
            <w:r w:rsidRPr="00224567">
              <w:rPr>
                <w:b/>
                <w:bCs/>
                <w:color w:val="auto"/>
                <w:szCs w:val="18"/>
              </w:rPr>
              <w:t>T2 Stickability</w:t>
            </w:r>
          </w:p>
          <w:p w14:paraId="66EA8BA5" w14:textId="77777777" w:rsidR="00B23D5B" w:rsidRPr="00224567" w:rsidRDefault="00B23D5B" w:rsidP="0002524A">
            <w:pPr>
              <w:autoSpaceDE w:val="0"/>
              <w:autoSpaceDN w:val="0"/>
              <w:adjustRightInd w:val="0"/>
              <w:snapToGrid w:val="0"/>
              <w:spacing w:line="240" w:lineRule="auto"/>
              <w:jc w:val="center"/>
              <w:rPr>
                <w:b/>
                <w:bCs/>
                <w:color w:val="auto"/>
                <w:szCs w:val="18"/>
              </w:rPr>
            </w:pPr>
            <w:r w:rsidRPr="00224567">
              <w:rPr>
                <w:b/>
                <w:bCs/>
                <w:color w:val="auto"/>
                <w:szCs w:val="18"/>
              </w:rPr>
              <w:t>(</w:t>
            </w:r>
            <w:r w:rsidRPr="00224567">
              <w:rPr>
                <w:b/>
                <w:bCs/>
                <w:i/>
                <w:iCs/>
                <w:color w:val="auto"/>
                <w:szCs w:val="18"/>
              </w:rPr>
              <w:t>n</w:t>
            </w:r>
            <w:r w:rsidRPr="00224567">
              <w:rPr>
                <w:b/>
                <w:bCs/>
                <w:color w:val="auto"/>
                <w:szCs w:val="18"/>
              </w:rPr>
              <w:t xml:space="preserve"> = 176)</w:t>
            </w:r>
          </w:p>
        </w:tc>
        <w:tc>
          <w:tcPr>
            <w:tcW w:w="312" w:type="pct"/>
            <w:tcBorders>
              <w:top w:val="single" w:sz="8" w:space="0" w:color="auto"/>
              <w:left w:val="nil"/>
              <w:bottom w:val="single" w:sz="4" w:space="0" w:color="auto"/>
              <w:right w:val="nil"/>
            </w:tcBorders>
            <w:shd w:val="clear" w:color="auto" w:fill="auto"/>
            <w:vAlign w:val="center"/>
          </w:tcPr>
          <w:p w14:paraId="4EFC2FB4" w14:textId="77777777" w:rsidR="00B23D5B" w:rsidRPr="00224567" w:rsidRDefault="00B23D5B" w:rsidP="0002524A">
            <w:pPr>
              <w:autoSpaceDE w:val="0"/>
              <w:autoSpaceDN w:val="0"/>
              <w:adjustRightInd w:val="0"/>
              <w:snapToGrid w:val="0"/>
              <w:spacing w:line="240" w:lineRule="auto"/>
              <w:jc w:val="center"/>
              <w:rPr>
                <w:b/>
                <w:bCs/>
                <w:color w:val="auto"/>
                <w:szCs w:val="18"/>
              </w:rPr>
            </w:pPr>
          </w:p>
        </w:tc>
        <w:tc>
          <w:tcPr>
            <w:tcW w:w="312" w:type="pct"/>
            <w:tcBorders>
              <w:top w:val="single" w:sz="8" w:space="0" w:color="auto"/>
              <w:left w:val="nil"/>
              <w:bottom w:val="single" w:sz="4" w:space="0" w:color="auto"/>
              <w:right w:val="nil"/>
            </w:tcBorders>
            <w:shd w:val="clear" w:color="auto" w:fill="auto"/>
            <w:vAlign w:val="center"/>
          </w:tcPr>
          <w:p w14:paraId="3BBEE269" w14:textId="77777777" w:rsidR="00B23D5B" w:rsidRPr="00224567" w:rsidRDefault="00B23D5B" w:rsidP="0002524A">
            <w:pPr>
              <w:autoSpaceDE w:val="0"/>
              <w:autoSpaceDN w:val="0"/>
              <w:adjustRightInd w:val="0"/>
              <w:snapToGrid w:val="0"/>
              <w:spacing w:line="240" w:lineRule="auto"/>
              <w:jc w:val="center"/>
              <w:rPr>
                <w:b/>
                <w:bCs/>
                <w:color w:val="auto"/>
                <w:szCs w:val="18"/>
              </w:rPr>
            </w:pPr>
          </w:p>
        </w:tc>
        <w:tc>
          <w:tcPr>
            <w:tcW w:w="939" w:type="pct"/>
            <w:gridSpan w:val="3"/>
            <w:tcBorders>
              <w:top w:val="single" w:sz="8" w:space="0" w:color="auto"/>
              <w:left w:val="nil"/>
              <w:bottom w:val="single" w:sz="4" w:space="0" w:color="auto"/>
              <w:right w:val="nil"/>
            </w:tcBorders>
            <w:shd w:val="clear" w:color="auto" w:fill="auto"/>
            <w:vAlign w:val="center"/>
          </w:tcPr>
          <w:p w14:paraId="25009DB4" w14:textId="77777777" w:rsidR="00B23D5B" w:rsidRPr="00224567" w:rsidRDefault="00B23D5B" w:rsidP="0002524A">
            <w:pPr>
              <w:autoSpaceDE w:val="0"/>
              <w:autoSpaceDN w:val="0"/>
              <w:adjustRightInd w:val="0"/>
              <w:snapToGrid w:val="0"/>
              <w:spacing w:line="240" w:lineRule="auto"/>
              <w:jc w:val="center"/>
              <w:rPr>
                <w:b/>
                <w:bCs/>
                <w:color w:val="auto"/>
                <w:szCs w:val="18"/>
              </w:rPr>
            </w:pPr>
            <w:r w:rsidRPr="00224567">
              <w:rPr>
                <w:b/>
                <w:bCs/>
                <w:color w:val="auto"/>
                <w:szCs w:val="18"/>
              </w:rPr>
              <w:t>T3 Stickability</w:t>
            </w:r>
          </w:p>
          <w:p w14:paraId="23AEC7C7" w14:textId="77777777" w:rsidR="00B23D5B" w:rsidRPr="00224567" w:rsidRDefault="00B23D5B" w:rsidP="0002524A">
            <w:pPr>
              <w:autoSpaceDE w:val="0"/>
              <w:autoSpaceDN w:val="0"/>
              <w:adjustRightInd w:val="0"/>
              <w:snapToGrid w:val="0"/>
              <w:spacing w:line="240" w:lineRule="auto"/>
              <w:jc w:val="center"/>
              <w:rPr>
                <w:b/>
                <w:bCs/>
                <w:color w:val="auto"/>
                <w:szCs w:val="18"/>
              </w:rPr>
            </w:pPr>
            <w:r w:rsidRPr="00224567">
              <w:rPr>
                <w:b/>
                <w:bCs/>
                <w:color w:val="auto"/>
                <w:szCs w:val="18"/>
              </w:rPr>
              <w:t>(</w:t>
            </w:r>
            <w:r w:rsidRPr="00224567">
              <w:rPr>
                <w:b/>
                <w:bCs/>
                <w:i/>
                <w:iCs/>
                <w:color w:val="auto"/>
                <w:szCs w:val="18"/>
              </w:rPr>
              <w:t>n</w:t>
            </w:r>
            <w:r w:rsidRPr="00224567">
              <w:rPr>
                <w:b/>
                <w:bCs/>
                <w:color w:val="auto"/>
                <w:szCs w:val="18"/>
              </w:rPr>
              <w:t xml:space="preserve"> = 133)</w:t>
            </w:r>
          </w:p>
        </w:tc>
        <w:tc>
          <w:tcPr>
            <w:tcW w:w="312" w:type="pct"/>
            <w:tcBorders>
              <w:top w:val="single" w:sz="8" w:space="0" w:color="auto"/>
              <w:left w:val="nil"/>
              <w:bottom w:val="single" w:sz="4" w:space="0" w:color="auto"/>
              <w:right w:val="nil"/>
            </w:tcBorders>
            <w:shd w:val="clear" w:color="auto" w:fill="auto"/>
            <w:vAlign w:val="center"/>
          </w:tcPr>
          <w:p w14:paraId="0332D86A" w14:textId="77777777" w:rsidR="00B23D5B" w:rsidRPr="00224567" w:rsidRDefault="00B23D5B" w:rsidP="0002524A">
            <w:pPr>
              <w:autoSpaceDE w:val="0"/>
              <w:autoSpaceDN w:val="0"/>
              <w:adjustRightInd w:val="0"/>
              <w:snapToGrid w:val="0"/>
              <w:spacing w:line="240" w:lineRule="auto"/>
              <w:jc w:val="center"/>
              <w:rPr>
                <w:b/>
                <w:bCs/>
                <w:color w:val="auto"/>
                <w:szCs w:val="18"/>
              </w:rPr>
            </w:pPr>
          </w:p>
        </w:tc>
        <w:tc>
          <w:tcPr>
            <w:tcW w:w="312" w:type="pct"/>
            <w:tcBorders>
              <w:top w:val="single" w:sz="8" w:space="0" w:color="auto"/>
              <w:left w:val="nil"/>
              <w:bottom w:val="single" w:sz="4" w:space="0" w:color="auto"/>
              <w:right w:val="nil"/>
            </w:tcBorders>
            <w:shd w:val="clear" w:color="auto" w:fill="auto"/>
            <w:vAlign w:val="center"/>
          </w:tcPr>
          <w:p w14:paraId="50A51A0C" w14:textId="77777777" w:rsidR="00B23D5B" w:rsidRPr="00224567" w:rsidRDefault="00B23D5B" w:rsidP="0002524A">
            <w:pPr>
              <w:autoSpaceDE w:val="0"/>
              <w:autoSpaceDN w:val="0"/>
              <w:adjustRightInd w:val="0"/>
              <w:snapToGrid w:val="0"/>
              <w:spacing w:line="240" w:lineRule="auto"/>
              <w:jc w:val="center"/>
              <w:rPr>
                <w:b/>
                <w:bCs/>
                <w:color w:val="auto"/>
                <w:szCs w:val="18"/>
              </w:rPr>
            </w:pPr>
          </w:p>
        </w:tc>
        <w:tc>
          <w:tcPr>
            <w:tcW w:w="939" w:type="pct"/>
            <w:gridSpan w:val="3"/>
            <w:tcBorders>
              <w:top w:val="single" w:sz="8" w:space="0" w:color="auto"/>
              <w:left w:val="nil"/>
              <w:bottom w:val="single" w:sz="4" w:space="0" w:color="auto"/>
              <w:right w:val="nil"/>
            </w:tcBorders>
            <w:shd w:val="clear" w:color="auto" w:fill="auto"/>
            <w:vAlign w:val="center"/>
          </w:tcPr>
          <w:p w14:paraId="68E51966" w14:textId="77777777" w:rsidR="00B23D5B" w:rsidRPr="00224567" w:rsidRDefault="00B23D5B" w:rsidP="0002524A">
            <w:pPr>
              <w:autoSpaceDE w:val="0"/>
              <w:autoSpaceDN w:val="0"/>
              <w:adjustRightInd w:val="0"/>
              <w:snapToGrid w:val="0"/>
              <w:spacing w:line="240" w:lineRule="auto"/>
              <w:jc w:val="center"/>
              <w:rPr>
                <w:b/>
                <w:bCs/>
                <w:color w:val="auto"/>
                <w:szCs w:val="18"/>
              </w:rPr>
            </w:pPr>
            <w:r w:rsidRPr="00224567">
              <w:rPr>
                <w:b/>
                <w:bCs/>
                <w:color w:val="auto"/>
                <w:szCs w:val="18"/>
              </w:rPr>
              <w:t>T4 Stickability</w:t>
            </w:r>
          </w:p>
          <w:p w14:paraId="380C4322" w14:textId="77777777" w:rsidR="00B23D5B" w:rsidRPr="00224567" w:rsidRDefault="00B23D5B" w:rsidP="0002524A">
            <w:pPr>
              <w:autoSpaceDE w:val="0"/>
              <w:autoSpaceDN w:val="0"/>
              <w:adjustRightInd w:val="0"/>
              <w:snapToGrid w:val="0"/>
              <w:spacing w:line="240" w:lineRule="auto"/>
              <w:jc w:val="center"/>
              <w:rPr>
                <w:b/>
                <w:bCs/>
                <w:color w:val="auto"/>
                <w:szCs w:val="18"/>
              </w:rPr>
            </w:pPr>
            <w:r w:rsidRPr="00224567">
              <w:rPr>
                <w:b/>
                <w:bCs/>
                <w:color w:val="auto"/>
                <w:szCs w:val="18"/>
              </w:rPr>
              <w:t>(</w:t>
            </w:r>
            <w:r w:rsidRPr="00224567">
              <w:rPr>
                <w:b/>
                <w:bCs/>
                <w:i/>
                <w:iCs/>
                <w:color w:val="auto"/>
                <w:szCs w:val="18"/>
              </w:rPr>
              <w:t>n</w:t>
            </w:r>
            <w:r w:rsidRPr="00224567">
              <w:rPr>
                <w:b/>
                <w:bCs/>
                <w:color w:val="auto"/>
                <w:szCs w:val="18"/>
              </w:rPr>
              <w:t xml:space="preserve"> = 112)</w:t>
            </w:r>
          </w:p>
        </w:tc>
        <w:tc>
          <w:tcPr>
            <w:tcW w:w="320" w:type="pct"/>
            <w:tcBorders>
              <w:top w:val="single" w:sz="8" w:space="0" w:color="auto"/>
              <w:left w:val="nil"/>
              <w:bottom w:val="single" w:sz="4" w:space="0" w:color="auto"/>
              <w:right w:val="nil"/>
            </w:tcBorders>
            <w:shd w:val="clear" w:color="auto" w:fill="auto"/>
            <w:vAlign w:val="center"/>
          </w:tcPr>
          <w:p w14:paraId="49784A77" w14:textId="77777777" w:rsidR="00B23D5B" w:rsidRPr="00224567" w:rsidRDefault="00B23D5B" w:rsidP="0002524A">
            <w:pPr>
              <w:autoSpaceDE w:val="0"/>
              <w:autoSpaceDN w:val="0"/>
              <w:adjustRightInd w:val="0"/>
              <w:snapToGrid w:val="0"/>
              <w:spacing w:line="240" w:lineRule="auto"/>
              <w:jc w:val="center"/>
              <w:rPr>
                <w:b/>
                <w:bCs/>
                <w:color w:val="auto"/>
                <w:szCs w:val="18"/>
              </w:rPr>
            </w:pPr>
          </w:p>
        </w:tc>
      </w:tr>
      <w:tr w:rsidR="0002524A" w:rsidRPr="00224567" w14:paraId="7B9D9FFD" w14:textId="77777777" w:rsidTr="0002524A">
        <w:trPr>
          <w:cantSplit/>
          <w:jc w:val="center"/>
        </w:trPr>
        <w:tc>
          <w:tcPr>
            <w:tcW w:w="310" w:type="pct"/>
            <w:tcBorders>
              <w:top w:val="nil"/>
              <w:left w:val="nil"/>
              <w:bottom w:val="single" w:sz="4" w:space="0" w:color="auto"/>
              <w:right w:val="nil"/>
            </w:tcBorders>
            <w:shd w:val="clear" w:color="auto" w:fill="auto"/>
            <w:vAlign w:val="center"/>
          </w:tcPr>
          <w:p w14:paraId="368B397D" w14:textId="77777777" w:rsidR="00B23D5B" w:rsidRPr="00224567" w:rsidRDefault="00B23D5B" w:rsidP="0002524A">
            <w:pPr>
              <w:autoSpaceDE w:val="0"/>
              <w:autoSpaceDN w:val="0"/>
              <w:adjustRightInd w:val="0"/>
              <w:snapToGrid w:val="0"/>
              <w:spacing w:line="240" w:lineRule="auto"/>
              <w:jc w:val="center"/>
              <w:rPr>
                <w:b/>
                <w:bCs/>
                <w:color w:val="auto"/>
                <w:szCs w:val="18"/>
              </w:rPr>
            </w:pPr>
            <w:r w:rsidRPr="00224567">
              <w:rPr>
                <w:b/>
                <w:bCs/>
                <w:color w:val="auto"/>
                <w:szCs w:val="18"/>
              </w:rPr>
              <w:t>Variable</w:t>
            </w:r>
          </w:p>
        </w:tc>
        <w:tc>
          <w:tcPr>
            <w:tcW w:w="310" w:type="pct"/>
            <w:tcBorders>
              <w:top w:val="single" w:sz="4" w:space="0" w:color="auto"/>
              <w:left w:val="nil"/>
              <w:bottom w:val="single" w:sz="4" w:space="0" w:color="auto"/>
              <w:right w:val="nil"/>
            </w:tcBorders>
            <w:shd w:val="clear" w:color="auto" w:fill="auto"/>
            <w:vAlign w:val="center"/>
          </w:tcPr>
          <w:p w14:paraId="16294502" w14:textId="77777777" w:rsidR="00B23D5B" w:rsidRPr="00224567" w:rsidRDefault="00B23D5B" w:rsidP="0002524A">
            <w:pPr>
              <w:autoSpaceDE w:val="0"/>
              <w:autoSpaceDN w:val="0"/>
              <w:adjustRightInd w:val="0"/>
              <w:snapToGrid w:val="0"/>
              <w:spacing w:line="240" w:lineRule="auto"/>
              <w:jc w:val="center"/>
              <w:rPr>
                <w:b/>
                <w:bCs/>
                <w:i/>
                <w:iCs/>
                <w:color w:val="auto"/>
                <w:szCs w:val="18"/>
              </w:rPr>
            </w:pPr>
            <w:r w:rsidRPr="00224567">
              <w:rPr>
                <w:b/>
                <w:bCs/>
                <w:i/>
                <w:iCs/>
                <w:color w:val="auto"/>
                <w:szCs w:val="18"/>
              </w:rPr>
              <w:t>β</w:t>
            </w:r>
          </w:p>
        </w:tc>
        <w:tc>
          <w:tcPr>
            <w:tcW w:w="311" w:type="pct"/>
            <w:tcBorders>
              <w:top w:val="single" w:sz="4" w:space="0" w:color="auto"/>
              <w:left w:val="nil"/>
              <w:bottom w:val="single" w:sz="4" w:space="0" w:color="auto"/>
              <w:right w:val="nil"/>
            </w:tcBorders>
            <w:shd w:val="clear" w:color="auto" w:fill="auto"/>
            <w:vAlign w:val="center"/>
          </w:tcPr>
          <w:p w14:paraId="484913F9" w14:textId="77777777" w:rsidR="00B23D5B" w:rsidRPr="00224567" w:rsidRDefault="00B23D5B" w:rsidP="0002524A">
            <w:pPr>
              <w:autoSpaceDE w:val="0"/>
              <w:autoSpaceDN w:val="0"/>
              <w:adjustRightInd w:val="0"/>
              <w:snapToGrid w:val="0"/>
              <w:spacing w:line="240" w:lineRule="auto"/>
              <w:jc w:val="center"/>
              <w:rPr>
                <w:b/>
                <w:bCs/>
                <w:i/>
                <w:iCs/>
                <w:color w:val="auto"/>
                <w:szCs w:val="18"/>
              </w:rPr>
            </w:pPr>
            <w:r w:rsidRPr="00224567">
              <w:rPr>
                <w:b/>
                <w:bCs/>
                <w:i/>
                <w:iCs/>
                <w:color w:val="auto"/>
                <w:szCs w:val="18"/>
              </w:rPr>
              <w:t>b(SE)</w:t>
            </w:r>
          </w:p>
        </w:tc>
        <w:tc>
          <w:tcPr>
            <w:tcW w:w="311" w:type="pct"/>
            <w:tcBorders>
              <w:top w:val="single" w:sz="4" w:space="0" w:color="auto"/>
              <w:left w:val="nil"/>
              <w:bottom w:val="single" w:sz="4" w:space="0" w:color="auto"/>
              <w:right w:val="nil"/>
            </w:tcBorders>
            <w:shd w:val="clear" w:color="auto" w:fill="auto"/>
            <w:vAlign w:val="center"/>
          </w:tcPr>
          <w:p w14:paraId="369024C7" w14:textId="77777777" w:rsidR="00B23D5B" w:rsidRPr="00224567" w:rsidRDefault="00B23D5B" w:rsidP="0002524A">
            <w:pPr>
              <w:autoSpaceDE w:val="0"/>
              <w:autoSpaceDN w:val="0"/>
              <w:adjustRightInd w:val="0"/>
              <w:snapToGrid w:val="0"/>
              <w:spacing w:line="240" w:lineRule="auto"/>
              <w:jc w:val="center"/>
              <w:rPr>
                <w:b/>
                <w:bCs/>
                <w:color w:val="auto"/>
                <w:szCs w:val="18"/>
              </w:rPr>
            </w:pPr>
            <w:r w:rsidRPr="00224567">
              <w:rPr>
                <w:b/>
                <w:bCs/>
                <w:color w:val="auto"/>
                <w:szCs w:val="18"/>
              </w:rPr>
              <w:t>95% CIs</w:t>
            </w:r>
          </w:p>
        </w:tc>
        <w:tc>
          <w:tcPr>
            <w:tcW w:w="314" w:type="pct"/>
            <w:tcBorders>
              <w:top w:val="single" w:sz="4" w:space="0" w:color="auto"/>
              <w:left w:val="nil"/>
              <w:bottom w:val="single" w:sz="4" w:space="0" w:color="auto"/>
              <w:right w:val="nil"/>
            </w:tcBorders>
            <w:shd w:val="clear" w:color="auto" w:fill="auto"/>
            <w:vAlign w:val="center"/>
          </w:tcPr>
          <w:p w14:paraId="52DFC0A8" w14:textId="77777777" w:rsidR="00B23D5B" w:rsidRPr="00224567" w:rsidRDefault="00B23D5B" w:rsidP="0002524A">
            <w:pPr>
              <w:autoSpaceDE w:val="0"/>
              <w:autoSpaceDN w:val="0"/>
              <w:adjustRightInd w:val="0"/>
              <w:snapToGrid w:val="0"/>
              <w:spacing w:line="240" w:lineRule="auto"/>
              <w:jc w:val="center"/>
              <w:rPr>
                <w:b/>
                <w:bCs/>
                <w:i/>
                <w:iCs/>
                <w:color w:val="auto"/>
                <w:szCs w:val="18"/>
              </w:rPr>
            </w:pPr>
            <w:r w:rsidRPr="00224567">
              <w:rPr>
                <w:b/>
                <w:bCs/>
                <w:i/>
                <w:iCs/>
                <w:color w:val="auto"/>
                <w:szCs w:val="18"/>
              </w:rPr>
              <w:t>t</w:t>
            </w:r>
          </w:p>
        </w:tc>
        <w:tc>
          <w:tcPr>
            <w:tcW w:w="312" w:type="pct"/>
            <w:tcBorders>
              <w:top w:val="single" w:sz="4" w:space="0" w:color="auto"/>
              <w:left w:val="nil"/>
              <w:bottom w:val="single" w:sz="4" w:space="0" w:color="auto"/>
              <w:right w:val="nil"/>
            </w:tcBorders>
            <w:shd w:val="clear" w:color="auto" w:fill="auto"/>
            <w:vAlign w:val="center"/>
          </w:tcPr>
          <w:p w14:paraId="6CEEC91E" w14:textId="77777777" w:rsidR="00B23D5B" w:rsidRPr="00224567" w:rsidRDefault="00B23D5B" w:rsidP="0002524A">
            <w:pPr>
              <w:autoSpaceDE w:val="0"/>
              <w:autoSpaceDN w:val="0"/>
              <w:adjustRightInd w:val="0"/>
              <w:snapToGrid w:val="0"/>
              <w:spacing w:line="240" w:lineRule="auto"/>
              <w:jc w:val="center"/>
              <w:rPr>
                <w:b/>
                <w:bCs/>
                <w:i/>
                <w:iCs/>
                <w:color w:val="auto"/>
                <w:szCs w:val="18"/>
              </w:rPr>
            </w:pPr>
            <w:r w:rsidRPr="00224567">
              <w:rPr>
                <w:b/>
                <w:bCs/>
                <w:i/>
                <w:iCs/>
                <w:color w:val="auto"/>
                <w:szCs w:val="18"/>
              </w:rPr>
              <w:t>p</w:t>
            </w:r>
          </w:p>
        </w:tc>
        <w:tc>
          <w:tcPr>
            <w:tcW w:w="312" w:type="pct"/>
            <w:tcBorders>
              <w:top w:val="single" w:sz="4" w:space="0" w:color="auto"/>
              <w:left w:val="nil"/>
              <w:bottom w:val="single" w:sz="4" w:space="0" w:color="auto"/>
              <w:right w:val="nil"/>
            </w:tcBorders>
            <w:shd w:val="clear" w:color="auto" w:fill="auto"/>
            <w:vAlign w:val="center"/>
          </w:tcPr>
          <w:p w14:paraId="1FA666CE" w14:textId="77777777" w:rsidR="00B23D5B" w:rsidRPr="00224567" w:rsidRDefault="00B23D5B" w:rsidP="0002524A">
            <w:pPr>
              <w:autoSpaceDE w:val="0"/>
              <w:autoSpaceDN w:val="0"/>
              <w:adjustRightInd w:val="0"/>
              <w:snapToGrid w:val="0"/>
              <w:spacing w:line="240" w:lineRule="auto"/>
              <w:jc w:val="center"/>
              <w:rPr>
                <w:b/>
                <w:bCs/>
                <w:i/>
                <w:iCs/>
                <w:color w:val="auto"/>
                <w:szCs w:val="18"/>
              </w:rPr>
            </w:pPr>
            <w:r w:rsidRPr="00224567">
              <w:rPr>
                <w:b/>
                <w:bCs/>
                <w:i/>
                <w:iCs/>
                <w:color w:val="auto"/>
                <w:szCs w:val="18"/>
              </w:rPr>
              <w:t>β</w:t>
            </w:r>
          </w:p>
        </w:tc>
        <w:tc>
          <w:tcPr>
            <w:tcW w:w="312" w:type="pct"/>
            <w:tcBorders>
              <w:top w:val="single" w:sz="4" w:space="0" w:color="auto"/>
              <w:left w:val="nil"/>
              <w:bottom w:val="single" w:sz="4" w:space="0" w:color="auto"/>
              <w:right w:val="nil"/>
            </w:tcBorders>
            <w:shd w:val="clear" w:color="auto" w:fill="auto"/>
            <w:vAlign w:val="center"/>
          </w:tcPr>
          <w:p w14:paraId="4DC2BDAF" w14:textId="77777777" w:rsidR="00B23D5B" w:rsidRPr="00224567" w:rsidRDefault="00B23D5B" w:rsidP="0002524A">
            <w:pPr>
              <w:autoSpaceDE w:val="0"/>
              <w:autoSpaceDN w:val="0"/>
              <w:adjustRightInd w:val="0"/>
              <w:snapToGrid w:val="0"/>
              <w:spacing w:line="240" w:lineRule="auto"/>
              <w:jc w:val="center"/>
              <w:rPr>
                <w:b/>
                <w:bCs/>
                <w:color w:val="auto"/>
                <w:szCs w:val="18"/>
              </w:rPr>
            </w:pPr>
            <w:r w:rsidRPr="00224567">
              <w:rPr>
                <w:b/>
                <w:bCs/>
                <w:i/>
                <w:iCs/>
                <w:color w:val="auto"/>
                <w:szCs w:val="18"/>
              </w:rPr>
              <w:t>b(SE)</w:t>
            </w:r>
          </w:p>
        </w:tc>
        <w:tc>
          <w:tcPr>
            <w:tcW w:w="312" w:type="pct"/>
            <w:tcBorders>
              <w:top w:val="single" w:sz="4" w:space="0" w:color="auto"/>
              <w:left w:val="nil"/>
              <w:bottom w:val="single" w:sz="4" w:space="0" w:color="auto"/>
              <w:right w:val="nil"/>
            </w:tcBorders>
            <w:shd w:val="clear" w:color="auto" w:fill="auto"/>
            <w:vAlign w:val="center"/>
          </w:tcPr>
          <w:p w14:paraId="42F3BC0A" w14:textId="77777777" w:rsidR="00B23D5B" w:rsidRPr="00224567" w:rsidRDefault="00B23D5B" w:rsidP="0002524A">
            <w:pPr>
              <w:autoSpaceDE w:val="0"/>
              <w:autoSpaceDN w:val="0"/>
              <w:adjustRightInd w:val="0"/>
              <w:snapToGrid w:val="0"/>
              <w:spacing w:line="240" w:lineRule="auto"/>
              <w:jc w:val="center"/>
              <w:rPr>
                <w:b/>
                <w:bCs/>
                <w:color w:val="auto"/>
                <w:szCs w:val="18"/>
              </w:rPr>
            </w:pPr>
            <w:r w:rsidRPr="00224567">
              <w:rPr>
                <w:b/>
                <w:bCs/>
                <w:color w:val="auto"/>
                <w:szCs w:val="18"/>
              </w:rPr>
              <w:t>95% CIs</w:t>
            </w:r>
          </w:p>
        </w:tc>
        <w:tc>
          <w:tcPr>
            <w:tcW w:w="315" w:type="pct"/>
            <w:tcBorders>
              <w:top w:val="single" w:sz="4" w:space="0" w:color="auto"/>
              <w:left w:val="nil"/>
              <w:bottom w:val="single" w:sz="4" w:space="0" w:color="auto"/>
              <w:right w:val="nil"/>
            </w:tcBorders>
            <w:shd w:val="clear" w:color="auto" w:fill="auto"/>
            <w:vAlign w:val="center"/>
          </w:tcPr>
          <w:p w14:paraId="1B81A0D4" w14:textId="77777777" w:rsidR="00B23D5B" w:rsidRPr="00224567" w:rsidRDefault="00B23D5B" w:rsidP="0002524A">
            <w:pPr>
              <w:autoSpaceDE w:val="0"/>
              <w:autoSpaceDN w:val="0"/>
              <w:adjustRightInd w:val="0"/>
              <w:snapToGrid w:val="0"/>
              <w:spacing w:line="240" w:lineRule="auto"/>
              <w:jc w:val="center"/>
              <w:rPr>
                <w:b/>
                <w:bCs/>
                <w:i/>
                <w:iCs/>
                <w:color w:val="auto"/>
                <w:szCs w:val="18"/>
              </w:rPr>
            </w:pPr>
            <w:r w:rsidRPr="00224567">
              <w:rPr>
                <w:b/>
                <w:bCs/>
                <w:i/>
                <w:iCs/>
                <w:color w:val="auto"/>
                <w:szCs w:val="18"/>
              </w:rPr>
              <w:t>t</w:t>
            </w:r>
          </w:p>
        </w:tc>
        <w:tc>
          <w:tcPr>
            <w:tcW w:w="312" w:type="pct"/>
            <w:tcBorders>
              <w:top w:val="single" w:sz="4" w:space="0" w:color="auto"/>
              <w:left w:val="nil"/>
              <w:bottom w:val="single" w:sz="4" w:space="0" w:color="auto"/>
              <w:right w:val="nil"/>
            </w:tcBorders>
            <w:shd w:val="clear" w:color="auto" w:fill="auto"/>
            <w:vAlign w:val="center"/>
          </w:tcPr>
          <w:p w14:paraId="5703ACA5" w14:textId="77777777" w:rsidR="00B23D5B" w:rsidRPr="00224567" w:rsidRDefault="00B23D5B" w:rsidP="0002524A">
            <w:pPr>
              <w:autoSpaceDE w:val="0"/>
              <w:autoSpaceDN w:val="0"/>
              <w:adjustRightInd w:val="0"/>
              <w:snapToGrid w:val="0"/>
              <w:spacing w:line="240" w:lineRule="auto"/>
              <w:jc w:val="center"/>
              <w:rPr>
                <w:b/>
                <w:bCs/>
                <w:i/>
                <w:iCs/>
                <w:color w:val="auto"/>
                <w:szCs w:val="18"/>
              </w:rPr>
            </w:pPr>
            <w:r w:rsidRPr="00224567">
              <w:rPr>
                <w:b/>
                <w:bCs/>
                <w:i/>
                <w:iCs/>
                <w:color w:val="auto"/>
                <w:szCs w:val="18"/>
              </w:rPr>
              <w:t>p</w:t>
            </w:r>
          </w:p>
        </w:tc>
        <w:tc>
          <w:tcPr>
            <w:tcW w:w="312" w:type="pct"/>
            <w:tcBorders>
              <w:top w:val="single" w:sz="4" w:space="0" w:color="auto"/>
              <w:left w:val="nil"/>
              <w:bottom w:val="single" w:sz="4" w:space="0" w:color="auto"/>
              <w:right w:val="nil"/>
            </w:tcBorders>
            <w:shd w:val="clear" w:color="auto" w:fill="auto"/>
            <w:vAlign w:val="center"/>
          </w:tcPr>
          <w:p w14:paraId="430328A8" w14:textId="77777777" w:rsidR="00B23D5B" w:rsidRPr="00224567" w:rsidRDefault="00B23D5B" w:rsidP="0002524A">
            <w:pPr>
              <w:autoSpaceDE w:val="0"/>
              <w:autoSpaceDN w:val="0"/>
              <w:adjustRightInd w:val="0"/>
              <w:snapToGrid w:val="0"/>
              <w:spacing w:line="240" w:lineRule="auto"/>
              <w:jc w:val="center"/>
              <w:rPr>
                <w:b/>
                <w:bCs/>
                <w:i/>
                <w:iCs/>
                <w:color w:val="auto"/>
                <w:szCs w:val="18"/>
              </w:rPr>
            </w:pPr>
            <w:r w:rsidRPr="00224567">
              <w:rPr>
                <w:b/>
                <w:bCs/>
                <w:i/>
                <w:iCs/>
                <w:color w:val="auto"/>
                <w:szCs w:val="18"/>
              </w:rPr>
              <w:t>β</w:t>
            </w:r>
          </w:p>
        </w:tc>
        <w:tc>
          <w:tcPr>
            <w:tcW w:w="312" w:type="pct"/>
            <w:tcBorders>
              <w:top w:val="single" w:sz="4" w:space="0" w:color="auto"/>
              <w:left w:val="nil"/>
              <w:bottom w:val="single" w:sz="4" w:space="0" w:color="auto"/>
              <w:right w:val="nil"/>
            </w:tcBorders>
            <w:shd w:val="clear" w:color="auto" w:fill="auto"/>
            <w:vAlign w:val="center"/>
          </w:tcPr>
          <w:p w14:paraId="6B3B9264" w14:textId="77777777" w:rsidR="00B23D5B" w:rsidRPr="00224567" w:rsidRDefault="00B23D5B" w:rsidP="0002524A">
            <w:pPr>
              <w:autoSpaceDE w:val="0"/>
              <w:autoSpaceDN w:val="0"/>
              <w:adjustRightInd w:val="0"/>
              <w:snapToGrid w:val="0"/>
              <w:spacing w:line="240" w:lineRule="auto"/>
              <w:jc w:val="center"/>
              <w:rPr>
                <w:b/>
                <w:bCs/>
                <w:color w:val="auto"/>
                <w:szCs w:val="18"/>
              </w:rPr>
            </w:pPr>
            <w:r w:rsidRPr="00224567">
              <w:rPr>
                <w:b/>
                <w:bCs/>
                <w:i/>
                <w:iCs/>
                <w:color w:val="auto"/>
                <w:szCs w:val="18"/>
              </w:rPr>
              <w:t>b(SE)</w:t>
            </w:r>
          </w:p>
        </w:tc>
        <w:tc>
          <w:tcPr>
            <w:tcW w:w="312" w:type="pct"/>
            <w:tcBorders>
              <w:top w:val="single" w:sz="4" w:space="0" w:color="auto"/>
              <w:left w:val="nil"/>
              <w:bottom w:val="single" w:sz="4" w:space="0" w:color="auto"/>
              <w:right w:val="nil"/>
            </w:tcBorders>
            <w:shd w:val="clear" w:color="auto" w:fill="auto"/>
            <w:vAlign w:val="center"/>
          </w:tcPr>
          <w:p w14:paraId="676BEC9A" w14:textId="77777777" w:rsidR="00B23D5B" w:rsidRPr="00224567" w:rsidRDefault="00B23D5B" w:rsidP="0002524A">
            <w:pPr>
              <w:autoSpaceDE w:val="0"/>
              <w:autoSpaceDN w:val="0"/>
              <w:adjustRightInd w:val="0"/>
              <w:snapToGrid w:val="0"/>
              <w:spacing w:line="240" w:lineRule="auto"/>
              <w:jc w:val="center"/>
              <w:rPr>
                <w:b/>
                <w:bCs/>
                <w:color w:val="auto"/>
                <w:szCs w:val="18"/>
              </w:rPr>
            </w:pPr>
            <w:r w:rsidRPr="00224567">
              <w:rPr>
                <w:b/>
                <w:bCs/>
                <w:color w:val="auto"/>
                <w:szCs w:val="18"/>
              </w:rPr>
              <w:t>95% CIs</w:t>
            </w:r>
          </w:p>
        </w:tc>
        <w:tc>
          <w:tcPr>
            <w:tcW w:w="315" w:type="pct"/>
            <w:tcBorders>
              <w:top w:val="single" w:sz="4" w:space="0" w:color="auto"/>
              <w:left w:val="nil"/>
              <w:bottom w:val="single" w:sz="4" w:space="0" w:color="auto"/>
              <w:right w:val="nil"/>
            </w:tcBorders>
            <w:shd w:val="clear" w:color="auto" w:fill="auto"/>
            <w:vAlign w:val="center"/>
          </w:tcPr>
          <w:p w14:paraId="3260CDE7" w14:textId="77777777" w:rsidR="00B23D5B" w:rsidRPr="00224567" w:rsidRDefault="00B23D5B" w:rsidP="0002524A">
            <w:pPr>
              <w:autoSpaceDE w:val="0"/>
              <w:autoSpaceDN w:val="0"/>
              <w:adjustRightInd w:val="0"/>
              <w:snapToGrid w:val="0"/>
              <w:spacing w:line="240" w:lineRule="auto"/>
              <w:jc w:val="center"/>
              <w:rPr>
                <w:b/>
                <w:bCs/>
                <w:i/>
                <w:iCs/>
                <w:color w:val="auto"/>
                <w:szCs w:val="18"/>
              </w:rPr>
            </w:pPr>
            <w:r w:rsidRPr="00224567">
              <w:rPr>
                <w:b/>
                <w:bCs/>
                <w:i/>
                <w:iCs/>
                <w:color w:val="auto"/>
                <w:szCs w:val="18"/>
              </w:rPr>
              <w:t>t</w:t>
            </w:r>
          </w:p>
        </w:tc>
        <w:tc>
          <w:tcPr>
            <w:tcW w:w="312" w:type="pct"/>
            <w:tcBorders>
              <w:top w:val="single" w:sz="4" w:space="0" w:color="auto"/>
              <w:left w:val="nil"/>
              <w:bottom w:val="single" w:sz="4" w:space="0" w:color="auto"/>
              <w:right w:val="nil"/>
            </w:tcBorders>
            <w:shd w:val="clear" w:color="auto" w:fill="auto"/>
            <w:vAlign w:val="center"/>
          </w:tcPr>
          <w:p w14:paraId="46C7D75B" w14:textId="77777777" w:rsidR="00B23D5B" w:rsidRPr="00224567" w:rsidRDefault="00B23D5B" w:rsidP="0002524A">
            <w:pPr>
              <w:autoSpaceDE w:val="0"/>
              <w:autoSpaceDN w:val="0"/>
              <w:adjustRightInd w:val="0"/>
              <w:snapToGrid w:val="0"/>
              <w:spacing w:line="240" w:lineRule="auto"/>
              <w:jc w:val="center"/>
              <w:rPr>
                <w:b/>
                <w:bCs/>
                <w:i/>
                <w:iCs/>
                <w:color w:val="auto"/>
                <w:szCs w:val="18"/>
              </w:rPr>
            </w:pPr>
            <w:r w:rsidRPr="00224567">
              <w:rPr>
                <w:b/>
                <w:bCs/>
                <w:i/>
                <w:iCs/>
                <w:color w:val="auto"/>
                <w:szCs w:val="18"/>
              </w:rPr>
              <w:t>p</w:t>
            </w:r>
          </w:p>
        </w:tc>
      </w:tr>
      <w:tr w:rsidR="0002524A" w:rsidRPr="00224567" w14:paraId="7D50C7FC" w14:textId="77777777" w:rsidTr="0002524A">
        <w:trPr>
          <w:cantSplit/>
          <w:jc w:val="center"/>
        </w:trPr>
        <w:tc>
          <w:tcPr>
            <w:tcW w:w="310" w:type="pct"/>
            <w:tcBorders>
              <w:top w:val="single" w:sz="4" w:space="0" w:color="auto"/>
              <w:left w:val="nil"/>
              <w:bottom w:val="nil"/>
              <w:right w:val="nil"/>
            </w:tcBorders>
            <w:shd w:val="clear" w:color="auto" w:fill="auto"/>
            <w:vAlign w:val="center"/>
          </w:tcPr>
          <w:p w14:paraId="690F9642" w14:textId="77777777" w:rsidR="00B23D5B" w:rsidRPr="00224567" w:rsidRDefault="00B23D5B" w:rsidP="0002524A">
            <w:pPr>
              <w:autoSpaceDE w:val="0"/>
              <w:autoSpaceDN w:val="0"/>
              <w:adjustRightInd w:val="0"/>
              <w:snapToGrid w:val="0"/>
              <w:spacing w:line="240" w:lineRule="auto"/>
              <w:jc w:val="center"/>
              <w:rPr>
                <w:color w:val="auto"/>
                <w:szCs w:val="18"/>
              </w:rPr>
            </w:pPr>
            <w:r w:rsidRPr="00224567">
              <w:rPr>
                <w:color w:val="auto"/>
                <w:szCs w:val="18"/>
              </w:rPr>
              <w:t xml:space="preserve">Age </w:t>
            </w:r>
          </w:p>
        </w:tc>
        <w:tc>
          <w:tcPr>
            <w:tcW w:w="310" w:type="pct"/>
            <w:tcBorders>
              <w:top w:val="single" w:sz="4" w:space="0" w:color="auto"/>
              <w:left w:val="nil"/>
              <w:bottom w:val="nil"/>
              <w:right w:val="nil"/>
            </w:tcBorders>
            <w:shd w:val="clear" w:color="auto" w:fill="auto"/>
            <w:vAlign w:val="center"/>
          </w:tcPr>
          <w:p w14:paraId="16044ACE" w14:textId="40547E4B" w:rsidR="00B23D5B" w:rsidRPr="00224567" w:rsidRDefault="00577898" w:rsidP="0002524A">
            <w:pPr>
              <w:autoSpaceDE w:val="0"/>
              <w:autoSpaceDN w:val="0"/>
              <w:adjustRightInd w:val="0"/>
              <w:snapToGrid w:val="0"/>
              <w:spacing w:line="240" w:lineRule="auto"/>
              <w:jc w:val="center"/>
              <w:rPr>
                <w:color w:val="auto"/>
                <w:szCs w:val="18"/>
              </w:rPr>
            </w:pPr>
            <w:r w:rsidRPr="00224567">
              <w:rPr>
                <w:color w:val="auto"/>
                <w:szCs w:val="18"/>
              </w:rPr>
              <w:t>0</w:t>
            </w:r>
            <w:r w:rsidR="00B23D5B" w:rsidRPr="00224567">
              <w:rPr>
                <w:color w:val="auto"/>
                <w:szCs w:val="18"/>
              </w:rPr>
              <w:t>.17</w:t>
            </w:r>
          </w:p>
        </w:tc>
        <w:tc>
          <w:tcPr>
            <w:tcW w:w="311" w:type="pct"/>
            <w:tcBorders>
              <w:top w:val="single" w:sz="4" w:space="0" w:color="auto"/>
              <w:left w:val="nil"/>
              <w:bottom w:val="nil"/>
              <w:right w:val="nil"/>
            </w:tcBorders>
            <w:shd w:val="clear" w:color="auto" w:fill="auto"/>
            <w:vAlign w:val="center"/>
          </w:tcPr>
          <w:p w14:paraId="3DB678BC" w14:textId="77777777" w:rsidR="00B23D5B" w:rsidRPr="00224567" w:rsidRDefault="00B23D5B" w:rsidP="0002524A">
            <w:pPr>
              <w:autoSpaceDE w:val="0"/>
              <w:autoSpaceDN w:val="0"/>
              <w:adjustRightInd w:val="0"/>
              <w:snapToGrid w:val="0"/>
              <w:spacing w:line="240" w:lineRule="auto"/>
              <w:jc w:val="center"/>
              <w:rPr>
                <w:color w:val="auto"/>
                <w:szCs w:val="18"/>
              </w:rPr>
            </w:pPr>
            <w:r w:rsidRPr="00224567">
              <w:rPr>
                <w:color w:val="auto"/>
                <w:szCs w:val="18"/>
              </w:rPr>
              <w:t>0.06</w:t>
            </w:r>
          </w:p>
          <w:p w14:paraId="1C428B1B" w14:textId="77777777" w:rsidR="00B23D5B" w:rsidRPr="00224567" w:rsidRDefault="00B23D5B" w:rsidP="0002524A">
            <w:pPr>
              <w:autoSpaceDE w:val="0"/>
              <w:autoSpaceDN w:val="0"/>
              <w:adjustRightInd w:val="0"/>
              <w:snapToGrid w:val="0"/>
              <w:spacing w:line="240" w:lineRule="auto"/>
              <w:jc w:val="center"/>
              <w:rPr>
                <w:color w:val="auto"/>
                <w:szCs w:val="18"/>
              </w:rPr>
            </w:pPr>
            <w:r w:rsidRPr="00224567">
              <w:rPr>
                <w:color w:val="auto"/>
                <w:szCs w:val="18"/>
              </w:rPr>
              <w:t>(0.02)</w:t>
            </w:r>
          </w:p>
        </w:tc>
        <w:tc>
          <w:tcPr>
            <w:tcW w:w="311" w:type="pct"/>
            <w:tcBorders>
              <w:top w:val="single" w:sz="4" w:space="0" w:color="auto"/>
              <w:left w:val="nil"/>
              <w:bottom w:val="nil"/>
              <w:right w:val="nil"/>
            </w:tcBorders>
            <w:shd w:val="clear" w:color="auto" w:fill="auto"/>
            <w:vAlign w:val="center"/>
          </w:tcPr>
          <w:p w14:paraId="3FDF573C" w14:textId="77777777" w:rsidR="00B23D5B" w:rsidRPr="00224567" w:rsidRDefault="00B23D5B" w:rsidP="0002524A">
            <w:pPr>
              <w:autoSpaceDE w:val="0"/>
              <w:autoSpaceDN w:val="0"/>
              <w:adjustRightInd w:val="0"/>
              <w:snapToGrid w:val="0"/>
              <w:spacing w:line="240" w:lineRule="auto"/>
              <w:jc w:val="center"/>
              <w:rPr>
                <w:color w:val="auto"/>
                <w:szCs w:val="18"/>
              </w:rPr>
            </w:pPr>
            <w:r w:rsidRPr="00224567">
              <w:rPr>
                <w:color w:val="auto"/>
                <w:szCs w:val="18"/>
              </w:rPr>
              <w:t xml:space="preserve">0.01, </w:t>
            </w:r>
          </w:p>
          <w:p w14:paraId="76227D1F" w14:textId="77777777" w:rsidR="00B23D5B" w:rsidRPr="00224567" w:rsidRDefault="00B23D5B" w:rsidP="0002524A">
            <w:pPr>
              <w:autoSpaceDE w:val="0"/>
              <w:autoSpaceDN w:val="0"/>
              <w:adjustRightInd w:val="0"/>
              <w:snapToGrid w:val="0"/>
              <w:spacing w:line="240" w:lineRule="auto"/>
              <w:jc w:val="center"/>
              <w:rPr>
                <w:color w:val="auto"/>
                <w:szCs w:val="18"/>
              </w:rPr>
            </w:pPr>
            <w:r w:rsidRPr="00224567">
              <w:rPr>
                <w:color w:val="auto"/>
                <w:szCs w:val="18"/>
              </w:rPr>
              <w:t>0.10</w:t>
            </w:r>
          </w:p>
        </w:tc>
        <w:tc>
          <w:tcPr>
            <w:tcW w:w="314" w:type="pct"/>
            <w:tcBorders>
              <w:top w:val="single" w:sz="4" w:space="0" w:color="auto"/>
              <w:left w:val="nil"/>
              <w:bottom w:val="nil"/>
              <w:right w:val="nil"/>
            </w:tcBorders>
            <w:shd w:val="clear" w:color="auto" w:fill="auto"/>
            <w:vAlign w:val="center"/>
          </w:tcPr>
          <w:p w14:paraId="242716C8" w14:textId="77777777" w:rsidR="00B23D5B" w:rsidRPr="00224567" w:rsidRDefault="00B23D5B" w:rsidP="0002524A">
            <w:pPr>
              <w:autoSpaceDE w:val="0"/>
              <w:autoSpaceDN w:val="0"/>
              <w:adjustRightInd w:val="0"/>
              <w:snapToGrid w:val="0"/>
              <w:spacing w:line="240" w:lineRule="auto"/>
              <w:jc w:val="center"/>
              <w:rPr>
                <w:color w:val="auto"/>
                <w:szCs w:val="18"/>
              </w:rPr>
            </w:pPr>
            <w:r w:rsidRPr="00224567">
              <w:rPr>
                <w:color w:val="auto"/>
                <w:szCs w:val="18"/>
              </w:rPr>
              <w:t>2.44</w:t>
            </w:r>
          </w:p>
        </w:tc>
        <w:tc>
          <w:tcPr>
            <w:tcW w:w="312" w:type="pct"/>
            <w:tcBorders>
              <w:top w:val="single" w:sz="4" w:space="0" w:color="auto"/>
              <w:left w:val="nil"/>
              <w:bottom w:val="nil"/>
              <w:right w:val="nil"/>
            </w:tcBorders>
            <w:shd w:val="clear" w:color="auto" w:fill="auto"/>
            <w:vAlign w:val="center"/>
          </w:tcPr>
          <w:p w14:paraId="0AA1CEB3" w14:textId="15326719" w:rsidR="00B23D5B" w:rsidRPr="00224567" w:rsidRDefault="00577898" w:rsidP="0002524A">
            <w:pPr>
              <w:autoSpaceDE w:val="0"/>
              <w:autoSpaceDN w:val="0"/>
              <w:adjustRightInd w:val="0"/>
              <w:snapToGrid w:val="0"/>
              <w:spacing w:line="240" w:lineRule="auto"/>
              <w:jc w:val="center"/>
              <w:rPr>
                <w:color w:val="auto"/>
                <w:szCs w:val="18"/>
              </w:rPr>
            </w:pPr>
            <w:r w:rsidRPr="00224567">
              <w:rPr>
                <w:color w:val="auto"/>
                <w:szCs w:val="18"/>
              </w:rPr>
              <w:t>0</w:t>
            </w:r>
            <w:r w:rsidR="00B23D5B" w:rsidRPr="00224567">
              <w:rPr>
                <w:color w:val="auto"/>
                <w:szCs w:val="18"/>
              </w:rPr>
              <w:t>.016</w:t>
            </w:r>
          </w:p>
        </w:tc>
        <w:tc>
          <w:tcPr>
            <w:tcW w:w="312" w:type="pct"/>
            <w:tcBorders>
              <w:top w:val="single" w:sz="4" w:space="0" w:color="auto"/>
              <w:left w:val="nil"/>
              <w:bottom w:val="nil"/>
              <w:right w:val="nil"/>
            </w:tcBorders>
            <w:shd w:val="clear" w:color="auto" w:fill="auto"/>
            <w:vAlign w:val="center"/>
          </w:tcPr>
          <w:p w14:paraId="7C836CE9" w14:textId="14F04543" w:rsidR="00B23D5B" w:rsidRPr="00224567" w:rsidRDefault="00577898" w:rsidP="0002524A">
            <w:pPr>
              <w:autoSpaceDE w:val="0"/>
              <w:autoSpaceDN w:val="0"/>
              <w:adjustRightInd w:val="0"/>
              <w:snapToGrid w:val="0"/>
              <w:spacing w:line="240" w:lineRule="auto"/>
              <w:jc w:val="center"/>
              <w:rPr>
                <w:color w:val="auto"/>
                <w:szCs w:val="18"/>
              </w:rPr>
            </w:pPr>
            <w:r w:rsidRPr="00224567">
              <w:rPr>
                <w:color w:val="auto"/>
                <w:szCs w:val="18"/>
              </w:rPr>
              <w:t>0</w:t>
            </w:r>
            <w:r w:rsidR="00B23D5B" w:rsidRPr="00224567">
              <w:rPr>
                <w:color w:val="auto"/>
                <w:szCs w:val="18"/>
              </w:rPr>
              <w:t>.20</w:t>
            </w:r>
          </w:p>
        </w:tc>
        <w:tc>
          <w:tcPr>
            <w:tcW w:w="312" w:type="pct"/>
            <w:tcBorders>
              <w:top w:val="single" w:sz="4" w:space="0" w:color="auto"/>
              <w:left w:val="nil"/>
              <w:bottom w:val="nil"/>
              <w:right w:val="nil"/>
            </w:tcBorders>
            <w:shd w:val="clear" w:color="auto" w:fill="auto"/>
            <w:vAlign w:val="center"/>
          </w:tcPr>
          <w:p w14:paraId="58F61636" w14:textId="77777777" w:rsidR="00B23D5B" w:rsidRPr="00224567" w:rsidRDefault="00B23D5B" w:rsidP="0002524A">
            <w:pPr>
              <w:autoSpaceDE w:val="0"/>
              <w:autoSpaceDN w:val="0"/>
              <w:adjustRightInd w:val="0"/>
              <w:snapToGrid w:val="0"/>
              <w:spacing w:line="240" w:lineRule="auto"/>
              <w:jc w:val="center"/>
              <w:rPr>
                <w:color w:val="auto"/>
                <w:szCs w:val="18"/>
              </w:rPr>
            </w:pPr>
            <w:r w:rsidRPr="00224567">
              <w:rPr>
                <w:color w:val="auto"/>
                <w:szCs w:val="18"/>
              </w:rPr>
              <w:t>0.06 (0.03)</w:t>
            </w:r>
          </w:p>
        </w:tc>
        <w:tc>
          <w:tcPr>
            <w:tcW w:w="312" w:type="pct"/>
            <w:tcBorders>
              <w:top w:val="single" w:sz="4" w:space="0" w:color="auto"/>
              <w:left w:val="nil"/>
              <w:bottom w:val="nil"/>
              <w:right w:val="nil"/>
            </w:tcBorders>
            <w:shd w:val="clear" w:color="auto" w:fill="auto"/>
            <w:vAlign w:val="center"/>
          </w:tcPr>
          <w:p w14:paraId="73BF0149" w14:textId="77777777" w:rsidR="00B23D5B" w:rsidRPr="00224567" w:rsidRDefault="00B23D5B" w:rsidP="0002524A">
            <w:pPr>
              <w:autoSpaceDE w:val="0"/>
              <w:autoSpaceDN w:val="0"/>
              <w:adjustRightInd w:val="0"/>
              <w:snapToGrid w:val="0"/>
              <w:spacing w:line="240" w:lineRule="auto"/>
              <w:jc w:val="center"/>
              <w:rPr>
                <w:color w:val="auto"/>
                <w:szCs w:val="18"/>
              </w:rPr>
            </w:pPr>
            <w:r w:rsidRPr="00224567">
              <w:rPr>
                <w:color w:val="auto"/>
                <w:szCs w:val="18"/>
              </w:rPr>
              <w:t xml:space="preserve">0.01, </w:t>
            </w:r>
          </w:p>
          <w:p w14:paraId="01A14E66" w14:textId="77777777" w:rsidR="00B23D5B" w:rsidRPr="00224567" w:rsidRDefault="00B23D5B" w:rsidP="0002524A">
            <w:pPr>
              <w:autoSpaceDE w:val="0"/>
              <w:autoSpaceDN w:val="0"/>
              <w:adjustRightInd w:val="0"/>
              <w:snapToGrid w:val="0"/>
              <w:spacing w:line="240" w:lineRule="auto"/>
              <w:jc w:val="center"/>
              <w:rPr>
                <w:color w:val="auto"/>
                <w:szCs w:val="18"/>
              </w:rPr>
            </w:pPr>
            <w:r w:rsidRPr="00224567">
              <w:rPr>
                <w:color w:val="auto"/>
                <w:szCs w:val="18"/>
              </w:rPr>
              <w:t>0.11</w:t>
            </w:r>
          </w:p>
        </w:tc>
        <w:tc>
          <w:tcPr>
            <w:tcW w:w="315" w:type="pct"/>
            <w:tcBorders>
              <w:top w:val="single" w:sz="4" w:space="0" w:color="auto"/>
              <w:left w:val="nil"/>
              <w:bottom w:val="nil"/>
              <w:right w:val="nil"/>
            </w:tcBorders>
            <w:shd w:val="clear" w:color="auto" w:fill="auto"/>
            <w:vAlign w:val="center"/>
          </w:tcPr>
          <w:p w14:paraId="244962B8" w14:textId="77777777" w:rsidR="00B23D5B" w:rsidRPr="00224567" w:rsidRDefault="00B23D5B" w:rsidP="0002524A">
            <w:pPr>
              <w:autoSpaceDE w:val="0"/>
              <w:autoSpaceDN w:val="0"/>
              <w:adjustRightInd w:val="0"/>
              <w:snapToGrid w:val="0"/>
              <w:spacing w:line="240" w:lineRule="auto"/>
              <w:jc w:val="center"/>
              <w:rPr>
                <w:color w:val="auto"/>
                <w:szCs w:val="18"/>
              </w:rPr>
            </w:pPr>
            <w:r w:rsidRPr="00224567">
              <w:rPr>
                <w:color w:val="auto"/>
                <w:szCs w:val="18"/>
              </w:rPr>
              <w:t>2.40</w:t>
            </w:r>
          </w:p>
        </w:tc>
        <w:tc>
          <w:tcPr>
            <w:tcW w:w="312" w:type="pct"/>
            <w:tcBorders>
              <w:top w:val="single" w:sz="4" w:space="0" w:color="auto"/>
              <w:left w:val="nil"/>
              <w:bottom w:val="nil"/>
              <w:right w:val="nil"/>
            </w:tcBorders>
            <w:shd w:val="clear" w:color="auto" w:fill="auto"/>
            <w:vAlign w:val="center"/>
          </w:tcPr>
          <w:p w14:paraId="2E5CE125" w14:textId="70D45F39" w:rsidR="00B23D5B" w:rsidRPr="00224567" w:rsidRDefault="00577898" w:rsidP="0002524A">
            <w:pPr>
              <w:autoSpaceDE w:val="0"/>
              <w:autoSpaceDN w:val="0"/>
              <w:adjustRightInd w:val="0"/>
              <w:snapToGrid w:val="0"/>
              <w:spacing w:line="240" w:lineRule="auto"/>
              <w:jc w:val="center"/>
              <w:rPr>
                <w:color w:val="auto"/>
                <w:szCs w:val="18"/>
              </w:rPr>
            </w:pPr>
            <w:r w:rsidRPr="00224567">
              <w:rPr>
                <w:color w:val="auto"/>
                <w:szCs w:val="18"/>
              </w:rPr>
              <w:t>0</w:t>
            </w:r>
            <w:r w:rsidR="00B23D5B" w:rsidRPr="00224567">
              <w:rPr>
                <w:color w:val="auto"/>
                <w:szCs w:val="18"/>
              </w:rPr>
              <w:t>.018</w:t>
            </w:r>
          </w:p>
        </w:tc>
        <w:tc>
          <w:tcPr>
            <w:tcW w:w="312" w:type="pct"/>
            <w:tcBorders>
              <w:top w:val="single" w:sz="4" w:space="0" w:color="auto"/>
              <w:left w:val="nil"/>
              <w:bottom w:val="nil"/>
              <w:right w:val="nil"/>
            </w:tcBorders>
            <w:shd w:val="clear" w:color="auto" w:fill="auto"/>
            <w:vAlign w:val="center"/>
          </w:tcPr>
          <w:p w14:paraId="3C36258A" w14:textId="65F61A40" w:rsidR="00B23D5B" w:rsidRPr="00224567" w:rsidRDefault="00577898" w:rsidP="0002524A">
            <w:pPr>
              <w:autoSpaceDE w:val="0"/>
              <w:autoSpaceDN w:val="0"/>
              <w:adjustRightInd w:val="0"/>
              <w:snapToGrid w:val="0"/>
              <w:spacing w:line="240" w:lineRule="auto"/>
              <w:jc w:val="center"/>
              <w:rPr>
                <w:color w:val="auto"/>
                <w:szCs w:val="18"/>
              </w:rPr>
            </w:pPr>
            <w:r w:rsidRPr="00224567">
              <w:rPr>
                <w:color w:val="auto"/>
                <w:szCs w:val="18"/>
              </w:rPr>
              <w:t>0</w:t>
            </w:r>
            <w:r w:rsidR="00B23D5B" w:rsidRPr="00224567">
              <w:rPr>
                <w:color w:val="auto"/>
                <w:szCs w:val="18"/>
              </w:rPr>
              <w:t>.15</w:t>
            </w:r>
          </w:p>
        </w:tc>
        <w:tc>
          <w:tcPr>
            <w:tcW w:w="312" w:type="pct"/>
            <w:tcBorders>
              <w:top w:val="single" w:sz="4" w:space="0" w:color="auto"/>
              <w:left w:val="nil"/>
              <w:bottom w:val="nil"/>
              <w:right w:val="nil"/>
            </w:tcBorders>
            <w:shd w:val="clear" w:color="auto" w:fill="auto"/>
            <w:vAlign w:val="center"/>
          </w:tcPr>
          <w:p w14:paraId="044B0035" w14:textId="77777777" w:rsidR="00B23D5B" w:rsidRPr="00224567" w:rsidRDefault="00B23D5B" w:rsidP="0002524A">
            <w:pPr>
              <w:autoSpaceDE w:val="0"/>
              <w:autoSpaceDN w:val="0"/>
              <w:adjustRightInd w:val="0"/>
              <w:snapToGrid w:val="0"/>
              <w:spacing w:line="240" w:lineRule="auto"/>
              <w:jc w:val="center"/>
              <w:rPr>
                <w:color w:val="auto"/>
                <w:szCs w:val="18"/>
              </w:rPr>
            </w:pPr>
            <w:r w:rsidRPr="00224567">
              <w:rPr>
                <w:color w:val="auto"/>
                <w:szCs w:val="18"/>
              </w:rPr>
              <w:t>0.05 (0.03)</w:t>
            </w:r>
          </w:p>
        </w:tc>
        <w:tc>
          <w:tcPr>
            <w:tcW w:w="312" w:type="pct"/>
            <w:tcBorders>
              <w:top w:val="single" w:sz="4" w:space="0" w:color="auto"/>
              <w:left w:val="nil"/>
              <w:bottom w:val="nil"/>
              <w:right w:val="nil"/>
            </w:tcBorders>
            <w:shd w:val="clear" w:color="auto" w:fill="auto"/>
            <w:vAlign w:val="center"/>
          </w:tcPr>
          <w:p w14:paraId="4C539D9C" w14:textId="65AE2576" w:rsidR="00B23D5B" w:rsidRPr="00224567" w:rsidRDefault="006E78DB" w:rsidP="0002524A">
            <w:pPr>
              <w:autoSpaceDE w:val="0"/>
              <w:autoSpaceDN w:val="0"/>
              <w:adjustRightInd w:val="0"/>
              <w:snapToGrid w:val="0"/>
              <w:spacing w:line="240" w:lineRule="auto"/>
              <w:jc w:val="center"/>
              <w:rPr>
                <w:color w:val="auto"/>
                <w:szCs w:val="18"/>
              </w:rPr>
            </w:pPr>
            <w:r w:rsidRPr="00224567">
              <w:rPr>
                <w:color w:val="auto"/>
                <w:szCs w:val="18"/>
              </w:rPr>
              <w:t>−</w:t>
            </w:r>
            <w:r w:rsidR="00B23D5B" w:rsidRPr="00224567">
              <w:rPr>
                <w:color w:val="auto"/>
                <w:szCs w:val="18"/>
              </w:rPr>
              <w:t>0.01, 0.11</w:t>
            </w:r>
          </w:p>
        </w:tc>
        <w:tc>
          <w:tcPr>
            <w:tcW w:w="315" w:type="pct"/>
            <w:tcBorders>
              <w:top w:val="single" w:sz="4" w:space="0" w:color="auto"/>
              <w:left w:val="nil"/>
              <w:bottom w:val="nil"/>
              <w:right w:val="nil"/>
            </w:tcBorders>
            <w:shd w:val="clear" w:color="auto" w:fill="auto"/>
            <w:vAlign w:val="center"/>
          </w:tcPr>
          <w:p w14:paraId="3ED257E4" w14:textId="77777777" w:rsidR="00B23D5B" w:rsidRPr="00224567" w:rsidRDefault="00B23D5B" w:rsidP="0002524A">
            <w:pPr>
              <w:autoSpaceDE w:val="0"/>
              <w:autoSpaceDN w:val="0"/>
              <w:adjustRightInd w:val="0"/>
              <w:snapToGrid w:val="0"/>
              <w:spacing w:line="240" w:lineRule="auto"/>
              <w:jc w:val="center"/>
              <w:rPr>
                <w:color w:val="auto"/>
                <w:szCs w:val="18"/>
              </w:rPr>
            </w:pPr>
            <w:r w:rsidRPr="00224567">
              <w:rPr>
                <w:color w:val="auto"/>
                <w:szCs w:val="18"/>
              </w:rPr>
              <w:t>1.64</w:t>
            </w:r>
          </w:p>
        </w:tc>
        <w:tc>
          <w:tcPr>
            <w:tcW w:w="312" w:type="pct"/>
            <w:tcBorders>
              <w:top w:val="single" w:sz="4" w:space="0" w:color="auto"/>
              <w:left w:val="nil"/>
              <w:bottom w:val="nil"/>
              <w:right w:val="nil"/>
            </w:tcBorders>
            <w:shd w:val="clear" w:color="auto" w:fill="auto"/>
            <w:vAlign w:val="center"/>
          </w:tcPr>
          <w:p w14:paraId="2682A716" w14:textId="47AFBAAC" w:rsidR="00B23D5B" w:rsidRPr="00224567" w:rsidRDefault="00577898" w:rsidP="0002524A">
            <w:pPr>
              <w:autoSpaceDE w:val="0"/>
              <w:autoSpaceDN w:val="0"/>
              <w:adjustRightInd w:val="0"/>
              <w:snapToGrid w:val="0"/>
              <w:spacing w:line="240" w:lineRule="auto"/>
              <w:jc w:val="center"/>
              <w:rPr>
                <w:color w:val="auto"/>
                <w:szCs w:val="18"/>
              </w:rPr>
            </w:pPr>
            <w:r w:rsidRPr="00224567">
              <w:rPr>
                <w:color w:val="auto"/>
                <w:szCs w:val="18"/>
              </w:rPr>
              <w:t>0</w:t>
            </w:r>
            <w:r w:rsidR="00B23D5B" w:rsidRPr="00224567">
              <w:rPr>
                <w:color w:val="auto"/>
                <w:szCs w:val="18"/>
              </w:rPr>
              <w:t>.104</w:t>
            </w:r>
          </w:p>
        </w:tc>
      </w:tr>
      <w:tr w:rsidR="0002524A" w:rsidRPr="00224567" w14:paraId="7B88B7BC" w14:textId="77777777" w:rsidTr="0002524A">
        <w:trPr>
          <w:cantSplit/>
          <w:jc w:val="center"/>
        </w:trPr>
        <w:tc>
          <w:tcPr>
            <w:tcW w:w="310" w:type="pct"/>
            <w:tcBorders>
              <w:top w:val="nil"/>
              <w:left w:val="nil"/>
              <w:bottom w:val="nil"/>
              <w:right w:val="nil"/>
            </w:tcBorders>
            <w:shd w:val="clear" w:color="auto" w:fill="auto"/>
            <w:vAlign w:val="center"/>
          </w:tcPr>
          <w:p w14:paraId="1F151C50" w14:textId="77777777" w:rsidR="00B23D5B" w:rsidRPr="00224567" w:rsidRDefault="00B23D5B" w:rsidP="0002524A">
            <w:pPr>
              <w:autoSpaceDE w:val="0"/>
              <w:autoSpaceDN w:val="0"/>
              <w:adjustRightInd w:val="0"/>
              <w:snapToGrid w:val="0"/>
              <w:spacing w:line="240" w:lineRule="auto"/>
              <w:jc w:val="center"/>
              <w:rPr>
                <w:color w:val="auto"/>
                <w:szCs w:val="18"/>
              </w:rPr>
            </w:pPr>
            <w:r w:rsidRPr="00224567">
              <w:rPr>
                <w:color w:val="auto"/>
                <w:szCs w:val="18"/>
              </w:rPr>
              <w:t>Gender</w:t>
            </w:r>
          </w:p>
        </w:tc>
        <w:tc>
          <w:tcPr>
            <w:tcW w:w="310" w:type="pct"/>
            <w:tcBorders>
              <w:top w:val="nil"/>
              <w:left w:val="nil"/>
              <w:bottom w:val="nil"/>
              <w:right w:val="nil"/>
            </w:tcBorders>
            <w:shd w:val="clear" w:color="auto" w:fill="auto"/>
            <w:vAlign w:val="center"/>
          </w:tcPr>
          <w:p w14:paraId="07EBF605" w14:textId="02586574" w:rsidR="00B23D5B" w:rsidRPr="00224567" w:rsidRDefault="006E78DB" w:rsidP="0002524A">
            <w:pPr>
              <w:autoSpaceDE w:val="0"/>
              <w:autoSpaceDN w:val="0"/>
              <w:adjustRightInd w:val="0"/>
              <w:snapToGrid w:val="0"/>
              <w:spacing w:line="240" w:lineRule="auto"/>
              <w:jc w:val="center"/>
              <w:rPr>
                <w:color w:val="auto"/>
                <w:szCs w:val="18"/>
              </w:rPr>
            </w:pPr>
            <w:r w:rsidRPr="00224567">
              <w:rPr>
                <w:color w:val="auto"/>
                <w:szCs w:val="18"/>
              </w:rPr>
              <w:t>−</w:t>
            </w:r>
            <w:r w:rsidR="00577898" w:rsidRPr="00224567">
              <w:rPr>
                <w:color w:val="auto"/>
                <w:szCs w:val="18"/>
              </w:rPr>
              <w:t>0</w:t>
            </w:r>
            <w:r w:rsidR="00B23D5B" w:rsidRPr="00224567">
              <w:rPr>
                <w:color w:val="auto"/>
                <w:szCs w:val="18"/>
              </w:rPr>
              <w:t>.10</w:t>
            </w:r>
          </w:p>
        </w:tc>
        <w:tc>
          <w:tcPr>
            <w:tcW w:w="311" w:type="pct"/>
            <w:tcBorders>
              <w:top w:val="nil"/>
              <w:left w:val="nil"/>
              <w:bottom w:val="nil"/>
              <w:right w:val="nil"/>
            </w:tcBorders>
            <w:shd w:val="clear" w:color="auto" w:fill="auto"/>
            <w:vAlign w:val="center"/>
          </w:tcPr>
          <w:p w14:paraId="0249BFD7" w14:textId="5ED567D7" w:rsidR="00B23D5B" w:rsidRPr="00224567" w:rsidRDefault="006E78DB" w:rsidP="0002524A">
            <w:pPr>
              <w:autoSpaceDE w:val="0"/>
              <w:autoSpaceDN w:val="0"/>
              <w:adjustRightInd w:val="0"/>
              <w:snapToGrid w:val="0"/>
              <w:spacing w:line="240" w:lineRule="auto"/>
              <w:jc w:val="center"/>
              <w:rPr>
                <w:color w:val="auto"/>
                <w:szCs w:val="18"/>
              </w:rPr>
            </w:pPr>
            <w:r w:rsidRPr="00224567">
              <w:rPr>
                <w:color w:val="auto"/>
                <w:szCs w:val="18"/>
              </w:rPr>
              <w:t>−</w:t>
            </w:r>
            <w:r w:rsidR="00B23D5B" w:rsidRPr="00224567">
              <w:rPr>
                <w:color w:val="auto"/>
                <w:szCs w:val="18"/>
              </w:rPr>
              <w:t>1.36 (0.96)</w:t>
            </w:r>
          </w:p>
        </w:tc>
        <w:tc>
          <w:tcPr>
            <w:tcW w:w="311" w:type="pct"/>
            <w:tcBorders>
              <w:top w:val="nil"/>
              <w:left w:val="nil"/>
              <w:bottom w:val="nil"/>
              <w:right w:val="nil"/>
            </w:tcBorders>
            <w:shd w:val="clear" w:color="auto" w:fill="auto"/>
            <w:vAlign w:val="center"/>
          </w:tcPr>
          <w:p w14:paraId="62513A0D" w14:textId="456C3A8B" w:rsidR="00B23D5B" w:rsidRPr="00224567" w:rsidRDefault="00FC7DC9" w:rsidP="0002524A">
            <w:pPr>
              <w:autoSpaceDE w:val="0"/>
              <w:autoSpaceDN w:val="0"/>
              <w:adjustRightInd w:val="0"/>
              <w:snapToGrid w:val="0"/>
              <w:spacing w:line="240" w:lineRule="auto"/>
              <w:jc w:val="center"/>
              <w:rPr>
                <w:color w:val="auto"/>
                <w:szCs w:val="18"/>
              </w:rPr>
            </w:pPr>
            <w:r w:rsidRPr="00224567">
              <w:rPr>
                <w:color w:val="auto"/>
                <w:szCs w:val="18"/>
              </w:rPr>
              <w:t>−</w:t>
            </w:r>
            <w:r w:rsidR="00B23D5B" w:rsidRPr="00224567">
              <w:rPr>
                <w:color w:val="auto"/>
                <w:szCs w:val="18"/>
              </w:rPr>
              <w:t>3.26, 0.53</w:t>
            </w:r>
          </w:p>
        </w:tc>
        <w:tc>
          <w:tcPr>
            <w:tcW w:w="314" w:type="pct"/>
            <w:tcBorders>
              <w:top w:val="nil"/>
              <w:left w:val="nil"/>
              <w:bottom w:val="nil"/>
              <w:right w:val="nil"/>
            </w:tcBorders>
            <w:shd w:val="clear" w:color="auto" w:fill="auto"/>
            <w:vAlign w:val="center"/>
          </w:tcPr>
          <w:p w14:paraId="612CDF3D" w14:textId="4EFFF1E5" w:rsidR="00B23D5B" w:rsidRPr="00224567" w:rsidRDefault="006E78DB" w:rsidP="0002524A">
            <w:pPr>
              <w:autoSpaceDE w:val="0"/>
              <w:autoSpaceDN w:val="0"/>
              <w:adjustRightInd w:val="0"/>
              <w:snapToGrid w:val="0"/>
              <w:spacing w:line="240" w:lineRule="auto"/>
              <w:jc w:val="center"/>
              <w:rPr>
                <w:color w:val="auto"/>
                <w:szCs w:val="18"/>
              </w:rPr>
            </w:pPr>
            <w:r w:rsidRPr="00224567">
              <w:rPr>
                <w:color w:val="auto"/>
                <w:szCs w:val="18"/>
              </w:rPr>
              <w:t>−</w:t>
            </w:r>
            <w:r w:rsidR="00B23D5B" w:rsidRPr="00224567">
              <w:rPr>
                <w:color w:val="auto"/>
                <w:szCs w:val="18"/>
              </w:rPr>
              <w:t>1.42</w:t>
            </w:r>
          </w:p>
        </w:tc>
        <w:tc>
          <w:tcPr>
            <w:tcW w:w="312" w:type="pct"/>
            <w:tcBorders>
              <w:top w:val="nil"/>
              <w:left w:val="nil"/>
              <w:bottom w:val="nil"/>
              <w:right w:val="nil"/>
            </w:tcBorders>
            <w:shd w:val="clear" w:color="auto" w:fill="auto"/>
            <w:vAlign w:val="center"/>
          </w:tcPr>
          <w:p w14:paraId="117D01D4" w14:textId="49A9DF81" w:rsidR="00B23D5B" w:rsidRPr="00224567" w:rsidRDefault="00577898" w:rsidP="0002524A">
            <w:pPr>
              <w:autoSpaceDE w:val="0"/>
              <w:autoSpaceDN w:val="0"/>
              <w:adjustRightInd w:val="0"/>
              <w:snapToGrid w:val="0"/>
              <w:spacing w:line="240" w:lineRule="auto"/>
              <w:jc w:val="center"/>
              <w:rPr>
                <w:color w:val="auto"/>
                <w:szCs w:val="18"/>
              </w:rPr>
            </w:pPr>
            <w:r w:rsidRPr="00224567">
              <w:rPr>
                <w:color w:val="auto"/>
                <w:szCs w:val="18"/>
              </w:rPr>
              <w:t>0</w:t>
            </w:r>
            <w:r w:rsidR="00B23D5B" w:rsidRPr="00224567">
              <w:rPr>
                <w:color w:val="auto"/>
                <w:szCs w:val="18"/>
              </w:rPr>
              <w:t>.158</w:t>
            </w:r>
          </w:p>
        </w:tc>
        <w:tc>
          <w:tcPr>
            <w:tcW w:w="312" w:type="pct"/>
            <w:tcBorders>
              <w:top w:val="nil"/>
              <w:left w:val="nil"/>
              <w:bottom w:val="nil"/>
              <w:right w:val="nil"/>
            </w:tcBorders>
            <w:shd w:val="clear" w:color="auto" w:fill="auto"/>
            <w:vAlign w:val="center"/>
          </w:tcPr>
          <w:p w14:paraId="03BBCD41" w14:textId="45D8A390" w:rsidR="00B23D5B" w:rsidRPr="00224567" w:rsidRDefault="006E78DB" w:rsidP="0002524A">
            <w:pPr>
              <w:autoSpaceDE w:val="0"/>
              <w:autoSpaceDN w:val="0"/>
              <w:adjustRightInd w:val="0"/>
              <w:snapToGrid w:val="0"/>
              <w:spacing w:line="240" w:lineRule="auto"/>
              <w:jc w:val="center"/>
              <w:rPr>
                <w:color w:val="auto"/>
                <w:szCs w:val="18"/>
              </w:rPr>
            </w:pPr>
            <w:r w:rsidRPr="00224567">
              <w:rPr>
                <w:color w:val="auto"/>
                <w:szCs w:val="18"/>
              </w:rPr>
              <w:t>−</w:t>
            </w:r>
            <w:r w:rsidR="00577898" w:rsidRPr="00224567">
              <w:rPr>
                <w:color w:val="auto"/>
                <w:szCs w:val="18"/>
              </w:rPr>
              <w:t>0</w:t>
            </w:r>
            <w:r w:rsidR="00B23D5B" w:rsidRPr="00224567">
              <w:rPr>
                <w:color w:val="auto"/>
                <w:szCs w:val="18"/>
              </w:rPr>
              <w:t>.18</w:t>
            </w:r>
          </w:p>
        </w:tc>
        <w:tc>
          <w:tcPr>
            <w:tcW w:w="312" w:type="pct"/>
            <w:tcBorders>
              <w:top w:val="nil"/>
              <w:left w:val="nil"/>
              <w:bottom w:val="nil"/>
              <w:right w:val="nil"/>
            </w:tcBorders>
            <w:shd w:val="clear" w:color="auto" w:fill="auto"/>
            <w:vAlign w:val="center"/>
          </w:tcPr>
          <w:p w14:paraId="56BDE2AC" w14:textId="762128CE" w:rsidR="00B23D5B" w:rsidRPr="00224567" w:rsidRDefault="006E78DB" w:rsidP="0002524A">
            <w:pPr>
              <w:autoSpaceDE w:val="0"/>
              <w:autoSpaceDN w:val="0"/>
              <w:adjustRightInd w:val="0"/>
              <w:snapToGrid w:val="0"/>
              <w:spacing w:line="240" w:lineRule="auto"/>
              <w:jc w:val="center"/>
              <w:rPr>
                <w:color w:val="auto"/>
                <w:szCs w:val="18"/>
              </w:rPr>
            </w:pPr>
            <w:r w:rsidRPr="00224567">
              <w:rPr>
                <w:color w:val="auto"/>
                <w:szCs w:val="18"/>
              </w:rPr>
              <w:t>−</w:t>
            </w:r>
            <w:r w:rsidR="00B23D5B" w:rsidRPr="00224567">
              <w:rPr>
                <w:color w:val="auto"/>
                <w:szCs w:val="18"/>
              </w:rPr>
              <w:t>2.41 (1.12)</w:t>
            </w:r>
          </w:p>
        </w:tc>
        <w:tc>
          <w:tcPr>
            <w:tcW w:w="312" w:type="pct"/>
            <w:tcBorders>
              <w:top w:val="nil"/>
              <w:left w:val="nil"/>
              <w:bottom w:val="nil"/>
              <w:right w:val="nil"/>
            </w:tcBorders>
            <w:shd w:val="clear" w:color="auto" w:fill="auto"/>
            <w:vAlign w:val="center"/>
          </w:tcPr>
          <w:p w14:paraId="4DADB2D4" w14:textId="0D4D178B" w:rsidR="00B23D5B" w:rsidRPr="00224567" w:rsidRDefault="006E78DB" w:rsidP="0002524A">
            <w:pPr>
              <w:autoSpaceDE w:val="0"/>
              <w:autoSpaceDN w:val="0"/>
              <w:adjustRightInd w:val="0"/>
              <w:snapToGrid w:val="0"/>
              <w:spacing w:line="240" w:lineRule="auto"/>
              <w:jc w:val="center"/>
              <w:rPr>
                <w:color w:val="auto"/>
                <w:szCs w:val="18"/>
              </w:rPr>
            </w:pPr>
            <w:r w:rsidRPr="00224567">
              <w:rPr>
                <w:color w:val="auto"/>
                <w:szCs w:val="18"/>
              </w:rPr>
              <w:t>−</w:t>
            </w:r>
            <w:r w:rsidR="00B23D5B" w:rsidRPr="00224567">
              <w:rPr>
                <w:color w:val="auto"/>
                <w:szCs w:val="18"/>
              </w:rPr>
              <w:t>4.62,</w:t>
            </w:r>
          </w:p>
          <w:p w14:paraId="1BB260C2" w14:textId="735F8DF9" w:rsidR="00B23D5B" w:rsidRPr="00224567" w:rsidRDefault="006E78DB" w:rsidP="0002524A">
            <w:pPr>
              <w:autoSpaceDE w:val="0"/>
              <w:autoSpaceDN w:val="0"/>
              <w:adjustRightInd w:val="0"/>
              <w:snapToGrid w:val="0"/>
              <w:spacing w:line="240" w:lineRule="auto"/>
              <w:jc w:val="center"/>
              <w:rPr>
                <w:color w:val="auto"/>
                <w:szCs w:val="18"/>
              </w:rPr>
            </w:pPr>
            <w:r w:rsidRPr="00224567">
              <w:rPr>
                <w:color w:val="auto"/>
                <w:szCs w:val="18"/>
              </w:rPr>
              <w:t>−</w:t>
            </w:r>
            <w:r w:rsidR="00B23D5B" w:rsidRPr="00224567">
              <w:rPr>
                <w:color w:val="auto"/>
                <w:szCs w:val="18"/>
              </w:rPr>
              <w:t xml:space="preserve">0.20 </w:t>
            </w:r>
          </w:p>
        </w:tc>
        <w:tc>
          <w:tcPr>
            <w:tcW w:w="315" w:type="pct"/>
            <w:tcBorders>
              <w:top w:val="nil"/>
              <w:left w:val="nil"/>
              <w:bottom w:val="nil"/>
              <w:right w:val="nil"/>
            </w:tcBorders>
            <w:shd w:val="clear" w:color="auto" w:fill="auto"/>
            <w:vAlign w:val="center"/>
          </w:tcPr>
          <w:p w14:paraId="2536C1FA" w14:textId="4757F68E" w:rsidR="00B23D5B" w:rsidRPr="00224567" w:rsidRDefault="006E78DB" w:rsidP="0002524A">
            <w:pPr>
              <w:autoSpaceDE w:val="0"/>
              <w:autoSpaceDN w:val="0"/>
              <w:adjustRightInd w:val="0"/>
              <w:snapToGrid w:val="0"/>
              <w:spacing w:line="240" w:lineRule="auto"/>
              <w:jc w:val="center"/>
              <w:rPr>
                <w:color w:val="auto"/>
                <w:szCs w:val="18"/>
              </w:rPr>
            </w:pPr>
            <w:r w:rsidRPr="00224567">
              <w:rPr>
                <w:color w:val="auto"/>
                <w:szCs w:val="18"/>
              </w:rPr>
              <w:t>−</w:t>
            </w:r>
            <w:r w:rsidR="00B23D5B" w:rsidRPr="00224567">
              <w:rPr>
                <w:color w:val="auto"/>
                <w:szCs w:val="18"/>
              </w:rPr>
              <w:t>2.16</w:t>
            </w:r>
          </w:p>
        </w:tc>
        <w:tc>
          <w:tcPr>
            <w:tcW w:w="312" w:type="pct"/>
            <w:tcBorders>
              <w:top w:val="nil"/>
              <w:left w:val="nil"/>
              <w:bottom w:val="nil"/>
              <w:right w:val="nil"/>
            </w:tcBorders>
            <w:shd w:val="clear" w:color="auto" w:fill="auto"/>
            <w:vAlign w:val="center"/>
          </w:tcPr>
          <w:p w14:paraId="40BC62F2" w14:textId="1E560B24" w:rsidR="00B23D5B" w:rsidRPr="00224567" w:rsidRDefault="00577898" w:rsidP="0002524A">
            <w:pPr>
              <w:autoSpaceDE w:val="0"/>
              <w:autoSpaceDN w:val="0"/>
              <w:adjustRightInd w:val="0"/>
              <w:snapToGrid w:val="0"/>
              <w:spacing w:line="240" w:lineRule="auto"/>
              <w:jc w:val="center"/>
              <w:rPr>
                <w:color w:val="auto"/>
                <w:szCs w:val="18"/>
              </w:rPr>
            </w:pPr>
            <w:r w:rsidRPr="00224567">
              <w:rPr>
                <w:color w:val="auto"/>
                <w:szCs w:val="18"/>
              </w:rPr>
              <w:t>0</w:t>
            </w:r>
            <w:r w:rsidR="00B23D5B" w:rsidRPr="00224567">
              <w:rPr>
                <w:color w:val="auto"/>
                <w:szCs w:val="18"/>
              </w:rPr>
              <w:t>.033</w:t>
            </w:r>
          </w:p>
        </w:tc>
        <w:tc>
          <w:tcPr>
            <w:tcW w:w="312" w:type="pct"/>
            <w:tcBorders>
              <w:top w:val="nil"/>
              <w:left w:val="nil"/>
              <w:bottom w:val="nil"/>
              <w:right w:val="nil"/>
            </w:tcBorders>
            <w:shd w:val="clear" w:color="auto" w:fill="auto"/>
            <w:vAlign w:val="center"/>
          </w:tcPr>
          <w:p w14:paraId="162CB090" w14:textId="08DD4A54" w:rsidR="00B23D5B" w:rsidRPr="00224567" w:rsidRDefault="006E78DB" w:rsidP="0002524A">
            <w:pPr>
              <w:autoSpaceDE w:val="0"/>
              <w:autoSpaceDN w:val="0"/>
              <w:adjustRightInd w:val="0"/>
              <w:snapToGrid w:val="0"/>
              <w:spacing w:line="240" w:lineRule="auto"/>
              <w:jc w:val="center"/>
              <w:rPr>
                <w:color w:val="auto"/>
                <w:szCs w:val="18"/>
              </w:rPr>
            </w:pPr>
            <w:r w:rsidRPr="00224567">
              <w:rPr>
                <w:color w:val="auto"/>
                <w:szCs w:val="18"/>
              </w:rPr>
              <w:t>−</w:t>
            </w:r>
            <w:r w:rsidR="00577898" w:rsidRPr="00224567">
              <w:rPr>
                <w:color w:val="auto"/>
                <w:szCs w:val="18"/>
              </w:rPr>
              <w:t>0</w:t>
            </w:r>
            <w:r w:rsidR="00B23D5B" w:rsidRPr="00224567">
              <w:rPr>
                <w:color w:val="auto"/>
                <w:szCs w:val="18"/>
              </w:rPr>
              <w:t>.08</w:t>
            </w:r>
          </w:p>
        </w:tc>
        <w:tc>
          <w:tcPr>
            <w:tcW w:w="312" w:type="pct"/>
            <w:tcBorders>
              <w:top w:val="nil"/>
              <w:left w:val="nil"/>
              <w:bottom w:val="nil"/>
              <w:right w:val="nil"/>
            </w:tcBorders>
            <w:shd w:val="clear" w:color="auto" w:fill="auto"/>
            <w:vAlign w:val="center"/>
          </w:tcPr>
          <w:p w14:paraId="4B7E4533" w14:textId="423742D0" w:rsidR="00B23D5B" w:rsidRPr="00224567" w:rsidRDefault="006E78DB" w:rsidP="0002524A">
            <w:pPr>
              <w:autoSpaceDE w:val="0"/>
              <w:autoSpaceDN w:val="0"/>
              <w:adjustRightInd w:val="0"/>
              <w:snapToGrid w:val="0"/>
              <w:spacing w:line="240" w:lineRule="auto"/>
              <w:jc w:val="center"/>
              <w:rPr>
                <w:color w:val="auto"/>
                <w:szCs w:val="18"/>
              </w:rPr>
            </w:pPr>
            <w:r w:rsidRPr="00224567">
              <w:rPr>
                <w:color w:val="auto"/>
                <w:szCs w:val="18"/>
              </w:rPr>
              <w:t>−</w:t>
            </w:r>
            <w:r w:rsidR="00B23D5B" w:rsidRPr="00224567">
              <w:rPr>
                <w:color w:val="auto"/>
                <w:szCs w:val="18"/>
              </w:rPr>
              <w:t>1.04 (1.24)</w:t>
            </w:r>
          </w:p>
        </w:tc>
        <w:tc>
          <w:tcPr>
            <w:tcW w:w="312" w:type="pct"/>
            <w:tcBorders>
              <w:top w:val="nil"/>
              <w:left w:val="nil"/>
              <w:bottom w:val="nil"/>
              <w:right w:val="nil"/>
            </w:tcBorders>
            <w:shd w:val="clear" w:color="auto" w:fill="auto"/>
            <w:vAlign w:val="center"/>
          </w:tcPr>
          <w:p w14:paraId="46319AE8" w14:textId="09B886CF" w:rsidR="00B23D5B" w:rsidRPr="00224567" w:rsidRDefault="006E78DB" w:rsidP="0002524A">
            <w:pPr>
              <w:autoSpaceDE w:val="0"/>
              <w:autoSpaceDN w:val="0"/>
              <w:adjustRightInd w:val="0"/>
              <w:snapToGrid w:val="0"/>
              <w:spacing w:line="240" w:lineRule="auto"/>
              <w:jc w:val="center"/>
              <w:rPr>
                <w:color w:val="auto"/>
                <w:szCs w:val="18"/>
              </w:rPr>
            </w:pPr>
            <w:r w:rsidRPr="00224567">
              <w:rPr>
                <w:color w:val="auto"/>
                <w:szCs w:val="18"/>
              </w:rPr>
              <w:t>−</w:t>
            </w:r>
            <w:r w:rsidR="00B23D5B" w:rsidRPr="00224567">
              <w:rPr>
                <w:color w:val="auto"/>
                <w:szCs w:val="18"/>
              </w:rPr>
              <w:t>3.51, 1.42</w:t>
            </w:r>
          </w:p>
        </w:tc>
        <w:tc>
          <w:tcPr>
            <w:tcW w:w="315" w:type="pct"/>
            <w:tcBorders>
              <w:top w:val="nil"/>
              <w:left w:val="nil"/>
              <w:bottom w:val="nil"/>
              <w:right w:val="nil"/>
            </w:tcBorders>
            <w:shd w:val="clear" w:color="auto" w:fill="auto"/>
            <w:vAlign w:val="center"/>
          </w:tcPr>
          <w:p w14:paraId="781086E7" w14:textId="4F8F1C5A" w:rsidR="00B23D5B" w:rsidRPr="00224567" w:rsidRDefault="006E78DB" w:rsidP="0002524A">
            <w:pPr>
              <w:autoSpaceDE w:val="0"/>
              <w:autoSpaceDN w:val="0"/>
              <w:adjustRightInd w:val="0"/>
              <w:snapToGrid w:val="0"/>
              <w:spacing w:line="240" w:lineRule="auto"/>
              <w:jc w:val="center"/>
              <w:rPr>
                <w:color w:val="auto"/>
                <w:szCs w:val="18"/>
              </w:rPr>
            </w:pPr>
            <w:r w:rsidRPr="00224567">
              <w:rPr>
                <w:color w:val="auto"/>
                <w:szCs w:val="18"/>
              </w:rPr>
              <w:t>−</w:t>
            </w:r>
            <w:r w:rsidR="00B23D5B" w:rsidRPr="00224567">
              <w:rPr>
                <w:color w:val="auto"/>
                <w:szCs w:val="18"/>
              </w:rPr>
              <w:t>0.84</w:t>
            </w:r>
          </w:p>
        </w:tc>
        <w:tc>
          <w:tcPr>
            <w:tcW w:w="312" w:type="pct"/>
            <w:tcBorders>
              <w:top w:val="nil"/>
              <w:left w:val="nil"/>
              <w:bottom w:val="nil"/>
              <w:right w:val="nil"/>
            </w:tcBorders>
            <w:shd w:val="clear" w:color="auto" w:fill="auto"/>
            <w:vAlign w:val="center"/>
          </w:tcPr>
          <w:p w14:paraId="2D1436D8" w14:textId="3B993F49" w:rsidR="00B23D5B" w:rsidRPr="00224567" w:rsidRDefault="00577898" w:rsidP="0002524A">
            <w:pPr>
              <w:autoSpaceDE w:val="0"/>
              <w:autoSpaceDN w:val="0"/>
              <w:adjustRightInd w:val="0"/>
              <w:snapToGrid w:val="0"/>
              <w:spacing w:line="240" w:lineRule="auto"/>
              <w:jc w:val="center"/>
              <w:rPr>
                <w:color w:val="auto"/>
                <w:szCs w:val="18"/>
              </w:rPr>
            </w:pPr>
            <w:r w:rsidRPr="00224567">
              <w:rPr>
                <w:color w:val="auto"/>
                <w:szCs w:val="18"/>
              </w:rPr>
              <w:t>0</w:t>
            </w:r>
            <w:r w:rsidR="00B23D5B" w:rsidRPr="00224567">
              <w:rPr>
                <w:color w:val="auto"/>
                <w:szCs w:val="18"/>
              </w:rPr>
              <w:t>.404</w:t>
            </w:r>
          </w:p>
        </w:tc>
      </w:tr>
      <w:tr w:rsidR="0002524A" w:rsidRPr="00224567" w14:paraId="5D3704E0" w14:textId="77777777" w:rsidTr="0002524A">
        <w:trPr>
          <w:cantSplit/>
          <w:jc w:val="center"/>
        </w:trPr>
        <w:tc>
          <w:tcPr>
            <w:tcW w:w="310" w:type="pct"/>
            <w:tcBorders>
              <w:top w:val="nil"/>
              <w:left w:val="nil"/>
              <w:bottom w:val="nil"/>
              <w:right w:val="nil"/>
            </w:tcBorders>
            <w:shd w:val="clear" w:color="auto" w:fill="auto"/>
            <w:vAlign w:val="center"/>
          </w:tcPr>
          <w:p w14:paraId="46FD9B23" w14:textId="77777777" w:rsidR="00B23D5B" w:rsidRPr="00224567" w:rsidRDefault="00B23D5B" w:rsidP="0002524A">
            <w:pPr>
              <w:autoSpaceDE w:val="0"/>
              <w:autoSpaceDN w:val="0"/>
              <w:adjustRightInd w:val="0"/>
              <w:snapToGrid w:val="0"/>
              <w:spacing w:line="240" w:lineRule="auto"/>
              <w:jc w:val="center"/>
              <w:rPr>
                <w:color w:val="auto"/>
                <w:szCs w:val="18"/>
              </w:rPr>
            </w:pPr>
            <w:r w:rsidRPr="00224567">
              <w:rPr>
                <w:color w:val="auto"/>
                <w:szCs w:val="18"/>
              </w:rPr>
              <w:t>T1 Int Motive</w:t>
            </w:r>
          </w:p>
        </w:tc>
        <w:tc>
          <w:tcPr>
            <w:tcW w:w="310" w:type="pct"/>
            <w:tcBorders>
              <w:top w:val="nil"/>
              <w:left w:val="nil"/>
              <w:bottom w:val="nil"/>
              <w:right w:val="nil"/>
            </w:tcBorders>
            <w:shd w:val="clear" w:color="auto" w:fill="auto"/>
            <w:vAlign w:val="center"/>
          </w:tcPr>
          <w:p w14:paraId="0A3560AA" w14:textId="689AC910" w:rsidR="00B23D5B" w:rsidRPr="00224567" w:rsidRDefault="00577898" w:rsidP="0002524A">
            <w:pPr>
              <w:autoSpaceDE w:val="0"/>
              <w:autoSpaceDN w:val="0"/>
              <w:adjustRightInd w:val="0"/>
              <w:snapToGrid w:val="0"/>
              <w:spacing w:line="240" w:lineRule="auto"/>
              <w:jc w:val="center"/>
              <w:rPr>
                <w:color w:val="auto"/>
                <w:szCs w:val="18"/>
              </w:rPr>
            </w:pPr>
            <w:r w:rsidRPr="00224567">
              <w:rPr>
                <w:color w:val="auto"/>
                <w:szCs w:val="18"/>
              </w:rPr>
              <w:t>0</w:t>
            </w:r>
            <w:r w:rsidR="00B23D5B" w:rsidRPr="00224567">
              <w:rPr>
                <w:color w:val="auto"/>
                <w:szCs w:val="18"/>
              </w:rPr>
              <w:t>.32</w:t>
            </w:r>
          </w:p>
        </w:tc>
        <w:tc>
          <w:tcPr>
            <w:tcW w:w="311" w:type="pct"/>
            <w:tcBorders>
              <w:top w:val="nil"/>
              <w:left w:val="nil"/>
              <w:bottom w:val="nil"/>
              <w:right w:val="nil"/>
            </w:tcBorders>
            <w:shd w:val="clear" w:color="auto" w:fill="auto"/>
            <w:vAlign w:val="center"/>
          </w:tcPr>
          <w:p w14:paraId="3CCA1028" w14:textId="77777777" w:rsidR="00B23D5B" w:rsidRPr="00224567" w:rsidRDefault="00B23D5B" w:rsidP="0002524A">
            <w:pPr>
              <w:autoSpaceDE w:val="0"/>
              <w:autoSpaceDN w:val="0"/>
              <w:adjustRightInd w:val="0"/>
              <w:snapToGrid w:val="0"/>
              <w:spacing w:line="240" w:lineRule="auto"/>
              <w:jc w:val="center"/>
              <w:rPr>
                <w:color w:val="auto"/>
                <w:szCs w:val="18"/>
              </w:rPr>
            </w:pPr>
            <w:r w:rsidRPr="00224567">
              <w:rPr>
                <w:color w:val="auto"/>
                <w:szCs w:val="18"/>
              </w:rPr>
              <w:t>0.69 (0.16)</w:t>
            </w:r>
          </w:p>
        </w:tc>
        <w:tc>
          <w:tcPr>
            <w:tcW w:w="311" w:type="pct"/>
            <w:tcBorders>
              <w:top w:val="nil"/>
              <w:left w:val="nil"/>
              <w:bottom w:val="nil"/>
              <w:right w:val="nil"/>
            </w:tcBorders>
            <w:shd w:val="clear" w:color="auto" w:fill="auto"/>
            <w:vAlign w:val="center"/>
          </w:tcPr>
          <w:p w14:paraId="2EDAA36D" w14:textId="77777777" w:rsidR="00B23D5B" w:rsidRPr="00224567" w:rsidRDefault="00B23D5B" w:rsidP="0002524A">
            <w:pPr>
              <w:autoSpaceDE w:val="0"/>
              <w:autoSpaceDN w:val="0"/>
              <w:adjustRightInd w:val="0"/>
              <w:snapToGrid w:val="0"/>
              <w:spacing w:line="240" w:lineRule="auto"/>
              <w:jc w:val="center"/>
              <w:rPr>
                <w:color w:val="auto"/>
                <w:szCs w:val="18"/>
              </w:rPr>
            </w:pPr>
            <w:r w:rsidRPr="00224567">
              <w:rPr>
                <w:color w:val="auto"/>
                <w:szCs w:val="18"/>
              </w:rPr>
              <w:t xml:space="preserve">0.38, </w:t>
            </w:r>
          </w:p>
          <w:p w14:paraId="14BC5EB9" w14:textId="77777777" w:rsidR="00B23D5B" w:rsidRPr="00224567" w:rsidRDefault="00B23D5B" w:rsidP="0002524A">
            <w:pPr>
              <w:autoSpaceDE w:val="0"/>
              <w:autoSpaceDN w:val="0"/>
              <w:adjustRightInd w:val="0"/>
              <w:snapToGrid w:val="0"/>
              <w:spacing w:line="240" w:lineRule="auto"/>
              <w:jc w:val="center"/>
              <w:rPr>
                <w:color w:val="auto"/>
                <w:szCs w:val="18"/>
              </w:rPr>
            </w:pPr>
            <w:r w:rsidRPr="00224567">
              <w:rPr>
                <w:color w:val="auto"/>
                <w:szCs w:val="18"/>
              </w:rPr>
              <w:t>0.99</w:t>
            </w:r>
          </w:p>
        </w:tc>
        <w:tc>
          <w:tcPr>
            <w:tcW w:w="314" w:type="pct"/>
            <w:tcBorders>
              <w:top w:val="nil"/>
              <w:left w:val="nil"/>
              <w:bottom w:val="nil"/>
              <w:right w:val="nil"/>
            </w:tcBorders>
            <w:shd w:val="clear" w:color="auto" w:fill="auto"/>
            <w:vAlign w:val="center"/>
          </w:tcPr>
          <w:p w14:paraId="198A95AF" w14:textId="77777777" w:rsidR="00B23D5B" w:rsidRPr="00224567" w:rsidRDefault="00B23D5B" w:rsidP="0002524A">
            <w:pPr>
              <w:autoSpaceDE w:val="0"/>
              <w:autoSpaceDN w:val="0"/>
              <w:adjustRightInd w:val="0"/>
              <w:snapToGrid w:val="0"/>
              <w:spacing w:line="240" w:lineRule="auto"/>
              <w:jc w:val="center"/>
              <w:rPr>
                <w:color w:val="auto"/>
                <w:szCs w:val="18"/>
              </w:rPr>
            </w:pPr>
            <w:r w:rsidRPr="00224567">
              <w:rPr>
                <w:color w:val="auto"/>
                <w:szCs w:val="18"/>
              </w:rPr>
              <w:t>4.39</w:t>
            </w:r>
          </w:p>
        </w:tc>
        <w:tc>
          <w:tcPr>
            <w:tcW w:w="312" w:type="pct"/>
            <w:tcBorders>
              <w:top w:val="nil"/>
              <w:left w:val="nil"/>
              <w:bottom w:val="nil"/>
              <w:right w:val="nil"/>
            </w:tcBorders>
            <w:shd w:val="clear" w:color="auto" w:fill="auto"/>
            <w:vAlign w:val="center"/>
          </w:tcPr>
          <w:p w14:paraId="749D1012" w14:textId="47FC3933" w:rsidR="00B23D5B" w:rsidRPr="00224567" w:rsidRDefault="00B23D5B" w:rsidP="0002524A">
            <w:pPr>
              <w:autoSpaceDE w:val="0"/>
              <w:autoSpaceDN w:val="0"/>
              <w:adjustRightInd w:val="0"/>
              <w:snapToGrid w:val="0"/>
              <w:spacing w:line="240" w:lineRule="auto"/>
              <w:jc w:val="center"/>
              <w:rPr>
                <w:color w:val="auto"/>
                <w:szCs w:val="18"/>
              </w:rPr>
            </w:pPr>
            <w:r w:rsidRPr="00224567">
              <w:rPr>
                <w:color w:val="auto"/>
                <w:szCs w:val="18"/>
              </w:rPr>
              <w:t>&lt;0.001</w:t>
            </w:r>
          </w:p>
        </w:tc>
        <w:tc>
          <w:tcPr>
            <w:tcW w:w="312" w:type="pct"/>
            <w:tcBorders>
              <w:top w:val="nil"/>
              <w:left w:val="nil"/>
              <w:bottom w:val="nil"/>
              <w:right w:val="nil"/>
            </w:tcBorders>
            <w:shd w:val="clear" w:color="auto" w:fill="auto"/>
            <w:vAlign w:val="center"/>
          </w:tcPr>
          <w:p w14:paraId="487E76E7" w14:textId="22336CAB" w:rsidR="00B23D5B" w:rsidRPr="00224567" w:rsidRDefault="00577898" w:rsidP="0002524A">
            <w:pPr>
              <w:autoSpaceDE w:val="0"/>
              <w:autoSpaceDN w:val="0"/>
              <w:adjustRightInd w:val="0"/>
              <w:snapToGrid w:val="0"/>
              <w:spacing w:line="240" w:lineRule="auto"/>
              <w:jc w:val="center"/>
              <w:rPr>
                <w:color w:val="auto"/>
                <w:szCs w:val="18"/>
              </w:rPr>
            </w:pPr>
            <w:r w:rsidRPr="00224567">
              <w:rPr>
                <w:color w:val="auto"/>
                <w:szCs w:val="18"/>
              </w:rPr>
              <w:t>0</w:t>
            </w:r>
            <w:r w:rsidR="00B23D5B" w:rsidRPr="00224567">
              <w:rPr>
                <w:color w:val="auto"/>
                <w:szCs w:val="18"/>
              </w:rPr>
              <w:t>.19</w:t>
            </w:r>
          </w:p>
        </w:tc>
        <w:tc>
          <w:tcPr>
            <w:tcW w:w="312" w:type="pct"/>
            <w:tcBorders>
              <w:top w:val="nil"/>
              <w:left w:val="nil"/>
              <w:bottom w:val="nil"/>
              <w:right w:val="nil"/>
            </w:tcBorders>
            <w:shd w:val="clear" w:color="auto" w:fill="auto"/>
            <w:vAlign w:val="center"/>
          </w:tcPr>
          <w:p w14:paraId="36A45934" w14:textId="77777777" w:rsidR="00B23D5B" w:rsidRPr="00224567" w:rsidRDefault="00B23D5B" w:rsidP="0002524A">
            <w:pPr>
              <w:autoSpaceDE w:val="0"/>
              <w:autoSpaceDN w:val="0"/>
              <w:adjustRightInd w:val="0"/>
              <w:snapToGrid w:val="0"/>
              <w:spacing w:line="240" w:lineRule="auto"/>
              <w:jc w:val="center"/>
              <w:rPr>
                <w:color w:val="auto"/>
                <w:szCs w:val="18"/>
              </w:rPr>
            </w:pPr>
            <w:r w:rsidRPr="00224567">
              <w:rPr>
                <w:color w:val="auto"/>
                <w:szCs w:val="18"/>
              </w:rPr>
              <w:t>0.41 (0.19)</w:t>
            </w:r>
          </w:p>
        </w:tc>
        <w:tc>
          <w:tcPr>
            <w:tcW w:w="312" w:type="pct"/>
            <w:tcBorders>
              <w:top w:val="nil"/>
              <w:left w:val="nil"/>
              <w:bottom w:val="nil"/>
              <w:right w:val="nil"/>
            </w:tcBorders>
            <w:shd w:val="clear" w:color="auto" w:fill="auto"/>
            <w:vAlign w:val="center"/>
          </w:tcPr>
          <w:p w14:paraId="59FEFF33" w14:textId="77777777" w:rsidR="00B23D5B" w:rsidRPr="00224567" w:rsidRDefault="00B23D5B" w:rsidP="0002524A">
            <w:pPr>
              <w:autoSpaceDE w:val="0"/>
              <w:autoSpaceDN w:val="0"/>
              <w:adjustRightInd w:val="0"/>
              <w:snapToGrid w:val="0"/>
              <w:spacing w:line="240" w:lineRule="auto"/>
              <w:jc w:val="center"/>
              <w:rPr>
                <w:color w:val="auto"/>
                <w:szCs w:val="18"/>
              </w:rPr>
            </w:pPr>
            <w:r w:rsidRPr="00224567">
              <w:rPr>
                <w:color w:val="auto"/>
                <w:szCs w:val="18"/>
              </w:rPr>
              <w:t xml:space="preserve">0.04, </w:t>
            </w:r>
          </w:p>
          <w:p w14:paraId="2691232B" w14:textId="77777777" w:rsidR="00B23D5B" w:rsidRPr="00224567" w:rsidRDefault="00B23D5B" w:rsidP="0002524A">
            <w:pPr>
              <w:autoSpaceDE w:val="0"/>
              <w:autoSpaceDN w:val="0"/>
              <w:adjustRightInd w:val="0"/>
              <w:snapToGrid w:val="0"/>
              <w:spacing w:line="240" w:lineRule="auto"/>
              <w:jc w:val="center"/>
              <w:rPr>
                <w:color w:val="auto"/>
                <w:szCs w:val="18"/>
              </w:rPr>
            </w:pPr>
            <w:r w:rsidRPr="00224567">
              <w:rPr>
                <w:color w:val="auto"/>
                <w:szCs w:val="18"/>
              </w:rPr>
              <w:t>0.78</w:t>
            </w:r>
          </w:p>
        </w:tc>
        <w:tc>
          <w:tcPr>
            <w:tcW w:w="315" w:type="pct"/>
            <w:tcBorders>
              <w:top w:val="nil"/>
              <w:left w:val="nil"/>
              <w:bottom w:val="nil"/>
              <w:right w:val="nil"/>
            </w:tcBorders>
            <w:shd w:val="clear" w:color="auto" w:fill="auto"/>
            <w:vAlign w:val="center"/>
          </w:tcPr>
          <w:p w14:paraId="28FEE1B8" w14:textId="77777777" w:rsidR="00B23D5B" w:rsidRPr="00224567" w:rsidRDefault="00B23D5B" w:rsidP="0002524A">
            <w:pPr>
              <w:autoSpaceDE w:val="0"/>
              <w:autoSpaceDN w:val="0"/>
              <w:adjustRightInd w:val="0"/>
              <w:snapToGrid w:val="0"/>
              <w:spacing w:line="240" w:lineRule="auto"/>
              <w:jc w:val="center"/>
              <w:rPr>
                <w:color w:val="auto"/>
                <w:szCs w:val="18"/>
              </w:rPr>
            </w:pPr>
            <w:r w:rsidRPr="00224567">
              <w:rPr>
                <w:color w:val="auto"/>
                <w:szCs w:val="18"/>
              </w:rPr>
              <w:t>2.21</w:t>
            </w:r>
          </w:p>
        </w:tc>
        <w:tc>
          <w:tcPr>
            <w:tcW w:w="312" w:type="pct"/>
            <w:tcBorders>
              <w:top w:val="nil"/>
              <w:left w:val="nil"/>
              <w:bottom w:val="nil"/>
              <w:right w:val="nil"/>
            </w:tcBorders>
            <w:shd w:val="clear" w:color="auto" w:fill="auto"/>
            <w:vAlign w:val="center"/>
          </w:tcPr>
          <w:p w14:paraId="5526130E" w14:textId="1F27E8AD" w:rsidR="00B23D5B" w:rsidRPr="00224567" w:rsidRDefault="00577898" w:rsidP="0002524A">
            <w:pPr>
              <w:autoSpaceDE w:val="0"/>
              <w:autoSpaceDN w:val="0"/>
              <w:adjustRightInd w:val="0"/>
              <w:snapToGrid w:val="0"/>
              <w:spacing w:line="240" w:lineRule="auto"/>
              <w:jc w:val="center"/>
              <w:rPr>
                <w:color w:val="auto"/>
                <w:szCs w:val="18"/>
              </w:rPr>
            </w:pPr>
            <w:r w:rsidRPr="00224567">
              <w:rPr>
                <w:color w:val="auto"/>
                <w:szCs w:val="18"/>
              </w:rPr>
              <w:t>0</w:t>
            </w:r>
            <w:r w:rsidR="00B23D5B" w:rsidRPr="00224567">
              <w:rPr>
                <w:color w:val="auto"/>
                <w:szCs w:val="18"/>
              </w:rPr>
              <w:t>.029</w:t>
            </w:r>
          </w:p>
        </w:tc>
        <w:tc>
          <w:tcPr>
            <w:tcW w:w="312" w:type="pct"/>
            <w:tcBorders>
              <w:top w:val="nil"/>
              <w:left w:val="nil"/>
              <w:bottom w:val="nil"/>
              <w:right w:val="nil"/>
            </w:tcBorders>
            <w:shd w:val="clear" w:color="auto" w:fill="auto"/>
            <w:vAlign w:val="center"/>
          </w:tcPr>
          <w:p w14:paraId="30B5D74E" w14:textId="6E49C56D" w:rsidR="00B23D5B" w:rsidRPr="00224567" w:rsidRDefault="00577898" w:rsidP="0002524A">
            <w:pPr>
              <w:autoSpaceDE w:val="0"/>
              <w:autoSpaceDN w:val="0"/>
              <w:adjustRightInd w:val="0"/>
              <w:snapToGrid w:val="0"/>
              <w:spacing w:line="240" w:lineRule="auto"/>
              <w:jc w:val="center"/>
              <w:rPr>
                <w:color w:val="auto"/>
                <w:szCs w:val="18"/>
              </w:rPr>
            </w:pPr>
            <w:r w:rsidRPr="00224567">
              <w:rPr>
                <w:color w:val="auto"/>
                <w:szCs w:val="18"/>
              </w:rPr>
              <w:t>0</w:t>
            </w:r>
            <w:r w:rsidR="00B23D5B" w:rsidRPr="00224567">
              <w:rPr>
                <w:color w:val="auto"/>
                <w:szCs w:val="18"/>
              </w:rPr>
              <w:t>.35</w:t>
            </w:r>
          </w:p>
        </w:tc>
        <w:tc>
          <w:tcPr>
            <w:tcW w:w="312" w:type="pct"/>
            <w:tcBorders>
              <w:top w:val="nil"/>
              <w:left w:val="nil"/>
              <w:bottom w:val="nil"/>
              <w:right w:val="nil"/>
            </w:tcBorders>
            <w:shd w:val="clear" w:color="auto" w:fill="auto"/>
            <w:vAlign w:val="center"/>
          </w:tcPr>
          <w:p w14:paraId="4B118F4C" w14:textId="77777777" w:rsidR="00B23D5B" w:rsidRPr="00224567" w:rsidRDefault="00B23D5B" w:rsidP="0002524A">
            <w:pPr>
              <w:autoSpaceDE w:val="0"/>
              <w:autoSpaceDN w:val="0"/>
              <w:adjustRightInd w:val="0"/>
              <w:snapToGrid w:val="0"/>
              <w:spacing w:line="240" w:lineRule="auto"/>
              <w:jc w:val="center"/>
              <w:rPr>
                <w:color w:val="auto"/>
                <w:szCs w:val="18"/>
              </w:rPr>
            </w:pPr>
            <w:r w:rsidRPr="00224567">
              <w:rPr>
                <w:color w:val="auto"/>
                <w:szCs w:val="18"/>
              </w:rPr>
              <w:t>0.77 (0.21)</w:t>
            </w:r>
          </w:p>
        </w:tc>
        <w:tc>
          <w:tcPr>
            <w:tcW w:w="312" w:type="pct"/>
            <w:tcBorders>
              <w:top w:val="nil"/>
              <w:left w:val="nil"/>
              <w:bottom w:val="nil"/>
              <w:right w:val="nil"/>
            </w:tcBorders>
            <w:shd w:val="clear" w:color="auto" w:fill="auto"/>
            <w:vAlign w:val="center"/>
          </w:tcPr>
          <w:p w14:paraId="7BB326C8" w14:textId="77777777" w:rsidR="00B23D5B" w:rsidRPr="00224567" w:rsidRDefault="00B23D5B" w:rsidP="0002524A">
            <w:pPr>
              <w:autoSpaceDE w:val="0"/>
              <w:autoSpaceDN w:val="0"/>
              <w:adjustRightInd w:val="0"/>
              <w:snapToGrid w:val="0"/>
              <w:spacing w:line="240" w:lineRule="auto"/>
              <w:jc w:val="center"/>
              <w:rPr>
                <w:color w:val="auto"/>
                <w:szCs w:val="18"/>
              </w:rPr>
            </w:pPr>
            <w:r w:rsidRPr="00224567">
              <w:rPr>
                <w:color w:val="auto"/>
                <w:szCs w:val="18"/>
              </w:rPr>
              <w:t xml:space="preserve">0.35, </w:t>
            </w:r>
          </w:p>
          <w:p w14:paraId="22E3AE22" w14:textId="77777777" w:rsidR="00B23D5B" w:rsidRPr="00224567" w:rsidRDefault="00B23D5B" w:rsidP="0002524A">
            <w:pPr>
              <w:autoSpaceDE w:val="0"/>
              <w:autoSpaceDN w:val="0"/>
              <w:adjustRightInd w:val="0"/>
              <w:snapToGrid w:val="0"/>
              <w:spacing w:line="240" w:lineRule="auto"/>
              <w:jc w:val="center"/>
              <w:rPr>
                <w:color w:val="auto"/>
                <w:szCs w:val="18"/>
              </w:rPr>
            </w:pPr>
            <w:r w:rsidRPr="00224567">
              <w:rPr>
                <w:color w:val="auto"/>
                <w:szCs w:val="18"/>
              </w:rPr>
              <w:t>1.19</w:t>
            </w:r>
          </w:p>
        </w:tc>
        <w:tc>
          <w:tcPr>
            <w:tcW w:w="315" w:type="pct"/>
            <w:tcBorders>
              <w:top w:val="nil"/>
              <w:left w:val="nil"/>
              <w:bottom w:val="nil"/>
              <w:right w:val="nil"/>
            </w:tcBorders>
            <w:shd w:val="clear" w:color="auto" w:fill="auto"/>
            <w:vAlign w:val="center"/>
          </w:tcPr>
          <w:p w14:paraId="139C2259" w14:textId="77777777" w:rsidR="00B23D5B" w:rsidRPr="00224567" w:rsidRDefault="00B23D5B" w:rsidP="0002524A">
            <w:pPr>
              <w:autoSpaceDE w:val="0"/>
              <w:autoSpaceDN w:val="0"/>
              <w:adjustRightInd w:val="0"/>
              <w:snapToGrid w:val="0"/>
              <w:spacing w:line="240" w:lineRule="auto"/>
              <w:jc w:val="center"/>
              <w:rPr>
                <w:color w:val="auto"/>
                <w:szCs w:val="18"/>
              </w:rPr>
            </w:pPr>
            <w:r w:rsidRPr="00224567">
              <w:rPr>
                <w:color w:val="auto"/>
                <w:szCs w:val="18"/>
              </w:rPr>
              <w:t>3.65</w:t>
            </w:r>
          </w:p>
        </w:tc>
        <w:tc>
          <w:tcPr>
            <w:tcW w:w="312" w:type="pct"/>
            <w:tcBorders>
              <w:top w:val="nil"/>
              <w:left w:val="nil"/>
              <w:bottom w:val="nil"/>
              <w:right w:val="nil"/>
            </w:tcBorders>
            <w:shd w:val="clear" w:color="auto" w:fill="auto"/>
            <w:vAlign w:val="center"/>
          </w:tcPr>
          <w:p w14:paraId="67DE7B8F" w14:textId="22C3AE23" w:rsidR="00B23D5B" w:rsidRPr="00224567" w:rsidRDefault="00B23D5B" w:rsidP="0002524A">
            <w:pPr>
              <w:autoSpaceDE w:val="0"/>
              <w:autoSpaceDN w:val="0"/>
              <w:adjustRightInd w:val="0"/>
              <w:snapToGrid w:val="0"/>
              <w:spacing w:line="240" w:lineRule="auto"/>
              <w:jc w:val="center"/>
              <w:rPr>
                <w:color w:val="auto"/>
                <w:szCs w:val="18"/>
              </w:rPr>
            </w:pPr>
            <w:r w:rsidRPr="00224567">
              <w:rPr>
                <w:color w:val="auto"/>
                <w:szCs w:val="18"/>
              </w:rPr>
              <w:t>&lt;0.001</w:t>
            </w:r>
          </w:p>
        </w:tc>
      </w:tr>
      <w:tr w:rsidR="0002524A" w:rsidRPr="00224567" w14:paraId="7DD15CF8" w14:textId="77777777" w:rsidTr="0002524A">
        <w:trPr>
          <w:cantSplit/>
          <w:jc w:val="center"/>
        </w:trPr>
        <w:tc>
          <w:tcPr>
            <w:tcW w:w="310" w:type="pct"/>
            <w:tcBorders>
              <w:top w:val="nil"/>
              <w:left w:val="nil"/>
              <w:bottom w:val="single" w:sz="4" w:space="0" w:color="auto"/>
              <w:right w:val="nil"/>
            </w:tcBorders>
            <w:shd w:val="clear" w:color="auto" w:fill="auto"/>
            <w:vAlign w:val="center"/>
          </w:tcPr>
          <w:p w14:paraId="22C2DCBE" w14:textId="77777777" w:rsidR="00B23D5B" w:rsidRPr="00224567" w:rsidRDefault="00B23D5B" w:rsidP="0002524A">
            <w:pPr>
              <w:autoSpaceDE w:val="0"/>
              <w:autoSpaceDN w:val="0"/>
              <w:adjustRightInd w:val="0"/>
              <w:snapToGrid w:val="0"/>
              <w:spacing w:line="240" w:lineRule="auto"/>
              <w:jc w:val="center"/>
              <w:rPr>
                <w:color w:val="auto"/>
                <w:szCs w:val="18"/>
              </w:rPr>
            </w:pPr>
            <w:r w:rsidRPr="00224567">
              <w:rPr>
                <w:color w:val="auto"/>
                <w:szCs w:val="18"/>
              </w:rPr>
              <w:t>T1 Ext Motive</w:t>
            </w:r>
          </w:p>
        </w:tc>
        <w:tc>
          <w:tcPr>
            <w:tcW w:w="310" w:type="pct"/>
            <w:tcBorders>
              <w:top w:val="nil"/>
              <w:left w:val="nil"/>
              <w:bottom w:val="single" w:sz="4" w:space="0" w:color="auto"/>
              <w:right w:val="nil"/>
            </w:tcBorders>
            <w:shd w:val="clear" w:color="auto" w:fill="auto"/>
            <w:vAlign w:val="center"/>
          </w:tcPr>
          <w:p w14:paraId="289B36EC" w14:textId="62B88E53" w:rsidR="00B23D5B" w:rsidRPr="00224567" w:rsidRDefault="006E78DB" w:rsidP="0002524A">
            <w:pPr>
              <w:autoSpaceDE w:val="0"/>
              <w:autoSpaceDN w:val="0"/>
              <w:adjustRightInd w:val="0"/>
              <w:snapToGrid w:val="0"/>
              <w:spacing w:line="240" w:lineRule="auto"/>
              <w:jc w:val="center"/>
              <w:rPr>
                <w:color w:val="auto"/>
                <w:szCs w:val="18"/>
              </w:rPr>
            </w:pPr>
            <w:r w:rsidRPr="00224567">
              <w:rPr>
                <w:color w:val="auto"/>
                <w:szCs w:val="18"/>
              </w:rPr>
              <w:t>−</w:t>
            </w:r>
            <w:r w:rsidR="00577898" w:rsidRPr="00224567">
              <w:rPr>
                <w:color w:val="auto"/>
                <w:szCs w:val="18"/>
              </w:rPr>
              <w:t>0</w:t>
            </w:r>
            <w:r w:rsidR="00B23D5B" w:rsidRPr="00224567">
              <w:rPr>
                <w:color w:val="auto"/>
                <w:szCs w:val="18"/>
              </w:rPr>
              <w:t>.02</w:t>
            </w:r>
          </w:p>
        </w:tc>
        <w:tc>
          <w:tcPr>
            <w:tcW w:w="311" w:type="pct"/>
            <w:tcBorders>
              <w:top w:val="nil"/>
              <w:left w:val="nil"/>
              <w:bottom w:val="single" w:sz="4" w:space="0" w:color="auto"/>
              <w:right w:val="nil"/>
            </w:tcBorders>
            <w:shd w:val="clear" w:color="auto" w:fill="auto"/>
            <w:vAlign w:val="center"/>
          </w:tcPr>
          <w:p w14:paraId="6596C3AA" w14:textId="6ADEBA78" w:rsidR="00B23D5B" w:rsidRPr="00224567" w:rsidRDefault="006E78DB" w:rsidP="0002524A">
            <w:pPr>
              <w:autoSpaceDE w:val="0"/>
              <w:autoSpaceDN w:val="0"/>
              <w:adjustRightInd w:val="0"/>
              <w:snapToGrid w:val="0"/>
              <w:spacing w:line="240" w:lineRule="auto"/>
              <w:jc w:val="center"/>
              <w:rPr>
                <w:color w:val="auto"/>
                <w:szCs w:val="18"/>
              </w:rPr>
            </w:pPr>
            <w:r w:rsidRPr="00224567">
              <w:rPr>
                <w:color w:val="auto"/>
                <w:szCs w:val="18"/>
              </w:rPr>
              <w:t>−</w:t>
            </w:r>
            <w:r w:rsidR="00B23D5B" w:rsidRPr="00224567">
              <w:rPr>
                <w:color w:val="auto"/>
                <w:szCs w:val="18"/>
              </w:rPr>
              <w:t>0.04 (0.17)</w:t>
            </w:r>
          </w:p>
        </w:tc>
        <w:tc>
          <w:tcPr>
            <w:tcW w:w="311" w:type="pct"/>
            <w:tcBorders>
              <w:top w:val="nil"/>
              <w:left w:val="nil"/>
              <w:bottom w:val="single" w:sz="4" w:space="0" w:color="auto"/>
              <w:right w:val="nil"/>
            </w:tcBorders>
            <w:shd w:val="clear" w:color="auto" w:fill="auto"/>
            <w:vAlign w:val="center"/>
          </w:tcPr>
          <w:p w14:paraId="63DD38FB" w14:textId="28C76C23" w:rsidR="00B23D5B" w:rsidRPr="00224567" w:rsidRDefault="006E78DB" w:rsidP="0002524A">
            <w:pPr>
              <w:autoSpaceDE w:val="0"/>
              <w:autoSpaceDN w:val="0"/>
              <w:adjustRightInd w:val="0"/>
              <w:snapToGrid w:val="0"/>
              <w:spacing w:line="240" w:lineRule="auto"/>
              <w:jc w:val="center"/>
              <w:rPr>
                <w:color w:val="auto"/>
                <w:szCs w:val="18"/>
              </w:rPr>
            </w:pPr>
            <w:r w:rsidRPr="00224567">
              <w:rPr>
                <w:color w:val="auto"/>
                <w:szCs w:val="18"/>
              </w:rPr>
              <w:t>−</w:t>
            </w:r>
            <w:r w:rsidR="00B23D5B" w:rsidRPr="00224567">
              <w:rPr>
                <w:color w:val="auto"/>
                <w:szCs w:val="18"/>
              </w:rPr>
              <w:t>0.37, 0.30</w:t>
            </w:r>
          </w:p>
        </w:tc>
        <w:tc>
          <w:tcPr>
            <w:tcW w:w="314" w:type="pct"/>
            <w:tcBorders>
              <w:top w:val="nil"/>
              <w:left w:val="nil"/>
              <w:bottom w:val="single" w:sz="4" w:space="0" w:color="auto"/>
              <w:right w:val="nil"/>
            </w:tcBorders>
            <w:shd w:val="clear" w:color="auto" w:fill="auto"/>
            <w:vAlign w:val="center"/>
          </w:tcPr>
          <w:p w14:paraId="38DFE86D" w14:textId="7110BA39" w:rsidR="00B23D5B" w:rsidRPr="00224567" w:rsidRDefault="006E78DB" w:rsidP="0002524A">
            <w:pPr>
              <w:autoSpaceDE w:val="0"/>
              <w:autoSpaceDN w:val="0"/>
              <w:adjustRightInd w:val="0"/>
              <w:snapToGrid w:val="0"/>
              <w:spacing w:line="240" w:lineRule="auto"/>
              <w:jc w:val="center"/>
              <w:rPr>
                <w:color w:val="auto"/>
                <w:szCs w:val="18"/>
              </w:rPr>
            </w:pPr>
            <w:r w:rsidRPr="00224567">
              <w:rPr>
                <w:color w:val="auto"/>
                <w:szCs w:val="18"/>
              </w:rPr>
              <w:t>−</w:t>
            </w:r>
            <w:r w:rsidR="00B23D5B" w:rsidRPr="00224567">
              <w:rPr>
                <w:color w:val="auto"/>
                <w:szCs w:val="18"/>
              </w:rPr>
              <w:t>0.21</w:t>
            </w:r>
          </w:p>
        </w:tc>
        <w:tc>
          <w:tcPr>
            <w:tcW w:w="312" w:type="pct"/>
            <w:tcBorders>
              <w:top w:val="nil"/>
              <w:left w:val="nil"/>
              <w:bottom w:val="single" w:sz="4" w:space="0" w:color="auto"/>
              <w:right w:val="nil"/>
            </w:tcBorders>
            <w:shd w:val="clear" w:color="auto" w:fill="auto"/>
            <w:vAlign w:val="center"/>
          </w:tcPr>
          <w:p w14:paraId="00E45F04" w14:textId="29DC990A" w:rsidR="00B23D5B" w:rsidRPr="00224567" w:rsidRDefault="00577898" w:rsidP="0002524A">
            <w:pPr>
              <w:autoSpaceDE w:val="0"/>
              <w:autoSpaceDN w:val="0"/>
              <w:adjustRightInd w:val="0"/>
              <w:snapToGrid w:val="0"/>
              <w:spacing w:line="240" w:lineRule="auto"/>
              <w:jc w:val="center"/>
              <w:rPr>
                <w:color w:val="auto"/>
                <w:szCs w:val="18"/>
              </w:rPr>
            </w:pPr>
            <w:r w:rsidRPr="00224567">
              <w:rPr>
                <w:color w:val="auto"/>
                <w:szCs w:val="18"/>
              </w:rPr>
              <w:t>0</w:t>
            </w:r>
            <w:r w:rsidR="00B23D5B" w:rsidRPr="00224567">
              <w:rPr>
                <w:color w:val="auto"/>
                <w:szCs w:val="18"/>
              </w:rPr>
              <w:t>.833</w:t>
            </w:r>
          </w:p>
        </w:tc>
        <w:tc>
          <w:tcPr>
            <w:tcW w:w="312" w:type="pct"/>
            <w:tcBorders>
              <w:top w:val="nil"/>
              <w:left w:val="nil"/>
              <w:bottom w:val="single" w:sz="4" w:space="0" w:color="auto"/>
              <w:right w:val="nil"/>
            </w:tcBorders>
            <w:shd w:val="clear" w:color="auto" w:fill="auto"/>
            <w:vAlign w:val="center"/>
          </w:tcPr>
          <w:p w14:paraId="541DBF85" w14:textId="0A3DA508" w:rsidR="00B23D5B" w:rsidRPr="00224567" w:rsidRDefault="006E78DB" w:rsidP="0002524A">
            <w:pPr>
              <w:autoSpaceDE w:val="0"/>
              <w:autoSpaceDN w:val="0"/>
              <w:adjustRightInd w:val="0"/>
              <w:snapToGrid w:val="0"/>
              <w:spacing w:line="240" w:lineRule="auto"/>
              <w:jc w:val="center"/>
              <w:rPr>
                <w:color w:val="auto"/>
                <w:szCs w:val="18"/>
              </w:rPr>
            </w:pPr>
            <w:r w:rsidRPr="00224567">
              <w:rPr>
                <w:color w:val="auto"/>
                <w:szCs w:val="18"/>
              </w:rPr>
              <w:t>−</w:t>
            </w:r>
            <w:r w:rsidR="00577898" w:rsidRPr="00224567">
              <w:rPr>
                <w:color w:val="auto"/>
                <w:szCs w:val="18"/>
              </w:rPr>
              <w:t>0</w:t>
            </w:r>
            <w:r w:rsidR="00B23D5B" w:rsidRPr="00224567">
              <w:rPr>
                <w:color w:val="auto"/>
                <w:szCs w:val="18"/>
              </w:rPr>
              <w:t>.03</w:t>
            </w:r>
          </w:p>
        </w:tc>
        <w:tc>
          <w:tcPr>
            <w:tcW w:w="312" w:type="pct"/>
            <w:tcBorders>
              <w:top w:val="nil"/>
              <w:left w:val="nil"/>
              <w:bottom w:val="single" w:sz="4" w:space="0" w:color="auto"/>
              <w:right w:val="nil"/>
            </w:tcBorders>
            <w:shd w:val="clear" w:color="auto" w:fill="auto"/>
            <w:vAlign w:val="center"/>
          </w:tcPr>
          <w:p w14:paraId="14492B76" w14:textId="29AE6351" w:rsidR="00B23D5B" w:rsidRPr="00224567" w:rsidRDefault="006E78DB" w:rsidP="0002524A">
            <w:pPr>
              <w:autoSpaceDE w:val="0"/>
              <w:autoSpaceDN w:val="0"/>
              <w:adjustRightInd w:val="0"/>
              <w:snapToGrid w:val="0"/>
              <w:spacing w:line="240" w:lineRule="auto"/>
              <w:jc w:val="center"/>
              <w:rPr>
                <w:color w:val="auto"/>
                <w:szCs w:val="18"/>
              </w:rPr>
            </w:pPr>
            <w:r w:rsidRPr="00224567">
              <w:rPr>
                <w:color w:val="auto"/>
                <w:szCs w:val="18"/>
              </w:rPr>
              <w:t>−</w:t>
            </w:r>
            <w:r w:rsidR="00B23D5B" w:rsidRPr="00224567">
              <w:rPr>
                <w:color w:val="auto"/>
                <w:szCs w:val="18"/>
              </w:rPr>
              <w:t>0.06 (0.18)</w:t>
            </w:r>
          </w:p>
        </w:tc>
        <w:tc>
          <w:tcPr>
            <w:tcW w:w="312" w:type="pct"/>
            <w:tcBorders>
              <w:top w:val="nil"/>
              <w:left w:val="nil"/>
              <w:bottom w:val="single" w:sz="4" w:space="0" w:color="auto"/>
              <w:right w:val="nil"/>
            </w:tcBorders>
            <w:shd w:val="clear" w:color="auto" w:fill="auto"/>
            <w:vAlign w:val="center"/>
          </w:tcPr>
          <w:p w14:paraId="5614FA26" w14:textId="7A775784" w:rsidR="00B23D5B" w:rsidRPr="00224567" w:rsidRDefault="006E78DB" w:rsidP="0002524A">
            <w:pPr>
              <w:autoSpaceDE w:val="0"/>
              <w:autoSpaceDN w:val="0"/>
              <w:adjustRightInd w:val="0"/>
              <w:snapToGrid w:val="0"/>
              <w:spacing w:line="240" w:lineRule="auto"/>
              <w:jc w:val="center"/>
              <w:rPr>
                <w:color w:val="auto"/>
                <w:szCs w:val="18"/>
              </w:rPr>
            </w:pPr>
            <w:r w:rsidRPr="00224567">
              <w:rPr>
                <w:color w:val="auto"/>
                <w:szCs w:val="18"/>
              </w:rPr>
              <w:t>−</w:t>
            </w:r>
            <w:r w:rsidR="00B23D5B" w:rsidRPr="00224567">
              <w:rPr>
                <w:color w:val="auto"/>
                <w:szCs w:val="18"/>
              </w:rPr>
              <w:t>0.43, 0.30</w:t>
            </w:r>
          </w:p>
        </w:tc>
        <w:tc>
          <w:tcPr>
            <w:tcW w:w="315" w:type="pct"/>
            <w:tcBorders>
              <w:top w:val="nil"/>
              <w:left w:val="nil"/>
              <w:bottom w:val="single" w:sz="4" w:space="0" w:color="auto"/>
              <w:right w:val="nil"/>
            </w:tcBorders>
            <w:shd w:val="clear" w:color="auto" w:fill="auto"/>
            <w:vAlign w:val="center"/>
          </w:tcPr>
          <w:p w14:paraId="7DCD6B0D" w14:textId="7E8013F3" w:rsidR="00B23D5B" w:rsidRPr="00224567" w:rsidRDefault="006E78DB" w:rsidP="0002524A">
            <w:pPr>
              <w:autoSpaceDE w:val="0"/>
              <w:autoSpaceDN w:val="0"/>
              <w:adjustRightInd w:val="0"/>
              <w:snapToGrid w:val="0"/>
              <w:spacing w:line="240" w:lineRule="auto"/>
              <w:jc w:val="center"/>
              <w:rPr>
                <w:color w:val="auto"/>
                <w:szCs w:val="18"/>
              </w:rPr>
            </w:pPr>
            <w:r w:rsidRPr="00224567">
              <w:rPr>
                <w:color w:val="auto"/>
                <w:szCs w:val="18"/>
              </w:rPr>
              <w:t>−</w:t>
            </w:r>
            <w:r w:rsidR="00B23D5B" w:rsidRPr="00224567">
              <w:rPr>
                <w:color w:val="auto"/>
                <w:szCs w:val="18"/>
              </w:rPr>
              <w:t>0.34</w:t>
            </w:r>
          </w:p>
        </w:tc>
        <w:tc>
          <w:tcPr>
            <w:tcW w:w="312" w:type="pct"/>
            <w:tcBorders>
              <w:top w:val="nil"/>
              <w:left w:val="nil"/>
              <w:bottom w:val="single" w:sz="4" w:space="0" w:color="auto"/>
              <w:right w:val="nil"/>
            </w:tcBorders>
            <w:shd w:val="clear" w:color="auto" w:fill="auto"/>
            <w:vAlign w:val="center"/>
          </w:tcPr>
          <w:p w14:paraId="4C90DD77" w14:textId="3A617419" w:rsidR="00B23D5B" w:rsidRPr="00224567" w:rsidRDefault="00577898" w:rsidP="0002524A">
            <w:pPr>
              <w:autoSpaceDE w:val="0"/>
              <w:autoSpaceDN w:val="0"/>
              <w:adjustRightInd w:val="0"/>
              <w:snapToGrid w:val="0"/>
              <w:spacing w:line="240" w:lineRule="auto"/>
              <w:jc w:val="center"/>
              <w:rPr>
                <w:color w:val="auto"/>
                <w:szCs w:val="18"/>
              </w:rPr>
            </w:pPr>
            <w:r w:rsidRPr="00224567">
              <w:rPr>
                <w:color w:val="auto"/>
                <w:szCs w:val="18"/>
              </w:rPr>
              <w:t>0</w:t>
            </w:r>
            <w:r w:rsidR="00B23D5B" w:rsidRPr="00224567">
              <w:rPr>
                <w:color w:val="auto"/>
                <w:szCs w:val="18"/>
              </w:rPr>
              <w:t>.729</w:t>
            </w:r>
          </w:p>
        </w:tc>
        <w:tc>
          <w:tcPr>
            <w:tcW w:w="312" w:type="pct"/>
            <w:tcBorders>
              <w:top w:val="nil"/>
              <w:left w:val="nil"/>
              <w:bottom w:val="single" w:sz="4" w:space="0" w:color="auto"/>
              <w:right w:val="nil"/>
            </w:tcBorders>
            <w:shd w:val="clear" w:color="auto" w:fill="auto"/>
            <w:vAlign w:val="center"/>
          </w:tcPr>
          <w:p w14:paraId="6C8CEEED" w14:textId="5DA72166" w:rsidR="00B23D5B" w:rsidRPr="00224567" w:rsidRDefault="006E78DB" w:rsidP="0002524A">
            <w:pPr>
              <w:autoSpaceDE w:val="0"/>
              <w:autoSpaceDN w:val="0"/>
              <w:adjustRightInd w:val="0"/>
              <w:snapToGrid w:val="0"/>
              <w:spacing w:line="240" w:lineRule="auto"/>
              <w:jc w:val="center"/>
              <w:rPr>
                <w:color w:val="auto"/>
                <w:szCs w:val="18"/>
              </w:rPr>
            </w:pPr>
            <w:r w:rsidRPr="00224567">
              <w:rPr>
                <w:color w:val="auto"/>
                <w:szCs w:val="18"/>
              </w:rPr>
              <w:t>−</w:t>
            </w:r>
            <w:r w:rsidR="00577898" w:rsidRPr="00224567">
              <w:rPr>
                <w:color w:val="auto"/>
                <w:szCs w:val="18"/>
              </w:rPr>
              <w:t>0</w:t>
            </w:r>
            <w:r w:rsidR="00B23D5B" w:rsidRPr="00224567">
              <w:rPr>
                <w:color w:val="auto"/>
                <w:szCs w:val="18"/>
              </w:rPr>
              <w:t>.15</w:t>
            </w:r>
          </w:p>
        </w:tc>
        <w:tc>
          <w:tcPr>
            <w:tcW w:w="312" w:type="pct"/>
            <w:tcBorders>
              <w:top w:val="nil"/>
              <w:left w:val="nil"/>
              <w:bottom w:val="single" w:sz="4" w:space="0" w:color="auto"/>
              <w:right w:val="nil"/>
            </w:tcBorders>
            <w:shd w:val="clear" w:color="auto" w:fill="auto"/>
            <w:vAlign w:val="center"/>
          </w:tcPr>
          <w:p w14:paraId="75B6EBFC" w14:textId="2FB55B93" w:rsidR="00B23D5B" w:rsidRPr="00224567" w:rsidRDefault="006E78DB" w:rsidP="0002524A">
            <w:pPr>
              <w:autoSpaceDE w:val="0"/>
              <w:autoSpaceDN w:val="0"/>
              <w:adjustRightInd w:val="0"/>
              <w:snapToGrid w:val="0"/>
              <w:spacing w:line="240" w:lineRule="auto"/>
              <w:jc w:val="center"/>
              <w:rPr>
                <w:color w:val="auto"/>
                <w:szCs w:val="18"/>
              </w:rPr>
            </w:pPr>
            <w:r w:rsidRPr="00224567">
              <w:rPr>
                <w:color w:val="auto"/>
                <w:szCs w:val="18"/>
              </w:rPr>
              <w:t>−</w:t>
            </w:r>
            <w:r w:rsidR="00B23D5B" w:rsidRPr="00224567">
              <w:rPr>
                <w:color w:val="auto"/>
                <w:szCs w:val="18"/>
              </w:rPr>
              <w:t>0.33 (0.21)</w:t>
            </w:r>
          </w:p>
        </w:tc>
        <w:tc>
          <w:tcPr>
            <w:tcW w:w="312" w:type="pct"/>
            <w:tcBorders>
              <w:top w:val="nil"/>
              <w:left w:val="nil"/>
              <w:bottom w:val="single" w:sz="4" w:space="0" w:color="auto"/>
              <w:right w:val="nil"/>
            </w:tcBorders>
            <w:shd w:val="clear" w:color="auto" w:fill="auto"/>
            <w:vAlign w:val="center"/>
          </w:tcPr>
          <w:p w14:paraId="0588265A" w14:textId="61F2153F" w:rsidR="00B23D5B" w:rsidRPr="00224567" w:rsidRDefault="006E78DB" w:rsidP="0002524A">
            <w:pPr>
              <w:autoSpaceDE w:val="0"/>
              <w:autoSpaceDN w:val="0"/>
              <w:adjustRightInd w:val="0"/>
              <w:snapToGrid w:val="0"/>
              <w:spacing w:line="240" w:lineRule="auto"/>
              <w:jc w:val="center"/>
              <w:rPr>
                <w:color w:val="auto"/>
                <w:szCs w:val="18"/>
              </w:rPr>
            </w:pPr>
            <w:r w:rsidRPr="00224567">
              <w:rPr>
                <w:color w:val="auto"/>
                <w:szCs w:val="18"/>
              </w:rPr>
              <w:t>−</w:t>
            </w:r>
            <w:r w:rsidR="00B23D5B" w:rsidRPr="00224567">
              <w:rPr>
                <w:color w:val="auto"/>
                <w:szCs w:val="18"/>
              </w:rPr>
              <w:t>0.74, 0.08</w:t>
            </w:r>
          </w:p>
        </w:tc>
        <w:tc>
          <w:tcPr>
            <w:tcW w:w="315" w:type="pct"/>
            <w:tcBorders>
              <w:top w:val="nil"/>
              <w:left w:val="nil"/>
              <w:bottom w:val="single" w:sz="4" w:space="0" w:color="auto"/>
              <w:right w:val="nil"/>
            </w:tcBorders>
            <w:shd w:val="clear" w:color="auto" w:fill="auto"/>
            <w:vAlign w:val="center"/>
          </w:tcPr>
          <w:p w14:paraId="5333EB4A" w14:textId="0FBC6E9F" w:rsidR="00B23D5B" w:rsidRPr="00224567" w:rsidRDefault="006E78DB" w:rsidP="0002524A">
            <w:pPr>
              <w:autoSpaceDE w:val="0"/>
              <w:autoSpaceDN w:val="0"/>
              <w:adjustRightInd w:val="0"/>
              <w:snapToGrid w:val="0"/>
              <w:spacing w:line="240" w:lineRule="auto"/>
              <w:jc w:val="center"/>
              <w:rPr>
                <w:color w:val="auto"/>
                <w:szCs w:val="18"/>
              </w:rPr>
            </w:pPr>
            <w:r w:rsidRPr="00224567">
              <w:rPr>
                <w:color w:val="auto"/>
                <w:szCs w:val="18"/>
              </w:rPr>
              <w:t>−</w:t>
            </w:r>
            <w:r w:rsidR="00B23D5B" w:rsidRPr="00224567">
              <w:rPr>
                <w:color w:val="auto"/>
                <w:szCs w:val="18"/>
              </w:rPr>
              <w:t>1.59</w:t>
            </w:r>
          </w:p>
        </w:tc>
        <w:tc>
          <w:tcPr>
            <w:tcW w:w="312" w:type="pct"/>
            <w:tcBorders>
              <w:top w:val="nil"/>
              <w:left w:val="nil"/>
              <w:bottom w:val="single" w:sz="4" w:space="0" w:color="auto"/>
              <w:right w:val="nil"/>
            </w:tcBorders>
            <w:shd w:val="clear" w:color="auto" w:fill="auto"/>
            <w:vAlign w:val="center"/>
          </w:tcPr>
          <w:p w14:paraId="09D65040" w14:textId="011DB574" w:rsidR="00B23D5B" w:rsidRPr="00224567" w:rsidRDefault="00577898" w:rsidP="0002524A">
            <w:pPr>
              <w:autoSpaceDE w:val="0"/>
              <w:autoSpaceDN w:val="0"/>
              <w:adjustRightInd w:val="0"/>
              <w:snapToGrid w:val="0"/>
              <w:spacing w:line="240" w:lineRule="auto"/>
              <w:jc w:val="center"/>
              <w:rPr>
                <w:color w:val="auto"/>
                <w:szCs w:val="18"/>
              </w:rPr>
            </w:pPr>
            <w:r w:rsidRPr="00224567">
              <w:rPr>
                <w:color w:val="auto"/>
                <w:szCs w:val="18"/>
              </w:rPr>
              <w:t>0</w:t>
            </w:r>
            <w:r w:rsidR="00B23D5B" w:rsidRPr="00224567">
              <w:rPr>
                <w:color w:val="auto"/>
                <w:szCs w:val="18"/>
              </w:rPr>
              <w:t>.115</w:t>
            </w:r>
          </w:p>
        </w:tc>
      </w:tr>
      <w:tr w:rsidR="0002524A" w:rsidRPr="00224567" w14:paraId="63A4DCC7" w14:textId="77777777" w:rsidTr="0002524A">
        <w:trPr>
          <w:cantSplit/>
          <w:jc w:val="center"/>
        </w:trPr>
        <w:tc>
          <w:tcPr>
            <w:tcW w:w="310" w:type="pct"/>
            <w:tcBorders>
              <w:top w:val="single" w:sz="4" w:space="0" w:color="auto"/>
              <w:left w:val="nil"/>
              <w:bottom w:val="single" w:sz="8" w:space="0" w:color="auto"/>
              <w:right w:val="nil"/>
            </w:tcBorders>
            <w:shd w:val="clear" w:color="auto" w:fill="auto"/>
            <w:vAlign w:val="center"/>
          </w:tcPr>
          <w:p w14:paraId="63E89F5C" w14:textId="77777777" w:rsidR="00B23D5B" w:rsidRPr="00224567" w:rsidRDefault="00B23D5B" w:rsidP="0002524A">
            <w:pPr>
              <w:autoSpaceDE w:val="0"/>
              <w:autoSpaceDN w:val="0"/>
              <w:adjustRightInd w:val="0"/>
              <w:snapToGrid w:val="0"/>
              <w:spacing w:line="240" w:lineRule="auto"/>
              <w:jc w:val="center"/>
              <w:rPr>
                <w:color w:val="auto"/>
                <w:szCs w:val="18"/>
              </w:rPr>
            </w:pPr>
            <w:r w:rsidRPr="00224567">
              <w:rPr>
                <w:color w:val="auto"/>
                <w:szCs w:val="18"/>
              </w:rPr>
              <w:t>Model:</w:t>
            </w:r>
          </w:p>
        </w:tc>
        <w:tc>
          <w:tcPr>
            <w:tcW w:w="310" w:type="pct"/>
            <w:tcBorders>
              <w:top w:val="single" w:sz="4" w:space="0" w:color="auto"/>
              <w:left w:val="nil"/>
              <w:bottom w:val="single" w:sz="8" w:space="0" w:color="auto"/>
              <w:right w:val="nil"/>
            </w:tcBorders>
            <w:shd w:val="clear" w:color="auto" w:fill="auto"/>
            <w:vAlign w:val="center"/>
          </w:tcPr>
          <w:p w14:paraId="6E3683A1" w14:textId="77777777" w:rsidR="00B23D5B" w:rsidRPr="00224567" w:rsidRDefault="00B23D5B" w:rsidP="0002524A">
            <w:pPr>
              <w:autoSpaceDE w:val="0"/>
              <w:autoSpaceDN w:val="0"/>
              <w:adjustRightInd w:val="0"/>
              <w:snapToGrid w:val="0"/>
              <w:spacing w:line="240" w:lineRule="auto"/>
              <w:jc w:val="center"/>
              <w:rPr>
                <w:color w:val="auto"/>
                <w:szCs w:val="18"/>
              </w:rPr>
            </w:pPr>
          </w:p>
        </w:tc>
        <w:tc>
          <w:tcPr>
            <w:tcW w:w="935" w:type="pct"/>
            <w:gridSpan w:val="3"/>
            <w:tcBorders>
              <w:top w:val="single" w:sz="4" w:space="0" w:color="auto"/>
              <w:left w:val="nil"/>
              <w:bottom w:val="single" w:sz="8" w:space="0" w:color="auto"/>
              <w:right w:val="nil"/>
            </w:tcBorders>
            <w:shd w:val="clear" w:color="auto" w:fill="auto"/>
            <w:vAlign w:val="center"/>
          </w:tcPr>
          <w:p w14:paraId="3C64B751" w14:textId="53B60099" w:rsidR="00B23D5B" w:rsidRPr="00224567" w:rsidRDefault="00B23D5B" w:rsidP="0002524A">
            <w:pPr>
              <w:autoSpaceDE w:val="0"/>
              <w:autoSpaceDN w:val="0"/>
              <w:adjustRightInd w:val="0"/>
              <w:snapToGrid w:val="0"/>
              <w:spacing w:line="240" w:lineRule="auto"/>
              <w:jc w:val="center"/>
              <w:rPr>
                <w:color w:val="auto"/>
                <w:szCs w:val="18"/>
              </w:rPr>
            </w:pPr>
            <w:r w:rsidRPr="00224567">
              <w:rPr>
                <w:i/>
                <w:iCs/>
                <w:color w:val="auto"/>
                <w:szCs w:val="18"/>
              </w:rPr>
              <w:t>R</w:t>
            </w:r>
            <w:r w:rsidRPr="00224567">
              <w:rPr>
                <w:color w:val="auto"/>
                <w:szCs w:val="18"/>
                <w:vertAlign w:val="superscript"/>
              </w:rPr>
              <w:t xml:space="preserve">2 </w:t>
            </w:r>
            <w:r w:rsidRPr="00224567">
              <w:rPr>
                <w:color w:val="auto"/>
                <w:szCs w:val="18"/>
              </w:rPr>
              <w:t xml:space="preserve">= 0.017, </w:t>
            </w:r>
            <w:r w:rsidRPr="00224567">
              <w:rPr>
                <w:i/>
                <w:iCs/>
                <w:color w:val="auto"/>
                <w:szCs w:val="18"/>
              </w:rPr>
              <w:t>F</w:t>
            </w:r>
            <w:r w:rsidRPr="00224567">
              <w:rPr>
                <w:color w:val="auto"/>
                <w:szCs w:val="18"/>
              </w:rPr>
              <w:t xml:space="preserve"> (4,</w:t>
            </w:r>
            <w:r w:rsidR="00AB54F9" w:rsidRPr="00224567">
              <w:rPr>
                <w:color w:val="auto"/>
                <w:szCs w:val="18"/>
              </w:rPr>
              <w:t xml:space="preserve"> </w:t>
            </w:r>
            <w:r w:rsidRPr="00224567">
              <w:rPr>
                <w:color w:val="auto"/>
                <w:szCs w:val="18"/>
              </w:rPr>
              <w:t>171) = 8.57</w:t>
            </w:r>
            <w:r w:rsidR="00F669EE" w:rsidRPr="00224567">
              <w:rPr>
                <w:color w:val="auto"/>
                <w:szCs w:val="18"/>
              </w:rPr>
              <w:t xml:space="preserve"> </w:t>
            </w:r>
            <w:r w:rsidRPr="00224567">
              <w:rPr>
                <w:color w:val="auto"/>
                <w:szCs w:val="18"/>
              </w:rPr>
              <w:t>***</w:t>
            </w:r>
          </w:p>
        </w:tc>
        <w:tc>
          <w:tcPr>
            <w:tcW w:w="312" w:type="pct"/>
            <w:tcBorders>
              <w:top w:val="single" w:sz="4" w:space="0" w:color="auto"/>
              <w:left w:val="nil"/>
              <w:bottom w:val="single" w:sz="8" w:space="0" w:color="auto"/>
              <w:right w:val="nil"/>
            </w:tcBorders>
            <w:shd w:val="clear" w:color="auto" w:fill="auto"/>
            <w:vAlign w:val="center"/>
          </w:tcPr>
          <w:p w14:paraId="7ED973C4" w14:textId="77777777" w:rsidR="00B23D5B" w:rsidRPr="00224567" w:rsidRDefault="00B23D5B" w:rsidP="0002524A">
            <w:pPr>
              <w:autoSpaceDE w:val="0"/>
              <w:autoSpaceDN w:val="0"/>
              <w:adjustRightInd w:val="0"/>
              <w:snapToGrid w:val="0"/>
              <w:spacing w:line="240" w:lineRule="auto"/>
              <w:jc w:val="center"/>
              <w:rPr>
                <w:color w:val="auto"/>
                <w:szCs w:val="18"/>
              </w:rPr>
            </w:pPr>
          </w:p>
        </w:tc>
        <w:tc>
          <w:tcPr>
            <w:tcW w:w="312" w:type="pct"/>
            <w:tcBorders>
              <w:top w:val="single" w:sz="4" w:space="0" w:color="auto"/>
              <w:left w:val="nil"/>
              <w:bottom w:val="single" w:sz="8" w:space="0" w:color="auto"/>
              <w:right w:val="nil"/>
            </w:tcBorders>
            <w:shd w:val="clear" w:color="auto" w:fill="auto"/>
            <w:vAlign w:val="center"/>
          </w:tcPr>
          <w:p w14:paraId="773B2222" w14:textId="77777777" w:rsidR="00B23D5B" w:rsidRPr="00224567" w:rsidRDefault="00B23D5B" w:rsidP="0002524A">
            <w:pPr>
              <w:autoSpaceDE w:val="0"/>
              <w:autoSpaceDN w:val="0"/>
              <w:adjustRightInd w:val="0"/>
              <w:snapToGrid w:val="0"/>
              <w:spacing w:line="240" w:lineRule="auto"/>
              <w:jc w:val="center"/>
              <w:rPr>
                <w:color w:val="auto"/>
                <w:szCs w:val="18"/>
              </w:rPr>
            </w:pPr>
          </w:p>
        </w:tc>
        <w:tc>
          <w:tcPr>
            <w:tcW w:w="939" w:type="pct"/>
            <w:gridSpan w:val="3"/>
            <w:tcBorders>
              <w:top w:val="single" w:sz="4" w:space="0" w:color="auto"/>
              <w:left w:val="nil"/>
              <w:bottom w:val="single" w:sz="8" w:space="0" w:color="auto"/>
              <w:right w:val="nil"/>
            </w:tcBorders>
            <w:shd w:val="clear" w:color="auto" w:fill="auto"/>
            <w:vAlign w:val="center"/>
          </w:tcPr>
          <w:p w14:paraId="32995CFA" w14:textId="0841DF1A" w:rsidR="00B23D5B" w:rsidRPr="00224567" w:rsidRDefault="00B23D5B" w:rsidP="0002524A">
            <w:pPr>
              <w:autoSpaceDE w:val="0"/>
              <w:autoSpaceDN w:val="0"/>
              <w:adjustRightInd w:val="0"/>
              <w:snapToGrid w:val="0"/>
              <w:spacing w:line="240" w:lineRule="auto"/>
              <w:jc w:val="center"/>
              <w:rPr>
                <w:color w:val="auto"/>
                <w:szCs w:val="18"/>
              </w:rPr>
            </w:pPr>
            <w:r w:rsidRPr="00224567">
              <w:rPr>
                <w:i/>
                <w:iCs/>
                <w:color w:val="auto"/>
                <w:szCs w:val="18"/>
              </w:rPr>
              <w:t>R</w:t>
            </w:r>
            <w:r w:rsidRPr="00224567">
              <w:rPr>
                <w:color w:val="auto"/>
                <w:szCs w:val="18"/>
                <w:vertAlign w:val="superscript"/>
              </w:rPr>
              <w:t xml:space="preserve">2 </w:t>
            </w:r>
            <w:r w:rsidRPr="00224567">
              <w:rPr>
                <w:color w:val="auto"/>
                <w:szCs w:val="18"/>
              </w:rPr>
              <w:t xml:space="preserve">= 0.15, </w:t>
            </w:r>
            <w:r w:rsidRPr="00224567">
              <w:rPr>
                <w:i/>
                <w:iCs/>
                <w:color w:val="auto"/>
                <w:szCs w:val="18"/>
              </w:rPr>
              <w:t>F</w:t>
            </w:r>
            <w:r w:rsidRPr="00224567">
              <w:rPr>
                <w:color w:val="auto"/>
                <w:szCs w:val="18"/>
              </w:rPr>
              <w:t xml:space="preserve"> (4,</w:t>
            </w:r>
            <w:r w:rsidR="00AB54F9" w:rsidRPr="00224567">
              <w:rPr>
                <w:color w:val="auto"/>
                <w:szCs w:val="18"/>
              </w:rPr>
              <w:t xml:space="preserve"> </w:t>
            </w:r>
            <w:r w:rsidRPr="00224567">
              <w:rPr>
                <w:color w:val="auto"/>
                <w:szCs w:val="18"/>
              </w:rPr>
              <w:t>128) = 5.42</w:t>
            </w:r>
            <w:r w:rsidR="00F669EE" w:rsidRPr="00224567">
              <w:rPr>
                <w:color w:val="auto"/>
                <w:szCs w:val="18"/>
              </w:rPr>
              <w:t xml:space="preserve"> </w:t>
            </w:r>
            <w:r w:rsidRPr="00224567">
              <w:rPr>
                <w:color w:val="auto"/>
                <w:szCs w:val="18"/>
              </w:rPr>
              <w:t>***</w:t>
            </w:r>
          </w:p>
        </w:tc>
        <w:tc>
          <w:tcPr>
            <w:tcW w:w="312" w:type="pct"/>
            <w:tcBorders>
              <w:top w:val="single" w:sz="4" w:space="0" w:color="auto"/>
              <w:left w:val="nil"/>
              <w:bottom w:val="single" w:sz="8" w:space="0" w:color="auto"/>
              <w:right w:val="nil"/>
            </w:tcBorders>
            <w:shd w:val="clear" w:color="auto" w:fill="auto"/>
            <w:vAlign w:val="center"/>
          </w:tcPr>
          <w:p w14:paraId="4090A894" w14:textId="77777777" w:rsidR="00B23D5B" w:rsidRPr="00224567" w:rsidRDefault="00B23D5B" w:rsidP="0002524A">
            <w:pPr>
              <w:autoSpaceDE w:val="0"/>
              <w:autoSpaceDN w:val="0"/>
              <w:adjustRightInd w:val="0"/>
              <w:snapToGrid w:val="0"/>
              <w:spacing w:line="240" w:lineRule="auto"/>
              <w:jc w:val="center"/>
              <w:rPr>
                <w:color w:val="auto"/>
                <w:szCs w:val="18"/>
              </w:rPr>
            </w:pPr>
          </w:p>
        </w:tc>
        <w:tc>
          <w:tcPr>
            <w:tcW w:w="312" w:type="pct"/>
            <w:tcBorders>
              <w:top w:val="single" w:sz="4" w:space="0" w:color="auto"/>
              <w:left w:val="nil"/>
              <w:bottom w:val="single" w:sz="8" w:space="0" w:color="auto"/>
              <w:right w:val="nil"/>
            </w:tcBorders>
            <w:shd w:val="clear" w:color="auto" w:fill="auto"/>
            <w:vAlign w:val="center"/>
          </w:tcPr>
          <w:p w14:paraId="08A013BB" w14:textId="77777777" w:rsidR="00B23D5B" w:rsidRPr="00224567" w:rsidRDefault="00B23D5B" w:rsidP="0002524A">
            <w:pPr>
              <w:autoSpaceDE w:val="0"/>
              <w:autoSpaceDN w:val="0"/>
              <w:adjustRightInd w:val="0"/>
              <w:snapToGrid w:val="0"/>
              <w:spacing w:line="240" w:lineRule="auto"/>
              <w:jc w:val="center"/>
              <w:rPr>
                <w:color w:val="auto"/>
                <w:szCs w:val="18"/>
              </w:rPr>
            </w:pPr>
          </w:p>
        </w:tc>
        <w:tc>
          <w:tcPr>
            <w:tcW w:w="939" w:type="pct"/>
            <w:gridSpan w:val="3"/>
            <w:tcBorders>
              <w:top w:val="single" w:sz="4" w:space="0" w:color="auto"/>
              <w:left w:val="nil"/>
              <w:bottom w:val="single" w:sz="8" w:space="0" w:color="auto"/>
              <w:right w:val="nil"/>
            </w:tcBorders>
            <w:shd w:val="clear" w:color="auto" w:fill="auto"/>
            <w:vAlign w:val="center"/>
          </w:tcPr>
          <w:p w14:paraId="002197DF" w14:textId="5B9DC3A9" w:rsidR="00B23D5B" w:rsidRPr="00224567" w:rsidRDefault="00B23D5B" w:rsidP="0002524A">
            <w:pPr>
              <w:autoSpaceDE w:val="0"/>
              <w:autoSpaceDN w:val="0"/>
              <w:adjustRightInd w:val="0"/>
              <w:snapToGrid w:val="0"/>
              <w:spacing w:line="240" w:lineRule="auto"/>
              <w:jc w:val="center"/>
              <w:rPr>
                <w:color w:val="auto"/>
                <w:szCs w:val="18"/>
              </w:rPr>
            </w:pPr>
            <w:r w:rsidRPr="00224567">
              <w:rPr>
                <w:i/>
                <w:iCs/>
                <w:color w:val="auto"/>
                <w:szCs w:val="18"/>
              </w:rPr>
              <w:t>R</w:t>
            </w:r>
            <w:r w:rsidRPr="00224567">
              <w:rPr>
                <w:color w:val="auto"/>
                <w:szCs w:val="18"/>
                <w:vertAlign w:val="superscript"/>
              </w:rPr>
              <w:t xml:space="preserve">2 </w:t>
            </w:r>
            <w:r w:rsidRPr="00224567">
              <w:rPr>
                <w:color w:val="auto"/>
                <w:szCs w:val="18"/>
              </w:rPr>
              <w:t xml:space="preserve">= 0.17, </w:t>
            </w:r>
            <w:r w:rsidRPr="00224567">
              <w:rPr>
                <w:i/>
                <w:iCs/>
                <w:color w:val="auto"/>
                <w:szCs w:val="18"/>
              </w:rPr>
              <w:t>F</w:t>
            </w:r>
            <w:r w:rsidRPr="00224567">
              <w:rPr>
                <w:color w:val="auto"/>
                <w:szCs w:val="18"/>
              </w:rPr>
              <w:t xml:space="preserve"> (4, 107) = 5.63</w:t>
            </w:r>
            <w:r w:rsidR="00F669EE" w:rsidRPr="00224567">
              <w:rPr>
                <w:color w:val="auto"/>
                <w:szCs w:val="18"/>
              </w:rPr>
              <w:t xml:space="preserve"> </w:t>
            </w:r>
            <w:r w:rsidRPr="00224567">
              <w:rPr>
                <w:color w:val="auto"/>
                <w:szCs w:val="18"/>
              </w:rPr>
              <w:t>***</w:t>
            </w:r>
          </w:p>
        </w:tc>
        <w:tc>
          <w:tcPr>
            <w:tcW w:w="320" w:type="pct"/>
            <w:tcBorders>
              <w:top w:val="single" w:sz="4" w:space="0" w:color="auto"/>
              <w:left w:val="nil"/>
              <w:bottom w:val="single" w:sz="8" w:space="0" w:color="auto"/>
              <w:right w:val="nil"/>
            </w:tcBorders>
            <w:shd w:val="clear" w:color="auto" w:fill="auto"/>
            <w:vAlign w:val="center"/>
          </w:tcPr>
          <w:p w14:paraId="23CBFC90" w14:textId="77777777" w:rsidR="00B23D5B" w:rsidRPr="00224567" w:rsidRDefault="00B23D5B" w:rsidP="0002524A">
            <w:pPr>
              <w:autoSpaceDE w:val="0"/>
              <w:autoSpaceDN w:val="0"/>
              <w:adjustRightInd w:val="0"/>
              <w:snapToGrid w:val="0"/>
              <w:spacing w:line="240" w:lineRule="auto"/>
              <w:jc w:val="center"/>
              <w:rPr>
                <w:color w:val="auto"/>
                <w:szCs w:val="18"/>
              </w:rPr>
            </w:pPr>
          </w:p>
        </w:tc>
      </w:tr>
    </w:tbl>
    <w:p w14:paraId="46B6BCEC" w14:textId="77777777" w:rsidR="00B23D5B" w:rsidRPr="00C8300B" w:rsidRDefault="00B23D5B" w:rsidP="00224567">
      <w:pPr>
        <w:pStyle w:val="MDPI43tablefooter"/>
        <w:ind w:left="425" w:right="425"/>
        <w:jc w:val="center"/>
      </w:pPr>
      <w:r w:rsidRPr="00224567">
        <w:rPr>
          <w:i/>
          <w:iCs/>
        </w:rPr>
        <w:t>Notes</w:t>
      </w:r>
      <w:r w:rsidRPr="00224567">
        <w:t xml:space="preserve">. * = </w:t>
      </w:r>
      <w:r w:rsidRPr="00224567">
        <w:rPr>
          <w:i/>
          <w:iCs/>
        </w:rPr>
        <w:t>p</w:t>
      </w:r>
      <w:r w:rsidRPr="00224567">
        <w:t xml:space="preserve"> &lt; 0.05</w:t>
      </w:r>
      <w:r w:rsidRPr="00D17656">
        <w:t>, ** =</w:t>
      </w:r>
      <w:r w:rsidRPr="00224567">
        <w:t xml:space="preserve"> </w:t>
      </w:r>
      <w:r w:rsidRPr="00224567">
        <w:rPr>
          <w:i/>
          <w:iCs/>
        </w:rPr>
        <w:t>p</w:t>
      </w:r>
      <w:r w:rsidRPr="00224567">
        <w:t xml:space="preserve"> &lt; 0.01. *** = </w:t>
      </w:r>
      <w:r w:rsidRPr="00224567">
        <w:rPr>
          <w:i/>
          <w:iCs/>
        </w:rPr>
        <w:t>p</w:t>
      </w:r>
      <w:r w:rsidRPr="00224567">
        <w:t xml:space="preserve"> &lt; 0.001. T = Time, Int = Intrinsic, Ext = Extrinsic.</w:t>
      </w:r>
    </w:p>
    <w:p w14:paraId="6B7A8286" w14:textId="77777777" w:rsidR="00B23D5B" w:rsidRPr="00C8300B" w:rsidRDefault="00B23D5B" w:rsidP="00F669EE">
      <w:pPr>
        <w:pStyle w:val="MDPI43tablefooter"/>
        <w:spacing w:after="240"/>
      </w:pPr>
    </w:p>
    <w:p w14:paraId="4CAF4F04" w14:textId="4EB90692" w:rsidR="00B23D5B" w:rsidRDefault="00B23D5B" w:rsidP="00B23D5B">
      <w:pPr>
        <w:pStyle w:val="MDPI31text"/>
        <w:sectPr w:rsidR="00B23D5B" w:rsidSect="00B23D5B">
          <w:pgSz w:w="16838" w:h="11906" w:orient="landscape" w:code="9"/>
          <w:pgMar w:top="1417" w:right="720" w:bottom="1077" w:left="720" w:header="1020" w:footer="340" w:gutter="0"/>
          <w:cols w:space="425"/>
          <w:bidi/>
          <w:docGrid w:type="linesAndChars" w:linePitch="326"/>
        </w:sectPr>
      </w:pPr>
    </w:p>
    <w:p w14:paraId="2A268DAF" w14:textId="2E5E2AB2" w:rsidR="007E0565" w:rsidRPr="00C8300B" w:rsidRDefault="0073063E" w:rsidP="0073063E">
      <w:pPr>
        <w:pStyle w:val="MDPI21heading1"/>
      </w:pPr>
      <w:r>
        <w:lastRenderedPageBreak/>
        <w:t xml:space="preserve">4. </w:t>
      </w:r>
      <w:r w:rsidR="007E0565" w:rsidRPr="00C8300B">
        <w:t>Discussion</w:t>
      </w:r>
    </w:p>
    <w:p w14:paraId="24162D8B" w14:textId="56A7D9CF" w:rsidR="007E0565" w:rsidRPr="00C8300B" w:rsidRDefault="007E0565" w:rsidP="0073063E">
      <w:pPr>
        <w:pStyle w:val="MDPI31text"/>
      </w:pPr>
      <w:r w:rsidRPr="00C8300B">
        <w:t>Our research investigated the relationship between adaptive goal processes (goal flexibility, goal tenacity) and underlying motives (intrinsic, extrinsic) that predict mental wellbeing and New Year resolution exercise pursuit over time. As predicted, goal flexibility and goal tenacity each independently predicted mental wellbeing across time (except for one time point for goal tenacity). Counter to prediction, neither goal flexibility nor tenacity predicted exercise resolution ‘stickability’ across time (except for tenacity at Time 2). Nor did the interactive effects between goal flexibility and goal tenacity significantly predict sustained mental wellbeing or exercise resolution adherence. As hypothesized findings showed that intrinsic motives significantly predicted (and trended towards significance at later time points) increased mental wellbeing and sustained New Year resolution exercise adherence. In contrast, extrinsic motives negatively predicted mental wellbeing and did not significantly predict sustained exercise pursuit across time. In sum, our findings support the view that adaptive goal processes are key ingredients in maintaining mental wellbeing but not exercise adherence. However, underlying intrinsic motives (but not extrinsic motives) represents a key motivational determinant in sustaining both exercise resolution adherence and positive mental wellbeing over time.</w:t>
      </w:r>
    </w:p>
    <w:p w14:paraId="1B9F865B" w14:textId="61AACBF6" w:rsidR="007A7068" w:rsidRPr="0073063E" w:rsidRDefault="0073063E" w:rsidP="0073063E">
      <w:pPr>
        <w:pStyle w:val="MDPI22heading2"/>
        <w:spacing w:before="240"/>
      </w:pPr>
      <w:r w:rsidRPr="0073063E">
        <w:t xml:space="preserve">4.1. </w:t>
      </w:r>
      <w:r w:rsidR="007E0565" w:rsidRPr="0073063E">
        <w:t>Goal Flexibility and Tenacity as Predictors of Mental Wellbeing and New Year Exercise Resolution Stickability</w:t>
      </w:r>
    </w:p>
    <w:p w14:paraId="3D846326" w14:textId="705F8F9B" w:rsidR="007E0565" w:rsidRPr="00C8300B" w:rsidRDefault="007E0565" w:rsidP="0073063E">
      <w:pPr>
        <w:pStyle w:val="MDPI31text"/>
      </w:pPr>
      <w:r w:rsidRPr="00C8300B">
        <w:t xml:space="preserve">The fact that goal flexibility was shown to significantly predict mental wellbeing across time is consistent with Dickson and colleagues’ [6] findings, and the view that effective goal adjustment promotes mental wellbeing </w:t>
      </w:r>
      <w:r w:rsidR="00B4397C">
        <w:t>[34–37</w:t>
      </w:r>
      <w:r w:rsidRPr="00C8300B">
        <w:t xml:space="preserve">]. Our findings support the view that goal flexibility, the ability to readily adapt to changing circumstances is protective in maintaining and promoting mental wellbeing [12,14,15,18]. Concordant with past research that has shown an association between goal tenacity and positive psychological outcomes in on older populations [15,18], our findings showed that goal tenacity independently predicted mental wellbeing across time. Arguably tenacious goal pursuit, itself, implies a clear goal target to strive toward, a sense of direction, industry, and purpose in life that, in turn, may maintain a sense of wellbeing. Further, exercise-related resolutions are likely to possess a clear target focus (e.g., swim every Monday morning at the local pool), which may assist and </w:t>
      </w:r>
      <w:r w:rsidR="0036736D">
        <w:t>reinforce</w:t>
      </w:r>
      <w:r w:rsidRPr="00C8300B">
        <w:t xml:space="preserve"> motivational persistence, relative to other resolution domains (e.g., leisure, finance, relationships). In contrast to Dickson and colleagues’ [6] research which elicited a range of resolution domains, the sole focus on exercise resolutions in the present study may account for our differing findings. The conceptual definition of goal tenacity is </w:t>
      </w:r>
      <w:proofErr w:type="spellStart"/>
      <w:r w:rsidRPr="00C8300B">
        <w:t>characterised</w:t>
      </w:r>
      <w:proofErr w:type="spellEnd"/>
      <w:r w:rsidRPr="00C8300B">
        <w:t xml:space="preserve"> by persistence [17], which in our study was associated with mental wellbeing. Depending on the sample population, however, it is possible that tenacity elicits rigidity rather than adaptive persistence which may explain the different findings.</w:t>
      </w:r>
    </w:p>
    <w:p w14:paraId="1ADC7623" w14:textId="02F24040" w:rsidR="007E0565" w:rsidRPr="00C8300B" w:rsidRDefault="007E0565" w:rsidP="0073063E">
      <w:pPr>
        <w:pStyle w:val="MDPI31text"/>
      </w:pPr>
      <w:r w:rsidRPr="00C8300B">
        <w:t xml:space="preserve">Although our findings indicate that goal flexibility and tenacity are implicated in the maintenance of mental wellbeing these goal mechanisms appear to play no role in exercise adherence. These findings are in accord with Dickson and colleagues’ [6] findings which found no association between these goal mechanisms (flexibility, tenacity) and resolutions across a range of domains (e.g., finance, leisure, work, relationships). It is not clear why goal flexibility and tenacity do not facilitate exercise adherence. One possible explanation might be because individuals who adopt a flexible approach are apt to readily disengage from their exercise resolution in </w:t>
      </w:r>
      <w:proofErr w:type="spellStart"/>
      <w:r w:rsidRPr="00C8300B">
        <w:t>favour</w:t>
      </w:r>
      <w:proofErr w:type="spellEnd"/>
      <w:r w:rsidRPr="00C8300B">
        <w:t xml:space="preserve"> of other pursuits perceived</w:t>
      </w:r>
      <w:r w:rsidR="007A7068">
        <w:t xml:space="preserve"> </w:t>
      </w:r>
      <w:r w:rsidRPr="00C8300B">
        <w:t xml:space="preserve">as more important, </w:t>
      </w:r>
      <w:proofErr w:type="gramStart"/>
      <w:r w:rsidRPr="00C8300B">
        <w:t>pressing</w:t>
      </w:r>
      <w:proofErr w:type="gramEnd"/>
      <w:r w:rsidRPr="00C8300B">
        <w:t xml:space="preserve"> or relevant.</w:t>
      </w:r>
      <w:r w:rsidRPr="00C8300B">
        <w:rPr>
          <w:rStyle w:val="CommentReference"/>
          <w:color w:val="auto"/>
        </w:rPr>
        <w:t xml:space="preserve"> </w:t>
      </w:r>
      <w:r w:rsidRPr="00C8300B">
        <w:t xml:space="preserve">On the other hand, tenacious goal pursuit may make it difficult to modify or effectively alter a resolution or pathway toward a resolution, even when one is failing to progress or is making poor progress. Alternatively, it is also possible that people tend to be overly optimistic and unrealistic when setting New Year resolutions, </w:t>
      </w:r>
      <w:r w:rsidRPr="00C8300B">
        <w:lastRenderedPageBreak/>
        <w:t>particularly during the festive holiday season, when there may be fewer competing demands and perhaps more available time.</w:t>
      </w:r>
    </w:p>
    <w:p w14:paraId="16ACD237" w14:textId="77777777" w:rsidR="007E0565" w:rsidRPr="00C8300B" w:rsidRDefault="007E0565" w:rsidP="0073063E">
      <w:pPr>
        <w:pStyle w:val="MDPI31text"/>
      </w:pPr>
      <w:r w:rsidRPr="00C8300B">
        <w:t>Taken together, adaptive goal pursuit is apt to lead to increases in enjoyment, meaning, and enhanced wellbeing, even if the resolution is not successfully sustained or achieved [1,2,38]. Therefore, encouraging people to focus on adaptive goal processes, rather than outcomes, is arguably a key factor in maintaining mental wellbeing.</w:t>
      </w:r>
    </w:p>
    <w:p w14:paraId="7F0955FA" w14:textId="0D142A67" w:rsidR="007E0565" w:rsidRPr="00C569FB" w:rsidRDefault="00C569FB" w:rsidP="00C569FB">
      <w:pPr>
        <w:pStyle w:val="MDPI22heading2"/>
        <w:spacing w:before="240"/>
      </w:pPr>
      <w:r w:rsidRPr="00C569FB">
        <w:t xml:space="preserve">4.2. </w:t>
      </w:r>
      <w:r w:rsidR="007E0565" w:rsidRPr="00C569FB">
        <w:t>Intrinsic and Extrinsic Underlying Motives as Predictors of</w:t>
      </w:r>
      <w:r w:rsidR="007A7068" w:rsidRPr="00C569FB">
        <w:t xml:space="preserve"> </w:t>
      </w:r>
      <w:r w:rsidR="007E0565" w:rsidRPr="00C569FB">
        <w:t>Mental Wellbeing and New Year Resolution Exercise Stickability</w:t>
      </w:r>
    </w:p>
    <w:p w14:paraId="24345B65" w14:textId="1D151516" w:rsidR="007E0565" w:rsidRPr="00C8300B" w:rsidRDefault="007E0565" w:rsidP="00C569FB">
      <w:pPr>
        <w:pStyle w:val="MDPI31text"/>
      </w:pPr>
      <w:r w:rsidRPr="00C8300B">
        <w:t xml:space="preserve">Positive associations between intrinsically motivated exercise resolutions and mental wellbeing supports the view that resolutions motivated by autonomous and intrinsic reasons such as fun, enjoyment, reward, </w:t>
      </w:r>
      <w:proofErr w:type="gramStart"/>
      <w:r w:rsidRPr="00C8300B">
        <w:t>purpose</w:t>
      </w:r>
      <w:proofErr w:type="gramEnd"/>
      <w:r w:rsidRPr="00C8300B">
        <w:t xml:space="preserve"> or meaning are beneficial to maintaining one’s mental wellbeing [23]. Theoretically, pursuing intrinsically motivated goal resolutions fulfils fundamental psychological needs, such as a sense of competence, which in turn promotes mental health [23,25].</w:t>
      </w:r>
    </w:p>
    <w:p w14:paraId="07A30A09" w14:textId="6424073E" w:rsidR="007E0565" w:rsidRPr="00C8300B" w:rsidRDefault="007E0565" w:rsidP="00C569FB">
      <w:pPr>
        <w:pStyle w:val="MDPI31text"/>
      </w:pPr>
      <w:r w:rsidRPr="00C8300B">
        <w:t>Moreover, our findings indicate for the first time that intrinsic motives (but not extrinsic motives) sustain New Year exercise resolution adherence. These findings support a hierarchical view of motivation [22] and</w:t>
      </w:r>
      <w:r w:rsidR="00016545" w:rsidRPr="00C8300B">
        <w:t xml:space="preserve"> highlight</w:t>
      </w:r>
      <w:r w:rsidRPr="00C8300B">
        <w:t xml:space="preserve"> the importance of examining more primary levels of motivation, that drive and </w:t>
      </w:r>
      <w:proofErr w:type="spellStart"/>
      <w:r w:rsidRPr="00C8300B">
        <w:t>energise</w:t>
      </w:r>
      <w:proofErr w:type="spellEnd"/>
      <w:r w:rsidRPr="00C8300B">
        <w:t xml:space="preserve"> the surface level resolution. Pursuing exercise-related New Year resolutions for intrinsically motivated reasons is apt to </w:t>
      </w:r>
      <w:r w:rsidR="0036736D">
        <w:t>reinforce</w:t>
      </w:r>
      <w:r w:rsidRPr="00C8300B">
        <w:t xml:space="preserve"> reward experiences and sustain motivated exercise adherence. Performing an activity for the inherent satisfaction, rather than for external motivations such as rewards or social recognition, is likely to lead to greater personal fulfilment, persistence, and enhanced engagement with a particular resolution activity [23,25,26].</w:t>
      </w:r>
    </w:p>
    <w:p w14:paraId="743595A3" w14:textId="6B7D234B" w:rsidR="00016545" w:rsidRPr="00C569FB" w:rsidRDefault="007E0565" w:rsidP="00C569FB">
      <w:pPr>
        <w:pStyle w:val="MDPI31text"/>
      </w:pPr>
      <w:r w:rsidRPr="00C8300B">
        <w:t>In contrast to intrinsic motives, extrinsic motives were found to be detrimental to mental health over time, which is consistent with research that has shown associations between extrinsic motives and diminished mental wellbeing and increased anxiety [27,28].</w:t>
      </w:r>
      <w:r w:rsidR="007A7068">
        <w:t xml:space="preserve"> </w:t>
      </w:r>
      <w:r w:rsidRPr="00C8300B">
        <w:t>Our findings indicate that striving to sustain exercise for externally driven reasons such as the situation or others demand it or for external rewards does not benefit exercise adherence.</w:t>
      </w:r>
    </w:p>
    <w:p w14:paraId="706E83BC" w14:textId="5768BB26" w:rsidR="00016545" w:rsidRPr="00C569FB" w:rsidRDefault="00C569FB" w:rsidP="00C569FB">
      <w:pPr>
        <w:pStyle w:val="MDPI22heading2"/>
        <w:spacing w:before="240"/>
      </w:pPr>
      <w:r w:rsidRPr="00C569FB">
        <w:t xml:space="preserve">4.3. </w:t>
      </w:r>
      <w:r w:rsidR="00016545" w:rsidRPr="00C569FB">
        <w:t>Implications</w:t>
      </w:r>
    </w:p>
    <w:p w14:paraId="35FF55AC" w14:textId="3048398F" w:rsidR="00BC76DC" w:rsidRPr="00CA3DFC" w:rsidRDefault="00BC76DC" w:rsidP="00C569FB">
      <w:pPr>
        <w:pStyle w:val="MDPI31text"/>
      </w:pPr>
      <w:r w:rsidRPr="00CA3DFC">
        <w:t xml:space="preserve">Our findings have important implications for mental wellbeing, exercise </w:t>
      </w:r>
      <w:proofErr w:type="spellStart"/>
      <w:r w:rsidRPr="00CA3DFC">
        <w:t>behaviour</w:t>
      </w:r>
      <w:proofErr w:type="spellEnd"/>
      <w:r w:rsidRPr="00CA3DFC">
        <w:t xml:space="preserve"> practice, policy development and public health campaigns. Distinct goal motivational mechanisms, specifically, goal flexibility, goal tenacity and intrinsically motivated meaningfully resolution pursuits were each shown to maintain mental wellbeing over time. Mental health policy developments, health promotion campaigns and practitioners, would benefit from targeting and strengthening these specific goal motivational processes to promote mental health.</w:t>
      </w:r>
    </w:p>
    <w:p w14:paraId="1F866860" w14:textId="28EE656C" w:rsidR="00BC76DC" w:rsidRPr="00C8300B" w:rsidRDefault="00BC76DC" w:rsidP="00C569FB">
      <w:pPr>
        <w:pStyle w:val="MDPI31text"/>
      </w:pPr>
      <w:r w:rsidRPr="00CA3DFC">
        <w:t>Benefits of sustained exercise adherence on physical health and mental wellbeing have been well documented [9].</w:t>
      </w:r>
      <w:r w:rsidR="007A7068" w:rsidRPr="00CA3DFC">
        <w:t xml:space="preserve"> </w:t>
      </w:r>
      <w:r w:rsidRPr="00CA3DFC">
        <w:t xml:space="preserve">Therefore, efforts to bolster exercise adherence has become a key health promotion focus [11]. However, research has shown that a high proportion of people typically ‘give-up’ on exercise goals, set throughout the year, within the first month. </w:t>
      </w:r>
      <w:r w:rsidR="00B4397C" w:rsidRPr="00CA3DFC">
        <w:t>[10,11</w:t>
      </w:r>
      <w:r w:rsidRPr="00CA3DFC">
        <w:t>]. Hence, a better understanding of specific motivational mechanisms that sustain exercise goal adherence is urgently needed. Notably, our findings indicate that pursuing exercise resolutions for intrinsically motivated reasons such as fulfilling a personal need, enjoyment or satisfaction, sustained exercise adherence and maintained mental wellbeing over time.</w:t>
      </w:r>
      <w:r w:rsidR="007A7068" w:rsidRPr="00CA3DFC">
        <w:t xml:space="preserve"> </w:t>
      </w:r>
      <w:r w:rsidRPr="00CA3DFC">
        <w:t xml:space="preserve">In contrast, although extrinsic motives such as rewards or socially driven emphasis on body image or appearance may initiate setting exercise resolutions, our results found extrinsic motives do not sustain exercise adherence and are detrimental to mental health over time. Notably, these findings have important implications for informing mental health practitioners, exercise regimes, public health policy </w:t>
      </w:r>
      <w:r w:rsidRPr="00CA3DFC">
        <w:lastRenderedPageBreak/>
        <w:t xml:space="preserve">developments and public health campaigns in targeting </w:t>
      </w:r>
      <w:proofErr w:type="spellStart"/>
      <w:r w:rsidRPr="00CA3DFC">
        <w:t>favourable</w:t>
      </w:r>
      <w:proofErr w:type="spellEnd"/>
      <w:r w:rsidRPr="00CA3DFC">
        <w:t xml:space="preserve"> (and </w:t>
      </w:r>
      <w:r w:rsidR="00392020" w:rsidRPr="00CA3DFC">
        <w:t xml:space="preserve">countering </w:t>
      </w:r>
      <w:proofErr w:type="spellStart"/>
      <w:r w:rsidRPr="00CA3DFC">
        <w:t>unfavourable</w:t>
      </w:r>
      <w:proofErr w:type="spellEnd"/>
      <w:r w:rsidRPr="00CA3DFC">
        <w:t>) motivational processes to promote exercise adherence and mental health.</w:t>
      </w:r>
    </w:p>
    <w:p w14:paraId="5953BCD7" w14:textId="20458870" w:rsidR="007E0565" w:rsidRPr="006A4CC9" w:rsidRDefault="006A4CC9" w:rsidP="006A4CC9">
      <w:pPr>
        <w:pStyle w:val="MDPI22heading2"/>
        <w:spacing w:before="240"/>
        <w:rPr>
          <w:rFonts w:eastAsia="Calibri"/>
        </w:rPr>
      </w:pPr>
      <w:r w:rsidRPr="00D17656">
        <w:rPr>
          <w:rFonts w:eastAsia="Calibri"/>
        </w:rPr>
        <w:t xml:space="preserve">4.4. </w:t>
      </w:r>
      <w:r w:rsidR="007E0565" w:rsidRPr="00D17656">
        <w:rPr>
          <w:rFonts w:eastAsia="Calibri"/>
        </w:rPr>
        <w:t>Methodological Considerations</w:t>
      </w:r>
    </w:p>
    <w:p w14:paraId="732906F8" w14:textId="6756E15F" w:rsidR="005838E9" w:rsidRPr="00C8300B" w:rsidRDefault="007E0565" w:rsidP="006A4CC9">
      <w:pPr>
        <w:pStyle w:val="MDPI31text"/>
      </w:pPr>
      <w:r w:rsidRPr="00C8300B">
        <w:rPr>
          <w:rFonts w:eastAsia="Calibri"/>
        </w:rPr>
        <w:t xml:space="preserve">The following limitations deserve comment. Consistent with previous New Year resolution studies, there was a relatively large attrition rate of 62% from Time 1 to </w:t>
      </w:r>
      <w:r w:rsidR="0036736D">
        <w:rPr>
          <w:rFonts w:eastAsia="Calibri"/>
        </w:rPr>
        <w:t>T</w:t>
      </w:r>
      <w:r w:rsidRPr="00C8300B">
        <w:rPr>
          <w:rFonts w:eastAsia="Calibri"/>
        </w:rPr>
        <w:t>ime 4. This is despite participants reporting a high level of commitment and importance to their New Year resolutions. This finding again highlights that people do not generally pursue their resolution beyond a few weeks [6,7,29].</w:t>
      </w:r>
      <w:r w:rsidR="007A7068">
        <w:rPr>
          <w:rFonts w:eastAsia="Calibri"/>
        </w:rPr>
        <w:t xml:space="preserve"> </w:t>
      </w:r>
      <w:r w:rsidRPr="00C8300B">
        <w:t xml:space="preserve">However, it should be noted that </w:t>
      </w:r>
      <w:r w:rsidRPr="00C8300B">
        <w:rPr>
          <w:rFonts w:eastAsia="Calibri"/>
        </w:rPr>
        <w:t xml:space="preserve">there were no significant differences observed between those who completed all four time points and non-completers on the main study variables at baseline (i.e., goal tenacity, goal flexibility, </w:t>
      </w:r>
      <w:proofErr w:type="gramStart"/>
      <w:r w:rsidRPr="00C8300B">
        <w:rPr>
          <w:rFonts w:eastAsia="Calibri"/>
        </w:rPr>
        <w:t>motives</w:t>
      </w:r>
      <w:proofErr w:type="gramEnd"/>
      <w:r w:rsidRPr="00C8300B">
        <w:rPr>
          <w:rFonts w:eastAsia="Calibri"/>
        </w:rPr>
        <w:t xml:space="preserve"> and mental wellbeing). </w:t>
      </w:r>
      <w:r w:rsidRPr="00C8300B">
        <w:t xml:space="preserve">The COVID-19 pandemic may have had some impact on the study. The study was conducted during a period of relatively high infection rates in Australia [39]. Public health restrictions and both short- and long-term effects of the virus </w:t>
      </w:r>
      <w:r w:rsidR="0036736D">
        <w:t>were</w:t>
      </w:r>
      <w:r w:rsidR="0036736D" w:rsidRPr="00C8300B">
        <w:t xml:space="preserve"> </w:t>
      </w:r>
      <w:r w:rsidRPr="00C8300B">
        <w:t xml:space="preserve">the main reason given for abandoning a resolution, although the number of participants reporting this reason was low. Further, the key variables (i.e., goal tenacity, goal flexibility, and underlying motives) could have mitigated how participants responded to their resolutions despite the challenges of the pandemic. </w:t>
      </w:r>
      <w:r w:rsidR="00F93CDB" w:rsidRPr="00C8300B">
        <w:rPr>
          <w:szCs w:val="20"/>
        </w:rPr>
        <w:t>The present sample was predominantly female. However, there were no gender differences observed on the main study variables and gender was controlled for in the regression analyses used to test the hypotheses.</w:t>
      </w:r>
    </w:p>
    <w:p w14:paraId="53A4C2B7" w14:textId="3A11AF59" w:rsidR="00016545" w:rsidRDefault="00016545" w:rsidP="006A4CC9">
      <w:pPr>
        <w:pStyle w:val="MDPI31text"/>
      </w:pPr>
      <w:bookmarkStart w:id="4" w:name="_Hlk123213823"/>
      <w:r w:rsidRPr="00C8300B">
        <w:t xml:space="preserve">As the focus of our research was on New Year exercise resolutions pursued over a two-month </w:t>
      </w:r>
      <w:r w:rsidR="0036736D">
        <w:t xml:space="preserve">period </w:t>
      </w:r>
      <w:r w:rsidRPr="00C8300B">
        <w:t>our study commenced at the beginning of the New Year. However, future</w:t>
      </w:r>
      <w:r w:rsidR="005838E9" w:rsidRPr="00C8300B">
        <w:t xml:space="preserve"> research would benefit from investigating exercise goals set during other time periods such as during the winter months and for a longer duration.</w:t>
      </w:r>
      <w:r w:rsidRPr="00C8300B">
        <w:t xml:space="preserve"> </w:t>
      </w:r>
      <w:r w:rsidR="005838E9" w:rsidRPr="00C8300B">
        <w:t>Given the high proportion of people who typically report recycling previous resolutions and who ‘give-up’ on their resolution pursuit, future research that examines why people fail or give up prematurely on their resolutions would further advance understanding on this topic.</w:t>
      </w:r>
      <w:r w:rsidR="00F93CDB" w:rsidRPr="00C8300B">
        <w:t xml:space="preserve"> </w:t>
      </w:r>
      <w:r w:rsidR="0081492A" w:rsidRPr="00C8300B">
        <w:t xml:space="preserve">The present study was based on self-report measures. </w:t>
      </w:r>
      <w:r w:rsidR="00F93CDB" w:rsidRPr="00C8300B">
        <w:t xml:space="preserve">The inclusion of a behavioral measure(s), such as steps </w:t>
      </w:r>
      <w:r w:rsidR="00392020" w:rsidRPr="00C8300B">
        <w:t xml:space="preserve">count </w:t>
      </w:r>
      <w:r w:rsidR="00F93CDB" w:rsidRPr="00C8300B">
        <w:t>per day would further strengthen the research design.</w:t>
      </w:r>
      <w:r w:rsidR="007A7068">
        <w:t xml:space="preserve"> </w:t>
      </w:r>
      <w:r w:rsidR="00392020" w:rsidRPr="00C8300B">
        <w:t>I</w:t>
      </w:r>
      <w:r w:rsidR="00F93CDB" w:rsidRPr="00C8300B">
        <w:t>t would be useful for future research to collect data on the health and clinical mental health status of participants. This would permit an investigation of</w:t>
      </w:r>
      <w:r w:rsidR="0081492A" w:rsidRPr="00C8300B">
        <w:t xml:space="preserve"> potential</w:t>
      </w:r>
      <w:r w:rsidR="00F93CDB" w:rsidRPr="00C8300B">
        <w:t xml:space="preserve"> moderating effects of these variables on the mediated relationships observed in the present study. Finally, future research that recruits a larger male sample</w:t>
      </w:r>
      <w:r w:rsidR="008D30A2" w:rsidRPr="00C8300B">
        <w:t xml:space="preserve"> would provide an opportunity to investigate, at a more granular level, potential gender differences in relation to distinct types of exercise and associations with</w:t>
      </w:r>
      <w:r w:rsidR="0081492A" w:rsidRPr="00C8300B">
        <w:t xml:space="preserve"> motivational mechanisms,</w:t>
      </w:r>
      <w:r w:rsidR="008D30A2" w:rsidRPr="00C8300B">
        <w:t xml:space="preserve"> exercise adherence and mental health.</w:t>
      </w:r>
    </w:p>
    <w:p w14:paraId="5380AEB7" w14:textId="77777777" w:rsidR="00576B71" w:rsidRDefault="00576B71" w:rsidP="00576B71">
      <w:pPr>
        <w:pStyle w:val="MDPI31text"/>
        <w:ind w:left="0" w:firstLine="0"/>
      </w:pPr>
    </w:p>
    <w:p w14:paraId="0F99CB4F" w14:textId="2F176075" w:rsidR="00576B71" w:rsidRPr="00C8300B" w:rsidRDefault="00576B71" w:rsidP="00576B71">
      <w:pPr>
        <w:pStyle w:val="MDPI31text"/>
        <w:ind w:left="0" w:firstLine="0"/>
      </w:pPr>
      <w:r>
        <w:tab/>
      </w:r>
      <w:r>
        <w:tab/>
      </w:r>
      <w:r>
        <w:tab/>
      </w:r>
      <w:r>
        <w:tab/>
      </w:r>
      <w:r>
        <w:tab/>
        <w:t>4.5 Conclusions</w:t>
      </w:r>
    </w:p>
    <w:bookmarkEnd w:id="4"/>
    <w:p w14:paraId="66839D59" w14:textId="6379F72B" w:rsidR="007E0565" w:rsidRDefault="007E0565" w:rsidP="00E41576">
      <w:pPr>
        <w:pStyle w:val="MDPI31text"/>
        <w:spacing w:after="240"/>
      </w:pPr>
      <w:r w:rsidRPr="00C8300B">
        <w:t xml:space="preserve">In sum, the study showed that while goal flexibility and tenacity maintained mental wellbeing, they were not particularly beneficial in assisting people to stick to their exercise resolution. The present study highlights the importance of investigating resolutions beyond the ‘surface’ level to examine underlying motives that may drive goal pursuit. The study distinguishes that intrinsic, but not extrinsic motives, were beneficial both for sustained exercise and wellbeing. Results indicate that to sustain exercise resolution engagement and wellbeing greater emphasis should be placed on the inherent satisfaction, personal meaning, or the benefits of exercise-related goals. The ability to maintain an exercise regimen is important in both clinical and non-clinical populations given its link to positive physical and psychological outcomes </w:t>
      </w:r>
      <w:r w:rsidRPr="00D64960">
        <w:t>[40].</w:t>
      </w:r>
      <w:r w:rsidRPr="00C8300B">
        <w:t xml:space="preserve"> The present study highlights that setting personal resolutions or goals concordant with intrinsically meaningful motives is an important determinant in mental wellbeing and sustained exercise adherence.</w:t>
      </w:r>
      <w:r w:rsidR="007A7068">
        <w:t xml:space="preserve"> </w:t>
      </w:r>
      <w:r w:rsidRPr="00C8300B">
        <w:t>Future research to investigate other distinct motivational processes that may explain the relationships between maintaining exercise goals and mental wellbeing, in tandem with more objective methods (e.g., step counts), is warranted.</w:t>
      </w:r>
    </w:p>
    <w:p w14:paraId="28001178" w14:textId="53506762" w:rsidR="001B623A" w:rsidRDefault="001B623A" w:rsidP="00A30A4D">
      <w:pPr>
        <w:pStyle w:val="MDPI62BackMatter"/>
        <w:spacing w:before="240"/>
      </w:pPr>
      <w:r w:rsidRPr="00FA04F1">
        <w:rPr>
          <w:b/>
        </w:rPr>
        <w:lastRenderedPageBreak/>
        <w:t>Supplementary Materials:</w:t>
      </w:r>
      <w:r>
        <w:rPr>
          <w:b/>
        </w:rPr>
        <w:t xml:space="preserve"> </w:t>
      </w:r>
      <w:r>
        <w:t xml:space="preserve">The following supporting information can be downloaded at: www.mdpi.com/xxx/s1, </w:t>
      </w:r>
      <w:r w:rsidRPr="001B623A">
        <w:t>Table S1: Commitment, importance, and previous attempts as predictors of mental wellbeing at Times 1</w:t>
      </w:r>
      <w:r>
        <w:t>–</w:t>
      </w:r>
      <w:r w:rsidRPr="001B623A">
        <w:t>4; Table S2: Commitment, importance, and previous attempts as predictors of New Year resolution stickability at Times 2</w:t>
      </w:r>
      <w:r>
        <w:t>–</w:t>
      </w:r>
      <w:r w:rsidRPr="001B623A">
        <w:t>4; Table S3: Resolution orientation (approach vs. avoidance), resolution specificity (specific vs. general) as predictors of mental wellbeing at Times 1</w:t>
      </w:r>
      <w:r>
        <w:t>–</w:t>
      </w:r>
      <w:r w:rsidRPr="001B623A">
        <w:t>4; Table S4: Resolution orientation (approach vs. avoidance), resolution specificity (specific vs. general) as predictors of stickability at Times 2</w:t>
      </w:r>
      <w:r>
        <w:t>–</w:t>
      </w:r>
      <w:r w:rsidRPr="001B623A">
        <w:t>4.</w:t>
      </w:r>
    </w:p>
    <w:p w14:paraId="1321B91D" w14:textId="77619A88" w:rsidR="00AC1F3B" w:rsidRPr="00C8300B" w:rsidRDefault="00A30A4D" w:rsidP="00A30A4D">
      <w:pPr>
        <w:pStyle w:val="MDPI62BackMatter"/>
        <w:spacing w:before="240"/>
      </w:pPr>
      <w:r w:rsidRPr="00A30A4D">
        <w:rPr>
          <w:b/>
        </w:rPr>
        <w:t>Author Contribution</w:t>
      </w:r>
      <w:r w:rsidR="00AC1F3B" w:rsidRPr="00A30A4D">
        <w:rPr>
          <w:b/>
        </w:rPr>
        <w:t xml:space="preserve">s: </w:t>
      </w:r>
      <w:r w:rsidR="00AC1F3B" w:rsidRPr="00C8300B">
        <w:t xml:space="preserve">All authors contributed to this research as listed: </w:t>
      </w:r>
      <w:proofErr w:type="spellStart"/>
      <w:r w:rsidR="00AC1F3B" w:rsidRPr="00C8300B">
        <w:t>Conceptualisation</w:t>
      </w:r>
      <w:proofErr w:type="spellEnd"/>
      <w:r w:rsidR="00AC1F3B" w:rsidRPr="00C8300B">
        <w:t xml:space="preserve"> (J.M.D., C.D.H.); Methodology (J.M.D., A.H., C.F</w:t>
      </w:r>
      <w:r w:rsidR="00F145AC">
        <w:t>.</w:t>
      </w:r>
      <w:r w:rsidR="00AC1F3B" w:rsidRPr="00C8300B">
        <w:t xml:space="preserve">-H., C.D.H.); </w:t>
      </w:r>
      <w:proofErr w:type="spellStart"/>
      <w:r w:rsidR="00AC1F3B" w:rsidRPr="00C8300B">
        <w:t>qualtrics</w:t>
      </w:r>
      <w:proofErr w:type="spellEnd"/>
      <w:r w:rsidR="00AC1F3B" w:rsidRPr="00C8300B">
        <w:t xml:space="preserve"> software design (A.H.); validation (J.M.D., C.D.H.); formal analysis (A.H., C.D.H., J.M.D.); original writing (A.H., J.M.D., C.D.H.); writing</w:t>
      </w:r>
      <w:r w:rsidR="001210D9">
        <w:t>—</w:t>
      </w:r>
      <w:r w:rsidR="00AC1F3B" w:rsidRPr="00C8300B">
        <w:t>review and editing (J.M.D., C.F</w:t>
      </w:r>
      <w:r w:rsidR="00F145AC">
        <w:t>.</w:t>
      </w:r>
      <w:r w:rsidR="00AC1F3B" w:rsidRPr="00C8300B">
        <w:t>-H., C.D.H.); supervision (J.M.D., C.F</w:t>
      </w:r>
      <w:r w:rsidR="00F145AC">
        <w:t>.</w:t>
      </w:r>
      <w:r w:rsidR="00AC1F3B" w:rsidRPr="00C8300B">
        <w:t>-H., C.D.H</w:t>
      </w:r>
      <w:r w:rsidR="004863C4">
        <w:t>.</w:t>
      </w:r>
      <w:r w:rsidR="00AC1F3B" w:rsidRPr="00C8300B">
        <w:t>); project administration (A.H.)</w:t>
      </w:r>
      <w:r w:rsidR="00AC1F3B" w:rsidRPr="00D64960">
        <w:t>.</w:t>
      </w:r>
      <w:r w:rsidR="00AC1F3B" w:rsidRPr="00C8300B">
        <w:t xml:space="preserve"> All authors have read and agreed to the published version of the manuscript.</w:t>
      </w:r>
    </w:p>
    <w:p w14:paraId="337CD00B" w14:textId="06B0D4B5" w:rsidR="00AC1F3B" w:rsidRPr="00C8300B" w:rsidRDefault="00AC1F3B" w:rsidP="00A30A4D">
      <w:pPr>
        <w:pStyle w:val="MDPI62BackMatter"/>
      </w:pPr>
      <w:r w:rsidRPr="00A30A4D">
        <w:rPr>
          <w:b/>
        </w:rPr>
        <w:t xml:space="preserve">Funding: </w:t>
      </w:r>
      <w:r w:rsidRPr="00C8300B">
        <w:t>This research received no external funding.</w:t>
      </w:r>
    </w:p>
    <w:p w14:paraId="5FCC32AE" w14:textId="48DCDF3F" w:rsidR="00AC1F3B" w:rsidRPr="00C8300B" w:rsidRDefault="00AC1F3B" w:rsidP="00A30A4D">
      <w:pPr>
        <w:pStyle w:val="MDPI62BackMatter"/>
      </w:pPr>
      <w:r w:rsidRPr="00A30A4D">
        <w:rPr>
          <w:b/>
        </w:rPr>
        <w:t xml:space="preserve">Institutional Review Board Statement: </w:t>
      </w:r>
      <w:r w:rsidRPr="00C8300B">
        <w:t>The study was conducted according to the guidelines of the Declaration of Helsinki and approved by the Human Research Ethics Committee at Edith Cowan University, Australia (HREC: 2021-02874-DICKSON).</w:t>
      </w:r>
    </w:p>
    <w:p w14:paraId="26AB88C9" w14:textId="5C6D5644" w:rsidR="00AC1F3B" w:rsidRPr="00C8300B" w:rsidRDefault="00AC1F3B" w:rsidP="00A30A4D">
      <w:pPr>
        <w:pStyle w:val="MDPI62BackMatter"/>
      </w:pPr>
      <w:r w:rsidRPr="00A30A4D">
        <w:rPr>
          <w:b/>
        </w:rPr>
        <w:t xml:space="preserve">Informed Consent Statement: </w:t>
      </w:r>
      <w:r w:rsidRPr="00C8300B">
        <w:t>Informed consent was obtained from all subjects involved in the study.</w:t>
      </w:r>
    </w:p>
    <w:p w14:paraId="569F3F57" w14:textId="69935B7F" w:rsidR="00AC1F3B" w:rsidRPr="00C8300B" w:rsidRDefault="00AC1F3B" w:rsidP="00A30A4D">
      <w:pPr>
        <w:pStyle w:val="MDPI62BackMatter"/>
      </w:pPr>
      <w:r w:rsidRPr="00A30A4D">
        <w:rPr>
          <w:b/>
        </w:rPr>
        <w:t xml:space="preserve">Data Availability Statement: </w:t>
      </w:r>
      <w:r w:rsidRPr="00C8300B">
        <w:t>Anonymous data was collected and save on an SPSS datafile. This SPSS dataset will be deposited at Edith Cowan University’s data repository and accession numbers will be made available upon request.</w:t>
      </w:r>
    </w:p>
    <w:p w14:paraId="49368475" w14:textId="552A0D73" w:rsidR="00AC1F3B" w:rsidRPr="00C8300B" w:rsidRDefault="00AC1F3B" w:rsidP="00A30A4D">
      <w:pPr>
        <w:pStyle w:val="MDPI62BackMatter"/>
      </w:pPr>
      <w:r w:rsidRPr="00A30A4D">
        <w:rPr>
          <w:b/>
        </w:rPr>
        <w:t>Acknowledgments:</w:t>
      </w:r>
      <w:r w:rsidRPr="00C8300B">
        <w:t xml:space="preserve"> We thank the participants who freely volunteered to participate in this study</w:t>
      </w:r>
    </w:p>
    <w:p w14:paraId="6A563E8B" w14:textId="7D9E9E94" w:rsidR="00AC1F3B" w:rsidRPr="00C8300B" w:rsidRDefault="00AC1F3B" w:rsidP="00A30A4D">
      <w:pPr>
        <w:pStyle w:val="MDPI62BackMatter"/>
      </w:pPr>
      <w:r w:rsidRPr="00A30A4D">
        <w:rPr>
          <w:b/>
        </w:rPr>
        <w:t xml:space="preserve">Conflicts of Interest: </w:t>
      </w:r>
      <w:r w:rsidRPr="00C8300B">
        <w:t>The authors declare no conflict of interest.</w:t>
      </w:r>
    </w:p>
    <w:p w14:paraId="5B6A7E8B" w14:textId="77777777" w:rsidR="008A4C39" w:rsidRPr="00C22A22" w:rsidRDefault="008A4C39" w:rsidP="008A4C39">
      <w:pPr>
        <w:pStyle w:val="MDPI21heading1"/>
        <w:ind w:left="0"/>
        <w:rPr>
          <w:color w:val="auto"/>
        </w:rPr>
      </w:pPr>
      <w:r w:rsidRPr="00C22A22">
        <w:rPr>
          <w:color w:val="auto"/>
        </w:rPr>
        <w:t>References</w:t>
      </w:r>
    </w:p>
    <w:p w14:paraId="1F856F8B" w14:textId="77777777" w:rsidR="008A4C39" w:rsidRPr="00A56C57" w:rsidRDefault="008A4C39">
      <w:pPr>
        <w:pStyle w:val="MDPI71References"/>
        <w:numPr>
          <w:ilvl w:val="0"/>
          <w:numId w:val="5"/>
        </w:numPr>
      </w:pPr>
      <w:r w:rsidRPr="00A56C57">
        <w:t xml:space="preserve">Sheldon, K.M.; Elliot, A.J. Goal striving, need satisfaction, and longitudinal well-being: The self-concordance model. </w:t>
      </w:r>
      <w:r w:rsidRPr="00A56C57">
        <w:rPr>
          <w:i/>
          <w:iCs/>
        </w:rPr>
        <w:t xml:space="preserve">J. Pers. Soc. Psychol. </w:t>
      </w:r>
      <w:r>
        <w:rPr>
          <w:b/>
        </w:rPr>
        <w:t>1999</w:t>
      </w:r>
      <w:r>
        <w:t xml:space="preserve">, </w:t>
      </w:r>
      <w:r>
        <w:rPr>
          <w:i/>
        </w:rPr>
        <w:t>76</w:t>
      </w:r>
      <w:r>
        <w:t>, 482–497</w:t>
      </w:r>
      <w:r w:rsidRPr="00A56C57">
        <w:t>. https://doi.org/10.1037/0022-3514.76.3.482</w:t>
      </w:r>
      <w:r>
        <w:t>.</w:t>
      </w:r>
    </w:p>
    <w:p w14:paraId="5D14E130" w14:textId="77777777" w:rsidR="008A4C39" w:rsidRPr="00A56C57" w:rsidRDefault="008A4C39">
      <w:pPr>
        <w:pStyle w:val="MDPI71References"/>
        <w:numPr>
          <w:ilvl w:val="0"/>
          <w:numId w:val="5"/>
        </w:numPr>
      </w:pPr>
      <w:r w:rsidRPr="00A56C57">
        <w:t xml:space="preserve">Klug, H.J.; Maier, G.W. Linking goal progress and subjective well-being: A meta-analysis. </w:t>
      </w:r>
      <w:r w:rsidRPr="00A56C57">
        <w:rPr>
          <w:i/>
          <w:iCs/>
        </w:rPr>
        <w:t xml:space="preserve">J. Happiness Stud. </w:t>
      </w:r>
      <w:r>
        <w:rPr>
          <w:b/>
        </w:rPr>
        <w:t>2015</w:t>
      </w:r>
      <w:r>
        <w:t xml:space="preserve">, </w:t>
      </w:r>
      <w:r>
        <w:rPr>
          <w:i/>
        </w:rPr>
        <w:t>16</w:t>
      </w:r>
      <w:r>
        <w:t>, 37–65</w:t>
      </w:r>
      <w:r w:rsidRPr="00A56C57">
        <w:t>. https:/doi.org/0.1007/s10902-013-9493-0</w:t>
      </w:r>
      <w:r>
        <w:t>.</w:t>
      </w:r>
    </w:p>
    <w:p w14:paraId="050FE966" w14:textId="77777777" w:rsidR="008A4C39" w:rsidRPr="00A56C57" w:rsidRDefault="008A4C39">
      <w:pPr>
        <w:pStyle w:val="MDPI71References"/>
        <w:numPr>
          <w:ilvl w:val="0"/>
          <w:numId w:val="5"/>
        </w:numPr>
      </w:pPr>
      <w:r w:rsidRPr="00A56C57">
        <w:t xml:space="preserve">Austin, J.T.; Vancouver, J.B. Goal constructs in psychology: Structure, process, and content. </w:t>
      </w:r>
      <w:r w:rsidRPr="00A56C57">
        <w:rPr>
          <w:i/>
          <w:iCs/>
        </w:rPr>
        <w:t xml:space="preserve">Psychol. Bull. </w:t>
      </w:r>
      <w:r w:rsidRPr="000E713C">
        <w:rPr>
          <w:b/>
          <w:bCs/>
        </w:rPr>
        <w:t>1996</w:t>
      </w:r>
      <w:r w:rsidRPr="00A56C57">
        <w:t>,</w:t>
      </w:r>
      <w:r w:rsidRPr="00A56C57">
        <w:rPr>
          <w:i/>
          <w:iCs/>
        </w:rPr>
        <w:t xml:space="preserve"> 120</w:t>
      </w:r>
      <w:r w:rsidRPr="00A56C57">
        <w:t>, 338–375. https://doi.org/10.1037/0033-2909.120.3.338</w:t>
      </w:r>
      <w:r>
        <w:t>.</w:t>
      </w:r>
    </w:p>
    <w:p w14:paraId="4E79A44D" w14:textId="77777777" w:rsidR="008A4C39" w:rsidRPr="00A56C57" w:rsidRDefault="008A4C39">
      <w:pPr>
        <w:pStyle w:val="MDPI71References"/>
        <w:numPr>
          <w:ilvl w:val="0"/>
          <w:numId w:val="5"/>
        </w:numPr>
        <w:rPr>
          <w:rStyle w:val="Hyperlink"/>
          <w:color w:val="auto"/>
        </w:rPr>
      </w:pPr>
      <w:r w:rsidRPr="00A56C57">
        <w:t>Wallis, S. New Year Resolutions. 2022. Available online: https://www.finder.com.au/new-years-resolutions-statistics (accessed on 28 November 2022).</w:t>
      </w:r>
    </w:p>
    <w:p w14:paraId="2BA10B4B" w14:textId="77777777" w:rsidR="008A4C39" w:rsidRPr="000E713C" w:rsidRDefault="008A4C39">
      <w:pPr>
        <w:pStyle w:val="MDPI71References"/>
        <w:numPr>
          <w:ilvl w:val="0"/>
          <w:numId w:val="5"/>
        </w:numPr>
        <w:rPr>
          <w:spacing w:val="-4"/>
        </w:rPr>
      </w:pPr>
      <w:proofErr w:type="spellStart"/>
      <w:r w:rsidRPr="000E713C">
        <w:rPr>
          <w:spacing w:val="-4"/>
        </w:rPr>
        <w:t>Oscarsson</w:t>
      </w:r>
      <w:proofErr w:type="spellEnd"/>
      <w:r w:rsidRPr="000E713C">
        <w:rPr>
          <w:spacing w:val="-4"/>
        </w:rPr>
        <w:t xml:space="preserve">, M.; </w:t>
      </w:r>
      <w:proofErr w:type="spellStart"/>
      <w:r w:rsidRPr="000E713C">
        <w:rPr>
          <w:spacing w:val="-4"/>
        </w:rPr>
        <w:t>Carlbring</w:t>
      </w:r>
      <w:proofErr w:type="spellEnd"/>
      <w:r w:rsidRPr="000E713C">
        <w:rPr>
          <w:spacing w:val="-4"/>
        </w:rPr>
        <w:t xml:space="preserve">, P.; Andersson, G.; </w:t>
      </w:r>
      <w:proofErr w:type="spellStart"/>
      <w:r w:rsidRPr="000E713C">
        <w:rPr>
          <w:spacing w:val="-4"/>
        </w:rPr>
        <w:t>Rozental</w:t>
      </w:r>
      <w:proofErr w:type="spellEnd"/>
      <w:r w:rsidRPr="000E713C">
        <w:rPr>
          <w:spacing w:val="-4"/>
        </w:rPr>
        <w:t xml:space="preserve">, A.A. large-scale experiment on New Year’s resolutions: Approach-oriented goals are more successful than avoidance-oriented goals. </w:t>
      </w:r>
      <w:proofErr w:type="spellStart"/>
      <w:r w:rsidRPr="000E713C">
        <w:rPr>
          <w:i/>
          <w:iCs/>
          <w:spacing w:val="-4"/>
        </w:rPr>
        <w:t>PLoS</w:t>
      </w:r>
      <w:proofErr w:type="spellEnd"/>
      <w:r w:rsidRPr="000E713C">
        <w:rPr>
          <w:i/>
          <w:iCs/>
          <w:spacing w:val="-4"/>
        </w:rPr>
        <w:t xml:space="preserve"> ONE</w:t>
      </w:r>
      <w:r w:rsidRPr="000E713C">
        <w:rPr>
          <w:spacing w:val="-4"/>
        </w:rPr>
        <w:t xml:space="preserve"> </w:t>
      </w:r>
      <w:r w:rsidRPr="000E713C">
        <w:rPr>
          <w:b/>
          <w:spacing w:val="-4"/>
        </w:rPr>
        <w:t>2020</w:t>
      </w:r>
      <w:r w:rsidRPr="000E713C">
        <w:rPr>
          <w:spacing w:val="-4"/>
        </w:rPr>
        <w:t xml:space="preserve">, </w:t>
      </w:r>
      <w:r w:rsidRPr="000E713C">
        <w:rPr>
          <w:i/>
          <w:spacing w:val="-4"/>
        </w:rPr>
        <w:t>15</w:t>
      </w:r>
      <w:r w:rsidRPr="000E713C">
        <w:rPr>
          <w:spacing w:val="-4"/>
        </w:rPr>
        <w:t>, e0234097. https://doi.org/10.1371/journal.pone.0234097.</w:t>
      </w:r>
    </w:p>
    <w:p w14:paraId="5C3B169C" w14:textId="77777777" w:rsidR="008A4C39" w:rsidRPr="00A56C57" w:rsidRDefault="008A4C39">
      <w:pPr>
        <w:pStyle w:val="MDPI71References"/>
        <w:numPr>
          <w:ilvl w:val="0"/>
          <w:numId w:val="5"/>
        </w:numPr>
        <w:rPr>
          <w:rStyle w:val="Hyperlink"/>
          <w:color w:val="auto"/>
        </w:rPr>
      </w:pPr>
      <w:r w:rsidRPr="00A56C57">
        <w:t>Dickson, J.M.; Moberly, N</w:t>
      </w:r>
      <w:r>
        <w:t>.</w:t>
      </w:r>
      <w:r w:rsidRPr="00A56C57">
        <w:t xml:space="preserve">J.; </w:t>
      </w:r>
      <w:proofErr w:type="spellStart"/>
      <w:r w:rsidRPr="00A56C57">
        <w:t>Preece</w:t>
      </w:r>
      <w:proofErr w:type="spellEnd"/>
      <w:r w:rsidRPr="00A56C57">
        <w:t xml:space="preserve">, D.; Dodd, A.; Huntley, C.D. Self-regulatory goal motivational processes in sustained new year resolution pursuit and mental wellbeing.  </w:t>
      </w:r>
      <w:r w:rsidRPr="00A56C57">
        <w:rPr>
          <w:i/>
          <w:iCs/>
        </w:rPr>
        <w:t xml:space="preserve">Int. J. Environ. Res. Public Health </w:t>
      </w:r>
      <w:r>
        <w:rPr>
          <w:b/>
        </w:rPr>
        <w:t>2021</w:t>
      </w:r>
      <w:r>
        <w:t xml:space="preserve">, </w:t>
      </w:r>
      <w:r>
        <w:rPr>
          <w:i/>
        </w:rPr>
        <w:t>18</w:t>
      </w:r>
      <w:r>
        <w:t>, 3084</w:t>
      </w:r>
      <w:r w:rsidRPr="00A56C57">
        <w:rPr>
          <w:i/>
          <w:iCs/>
        </w:rPr>
        <w:t xml:space="preserve">. </w:t>
      </w:r>
      <w:r w:rsidRPr="00A56C57">
        <w:t>https://doi.org/10.3390/ijerph18063084</w:t>
      </w:r>
      <w:r>
        <w:t>.</w:t>
      </w:r>
    </w:p>
    <w:p w14:paraId="61DF3AC2" w14:textId="77777777" w:rsidR="008A4C39" w:rsidRPr="00A56C57" w:rsidRDefault="008A4C39">
      <w:pPr>
        <w:pStyle w:val="MDPI71References"/>
        <w:numPr>
          <w:ilvl w:val="0"/>
          <w:numId w:val="5"/>
        </w:numPr>
      </w:pPr>
      <w:proofErr w:type="spellStart"/>
      <w:r w:rsidRPr="00A56C57">
        <w:t>Koestner</w:t>
      </w:r>
      <w:proofErr w:type="spellEnd"/>
      <w:r w:rsidRPr="00A56C57">
        <w:t xml:space="preserve">, R.; </w:t>
      </w:r>
      <w:proofErr w:type="spellStart"/>
      <w:r w:rsidRPr="00A56C57">
        <w:t>Lekes</w:t>
      </w:r>
      <w:proofErr w:type="spellEnd"/>
      <w:r w:rsidRPr="00A56C57">
        <w:t xml:space="preserve">, N.; Powers, T.A.; Chicoine, E. Attaining Personal Goals: Self-Concordance Plus Implementation Intentions Equals Success. </w:t>
      </w:r>
      <w:r w:rsidRPr="00A56C57">
        <w:rPr>
          <w:i/>
          <w:iCs/>
        </w:rPr>
        <w:t xml:space="preserve">J. Pers. Soc. Psychol. </w:t>
      </w:r>
      <w:r>
        <w:rPr>
          <w:b/>
        </w:rPr>
        <w:t>2002</w:t>
      </w:r>
      <w:r>
        <w:t xml:space="preserve">, </w:t>
      </w:r>
      <w:r>
        <w:rPr>
          <w:i/>
        </w:rPr>
        <w:t>83</w:t>
      </w:r>
      <w:r>
        <w:t>, 231–244</w:t>
      </w:r>
      <w:r w:rsidRPr="00A56C57">
        <w:t>.</w:t>
      </w:r>
    </w:p>
    <w:p w14:paraId="4BDE0762" w14:textId="77777777" w:rsidR="008A4C39" w:rsidRPr="00A56C57" w:rsidRDefault="008A4C39">
      <w:pPr>
        <w:pStyle w:val="MDPI71References"/>
        <w:numPr>
          <w:ilvl w:val="0"/>
          <w:numId w:val="5"/>
        </w:numPr>
      </w:pPr>
      <w:r w:rsidRPr="00A56C57">
        <w:t xml:space="preserve">Norcross, J.C.; </w:t>
      </w:r>
      <w:proofErr w:type="spellStart"/>
      <w:r w:rsidRPr="00A56C57">
        <w:t>Mrykalo</w:t>
      </w:r>
      <w:proofErr w:type="spellEnd"/>
      <w:r w:rsidRPr="00A56C57">
        <w:t xml:space="preserve">, M.S.; </w:t>
      </w:r>
      <w:proofErr w:type="spellStart"/>
      <w:r w:rsidRPr="00A56C57">
        <w:t>Blagys</w:t>
      </w:r>
      <w:proofErr w:type="spellEnd"/>
      <w:r w:rsidRPr="00A56C57">
        <w:t xml:space="preserve">, M.D. Auld lang syne: Success predictors, change processes, and self-reported outcomes of New Year’s resolvers and </w:t>
      </w:r>
      <w:proofErr w:type="spellStart"/>
      <w:r w:rsidRPr="00A56C57">
        <w:t>nonresolvers</w:t>
      </w:r>
      <w:proofErr w:type="spellEnd"/>
      <w:r w:rsidRPr="00A56C57">
        <w:t xml:space="preserve">. </w:t>
      </w:r>
      <w:r w:rsidRPr="00A56C57">
        <w:rPr>
          <w:i/>
          <w:iCs/>
        </w:rPr>
        <w:t xml:space="preserve">J. Clin. Psychol. </w:t>
      </w:r>
      <w:r>
        <w:rPr>
          <w:b/>
        </w:rPr>
        <w:t>2002</w:t>
      </w:r>
      <w:r>
        <w:t xml:space="preserve">, </w:t>
      </w:r>
      <w:r>
        <w:rPr>
          <w:i/>
        </w:rPr>
        <w:t>58</w:t>
      </w:r>
      <w:r>
        <w:t>, 397–405. https://doi.org/</w:t>
      </w:r>
      <w:r w:rsidRPr="00A56C57">
        <w:t>10.1002/jclp.1151</w:t>
      </w:r>
      <w:r>
        <w:t>.</w:t>
      </w:r>
    </w:p>
    <w:p w14:paraId="1FCE0B74" w14:textId="77777777" w:rsidR="008A4C39" w:rsidRPr="00A56C57" w:rsidRDefault="008A4C39">
      <w:pPr>
        <w:pStyle w:val="MDPI71References"/>
        <w:numPr>
          <w:ilvl w:val="0"/>
          <w:numId w:val="5"/>
        </w:numPr>
      </w:pPr>
      <w:r w:rsidRPr="00A56C57">
        <w:t xml:space="preserve">Mikkelsen, K.; </w:t>
      </w:r>
      <w:proofErr w:type="spellStart"/>
      <w:r w:rsidRPr="00A56C57">
        <w:t>Stojanovaska</w:t>
      </w:r>
      <w:proofErr w:type="spellEnd"/>
      <w:r w:rsidRPr="00A56C57">
        <w:t xml:space="preserve">, L.; </w:t>
      </w:r>
      <w:proofErr w:type="spellStart"/>
      <w:r w:rsidRPr="00A56C57">
        <w:t>Polenakovic</w:t>
      </w:r>
      <w:proofErr w:type="spellEnd"/>
      <w:r w:rsidRPr="00A56C57">
        <w:t xml:space="preserve">, M.; </w:t>
      </w:r>
      <w:proofErr w:type="spellStart"/>
      <w:r w:rsidRPr="00A56C57">
        <w:t>Bosevski</w:t>
      </w:r>
      <w:proofErr w:type="spellEnd"/>
      <w:r w:rsidRPr="00A56C57">
        <w:t xml:space="preserve">, M.; </w:t>
      </w:r>
      <w:proofErr w:type="spellStart"/>
      <w:r w:rsidRPr="00A56C57">
        <w:t>Apostolopoulos</w:t>
      </w:r>
      <w:proofErr w:type="spellEnd"/>
      <w:r w:rsidRPr="00A56C57">
        <w:t>, V. Exercise and Mental Health</w:t>
      </w:r>
      <w:r>
        <w:t>.</w:t>
      </w:r>
      <w:r w:rsidRPr="00A56C57">
        <w:rPr>
          <w:i/>
          <w:iCs/>
        </w:rPr>
        <w:t xml:space="preserve"> </w:t>
      </w:r>
      <w:proofErr w:type="spellStart"/>
      <w:r w:rsidRPr="00A56C57">
        <w:rPr>
          <w:i/>
          <w:iCs/>
        </w:rPr>
        <w:t>Matur</w:t>
      </w:r>
      <w:r>
        <w:rPr>
          <w:i/>
          <w:iCs/>
        </w:rPr>
        <w:t>i</w:t>
      </w:r>
      <w:r w:rsidRPr="00A56C57">
        <w:rPr>
          <w:i/>
          <w:iCs/>
        </w:rPr>
        <w:t>t</w:t>
      </w:r>
      <w:r>
        <w:rPr>
          <w:i/>
          <w:iCs/>
        </w:rPr>
        <w:t>a</w:t>
      </w:r>
      <w:r w:rsidRPr="00A56C57">
        <w:rPr>
          <w:i/>
          <w:iCs/>
        </w:rPr>
        <w:t>s</w:t>
      </w:r>
      <w:proofErr w:type="spellEnd"/>
      <w:r w:rsidRPr="00A56C57">
        <w:rPr>
          <w:i/>
          <w:iCs/>
        </w:rPr>
        <w:t xml:space="preserve"> </w:t>
      </w:r>
      <w:r>
        <w:rPr>
          <w:b/>
        </w:rPr>
        <w:t>2017</w:t>
      </w:r>
      <w:r>
        <w:t xml:space="preserve">, </w:t>
      </w:r>
      <w:r>
        <w:rPr>
          <w:i/>
        </w:rPr>
        <w:t>106</w:t>
      </w:r>
      <w:r>
        <w:t>, 48–56</w:t>
      </w:r>
      <w:r w:rsidRPr="00A56C57">
        <w:t>.</w:t>
      </w:r>
    </w:p>
    <w:p w14:paraId="3E9A143E" w14:textId="77777777" w:rsidR="008A4C39" w:rsidRPr="00A56C57" w:rsidRDefault="008A4C39">
      <w:pPr>
        <w:pStyle w:val="MDPI71References"/>
        <w:numPr>
          <w:ilvl w:val="0"/>
          <w:numId w:val="5"/>
        </w:numPr>
      </w:pPr>
      <w:r w:rsidRPr="00A56C57">
        <w:t>Dishman, R.K.; Ickes, W. Self-</w:t>
      </w:r>
      <w:proofErr w:type="gramStart"/>
      <w:r w:rsidRPr="00A56C57">
        <w:t>motivation</w:t>
      </w:r>
      <w:proofErr w:type="gramEnd"/>
      <w:r w:rsidRPr="00A56C57">
        <w:t xml:space="preserve"> and adherence to therapeutic exercise. </w:t>
      </w:r>
      <w:r w:rsidRPr="00A56C57">
        <w:rPr>
          <w:i/>
          <w:iCs/>
        </w:rPr>
        <w:t xml:space="preserve">J. </w:t>
      </w:r>
      <w:proofErr w:type="spellStart"/>
      <w:r w:rsidRPr="00A56C57">
        <w:rPr>
          <w:i/>
          <w:iCs/>
        </w:rPr>
        <w:t>Behav</w:t>
      </w:r>
      <w:proofErr w:type="spellEnd"/>
      <w:r w:rsidRPr="00A56C57">
        <w:rPr>
          <w:i/>
          <w:iCs/>
        </w:rPr>
        <w:t xml:space="preserve">. Med. </w:t>
      </w:r>
      <w:r>
        <w:rPr>
          <w:b/>
        </w:rPr>
        <w:t>1982</w:t>
      </w:r>
      <w:r>
        <w:t xml:space="preserve">, </w:t>
      </w:r>
      <w:r>
        <w:rPr>
          <w:i/>
        </w:rPr>
        <w:t>4</w:t>
      </w:r>
      <w:r>
        <w:t>, 421–438. https://doi.org/</w:t>
      </w:r>
      <w:r w:rsidRPr="00A56C57">
        <w:t>10.1007/BF00846151</w:t>
      </w:r>
      <w:r>
        <w:t>.</w:t>
      </w:r>
    </w:p>
    <w:p w14:paraId="380763B8" w14:textId="77777777" w:rsidR="008A4C39" w:rsidRPr="00A56C57" w:rsidRDefault="008A4C39">
      <w:pPr>
        <w:pStyle w:val="MDPI71References"/>
        <w:numPr>
          <w:ilvl w:val="0"/>
          <w:numId w:val="5"/>
        </w:numPr>
        <w:rPr>
          <w:rStyle w:val="Hyperlink"/>
          <w:color w:val="auto"/>
        </w:rPr>
      </w:pPr>
      <w:proofErr w:type="spellStart"/>
      <w:r w:rsidRPr="00A56C57">
        <w:t>Gjestvang</w:t>
      </w:r>
      <w:proofErr w:type="spellEnd"/>
      <w:r w:rsidRPr="00A56C57">
        <w:t xml:space="preserve">, C.; Abrahamsen, F.; </w:t>
      </w:r>
      <w:proofErr w:type="spellStart"/>
      <w:r w:rsidRPr="00A56C57">
        <w:t>Stensrud</w:t>
      </w:r>
      <w:proofErr w:type="spellEnd"/>
      <w:r w:rsidRPr="00A56C57">
        <w:t xml:space="preserve">, T.; </w:t>
      </w:r>
      <w:proofErr w:type="spellStart"/>
      <w:r w:rsidRPr="00A56C57">
        <w:t>Haakstad</w:t>
      </w:r>
      <w:proofErr w:type="spellEnd"/>
      <w:r>
        <w:t>, L.A.</w:t>
      </w:r>
      <w:r w:rsidRPr="00A56C57">
        <w:t xml:space="preserve"> Motives and barriers to initiation and sustained exercise adherence in a fitness club setting—A one‐year follow‐up study. </w:t>
      </w:r>
      <w:r w:rsidRPr="00A56C57">
        <w:rPr>
          <w:i/>
          <w:iCs/>
        </w:rPr>
        <w:t>Scand. J. Med. Sci. Sports</w:t>
      </w:r>
      <w:r w:rsidRPr="00A56C57">
        <w:t xml:space="preserve"> </w:t>
      </w:r>
      <w:r>
        <w:rPr>
          <w:b/>
        </w:rPr>
        <w:t>2020</w:t>
      </w:r>
      <w:r>
        <w:t xml:space="preserve">, </w:t>
      </w:r>
      <w:r>
        <w:rPr>
          <w:i/>
        </w:rPr>
        <w:t>30</w:t>
      </w:r>
      <w:r>
        <w:t>, 1796–1805</w:t>
      </w:r>
      <w:r w:rsidRPr="00A56C57">
        <w:t>. https://doi.org/10.1111/sms.13736</w:t>
      </w:r>
      <w:r>
        <w:t>.</w:t>
      </w:r>
    </w:p>
    <w:p w14:paraId="0E89517B" w14:textId="77777777" w:rsidR="008A4C39" w:rsidRPr="00A56C57" w:rsidRDefault="008A4C39">
      <w:pPr>
        <w:pStyle w:val="MDPI71References"/>
        <w:numPr>
          <w:ilvl w:val="0"/>
          <w:numId w:val="5"/>
        </w:numPr>
      </w:pPr>
      <w:proofErr w:type="spellStart"/>
      <w:r w:rsidRPr="00A56C57">
        <w:t>Brandtstädter</w:t>
      </w:r>
      <w:proofErr w:type="spellEnd"/>
      <w:r w:rsidRPr="00A56C57">
        <w:t>, J.; Renner</w:t>
      </w:r>
      <w:r>
        <w:t>,</w:t>
      </w:r>
      <w:r w:rsidRPr="00A56C57">
        <w:t xml:space="preserve"> G. Tenacious goal pursuit and flexible goal adjustment: Explication and age-related analysis of assimilative and accommodative strategies of coping. </w:t>
      </w:r>
      <w:r w:rsidRPr="00A56C57">
        <w:rPr>
          <w:i/>
          <w:iCs/>
        </w:rPr>
        <w:t xml:space="preserve">Psychol. Aging </w:t>
      </w:r>
      <w:r>
        <w:rPr>
          <w:b/>
        </w:rPr>
        <w:t>1990</w:t>
      </w:r>
      <w:r>
        <w:t xml:space="preserve">, </w:t>
      </w:r>
      <w:r>
        <w:rPr>
          <w:i/>
        </w:rPr>
        <w:t>5</w:t>
      </w:r>
      <w:r>
        <w:t>, 5–58</w:t>
      </w:r>
      <w:r w:rsidRPr="00A56C57">
        <w:t>. https://doi.org/10.1016/j.alcr.2009.03.002</w:t>
      </w:r>
      <w:r>
        <w:t>.</w:t>
      </w:r>
    </w:p>
    <w:p w14:paraId="450781AC" w14:textId="77777777" w:rsidR="008A4C39" w:rsidRPr="00A56C57" w:rsidRDefault="008A4C39">
      <w:pPr>
        <w:pStyle w:val="MDPI71References"/>
        <w:numPr>
          <w:ilvl w:val="0"/>
          <w:numId w:val="5"/>
        </w:numPr>
      </w:pPr>
      <w:proofErr w:type="spellStart"/>
      <w:r w:rsidRPr="00A56C57">
        <w:t>Brandtstädter</w:t>
      </w:r>
      <w:proofErr w:type="spellEnd"/>
      <w:r w:rsidRPr="00A56C57">
        <w:t xml:space="preserve">, J.; </w:t>
      </w:r>
      <w:proofErr w:type="spellStart"/>
      <w:r w:rsidRPr="00A56C57">
        <w:t>Rothermund</w:t>
      </w:r>
      <w:proofErr w:type="spellEnd"/>
      <w:r w:rsidRPr="00A56C57">
        <w:t xml:space="preserve">, K. The life-course dynamics of goal pursuit and goal adjustment: A two-process framework. </w:t>
      </w:r>
      <w:r w:rsidRPr="00A56C57">
        <w:rPr>
          <w:i/>
          <w:iCs/>
        </w:rPr>
        <w:t xml:space="preserve">Dev. Rev. </w:t>
      </w:r>
      <w:r>
        <w:rPr>
          <w:b/>
        </w:rPr>
        <w:t>2002</w:t>
      </w:r>
      <w:r>
        <w:t xml:space="preserve">, </w:t>
      </w:r>
      <w:r>
        <w:rPr>
          <w:i/>
        </w:rPr>
        <w:t>22</w:t>
      </w:r>
      <w:r>
        <w:t>, 117–150</w:t>
      </w:r>
      <w:r w:rsidRPr="00A56C57">
        <w:t>. https://doi.org/10.1006/drev.2001.0539</w:t>
      </w:r>
      <w:r>
        <w:t>.</w:t>
      </w:r>
    </w:p>
    <w:p w14:paraId="4C0680D8" w14:textId="77777777" w:rsidR="008A4C39" w:rsidRPr="00A56C57" w:rsidRDefault="008A4C39">
      <w:pPr>
        <w:pStyle w:val="MDPI71References"/>
        <w:numPr>
          <w:ilvl w:val="0"/>
          <w:numId w:val="5"/>
        </w:numPr>
      </w:pPr>
      <w:r w:rsidRPr="00A56C57">
        <w:t>Dickson, J.M.;</w:t>
      </w:r>
      <w:r w:rsidRPr="00A56C57">
        <w:rPr>
          <w:b/>
          <w:bCs/>
        </w:rPr>
        <w:t xml:space="preserve"> </w:t>
      </w:r>
      <w:r w:rsidRPr="00A56C57">
        <w:t>Moberly, N.J</w:t>
      </w:r>
      <w:r>
        <w:t>.</w:t>
      </w:r>
      <w:r w:rsidRPr="00A56C57">
        <w:t>; O’Dea, C.; Field, M. Goal fluency, pes</w:t>
      </w:r>
      <w:r w:rsidRPr="000E713C">
        <w:t xml:space="preserve">simism, and disengagement in depression. </w:t>
      </w:r>
      <w:proofErr w:type="spellStart"/>
      <w:r w:rsidRPr="000E713C">
        <w:rPr>
          <w:i/>
          <w:iCs/>
        </w:rPr>
        <w:t>PLoS</w:t>
      </w:r>
      <w:proofErr w:type="spellEnd"/>
      <w:r w:rsidRPr="000E713C">
        <w:rPr>
          <w:i/>
          <w:iCs/>
        </w:rPr>
        <w:t xml:space="preserve"> ONE </w:t>
      </w:r>
      <w:r w:rsidRPr="000E713C">
        <w:rPr>
          <w:b/>
        </w:rPr>
        <w:t>2016</w:t>
      </w:r>
      <w:r w:rsidRPr="000E713C">
        <w:t xml:space="preserve">, </w:t>
      </w:r>
      <w:r w:rsidRPr="000E713C">
        <w:rPr>
          <w:i/>
        </w:rPr>
        <w:t>11</w:t>
      </w:r>
      <w:r w:rsidRPr="000E713C">
        <w:t>, e0166259. https://doi.org/10.1371/journal.pone.0166259.</w:t>
      </w:r>
    </w:p>
    <w:p w14:paraId="3089C4BF" w14:textId="77777777" w:rsidR="008A4C39" w:rsidRPr="00A56C57" w:rsidRDefault="008A4C39">
      <w:pPr>
        <w:pStyle w:val="MDPI71References"/>
        <w:numPr>
          <w:ilvl w:val="0"/>
          <w:numId w:val="5"/>
        </w:numPr>
      </w:pPr>
      <w:r w:rsidRPr="00A56C57">
        <w:lastRenderedPageBreak/>
        <w:t xml:space="preserve">Kelly, R.E.; Wood, A.M.; Mansell, W. Flexible and Tenacious goal pursuit lead to improving well-being in an aging population: A ten-year cohort study. </w:t>
      </w:r>
      <w:r w:rsidRPr="00A56C57">
        <w:rPr>
          <w:i/>
          <w:iCs/>
        </w:rPr>
        <w:t xml:space="preserve">Int. </w:t>
      </w:r>
      <w:proofErr w:type="spellStart"/>
      <w:r w:rsidRPr="00A56C57">
        <w:rPr>
          <w:i/>
          <w:iCs/>
        </w:rPr>
        <w:t>Psychogeriatr</w:t>
      </w:r>
      <w:proofErr w:type="spellEnd"/>
      <w:r w:rsidRPr="00A56C57">
        <w:rPr>
          <w:i/>
          <w:iCs/>
        </w:rPr>
        <w:t xml:space="preserve">. </w:t>
      </w:r>
      <w:r>
        <w:rPr>
          <w:b/>
        </w:rPr>
        <w:t>2013</w:t>
      </w:r>
      <w:r>
        <w:t xml:space="preserve">, </w:t>
      </w:r>
      <w:r>
        <w:rPr>
          <w:i/>
        </w:rPr>
        <w:t>25</w:t>
      </w:r>
      <w:r>
        <w:t>, 16–24</w:t>
      </w:r>
      <w:r w:rsidRPr="00A56C57">
        <w:t>. https://doi.org/10.1017/S1041610212001391</w:t>
      </w:r>
      <w:r>
        <w:t>.</w:t>
      </w:r>
    </w:p>
    <w:p w14:paraId="304DAAE7" w14:textId="1E60F1B8" w:rsidR="008A4C39" w:rsidRPr="00A56C57" w:rsidRDefault="008A4C39">
      <w:pPr>
        <w:pStyle w:val="MDPI71References"/>
        <w:numPr>
          <w:ilvl w:val="0"/>
          <w:numId w:val="5"/>
        </w:numPr>
      </w:pPr>
      <w:r w:rsidRPr="00A56C57">
        <w:t xml:space="preserve">Swindell, T.; </w:t>
      </w:r>
      <w:proofErr w:type="spellStart"/>
      <w:r w:rsidRPr="00A56C57">
        <w:t>Iddon</w:t>
      </w:r>
      <w:proofErr w:type="spellEnd"/>
      <w:r w:rsidRPr="00A56C57">
        <w:t>, J.; Dickson, J.M. The role of adaptive goal processes in mental wellbeing in chronic pain.</w:t>
      </w:r>
      <w:r>
        <w:t xml:space="preserve"> </w:t>
      </w:r>
      <w:r w:rsidRPr="000E713C">
        <w:rPr>
          <w:b/>
          <w:bCs/>
        </w:rPr>
        <w:t>2022</w:t>
      </w:r>
      <w:r w:rsidRPr="00A56C57">
        <w:t>,</w:t>
      </w:r>
      <w:r w:rsidR="00FA115D">
        <w:t xml:space="preserve"> </w:t>
      </w:r>
      <w:r w:rsidR="00FA115D" w:rsidRPr="00FA115D">
        <w:rPr>
          <w:i/>
          <w:iCs/>
        </w:rPr>
        <w:t>Int. J. Environ. Res. Public Health.</w:t>
      </w:r>
      <w:r w:rsidRPr="00A56C57">
        <w:t xml:space="preserve"> </w:t>
      </w:r>
      <w:r w:rsidR="00FA115D">
        <w:rPr>
          <w:i/>
          <w:iCs/>
        </w:rPr>
        <w:t>(accepted)</w:t>
      </w:r>
      <w:r w:rsidRPr="00A56C57">
        <w:t>.</w:t>
      </w:r>
    </w:p>
    <w:p w14:paraId="2EA23FC1" w14:textId="77777777" w:rsidR="008A4C39" w:rsidRPr="00A56C57" w:rsidRDefault="008A4C39">
      <w:pPr>
        <w:pStyle w:val="MDPI71References"/>
        <w:numPr>
          <w:ilvl w:val="0"/>
          <w:numId w:val="5"/>
        </w:numPr>
      </w:pPr>
      <w:proofErr w:type="spellStart"/>
      <w:r w:rsidRPr="00A56C57">
        <w:t>Henselman</w:t>
      </w:r>
      <w:proofErr w:type="spellEnd"/>
      <w:r w:rsidRPr="00A56C57">
        <w:t xml:space="preserve">, I.; Fleer, J.; </w:t>
      </w:r>
      <w:proofErr w:type="spellStart"/>
      <w:r w:rsidRPr="00A56C57">
        <w:t>Smink</w:t>
      </w:r>
      <w:proofErr w:type="spellEnd"/>
      <w:r w:rsidRPr="00A56C57">
        <w:t xml:space="preserve">, A.; Van </w:t>
      </w:r>
      <w:proofErr w:type="spellStart"/>
      <w:r w:rsidRPr="00A56C57">
        <w:t>Sanderen</w:t>
      </w:r>
      <w:proofErr w:type="spellEnd"/>
      <w:r w:rsidRPr="00A56C57">
        <w:t xml:space="preserve">, E.; </w:t>
      </w:r>
      <w:proofErr w:type="spellStart"/>
      <w:r w:rsidRPr="00A56C57">
        <w:t>Sanderman</w:t>
      </w:r>
      <w:proofErr w:type="spellEnd"/>
      <w:r w:rsidRPr="00A56C57">
        <w:t xml:space="preserve">, R.; </w:t>
      </w:r>
      <w:proofErr w:type="spellStart"/>
      <w:r w:rsidRPr="00A56C57">
        <w:t>Ranchor</w:t>
      </w:r>
      <w:proofErr w:type="spellEnd"/>
      <w:r w:rsidRPr="00A56C57">
        <w:t xml:space="preserve">, A.V. The Tenacious Goal Pursuit and Flexible Goal Adjustment Scales: A validation study. </w:t>
      </w:r>
      <w:r>
        <w:rPr>
          <w:i/>
        </w:rPr>
        <w:t xml:space="preserve">Psychol. </w:t>
      </w:r>
      <w:r w:rsidRPr="000E713C">
        <w:rPr>
          <w:i/>
          <w:iCs/>
        </w:rPr>
        <w:t>Aging</w:t>
      </w:r>
      <w:r w:rsidRPr="00A56C57">
        <w:rPr>
          <w:i/>
          <w:iCs/>
        </w:rPr>
        <w:t xml:space="preserve"> </w:t>
      </w:r>
      <w:r>
        <w:rPr>
          <w:b/>
        </w:rPr>
        <w:t>2011</w:t>
      </w:r>
      <w:r>
        <w:t xml:space="preserve">, </w:t>
      </w:r>
      <w:r>
        <w:rPr>
          <w:i/>
        </w:rPr>
        <w:t>26</w:t>
      </w:r>
      <w:r>
        <w:t>, 174–180</w:t>
      </w:r>
      <w:r w:rsidRPr="00A56C57">
        <w:t>.</w:t>
      </w:r>
    </w:p>
    <w:p w14:paraId="21748ECE" w14:textId="77777777" w:rsidR="008A4C39" w:rsidRPr="000E713C" w:rsidRDefault="008A4C39">
      <w:pPr>
        <w:pStyle w:val="MDPI71References"/>
        <w:numPr>
          <w:ilvl w:val="0"/>
          <w:numId w:val="5"/>
        </w:numPr>
        <w:rPr>
          <w:spacing w:val="-4"/>
        </w:rPr>
      </w:pPr>
      <w:r w:rsidRPr="000E713C">
        <w:rPr>
          <w:spacing w:val="-4"/>
        </w:rPr>
        <w:t xml:space="preserve">Bailly, N.; </w:t>
      </w:r>
      <w:proofErr w:type="spellStart"/>
      <w:r w:rsidRPr="000E713C">
        <w:rPr>
          <w:spacing w:val="-4"/>
        </w:rPr>
        <w:t>Martinent</w:t>
      </w:r>
      <w:proofErr w:type="spellEnd"/>
      <w:r w:rsidRPr="000E713C">
        <w:rPr>
          <w:spacing w:val="-4"/>
        </w:rPr>
        <w:t xml:space="preserve">, G.; Ferrand, C.; </w:t>
      </w:r>
      <w:proofErr w:type="spellStart"/>
      <w:r w:rsidRPr="000E713C">
        <w:rPr>
          <w:spacing w:val="-4"/>
        </w:rPr>
        <w:t>Gana</w:t>
      </w:r>
      <w:proofErr w:type="spellEnd"/>
      <w:r w:rsidRPr="000E713C">
        <w:rPr>
          <w:spacing w:val="-4"/>
        </w:rPr>
        <w:t xml:space="preserve">, K.; </w:t>
      </w:r>
      <w:proofErr w:type="spellStart"/>
      <w:r w:rsidRPr="000E713C">
        <w:rPr>
          <w:spacing w:val="-4"/>
        </w:rPr>
        <w:t>Joulain</w:t>
      </w:r>
      <w:proofErr w:type="spellEnd"/>
      <w:r w:rsidRPr="000E713C">
        <w:rPr>
          <w:spacing w:val="-4"/>
        </w:rPr>
        <w:t xml:space="preserve">, M.; </w:t>
      </w:r>
      <w:proofErr w:type="spellStart"/>
      <w:r w:rsidRPr="000E713C">
        <w:rPr>
          <w:spacing w:val="-4"/>
        </w:rPr>
        <w:t>Maintier</w:t>
      </w:r>
      <w:proofErr w:type="spellEnd"/>
      <w:r w:rsidRPr="000E713C">
        <w:rPr>
          <w:spacing w:val="-4"/>
        </w:rPr>
        <w:t xml:space="preserve">, C. Tenacious goal pursuit and flexible goal adjustment in older people over 5 years: A latent profile transition analysis. </w:t>
      </w:r>
      <w:r w:rsidRPr="000E713C">
        <w:rPr>
          <w:i/>
          <w:iCs/>
          <w:spacing w:val="-4"/>
        </w:rPr>
        <w:t>Age Ageing</w:t>
      </w:r>
      <w:r w:rsidRPr="000E713C">
        <w:rPr>
          <w:spacing w:val="-4"/>
        </w:rPr>
        <w:t xml:space="preserve"> </w:t>
      </w:r>
      <w:r w:rsidRPr="000E713C">
        <w:rPr>
          <w:b/>
          <w:spacing w:val="-4"/>
        </w:rPr>
        <w:t>2016</w:t>
      </w:r>
      <w:r w:rsidRPr="000E713C">
        <w:rPr>
          <w:spacing w:val="-4"/>
        </w:rPr>
        <w:t xml:space="preserve">, </w:t>
      </w:r>
      <w:r w:rsidRPr="000E713C">
        <w:rPr>
          <w:i/>
          <w:spacing w:val="-4"/>
        </w:rPr>
        <w:t>45</w:t>
      </w:r>
      <w:r w:rsidRPr="000E713C">
        <w:rPr>
          <w:spacing w:val="-4"/>
        </w:rPr>
        <w:t>, 287–292. https://doi.org/10.1093/ageing/afv203.</w:t>
      </w:r>
    </w:p>
    <w:p w14:paraId="0F973773" w14:textId="77777777" w:rsidR="008A4C39" w:rsidRPr="00A56C57" w:rsidRDefault="008A4C39">
      <w:pPr>
        <w:pStyle w:val="MDPI71References"/>
        <w:numPr>
          <w:ilvl w:val="0"/>
          <w:numId w:val="5"/>
        </w:numPr>
      </w:pPr>
      <w:r w:rsidRPr="00A56C57">
        <w:t xml:space="preserve">Sharma, A.; </w:t>
      </w:r>
      <w:proofErr w:type="spellStart"/>
      <w:r w:rsidRPr="00A56C57">
        <w:t>Madaan</w:t>
      </w:r>
      <w:proofErr w:type="spellEnd"/>
      <w:r w:rsidRPr="00A56C57">
        <w:t>, V.; Petty, F.D. Exerc</w:t>
      </w:r>
      <w:r w:rsidRPr="000E713C">
        <w:t xml:space="preserve">ise for Mental Health. </w:t>
      </w:r>
      <w:r w:rsidRPr="000E713C">
        <w:rPr>
          <w:i/>
          <w:iCs/>
        </w:rPr>
        <w:t xml:space="preserve">Prim. Care Companion J. Clin. Psychiatry </w:t>
      </w:r>
      <w:r w:rsidRPr="000E713C">
        <w:rPr>
          <w:b/>
        </w:rPr>
        <w:t>2006</w:t>
      </w:r>
      <w:r w:rsidRPr="000E713C">
        <w:t xml:space="preserve">, </w:t>
      </w:r>
      <w:r w:rsidRPr="000E713C">
        <w:rPr>
          <w:i/>
        </w:rPr>
        <w:t>8</w:t>
      </w:r>
      <w:r w:rsidRPr="000E713C">
        <w:t>, 106. https://doi.org/10.4088/pcc.v08n0208a.</w:t>
      </w:r>
    </w:p>
    <w:p w14:paraId="3736FC9D" w14:textId="77777777" w:rsidR="008A4C39" w:rsidRPr="000E713C" w:rsidRDefault="008A4C39">
      <w:pPr>
        <w:pStyle w:val="MDPI71References"/>
        <w:numPr>
          <w:ilvl w:val="0"/>
          <w:numId w:val="5"/>
        </w:numPr>
        <w:rPr>
          <w:spacing w:val="-4"/>
        </w:rPr>
      </w:pPr>
      <w:r w:rsidRPr="000E713C">
        <w:rPr>
          <w:spacing w:val="-4"/>
        </w:rPr>
        <w:t xml:space="preserve">Dickson, J.M.; Johnson, S.; Huntley, C.D.; Peckham, A.; Taylor, P.J. An integrative study of motivation and goal regulation processes in subclinical anxiety, </w:t>
      </w:r>
      <w:proofErr w:type="gramStart"/>
      <w:r w:rsidRPr="000E713C">
        <w:rPr>
          <w:spacing w:val="-4"/>
        </w:rPr>
        <w:t>depression</w:t>
      </w:r>
      <w:proofErr w:type="gramEnd"/>
      <w:r w:rsidRPr="000E713C">
        <w:rPr>
          <w:spacing w:val="-4"/>
        </w:rPr>
        <w:t xml:space="preserve"> and hypomania. </w:t>
      </w:r>
      <w:r w:rsidRPr="000E713C">
        <w:rPr>
          <w:i/>
          <w:iCs/>
          <w:spacing w:val="-4"/>
        </w:rPr>
        <w:t xml:space="preserve">Psychiatry Res. </w:t>
      </w:r>
      <w:r w:rsidRPr="000E713C">
        <w:rPr>
          <w:b/>
          <w:spacing w:val="-4"/>
        </w:rPr>
        <w:t>2017</w:t>
      </w:r>
      <w:r w:rsidRPr="000E713C">
        <w:rPr>
          <w:spacing w:val="-4"/>
        </w:rPr>
        <w:t xml:space="preserve">, </w:t>
      </w:r>
      <w:r w:rsidRPr="000E713C">
        <w:rPr>
          <w:i/>
          <w:spacing w:val="-4"/>
        </w:rPr>
        <w:t>256</w:t>
      </w:r>
      <w:r w:rsidRPr="000E713C">
        <w:rPr>
          <w:spacing w:val="-4"/>
        </w:rPr>
        <w:t>, 6–12. https://doi.org/10.1016/j.psychres.2017.06.002.</w:t>
      </w:r>
    </w:p>
    <w:p w14:paraId="5385D199" w14:textId="77777777" w:rsidR="008A4C39" w:rsidRPr="00A56C57" w:rsidRDefault="008A4C39">
      <w:pPr>
        <w:pStyle w:val="MDPI71References"/>
        <w:numPr>
          <w:ilvl w:val="0"/>
          <w:numId w:val="5"/>
        </w:numPr>
      </w:pPr>
      <w:r w:rsidRPr="00A56C57">
        <w:t>Dickson, J.M.;</w:t>
      </w:r>
      <w:r w:rsidRPr="00A56C57">
        <w:rPr>
          <w:b/>
          <w:bCs/>
        </w:rPr>
        <w:t xml:space="preserve"> </w:t>
      </w:r>
      <w:r w:rsidRPr="00A56C57">
        <w:rPr>
          <w:bCs/>
        </w:rPr>
        <w:t xml:space="preserve">Moberly, N.J.; Huntley, C. </w:t>
      </w:r>
      <w:r w:rsidRPr="00A56C57">
        <w:t xml:space="preserve">Rumination selectively mediates the association between actual-ideal (but not actual-ought) self-discrepancy and anxious and depressive symptoms. </w:t>
      </w:r>
      <w:r w:rsidRPr="00A56C57">
        <w:rPr>
          <w:bCs/>
          <w:i/>
        </w:rPr>
        <w:t xml:space="preserve">Pers. </w:t>
      </w:r>
      <w:proofErr w:type="spellStart"/>
      <w:r w:rsidRPr="00A56C57">
        <w:rPr>
          <w:bCs/>
          <w:i/>
        </w:rPr>
        <w:t>Individ</w:t>
      </w:r>
      <w:proofErr w:type="spellEnd"/>
      <w:r w:rsidRPr="00A56C57">
        <w:rPr>
          <w:bCs/>
          <w:i/>
        </w:rPr>
        <w:t>. Dif</w:t>
      </w:r>
      <w:r>
        <w:rPr>
          <w:bCs/>
          <w:i/>
        </w:rPr>
        <w:t>fer</w:t>
      </w:r>
      <w:r w:rsidRPr="00A56C57">
        <w:rPr>
          <w:bCs/>
        </w:rPr>
        <w:t xml:space="preserve">. </w:t>
      </w:r>
      <w:r>
        <w:rPr>
          <w:b/>
          <w:bCs/>
        </w:rPr>
        <w:t>2019</w:t>
      </w:r>
      <w:r>
        <w:rPr>
          <w:bCs/>
        </w:rPr>
        <w:t xml:space="preserve">, </w:t>
      </w:r>
      <w:r>
        <w:rPr>
          <w:bCs/>
          <w:i/>
        </w:rPr>
        <w:t>149</w:t>
      </w:r>
      <w:r>
        <w:rPr>
          <w:bCs/>
        </w:rPr>
        <w:t>, 94–99</w:t>
      </w:r>
      <w:r w:rsidRPr="00A56C57">
        <w:rPr>
          <w:bCs/>
        </w:rPr>
        <w:t xml:space="preserve">. </w:t>
      </w:r>
      <w:r>
        <w:rPr>
          <w:bCs/>
        </w:rPr>
        <w:t>https://</w:t>
      </w:r>
      <w:r w:rsidRPr="00A56C57">
        <w:rPr>
          <w:bCs/>
        </w:rPr>
        <w:t>doi.</w:t>
      </w:r>
      <w:r>
        <w:rPr>
          <w:bCs/>
        </w:rPr>
        <w:t>org/</w:t>
      </w:r>
      <w:r w:rsidRPr="00A56C57">
        <w:rPr>
          <w:rFonts w:eastAsia="Calibri"/>
        </w:rPr>
        <w:t>10.1016/j.paid.2019.05.047</w:t>
      </w:r>
      <w:r w:rsidRPr="00A56C57">
        <w:rPr>
          <w:bCs/>
        </w:rPr>
        <w:t>.</w:t>
      </w:r>
    </w:p>
    <w:p w14:paraId="4FC6CE1F" w14:textId="77777777" w:rsidR="008A4C39" w:rsidRPr="00A56C57" w:rsidRDefault="008A4C39">
      <w:pPr>
        <w:pStyle w:val="MDPI71References"/>
        <w:numPr>
          <w:ilvl w:val="0"/>
          <w:numId w:val="5"/>
        </w:numPr>
      </w:pPr>
      <w:r w:rsidRPr="00A56C57">
        <w:t xml:space="preserve">Elliot, A.J.; Thrash, T.J. Achievement goals and the hierarchical model of achievement motivation. </w:t>
      </w:r>
      <w:r w:rsidRPr="00E1241B">
        <w:rPr>
          <w:i/>
          <w:iCs/>
        </w:rPr>
        <w:t>Educ</w:t>
      </w:r>
      <w:r>
        <w:rPr>
          <w:i/>
          <w:iCs/>
        </w:rPr>
        <w:t xml:space="preserve">. </w:t>
      </w:r>
      <w:r w:rsidRPr="00E1241B">
        <w:rPr>
          <w:i/>
          <w:iCs/>
        </w:rPr>
        <w:t>Psychol</w:t>
      </w:r>
      <w:r>
        <w:rPr>
          <w:i/>
          <w:iCs/>
        </w:rPr>
        <w:t xml:space="preserve">. Rev. </w:t>
      </w:r>
      <w:r>
        <w:rPr>
          <w:b/>
        </w:rPr>
        <w:t>2001</w:t>
      </w:r>
      <w:r>
        <w:t xml:space="preserve">, </w:t>
      </w:r>
      <w:r>
        <w:rPr>
          <w:i/>
        </w:rPr>
        <w:t>13</w:t>
      </w:r>
      <w:r>
        <w:t>, 139–156</w:t>
      </w:r>
      <w:r w:rsidRPr="00A56C57">
        <w:t>.</w:t>
      </w:r>
    </w:p>
    <w:p w14:paraId="18DE588D" w14:textId="77777777" w:rsidR="008A4C39" w:rsidRPr="00A56C57" w:rsidRDefault="008A4C39">
      <w:pPr>
        <w:pStyle w:val="MDPI71References"/>
        <w:numPr>
          <w:ilvl w:val="0"/>
          <w:numId w:val="5"/>
        </w:numPr>
        <w:rPr>
          <w:shd w:val="clear" w:color="auto" w:fill="FFFFFF"/>
        </w:rPr>
      </w:pPr>
      <w:r w:rsidRPr="00A56C57">
        <w:rPr>
          <w:shd w:val="clear" w:color="auto" w:fill="FFFFFF"/>
        </w:rPr>
        <w:t xml:space="preserve">Ryan, R.M.; Deci, E.L. Self-determination theory and the facilitation of intrinsic motivation, social development, and well-being. </w:t>
      </w:r>
      <w:r w:rsidRPr="00A56C57">
        <w:rPr>
          <w:i/>
          <w:iCs/>
          <w:shd w:val="clear" w:color="auto" w:fill="FFFFFF"/>
        </w:rPr>
        <w:t>Am. Psychol.</w:t>
      </w:r>
      <w:r w:rsidRPr="00A56C57">
        <w:rPr>
          <w:shd w:val="clear" w:color="auto" w:fill="FFFFFF"/>
        </w:rPr>
        <w:t xml:space="preserve"> </w:t>
      </w:r>
      <w:r>
        <w:rPr>
          <w:b/>
          <w:shd w:val="clear" w:color="auto" w:fill="FFFFFF"/>
        </w:rPr>
        <w:t>2000</w:t>
      </w:r>
      <w:r>
        <w:rPr>
          <w:shd w:val="clear" w:color="auto" w:fill="FFFFFF"/>
        </w:rPr>
        <w:t xml:space="preserve">, </w:t>
      </w:r>
      <w:r>
        <w:rPr>
          <w:i/>
          <w:shd w:val="clear" w:color="auto" w:fill="FFFFFF"/>
        </w:rPr>
        <w:t>55</w:t>
      </w:r>
      <w:r>
        <w:rPr>
          <w:shd w:val="clear" w:color="auto" w:fill="FFFFFF"/>
        </w:rPr>
        <w:t>, 68–78</w:t>
      </w:r>
      <w:r w:rsidRPr="00A56C57">
        <w:rPr>
          <w:shd w:val="clear" w:color="auto" w:fill="FFFFFF"/>
        </w:rPr>
        <w:t>. https://doi.org/10.1037/0003-066X.55.1.68</w:t>
      </w:r>
      <w:r>
        <w:rPr>
          <w:shd w:val="clear" w:color="auto" w:fill="FFFFFF"/>
        </w:rPr>
        <w:t>.</w:t>
      </w:r>
    </w:p>
    <w:p w14:paraId="24F7D22C" w14:textId="77777777" w:rsidR="008A4C39" w:rsidRPr="00A56C57" w:rsidRDefault="008A4C39">
      <w:pPr>
        <w:pStyle w:val="MDPI71References"/>
        <w:numPr>
          <w:ilvl w:val="0"/>
          <w:numId w:val="5"/>
        </w:numPr>
      </w:pPr>
      <w:r w:rsidRPr="00A56C57">
        <w:t>Beal, M.A. How Does Goal Setting Impact Intrinsic Motivation and Does it Help Lead to Enhanced Learning at the Kindergarten Level?</w:t>
      </w:r>
      <w:r>
        <w:t xml:space="preserve"> 2017.</w:t>
      </w:r>
      <w:r w:rsidRPr="00A56C57">
        <w:t xml:space="preserve"> Available online. https://digitalcommons.hamline.edu/cgi/viewcontent.cgi?article=5314&amp;context=hse_all</w:t>
      </w:r>
      <w:r w:rsidRPr="00E1241B">
        <w:rPr>
          <w:rStyle w:val="Hyperlink"/>
          <w:color w:val="auto"/>
          <w:u w:val="none"/>
        </w:rPr>
        <w:t xml:space="preserve"> (accessed on 28 July 2022).</w:t>
      </w:r>
    </w:p>
    <w:p w14:paraId="52469742" w14:textId="77777777" w:rsidR="008A4C39" w:rsidRPr="00A56C57" w:rsidRDefault="008A4C39">
      <w:pPr>
        <w:pStyle w:val="MDPI71References"/>
        <w:numPr>
          <w:ilvl w:val="0"/>
          <w:numId w:val="5"/>
        </w:numPr>
        <w:rPr>
          <w:rStyle w:val="Hyperlink"/>
          <w:color w:val="auto"/>
        </w:rPr>
      </w:pPr>
      <w:r w:rsidRPr="00A56C57">
        <w:t xml:space="preserve">Carver, C.S.; </w:t>
      </w:r>
      <w:proofErr w:type="spellStart"/>
      <w:r w:rsidRPr="00A56C57">
        <w:t>Scheier</w:t>
      </w:r>
      <w:proofErr w:type="spellEnd"/>
      <w:r w:rsidRPr="00A56C57">
        <w:t xml:space="preserve">, M.F. </w:t>
      </w:r>
      <w:proofErr w:type="gramStart"/>
      <w:r w:rsidRPr="00A56C57">
        <w:t>Origins</w:t>
      </w:r>
      <w:proofErr w:type="gramEnd"/>
      <w:r w:rsidRPr="00A56C57">
        <w:t xml:space="preserve"> and functions of positive and negative </w:t>
      </w:r>
      <w:r w:rsidRPr="00E1241B">
        <w:t>affect: A control</w:t>
      </w:r>
      <w:r w:rsidRPr="00A56C57">
        <w:t xml:space="preserve">-process view. </w:t>
      </w:r>
      <w:r w:rsidRPr="00A56C57">
        <w:rPr>
          <w:i/>
          <w:iCs/>
        </w:rPr>
        <w:t>Psychol. Rev.</w:t>
      </w:r>
      <w:r w:rsidRPr="00A56C57">
        <w:t xml:space="preserve"> </w:t>
      </w:r>
      <w:r>
        <w:rPr>
          <w:b/>
        </w:rPr>
        <w:t>1990</w:t>
      </w:r>
      <w:r>
        <w:t xml:space="preserve">, </w:t>
      </w:r>
      <w:r>
        <w:rPr>
          <w:i/>
        </w:rPr>
        <w:t>97</w:t>
      </w:r>
      <w:r>
        <w:t>, 19–35</w:t>
      </w:r>
      <w:r w:rsidRPr="00A56C57">
        <w:t>. https://doi.org/10.1037/0033-295X.97.1.19</w:t>
      </w:r>
      <w:r>
        <w:t>.</w:t>
      </w:r>
    </w:p>
    <w:p w14:paraId="79259E6F" w14:textId="77777777" w:rsidR="008A4C39" w:rsidRPr="00A56C57" w:rsidRDefault="008A4C39">
      <w:pPr>
        <w:pStyle w:val="MDPI71References"/>
        <w:numPr>
          <w:ilvl w:val="0"/>
          <w:numId w:val="5"/>
        </w:numPr>
      </w:pPr>
      <w:proofErr w:type="spellStart"/>
      <w:r w:rsidRPr="00A56C57">
        <w:t>Kruglanski</w:t>
      </w:r>
      <w:proofErr w:type="spellEnd"/>
      <w:r w:rsidRPr="00A56C57">
        <w:t xml:space="preserve">, A.W.; Shah, J.Y.; </w:t>
      </w:r>
      <w:proofErr w:type="spellStart"/>
      <w:r w:rsidRPr="00A56C57">
        <w:t>Fishbach</w:t>
      </w:r>
      <w:proofErr w:type="spellEnd"/>
      <w:r w:rsidRPr="00A56C57">
        <w:t xml:space="preserve">, A.; Friedman, R.; Chun, W.Y.; </w:t>
      </w:r>
      <w:proofErr w:type="spellStart"/>
      <w:r w:rsidRPr="00A56C57">
        <w:t>Sleeth</w:t>
      </w:r>
      <w:proofErr w:type="spellEnd"/>
      <w:r w:rsidRPr="00A56C57">
        <w:t xml:space="preserve">-Keppler, D. A theory of goal systems. </w:t>
      </w:r>
      <w:r w:rsidRPr="00A56C57">
        <w:rPr>
          <w:i/>
          <w:iCs/>
        </w:rPr>
        <w:t xml:space="preserve">Adv. Exp. Soc. Psychol. </w:t>
      </w:r>
      <w:r>
        <w:rPr>
          <w:b/>
        </w:rPr>
        <w:t>2002</w:t>
      </w:r>
      <w:r>
        <w:t xml:space="preserve">, </w:t>
      </w:r>
      <w:r>
        <w:rPr>
          <w:i/>
        </w:rPr>
        <w:t>34</w:t>
      </w:r>
      <w:r>
        <w:t>, 331–378</w:t>
      </w:r>
      <w:r w:rsidRPr="00A56C57">
        <w:t xml:space="preserve">. </w:t>
      </w:r>
      <w:proofErr w:type="gramStart"/>
      <w:r w:rsidRPr="00A56C57">
        <w:t>https:/doi.org/10.1016/S0065-2601(</w:t>
      </w:r>
      <w:proofErr w:type="gramEnd"/>
      <w:r w:rsidRPr="00A56C57">
        <w:t>02)80008-9</w:t>
      </w:r>
      <w:r>
        <w:t>.</w:t>
      </w:r>
    </w:p>
    <w:p w14:paraId="333BF1E6" w14:textId="77777777" w:rsidR="008A4C39" w:rsidRPr="00A56C57" w:rsidRDefault="008A4C39">
      <w:pPr>
        <w:pStyle w:val="MDPI71References"/>
        <w:numPr>
          <w:ilvl w:val="0"/>
          <w:numId w:val="5"/>
        </w:numPr>
        <w:rPr>
          <w:i/>
          <w:iCs/>
        </w:rPr>
      </w:pPr>
      <w:r w:rsidRPr="00A56C57">
        <w:t xml:space="preserve">Dickson, J.M.; Moberly, N.J. Goal internalization and outcome expectancy in adolescent anxiety. </w:t>
      </w:r>
      <w:r w:rsidRPr="00A56C57">
        <w:rPr>
          <w:i/>
          <w:iCs/>
        </w:rPr>
        <w:t xml:space="preserve">J. </w:t>
      </w:r>
      <w:proofErr w:type="spellStart"/>
      <w:r w:rsidRPr="00A56C57">
        <w:rPr>
          <w:i/>
          <w:iCs/>
        </w:rPr>
        <w:t>Abnorm</w:t>
      </w:r>
      <w:proofErr w:type="spellEnd"/>
      <w:r w:rsidRPr="00A56C57">
        <w:rPr>
          <w:i/>
          <w:iCs/>
        </w:rPr>
        <w:t xml:space="preserve">. Child Psychol. </w:t>
      </w:r>
      <w:r>
        <w:rPr>
          <w:b/>
        </w:rPr>
        <w:t>2013</w:t>
      </w:r>
      <w:r>
        <w:t xml:space="preserve">, </w:t>
      </w:r>
      <w:r>
        <w:rPr>
          <w:i/>
        </w:rPr>
        <w:t>41</w:t>
      </w:r>
      <w:r>
        <w:t>, 389–397</w:t>
      </w:r>
      <w:r w:rsidRPr="00A56C57">
        <w:rPr>
          <w:i/>
          <w:iCs/>
        </w:rPr>
        <w:t>.</w:t>
      </w:r>
    </w:p>
    <w:p w14:paraId="1DBBDBD9" w14:textId="77777777" w:rsidR="008A4C39" w:rsidRPr="00A56C57" w:rsidRDefault="008A4C39">
      <w:pPr>
        <w:pStyle w:val="MDPI71References"/>
        <w:numPr>
          <w:ilvl w:val="0"/>
          <w:numId w:val="5"/>
        </w:numPr>
      </w:pPr>
      <w:r w:rsidRPr="00A56C57">
        <w:t>Winch, A.; Moberly, N.J.; Dickson</w:t>
      </w:r>
      <w:r>
        <w:t>, J.M.</w:t>
      </w:r>
      <w:r w:rsidRPr="00A56C57">
        <w:t xml:space="preserve"> Unique associations between anxiety, depression and motives for approach and avoidance goal pursuit. </w:t>
      </w:r>
      <w:proofErr w:type="spellStart"/>
      <w:r w:rsidRPr="00A56C57">
        <w:rPr>
          <w:i/>
          <w:iCs/>
        </w:rPr>
        <w:t>Cogn</w:t>
      </w:r>
      <w:proofErr w:type="spellEnd"/>
      <w:r>
        <w:rPr>
          <w:i/>
          <w:iCs/>
        </w:rPr>
        <w:t>.</w:t>
      </w:r>
      <w:r w:rsidRPr="00A56C57">
        <w:rPr>
          <w:i/>
          <w:iCs/>
        </w:rPr>
        <w:t xml:space="preserve"> </w:t>
      </w:r>
      <w:proofErr w:type="spellStart"/>
      <w:r w:rsidRPr="00A56C57">
        <w:rPr>
          <w:i/>
          <w:iCs/>
        </w:rPr>
        <w:t>Emot</w:t>
      </w:r>
      <w:proofErr w:type="spellEnd"/>
      <w:r w:rsidRPr="00A56C57">
        <w:rPr>
          <w:i/>
          <w:iCs/>
        </w:rPr>
        <w:t>.</w:t>
      </w:r>
      <w:r w:rsidRPr="00A56C57">
        <w:t xml:space="preserve"> </w:t>
      </w:r>
      <w:r>
        <w:rPr>
          <w:b/>
        </w:rPr>
        <w:t>2015</w:t>
      </w:r>
      <w:r>
        <w:t xml:space="preserve">, </w:t>
      </w:r>
      <w:r>
        <w:rPr>
          <w:i/>
        </w:rPr>
        <w:t>29</w:t>
      </w:r>
      <w:r>
        <w:t>, 1295–1305</w:t>
      </w:r>
      <w:r w:rsidRPr="00A56C57">
        <w:t>. https://doi.org/10.1080/02699931.2014.976544</w:t>
      </w:r>
      <w:r>
        <w:t>.</w:t>
      </w:r>
    </w:p>
    <w:p w14:paraId="4AEDDEC3" w14:textId="77777777" w:rsidR="008A4C39" w:rsidRPr="00A56C57" w:rsidRDefault="008A4C39">
      <w:pPr>
        <w:pStyle w:val="MDPI71References"/>
        <w:numPr>
          <w:ilvl w:val="0"/>
          <w:numId w:val="5"/>
        </w:numPr>
      </w:pPr>
      <w:r w:rsidRPr="00A56C57">
        <w:t>Griffiths, M.</w:t>
      </w:r>
      <w:r>
        <w:t xml:space="preserve"> </w:t>
      </w:r>
      <w:r w:rsidRPr="00D64960">
        <w:t>New Year 2016 Resolutions: How to Keep Them.</w:t>
      </w:r>
      <w:r w:rsidRPr="00A56C57">
        <w:t xml:space="preserve"> 2016. Available online: https://www.independent.co.uk/life-style/new-year-2016-resolutions-how-to-keep-them-a6792876.html (accessed on 29 November 2022).</w:t>
      </w:r>
    </w:p>
    <w:p w14:paraId="2287AAE5" w14:textId="77777777" w:rsidR="008A4C39" w:rsidRPr="00A56C57" w:rsidRDefault="008A4C39">
      <w:pPr>
        <w:pStyle w:val="MDPI71References"/>
        <w:numPr>
          <w:ilvl w:val="0"/>
          <w:numId w:val="5"/>
        </w:numPr>
      </w:pPr>
      <w:r w:rsidRPr="00A56C57">
        <w:t xml:space="preserve">Dickson, J.M.; Moberly, N.J. Depression, anxiety, and reduced facilitation in adolescents’ personal goal systems. </w:t>
      </w:r>
      <w:r w:rsidRPr="00A56C57">
        <w:rPr>
          <w:i/>
          <w:iCs/>
        </w:rPr>
        <w:t xml:space="preserve">Cognit. </w:t>
      </w:r>
      <w:proofErr w:type="spellStart"/>
      <w:r w:rsidRPr="00A56C57">
        <w:rPr>
          <w:i/>
          <w:iCs/>
        </w:rPr>
        <w:t>Ther</w:t>
      </w:r>
      <w:proofErr w:type="spellEnd"/>
      <w:r w:rsidRPr="00A56C57">
        <w:rPr>
          <w:i/>
          <w:iCs/>
        </w:rPr>
        <w:t xml:space="preserve">. Res. </w:t>
      </w:r>
      <w:r>
        <w:rPr>
          <w:b/>
        </w:rPr>
        <w:t>2010</w:t>
      </w:r>
      <w:r>
        <w:t xml:space="preserve">, </w:t>
      </w:r>
      <w:r>
        <w:rPr>
          <w:i/>
        </w:rPr>
        <w:t>34</w:t>
      </w:r>
      <w:r>
        <w:t>, 576–581</w:t>
      </w:r>
      <w:r w:rsidRPr="00A56C57">
        <w:t>.</w:t>
      </w:r>
    </w:p>
    <w:p w14:paraId="49B3D4AE" w14:textId="77777777" w:rsidR="008A4C39" w:rsidRPr="00A56C57" w:rsidRDefault="008A4C39">
      <w:pPr>
        <w:pStyle w:val="MDPI71References"/>
        <w:numPr>
          <w:ilvl w:val="0"/>
          <w:numId w:val="5"/>
        </w:numPr>
      </w:pPr>
      <w:r w:rsidRPr="00A56C57">
        <w:t xml:space="preserve">Sheldon, K.M.; </w:t>
      </w:r>
      <w:proofErr w:type="spellStart"/>
      <w:r w:rsidRPr="00A56C57">
        <w:t>Kasser</w:t>
      </w:r>
      <w:proofErr w:type="spellEnd"/>
      <w:r w:rsidRPr="00A56C57">
        <w:t xml:space="preserve">, T. Pursuing personal goals: Skills enable progress but not all progress is beneficial. </w:t>
      </w:r>
      <w:r w:rsidRPr="00A56C57">
        <w:rPr>
          <w:i/>
          <w:iCs/>
        </w:rPr>
        <w:t>Pers. Soc. Psychol. Bull.</w:t>
      </w:r>
      <w:r w:rsidRPr="00A56C57">
        <w:t xml:space="preserve"> </w:t>
      </w:r>
      <w:r>
        <w:rPr>
          <w:b/>
        </w:rPr>
        <w:t>1998</w:t>
      </w:r>
      <w:r>
        <w:t xml:space="preserve">, </w:t>
      </w:r>
      <w:r>
        <w:rPr>
          <w:i/>
        </w:rPr>
        <w:t>24</w:t>
      </w:r>
      <w:r>
        <w:t>, 1319–1331</w:t>
      </w:r>
      <w:r w:rsidRPr="00A56C57">
        <w:t xml:space="preserve">. </w:t>
      </w:r>
      <w:r w:rsidRPr="00A56C57">
        <w:rPr>
          <w:rFonts w:cs="Arial"/>
          <w:szCs w:val="21"/>
          <w:shd w:val="clear" w:color="auto" w:fill="FFFFFF"/>
        </w:rPr>
        <w:t>https://doi.org/10.1177/01461672982412006</w:t>
      </w:r>
      <w:r>
        <w:rPr>
          <w:rFonts w:cs="Arial"/>
          <w:szCs w:val="21"/>
          <w:shd w:val="clear" w:color="auto" w:fill="FFFFFF"/>
        </w:rPr>
        <w:t>.</w:t>
      </w:r>
    </w:p>
    <w:p w14:paraId="12F2E79D" w14:textId="77777777" w:rsidR="008A4C39" w:rsidRPr="00E1241B" w:rsidRDefault="008A4C39">
      <w:pPr>
        <w:pStyle w:val="MDPI71References"/>
        <w:numPr>
          <w:ilvl w:val="0"/>
          <w:numId w:val="5"/>
        </w:numPr>
        <w:rPr>
          <w:spacing w:val="-4"/>
        </w:rPr>
      </w:pPr>
      <w:r w:rsidRPr="00E1241B">
        <w:rPr>
          <w:spacing w:val="-4"/>
        </w:rPr>
        <w:t xml:space="preserve">Sheldon, K.M.; </w:t>
      </w:r>
      <w:proofErr w:type="spellStart"/>
      <w:r w:rsidRPr="00E1241B">
        <w:rPr>
          <w:spacing w:val="-4"/>
        </w:rPr>
        <w:t>Kasser</w:t>
      </w:r>
      <w:proofErr w:type="spellEnd"/>
      <w:r w:rsidRPr="00E1241B">
        <w:rPr>
          <w:spacing w:val="-4"/>
        </w:rPr>
        <w:t xml:space="preserve">, T. </w:t>
      </w:r>
      <w:proofErr w:type="gramStart"/>
      <w:r w:rsidRPr="00E1241B">
        <w:rPr>
          <w:spacing w:val="-4"/>
        </w:rPr>
        <w:t>Coherence</w:t>
      </w:r>
      <w:proofErr w:type="gramEnd"/>
      <w:r w:rsidRPr="00E1241B">
        <w:rPr>
          <w:spacing w:val="-4"/>
        </w:rPr>
        <w:t xml:space="preserve"> and congruence: Two aspects of personality integration. </w:t>
      </w:r>
      <w:r w:rsidRPr="00E1241B">
        <w:rPr>
          <w:i/>
          <w:iCs/>
          <w:spacing w:val="-4"/>
        </w:rPr>
        <w:t>J. Pers. Soc. Psychol.</w:t>
      </w:r>
      <w:r w:rsidRPr="00E1241B">
        <w:rPr>
          <w:spacing w:val="-4"/>
        </w:rPr>
        <w:t xml:space="preserve"> </w:t>
      </w:r>
      <w:r w:rsidRPr="00E1241B">
        <w:rPr>
          <w:b/>
          <w:spacing w:val="-4"/>
        </w:rPr>
        <w:t>1995</w:t>
      </w:r>
      <w:r w:rsidRPr="00E1241B">
        <w:rPr>
          <w:spacing w:val="-4"/>
        </w:rPr>
        <w:t xml:space="preserve">, </w:t>
      </w:r>
      <w:r w:rsidRPr="00E1241B">
        <w:rPr>
          <w:i/>
          <w:spacing w:val="-4"/>
        </w:rPr>
        <w:t>68</w:t>
      </w:r>
      <w:r w:rsidRPr="00E1241B">
        <w:rPr>
          <w:spacing w:val="-4"/>
        </w:rPr>
        <w:t xml:space="preserve">, 531–543. </w:t>
      </w:r>
      <w:r w:rsidRPr="00E1241B">
        <w:rPr>
          <w:rFonts w:cs="Arial"/>
          <w:spacing w:val="-4"/>
          <w:szCs w:val="21"/>
          <w:shd w:val="clear" w:color="auto" w:fill="FFFFFF"/>
        </w:rPr>
        <w:t>https://doi.org/10.1037/0022-3514.68.3.531.</w:t>
      </w:r>
    </w:p>
    <w:p w14:paraId="0BAC21B1" w14:textId="77777777" w:rsidR="008A4C39" w:rsidRPr="00A56C57" w:rsidRDefault="008A4C39">
      <w:pPr>
        <w:pStyle w:val="MDPI71References"/>
        <w:numPr>
          <w:ilvl w:val="0"/>
          <w:numId w:val="5"/>
        </w:numPr>
      </w:pPr>
      <w:r w:rsidRPr="00A56C57">
        <w:t xml:space="preserve">Tennant, R.; Hiller, L.; Fishwick, R.; Platt, S.; Joseph, S.; </w:t>
      </w:r>
      <w:proofErr w:type="spellStart"/>
      <w:r w:rsidRPr="00A56C57">
        <w:t>Weich</w:t>
      </w:r>
      <w:proofErr w:type="spellEnd"/>
      <w:r w:rsidRPr="00A56C57">
        <w:t xml:space="preserve">, S.; </w:t>
      </w:r>
      <w:r w:rsidRPr="00E1241B">
        <w:t>Parkinson, J.; Secker, J.; Stewart-Brown, S. The Warwick-Edinburgh mental well-being scale (WEMWBS): Development and</w:t>
      </w:r>
      <w:r w:rsidRPr="00A56C57">
        <w:t xml:space="preserve"> UK validation. </w:t>
      </w:r>
      <w:r w:rsidRPr="00A56C57">
        <w:rPr>
          <w:i/>
          <w:iCs/>
        </w:rPr>
        <w:t>Health Qual. Life Outcomes</w:t>
      </w:r>
      <w:r w:rsidRPr="00A56C57">
        <w:t xml:space="preserve"> </w:t>
      </w:r>
      <w:r>
        <w:rPr>
          <w:b/>
        </w:rPr>
        <w:t>2007</w:t>
      </w:r>
      <w:r>
        <w:t xml:space="preserve">, </w:t>
      </w:r>
      <w:r>
        <w:rPr>
          <w:i/>
        </w:rPr>
        <w:t>5</w:t>
      </w:r>
      <w:r>
        <w:t>, 63</w:t>
      </w:r>
      <w:r w:rsidRPr="00A56C57">
        <w:t>. https://doi.org/10.1186/1477-7525-5-63</w:t>
      </w:r>
      <w:r>
        <w:t>.</w:t>
      </w:r>
    </w:p>
    <w:p w14:paraId="65954ADB" w14:textId="77777777" w:rsidR="008A4C39" w:rsidRPr="00A56C57" w:rsidRDefault="008A4C39">
      <w:pPr>
        <w:pStyle w:val="MDPI71References"/>
        <w:numPr>
          <w:ilvl w:val="0"/>
          <w:numId w:val="5"/>
        </w:numPr>
      </w:pPr>
      <w:r w:rsidRPr="00A56C57">
        <w:t>Hamm, J.M.; Tan, J.X.Y.; Barlow, M.A.; Delaney</w:t>
      </w:r>
      <w:r>
        <w:t>,</w:t>
      </w:r>
      <w:r w:rsidRPr="00A56C57">
        <w:t xml:space="preserve"> R.L.; Duggan, K.A. Goal adjustment capacities in uncontrollable life circumstances: Benefits for psychological well-being during COVID-19. </w:t>
      </w:r>
      <w:proofErr w:type="spellStart"/>
      <w:r w:rsidRPr="00A56C57">
        <w:rPr>
          <w:i/>
          <w:iCs/>
        </w:rPr>
        <w:t>Motiv</w:t>
      </w:r>
      <w:proofErr w:type="spellEnd"/>
      <w:r w:rsidRPr="00A56C57">
        <w:rPr>
          <w:i/>
          <w:iCs/>
        </w:rPr>
        <w:t xml:space="preserve">. </w:t>
      </w:r>
      <w:proofErr w:type="spellStart"/>
      <w:r w:rsidRPr="00A56C57">
        <w:rPr>
          <w:i/>
          <w:iCs/>
        </w:rPr>
        <w:t>Emot</w:t>
      </w:r>
      <w:proofErr w:type="spellEnd"/>
      <w:r w:rsidRPr="00A56C57">
        <w:rPr>
          <w:i/>
          <w:iCs/>
        </w:rPr>
        <w:t xml:space="preserve">. </w:t>
      </w:r>
      <w:r>
        <w:rPr>
          <w:b/>
        </w:rPr>
        <w:t>2022</w:t>
      </w:r>
      <w:r>
        <w:t xml:space="preserve">, </w:t>
      </w:r>
      <w:r>
        <w:rPr>
          <w:i/>
        </w:rPr>
        <w:t>46</w:t>
      </w:r>
      <w:r>
        <w:t>, 319–335</w:t>
      </w:r>
      <w:r w:rsidRPr="00A56C57">
        <w:t>.</w:t>
      </w:r>
    </w:p>
    <w:p w14:paraId="2B659F4F" w14:textId="77777777" w:rsidR="008A4C39" w:rsidRPr="00A56C57" w:rsidRDefault="008A4C39">
      <w:pPr>
        <w:pStyle w:val="MDPI71References"/>
        <w:numPr>
          <w:ilvl w:val="0"/>
          <w:numId w:val="5"/>
        </w:numPr>
      </w:pPr>
      <w:proofErr w:type="spellStart"/>
      <w:r w:rsidRPr="00A56C57">
        <w:t>Kashdan</w:t>
      </w:r>
      <w:proofErr w:type="spellEnd"/>
      <w:r w:rsidRPr="00A56C57">
        <w:t xml:space="preserve">, T.B.; </w:t>
      </w:r>
      <w:proofErr w:type="spellStart"/>
      <w:r w:rsidRPr="00A56C57">
        <w:t>Rottenberg</w:t>
      </w:r>
      <w:proofErr w:type="spellEnd"/>
      <w:r w:rsidRPr="00A56C57">
        <w:t xml:space="preserve">, J. Psychological flexibility as a fundamental aspect of health. </w:t>
      </w:r>
      <w:r w:rsidRPr="00A56C57">
        <w:rPr>
          <w:i/>
          <w:iCs/>
        </w:rPr>
        <w:t xml:space="preserve">Clin. Psychol. Rev. </w:t>
      </w:r>
      <w:r>
        <w:rPr>
          <w:b/>
        </w:rPr>
        <w:t>2010</w:t>
      </w:r>
      <w:r>
        <w:t xml:space="preserve">, </w:t>
      </w:r>
      <w:r>
        <w:rPr>
          <w:i/>
        </w:rPr>
        <w:t>30</w:t>
      </w:r>
      <w:r>
        <w:t>, 865–878</w:t>
      </w:r>
      <w:r w:rsidRPr="00A56C57">
        <w:t>. https://doi.org/10.1016/j.cpr.2010.03.001</w:t>
      </w:r>
      <w:r>
        <w:t>.</w:t>
      </w:r>
    </w:p>
    <w:p w14:paraId="749D54D1" w14:textId="5D13D8C6" w:rsidR="008A4C39" w:rsidRPr="00A56C57" w:rsidRDefault="008A4C39">
      <w:pPr>
        <w:pStyle w:val="MDPI71References"/>
        <w:numPr>
          <w:ilvl w:val="0"/>
          <w:numId w:val="5"/>
        </w:numPr>
        <w:rPr>
          <w:shd w:val="clear" w:color="auto" w:fill="FFFFFF"/>
        </w:rPr>
      </w:pPr>
      <w:r w:rsidRPr="00A56C57">
        <w:rPr>
          <w:shd w:val="clear" w:color="auto" w:fill="FFFFFF"/>
        </w:rPr>
        <w:t xml:space="preserve">Ryan, R.M.; Deci, E.L. (Eds.). </w:t>
      </w:r>
      <w:r w:rsidRPr="008765C3">
        <w:rPr>
          <w:i/>
          <w:iCs/>
          <w:shd w:val="clear" w:color="auto" w:fill="FFFFFF"/>
        </w:rPr>
        <w:t>Self-Determination theory: Basic Psychological Seeds in Motivation, Development, and Wellness</w:t>
      </w:r>
      <w:r>
        <w:rPr>
          <w:shd w:val="clear" w:color="auto" w:fill="FFFFFF"/>
        </w:rPr>
        <w:t xml:space="preserve">; </w:t>
      </w:r>
      <w:r w:rsidRPr="00A56C57">
        <w:rPr>
          <w:shd w:val="clear" w:color="auto" w:fill="FFFFFF"/>
        </w:rPr>
        <w:t>Guilford Publications</w:t>
      </w:r>
      <w:r>
        <w:rPr>
          <w:shd w:val="clear" w:color="auto" w:fill="FFFFFF"/>
        </w:rPr>
        <w:t>:</w:t>
      </w:r>
      <w:r w:rsidRPr="00A56C57">
        <w:rPr>
          <w:shd w:val="clear" w:color="auto" w:fill="FFFFFF"/>
        </w:rPr>
        <w:t xml:space="preserve"> New York</w:t>
      </w:r>
      <w:r w:rsidR="00712A4B">
        <w:rPr>
          <w:shd w:val="clear" w:color="auto" w:fill="FFFFFF"/>
        </w:rPr>
        <w:t>.</w:t>
      </w:r>
      <w:r>
        <w:rPr>
          <w:shd w:val="clear" w:color="auto" w:fill="FFFFFF"/>
        </w:rPr>
        <w:t xml:space="preserve"> 2017.</w:t>
      </w:r>
    </w:p>
    <w:p w14:paraId="52CBBBD4" w14:textId="77777777" w:rsidR="008A4C39" w:rsidRPr="00A56C57" w:rsidRDefault="008A4C39">
      <w:pPr>
        <w:pStyle w:val="MDPI71References"/>
        <w:numPr>
          <w:ilvl w:val="0"/>
          <w:numId w:val="5"/>
        </w:numPr>
      </w:pPr>
      <w:proofErr w:type="spellStart"/>
      <w:r w:rsidRPr="00A56C57">
        <w:t>Wrosch</w:t>
      </w:r>
      <w:proofErr w:type="spellEnd"/>
      <w:r w:rsidRPr="00A56C57">
        <w:t xml:space="preserve">, C.; </w:t>
      </w:r>
      <w:proofErr w:type="spellStart"/>
      <w:r w:rsidRPr="00A56C57">
        <w:t>Scheier</w:t>
      </w:r>
      <w:proofErr w:type="spellEnd"/>
      <w:r w:rsidRPr="00A56C57">
        <w:t xml:space="preserve">, M.F.; Miller, G.E. Goal adjustment capacities, subjective well-being, and physical health. </w:t>
      </w:r>
      <w:r w:rsidRPr="00A56C57">
        <w:rPr>
          <w:i/>
          <w:iCs/>
        </w:rPr>
        <w:t>Soc. Personal</w:t>
      </w:r>
      <w:r>
        <w:rPr>
          <w:i/>
          <w:iCs/>
        </w:rPr>
        <w:t>.</w:t>
      </w:r>
      <w:r w:rsidRPr="00A56C57">
        <w:rPr>
          <w:i/>
          <w:iCs/>
        </w:rPr>
        <w:t xml:space="preserve"> Psychol. Compass</w:t>
      </w:r>
      <w:r w:rsidRPr="00A56C57">
        <w:t xml:space="preserve"> </w:t>
      </w:r>
      <w:r>
        <w:rPr>
          <w:b/>
        </w:rPr>
        <w:t>2013</w:t>
      </w:r>
      <w:r>
        <w:t xml:space="preserve">, </w:t>
      </w:r>
      <w:r>
        <w:rPr>
          <w:i/>
        </w:rPr>
        <w:t>7</w:t>
      </w:r>
      <w:r>
        <w:t>, 847–860. https://doi.org/</w:t>
      </w:r>
      <w:r w:rsidRPr="00A56C57">
        <w:t>10/1111/spc3.12074</w:t>
      </w:r>
      <w:r>
        <w:t>.</w:t>
      </w:r>
    </w:p>
    <w:p w14:paraId="6CF18F0D" w14:textId="77777777" w:rsidR="008A4C39" w:rsidRPr="00A56C57" w:rsidRDefault="008A4C39">
      <w:pPr>
        <w:pStyle w:val="MDPI71References"/>
        <w:numPr>
          <w:ilvl w:val="0"/>
          <w:numId w:val="5"/>
        </w:numPr>
      </w:pPr>
      <w:r w:rsidRPr="00A56C57">
        <w:t xml:space="preserve">Brunstein, J.C. Personal goals and subjective well-being: A longitudinal study. </w:t>
      </w:r>
      <w:r w:rsidRPr="00A56C57">
        <w:rPr>
          <w:i/>
          <w:iCs/>
        </w:rPr>
        <w:t xml:space="preserve">J. Pers. Soc. Psychol. </w:t>
      </w:r>
      <w:r>
        <w:rPr>
          <w:b/>
        </w:rPr>
        <w:t>1993</w:t>
      </w:r>
      <w:r>
        <w:t xml:space="preserve">, </w:t>
      </w:r>
      <w:r>
        <w:rPr>
          <w:i/>
        </w:rPr>
        <w:t>65</w:t>
      </w:r>
      <w:r>
        <w:t>, 1061–1070</w:t>
      </w:r>
      <w:r w:rsidRPr="00A56C57">
        <w:t>. https://doi.org/10.1037/0022-3514.65.5.1061</w:t>
      </w:r>
      <w:r>
        <w:t>.</w:t>
      </w:r>
    </w:p>
    <w:p w14:paraId="0A09DA2A" w14:textId="77777777" w:rsidR="008A4C39" w:rsidRPr="00A56C57" w:rsidRDefault="008A4C39">
      <w:pPr>
        <w:pStyle w:val="MDPI71References"/>
        <w:numPr>
          <w:ilvl w:val="0"/>
          <w:numId w:val="5"/>
        </w:numPr>
      </w:pPr>
      <w:r w:rsidRPr="00A56C57">
        <w:t>Stobart, A.; Duckett, S. Australia</w:t>
      </w:r>
      <w:r>
        <w:t>’</w:t>
      </w:r>
      <w:r w:rsidRPr="00A56C57">
        <w:t xml:space="preserve">s Response to COVID-19. </w:t>
      </w:r>
      <w:r w:rsidRPr="00A56C57">
        <w:rPr>
          <w:i/>
          <w:iCs/>
        </w:rPr>
        <w:t xml:space="preserve">Health Econ. Policy Law </w:t>
      </w:r>
      <w:r>
        <w:rPr>
          <w:b/>
        </w:rPr>
        <w:t>2022</w:t>
      </w:r>
      <w:r>
        <w:t xml:space="preserve">, </w:t>
      </w:r>
      <w:r>
        <w:rPr>
          <w:i/>
        </w:rPr>
        <w:t>17</w:t>
      </w:r>
      <w:r>
        <w:t>, 95–106</w:t>
      </w:r>
      <w:r w:rsidRPr="00A56C57">
        <w:t>. https://doi.org/10.1017/S1744133121000244</w:t>
      </w:r>
      <w:r>
        <w:t>.</w:t>
      </w:r>
    </w:p>
    <w:p w14:paraId="37033B39" w14:textId="77777777" w:rsidR="008A4C39" w:rsidRDefault="008A4C39">
      <w:pPr>
        <w:pStyle w:val="MDPI71References"/>
        <w:numPr>
          <w:ilvl w:val="0"/>
          <w:numId w:val="5"/>
        </w:numPr>
      </w:pPr>
      <w:proofErr w:type="spellStart"/>
      <w:r w:rsidRPr="00A56C57">
        <w:t>Ruegsegger</w:t>
      </w:r>
      <w:proofErr w:type="spellEnd"/>
      <w:r w:rsidRPr="00A56C57">
        <w:t>, G.N.; Booth</w:t>
      </w:r>
      <w:r>
        <w:t>, F.W.</w:t>
      </w:r>
      <w:r w:rsidRPr="00A56C57">
        <w:t xml:space="preserve"> Health benefits of exercise. </w:t>
      </w:r>
      <w:r w:rsidRPr="00A56C57">
        <w:rPr>
          <w:i/>
          <w:iCs/>
        </w:rPr>
        <w:t xml:space="preserve">Cold Spring </w:t>
      </w:r>
      <w:proofErr w:type="spellStart"/>
      <w:r w:rsidRPr="00A56C57">
        <w:rPr>
          <w:i/>
          <w:iCs/>
        </w:rPr>
        <w:t>Harb</w:t>
      </w:r>
      <w:proofErr w:type="spellEnd"/>
      <w:r w:rsidRPr="00A56C57">
        <w:rPr>
          <w:i/>
          <w:iCs/>
        </w:rPr>
        <w:t xml:space="preserve">. </w:t>
      </w:r>
      <w:proofErr w:type="spellStart"/>
      <w:r w:rsidRPr="00A56C57">
        <w:rPr>
          <w:i/>
          <w:iCs/>
        </w:rPr>
        <w:t>Perspect</w:t>
      </w:r>
      <w:proofErr w:type="spellEnd"/>
      <w:r w:rsidRPr="00A56C57">
        <w:rPr>
          <w:i/>
          <w:iCs/>
        </w:rPr>
        <w:t>. Med.</w:t>
      </w:r>
      <w:r w:rsidRPr="00A56C57">
        <w:t xml:space="preserve"> </w:t>
      </w:r>
      <w:r>
        <w:rPr>
          <w:b/>
        </w:rPr>
        <w:t>2018</w:t>
      </w:r>
      <w:r>
        <w:t xml:space="preserve">, </w:t>
      </w:r>
      <w:r>
        <w:rPr>
          <w:i/>
        </w:rPr>
        <w:t>8</w:t>
      </w:r>
      <w:r>
        <w:t>, 299–311</w:t>
      </w:r>
      <w:r w:rsidRPr="00A56C57">
        <w:t xml:space="preserve">. </w:t>
      </w:r>
      <w:r w:rsidRPr="00FB106E">
        <w:t>https://doi.org/10.1101/cshperspect.a029694</w:t>
      </w:r>
      <w:r>
        <w:t>.</w:t>
      </w:r>
    </w:p>
    <w:p w14:paraId="28E96A45" w14:textId="6ACD7416" w:rsidR="007E0565" w:rsidRPr="008A4C39" w:rsidRDefault="008A4C39" w:rsidP="008A4C39">
      <w:pPr>
        <w:pStyle w:val="MDPI63Notes"/>
        <w:spacing w:before="240" w:after="0"/>
        <w:rPr>
          <w:sz w:val="18"/>
          <w:szCs w:val="18"/>
        </w:rPr>
      </w:pPr>
      <w:r w:rsidRPr="008A4C39">
        <w:rPr>
          <w:b/>
          <w:sz w:val="18"/>
          <w:szCs w:val="18"/>
        </w:rPr>
        <w:t>Disclaimer/Publisher’s Note:</w:t>
      </w:r>
      <w:r w:rsidRPr="008A4C39">
        <w:rPr>
          <w:sz w:val="18"/>
          <w:szCs w:val="18"/>
        </w:rPr>
        <w:t xml:space="preserve"> The statements, opinions and data contained in all publications are solely those of the individual author(s) and contributor(s) and not of MDPI and/or the editor(s). MDPI and/or the editor(s) disclaim responsibility for any injury to people or property resulting from any ideas, methods, </w:t>
      </w:r>
      <w:proofErr w:type="gramStart"/>
      <w:r w:rsidRPr="008A4C39">
        <w:rPr>
          <w:sz w:val="18"/>
          <w:szCs w:val="18"/>
        </w:rPr>
        <w:t>instructions</w:t>
      </w:r>
      <w:proofErr w:type="gramEnd"/>
      <w:r w:rsidRPr="008A4C39">
        <w:rPr>
          <w:sz w:val="18"/>
          <w:szCs w:val="18"/>
        </w:rPr>
        <w:t xml:space="preserve"> or products referred to in the content.</w:t>
      </w:r>
    </w:p>
    <w:sectPr w:rsidR="007E0565" w:rsidRPr="008A4C39" w:rsidSect="00B23D5B">
      <w:pgSz w:w="11906" w:h="16838" w:code="9"/>
      <w:pgMar w:top="1417" w:right="720" w:bottom="1077" w:left="720" w:header="1020" w:footer="340" w:gutter="0"/>
      <w:cols w:space="425"/>
      <w:bidi/>
      <w:docGrid w:type="lines"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MDPI" w:date="2022-12-31T09:36:00Z" w:initials="M">
    <w:p w14:paraId="446C4D79" w14:textId="5FCD969E" w:rsidR="00101375" w:rsidRDefault="00101375">
      <w:pPr>
        <w:pStyle w:val="CommentText"/>
      </w:pPr>
      <w:r>
        <w:rPr>
          <w:rStyle w:val="CommentReference"/>
        </w:rPr>
        <w:annotationRef/>
      </w:r>
      <w:r>
        <w:t>Added 0 for all tables. Please confirm</w:t>
      </w:r>
    </w:p>
  </w:comment>
  <w:comment w:id="3" w:author="Joanne DICKSON" w:date="2023-01-02T15:51:00Z" w:initials="JD">
    <w:p w14:paraId="3FB85237" w14:textId="77777777" w:rsidR="00205714" w:rsidRDefault="00205714" w:rsidP="00BD795E">
      <w:pPr>
        <w:pStyle w:val="CommentText"/>
        <w:jc w:val="left"/>
      </w:pPr>
      <w:r>
        <w:rPr>
          <w:rStyle w:val="CommentReference"/>
        </w:rPr>
        <w:annotationRef/>
      </w:r>
      <w:r>
        <w:t>Although not necessary - adding the 0 for all tables is fine (confirm). Is it possible to line up all the 0's in each column for presentation purposes?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6C4D79" w15:done="0"/>
  <w15:commentEx w15:paraId="3FB85237" w15:paraIdParent="446C4D7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A810C" w16cex:dateUtc="2022-12-31T01:36:00Z"/>
  <w16cex:commentExtensible w16cex:durableId="275D7BF4" w16cex:dateUtc="2023-01-02T07: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6C4D79" w16cid:durableId="275A810C"/>
  <w16cid:commentId w16cid:paraId="3FB85237" w16cid:durableId="275D7BF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E0B59" w14:textId="77777777" w:rsidR="00252A64" w:rsidRDefault="00252A64">
      <w:pPr>
        <w:spacing w:line="240" w:lineRule="auto"/>
      </w:pPr>
      <w:r>
        <w:separator/>
      </w:r>
    </w:p>
  </w:endnote>
  <w:endnote w:type="continuationSeparator" w:id="0">
    <w:p w14:paraId="36A566FD" w14:textId="77777777" w:rsidR="00252A64" w:rsidRDefault="00252A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44971" w14:textId="77777777" w:rsidR="004A1A60" w:rsidRDefault="004A1A60" w:rsidP="004A1A60">
    <w:pPr>
      <w:pStyle w:val="MDPIfooterfirstpage"/>
      <w:pBdr>
        <w:top w:val="single" w:sz="4" w:space="0" w:color="000000"/>
      </w:pBdr>
      <w:adjustRightInd w:val="0"/>
      <w:snapToGrid w:val="0"/>
      <w:spacing w:before="480" w:line="100" w:lineRule="exact"/>
      <w:rPr>
        <w:i/>
        <w:szCs w:val="16"/>
      </w:rPr>
    </w:pPr>
  </w:p>
  <w:p w14:paraId="68922E58" w14:textId="77777777" w:rsidR="004A1A60" w:rsidRPr="008B308E" w:rsidRDefault="004A1A60" w:rsidP="004A1A60">
    <w:pPr>
      <w:pStyle w:val="MDPIfooterfirstpage"/>
      <w:tabs>
        <w:tab w:val="clear" w:pos="8845"/>
        <w:tab w:val="right" w:pos="10466"/>
      </w:tabs>
      <w:spacing w:line="240" w:lineRule="auto"/>
      <w:jc w:val="both"/>
      <w:rPr>
        <w:lang w:val="fr-CH"/>
      </w:rPr>
    </w:pPr>
    <w:r w:rsidRPr="009231ED">
      <w:rPr>
        <w:i/>
        <w:szCs w:val="16"/>
      </w:rPr>
      <w:t>Int. J. Environ. Res. Public Health</w:t>
    </w:r>
    <w:r w:rsidRPr="009231ED">
      <w:rPr>
        <w:szCs w:val="16"/>
      </w:rPr>
      <w:t xml:space="preserve"> </w:t>
    </w:r>
    <w:r>
      <w:rPr>
        <w:b/>
        <w:szCs w:val="16"/>
      </w:rPr>
      <w:t>2023</w:t>
    </w:r>
    <w:r w:rsidRPr="00AE348C">
      <w:rPr>
        <w:szCs w:val="16"/>
      </w:rPr>
      <w:t>,</w:t>
    </w:r>
    <w:r>
      <w:rPr>
        <w:i/>
        <w:szCs w:val="16"/>
      </w:rPr>
      <w:t xml:space="preserve"> 20</w:t>
    </w:r>
    <w:r w:rsidRPr="00AE348C">
      <w:rPr>
        <w:szCs w:val="16"/>
      </w:rPr>
      <w:t xml:space="preserve">, </w:t>
    </w:r>
    <w:r>
      <w:rPr>
        <w:szCs w:val="16"/>
      </w:rPr>
      <w:t>x. https://doi.org/10.3390/xxxxx</w:t>
    </w:r>
    <w:r w:rsidRPr="008B308E">
      <w:rPr>
        <w:lang w:val="fr-CH"/>
      </w:rPr>
      <w:tab/>
      <w:t>www.mdpi.com/journal/</w:t>
    </w:r>
    <w:proofErr w:type="spellStart"/>
    <w:r>
      <w:t>ijerph</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8FE32" w14:textId="77777777" w:rsidR="00E90986" w:rsidRPr="00590BF9" w:rsidRDefault="00E90986" w:rsidP="00E90986">
    <w:pPr>
      <w:pStyle w:val="Footer"/>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C7C12" w14:textId="77777777" w:rsidR="00953C94" w:rsidRDefault="00953C94" w:rsidP="00F32F04">
    <w:pPr>
      <w:pStyle w:val="MDPIfooterfirstpage"/>
      <w:pBdr>
        <w:top w:val="single" w:sz="4" w:space="0" w:color="000000"/>
      </w:pBdr>
      <w:adjustRightInd w:val="0"/>
      <w:snapToGrid w:val="0"/>
      <w:spacing w:before="480" w:line="100" w:lineRule="exact"/>
      <w:rPr>
        <w:i/>
        <w:szCs w:val="16"/>
      </w:rPr>
    </w:pPr>
  </w:p>
  <w:p w14:paraId="11A08DBE" w14:textId="77777777" w:rsidR="00E90986" w:rsidRPr="008B308E" w:rsidRDefault="00E90986" w:rsidP="00B200C8">
    <w:pPr>
      <w:pStyle w:val="MDPIfooterfirstpage"/>
      <w:tabs>
        <w:tab w:val="clear" w:pos="8845"/>
        <w:tab w:val="right" w:pos="10466"/>
      </w:tabs>
      <w:spacing w:line="240" w:lineRule="auto"/>
      <w:jc w:val="both"/>
      <w:rPr>
        <w:lang w:val="fr-CH"/>
      </w:rPr>
    </w:pPr>
    <w:r w:rsidRPr="009231ED">
      <w:rPr>
        <w:i/>
        <w:szCs w:val="16"/>
      </w:rPr>
      <w:t>Int. J. Environ. Res. Public Health</w:t>
    </w:r>
    <w:r w:rsidRPr="009231ED">
      <w:rPr>
        <w:szCs w:val="16"/>
      </w:rPr>
      <w:t xml:space="preserve"> </w:t>
    </w:r>
    <w:r w:rsidR="00072F70" w:rsidRPr="00072F70">
      <w:rPr>
        <w:b/>
        <w:szCs w:val="16"/>
      </w:rPr>
      <w:t>2021</w:t>
    </w:r>
    <w:r w:rsidR="00AE348C" w:rsidRPr="00AE348C">
      <w:rPr>
        <w:szCs w:val="16"/>
      </w:rPr>
      <w:t xml:space="preserve">, </w:t>
    </w:r>
    <w:r w:rsidR="00072F70" w:rsidRPr="00072F70">
      <w:rPr>
        <w:i/>
        <w:szCs w:val="16"/>
      </w:rPr>
      <w:t>18</w:t>
    </w:r>
    <w:r w:rsidR="00AE348C" w:rsidRPr="00AE348C">
      <w:rPr>
        <w:szCs w:val="16"/>
      </w:rPr>
      <w:t xml:space="preserve">, </w:t>
    </w:r>
    <w:r w:rsidR="001F0C32">
      <w:rPr>
        <w:szCs w:val="16"/>
      </w:rPr>
      <w:t>x</w:t>
    </w:r>
    <w:r w:rsidR="00953C94">
      <w:rPr>
        <w:szCs w:val="16"/>
      </w:rPr>
      <w:t>. https://doi.org/10.3390/xxxxx</w:t>
    </w:r>
    <w:r w:rsidR="00B200C8" w:rsidRPr="008B308E">
      <w:rPr>
        <w:lang w:val="fr-CH"/>
      </w:rPr>
      <w:tab/>
    </w:r>
    <w:r w:rsidRPr="008B308E">
      <w:rPr>
        <w:lang w:val="fr-CH"/>
      </w:rPr>
      <w:t>www.mdpi.com/journal/</w:t>
    </w:r>
    <w:proofErr w:type="spellStart"/>
    <w:r>
      <w:t>ijerph</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F84EC" w14:textId="77777777" w:rsidR="00252A64" w:rsidRDefault="00252A64">
      <w:pPr>
        <w:spacing w:line="240" w:lineRule="auto"/>
      </w:pPr>
      <w:r>
        <w:separator/>
      </w:r>
    </w:p>
  </w:footnote>
  <w:footnote w:type="continuationSeparator" w:id="0">
    <w:p w14:paraId="7DD74C73" w14:textId="77777777" w:rsidR="00252A64" w:rsidRDefault="00252A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5577C" w14:textId="3A5ABBB8" w:rsidR="004A1A60" w:rsidRDefault="004A1A60" w:rsidP="004A1A60">
    <w:pPr>
      <w:tabs>
        <w:tab w:val="right" w:pos="10466"/>
      </w:tabs>
      <w:adjustRightInd w:val="0"/>
      <w:snapToGrid w:val="0"/>
      <w:spacing w:line="240" w:lineRule="auto"/>
      <w:rPr>
        <w:sz w:val="16"/>
      </w:rPr>
    </w:pPr>
    <w:r>
      <w:rPr>
        <w:i/>
        <w:sz w:val="16"/>
      </w:rPr>
      <w:t xml:space="preserve">Int. J. Environ. Res. Public Health </w:t>
    </w:r>
    <w:r>
      <w:rPr>
        <w:b/>
        <w:sz w:val="16"/>
      </w:rPr>
      <w:t>2023</w:t>
    </w:r>
    <w:r w:rsidRPr="00AE348C">
      <w:rPr>
        <w:sz w:val="16"/>
      </w:rPr>
      <w:t>,</w:t>
    </w:r>
    <w:r>
      <w:rPr>
        <w:i/>
        <w:sz w:val="16"/>
      </w:rPr>
      <w:t xml:space="preserve"> 20</w:t>
    </w:r>
    <w:r>
      <w:rPr>
        <w:sz w:val="16"/>
      </w:rPr>
      <w:t>, x FOR PEER REVIEW</w:t>
    </w:r>
    <w:r w:rsidR="00966621">
      <w:rPr>
        <w:sz w:val="16"/>
      </w:rPr>
      <w:ptab w:relativeTo="margin" w:alignment="right" w:leader="none"/>
    </w:r>
    <w:r>
      <w:rPr>
        <w:sz w:val="16"/>
      </w:rPr>
      <w:fldChar w:fldCharType="begin"/>
    </w:r>
    <w:r>
      <w:rPr>
        <w:sz w:val="16"/>
      </w:rPr>
      <w:instrText xml:space="preserve"> PAGE   \* MERGEFORMAT </w:instrText>
    </w:r>
    <w:r>
      <w:rPr>
        <w:sz w:val="16"/>
      </w:rPr>
      <w:fldChar w:fldCharType="separate"/>
    </w:r>
    <w:r>
      <w:rPr>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5</w:t>
    </w:r>
    <w:r>
      <w:rPr>
        <w:sz w:val="16"/>
      </w:rPr>
      <w:fldChar w:fldCharType="end"/>
    </w:r>
  </w:p>
  <w:p w14:paraId="448A0D08" w14:textId="77777777" w:rsidR="004A1A60" w:rsidRPr="00305CED" w:rsidRDefault="004A1A60" w:rsidP="004A1A60">
    <w:pPr>
      <w:pBdr>
        <w:bottom w:val="single" w:sz="4" w:space="1" w:color="000000"/>
      </w:pBdr>
      <w:tabs>
        <w:tab w:val="right" w:pos="8844"/>
      </w:tabs>
      <w:adjustRightInd w:val="0"/>
      <w:snapToGrid w:val="0"/>
      <w:spacing w:after="480" w:line="100" w:lineRule="exact"/>
      <w:jc w:val="left"/>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7045E2" w:rsidRPr="00B200C8" w14:paraId="6F8B9087" w14:textId="77777777" w:rsidTr="00C04053">
      <w:trPr>
        <w:trHeight w:val="686"/>
      </w:trPr>
      <w:tc>
        <w:tcPr>
          <w:tcW w:w="3679" w:type="dxa"/>
          <w:shd w:val="clear" w:color="auto" w:fill="auto"/>
          <w:vAlign w:val="center"/>
        </w:tcPr>
        <w:p w14:paraId="008B89D1" w14:textId="3A5ADC18" w:rsidR="007045E2" w:rsidRPr="006331AD" w:rsidRDefault="001A0803" w:rsidP="007045E2">
          <w:pPr>
            <w:pStyle w:val="Header"/>
            <w:pBdr>
              <w:bottom w:val="none" w:sz="0" w:space="0" w:color="auto"/>
            </w:pBdr>
            <w:jc w:val="left"/>
            <w:rPr>
              <w:rFonts w:eastAsia="DengXian"/>
              <w:b/>
              <w:bCs/>
            </w:rPr>
          </w:pPr>
          <w:r>
            <w:rPr>
              <w:rFonts w:eastAsia="DengXian"/>
              <w:b/>
              <w:bCs/>
              <w:noProof/>
            </w:rPr>
            <w:drawing>
              <wp:inline distT="0" distB="0" distL="0" distR="0" wp14:anchorId="5550F8D8" wp14:editId="7AD4374F">
                <wp:extent cx="1828800" cy="4381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438150"/>
                        </a:xfrm>
                        <a:prstGeom prst="rect">
                          <a:avLst/>
                        </a:prstGeom>
                        <a:noFill/>
                        <a:ln>
                          <a:noFill/>
                        </a:ln>
                      </pic:spPr>
                    </pic:pic>
                  </a:graphicData>
                </a:graphic>
              </wp:inline>
            </w:drawing>
          </w:r>
        </w:p>
      </w:tc>
      <w:tc>
        <w:tcPr>
          <w:tcW w:w="4535" w:type="dxa"/>
          <w:shd w:val="clear" w:color="auto" w:fill="auto"/>
          <w:vAlign w:val="center"/>
        </w:tcPr>
        <w:p w14:paraId="0432D68B" w14:textId="77777777" w:rsidR="007045E2" w:rsidRPr="006331AD" w:rsidRDefault="007045E2" w:rsidP="007045E2">
          <w:pPr>
            <w:pStyle w:val="Header"/>
            <w:pBdr>
              <w:bottom w:val="none" w:sz="0" w:space="0" w:color="auto"/>
            </w:pBdr>
            <w:rPr>
              <w:rFonts w:eastAsia="DengXian"/>
              <w:b/>
              <w:bCs/>
            </w:rPr>
          </w:pPr>
        </w:p>
      </w:tc>
      <w:tc>
        <w:tcPr>
          <w:tcW w:w="2273" w:type="dxa"/>
          <w:shd w:val="clear" w:color="auto" w:fill="auto"/>
          <w:vAlign w:val="center"/>
        </w:tcPr>
        <w:p w14:paraId="2D5D4E24" w14:textId="2F0EC774" w:rsidR="007045E2" w:rsidRPr="006331AD" w:rsidRDefault="001A0803" w:rsidP="007045E2">
          <w:pPr>
            <w:pStyle w:val="Header"/>
            <w:pBdr>
              <w:bottom w:val="none" w:sz="0" w:space="0" w:color="auto"/>
            </w:pBdr>
            <w:jc w:val="right"/>
            <w:rPr>
              <w:rFonts w:eastAsia="DengXian"/>
              <w:b/>
              <w:bCs/>
            </w:rPr>
          </w:pPr>
          <w:r>
            <w:rPr>
              <w:rFonts w:eastAsia="DengXian"/>
              <w:b/>
              <w:bCs/>
              <w:noProof/>
            </w:rPr>
            <w:drawing>
              <wp:inline distT="0" distB="0" distL="0" distR="0" wp14:anchorId="1E676B49" wp14:editId="704F58CE">
                <wp:extent cx="539750" cy="355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750" cy="355600"/>
                        </a:xfrm>
                        <a:prstGeom prst="rect">
                          <a:avLst/>
                        </a:prstGeom>
                        <a:noFill/>
                        <a:ln>
                          <a:noFill/>
                        </a:ln>
                      </pic:spPr>
                    </pic:pic>
                  </a:graphicData>
                </a:graphic>
              </wp:inline>
            </w:drawing>
          </w:r>
        </w:p>
      </w:tc>
    </w:tr>
  </w:tbl>
  <w:p w14:paraId="589A0EDF" w14:textId="77777777" w:rsidR="007045E2" w:rsidRPr="007045E2" w:rsidRDefault="007045E2" w:rsidP="007045E2">
    <w:pPr>
      <w:pBdr>
        <w:bottom w:val="single" w:sz="4" w:space="0" w:color="000000"/>
      </w:pBdr>
      <w:adjustRightInd w:val="0"/>
      <w:snapToGrid w:val="0"/>
      <w:spacing w:line="100" w:lineRule="exact"/>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C1943" w14:textId="77777777" w:rsidR="00E90986" w:rsidRDefault="00E90986" w:rsidP="00E90986">
    <w:pPr>
      <w:pStyle w:val="Header"/>
      <w:pBdr>
        <w:bottom w:val="none" w:sz="0" w:space="0" w:color="auto"/>
      </w:pBdr>
    </w:pPr>
  </w:p>
  <w:p w14:paraId="0C9DFF1F" w14:textId="77777777" w:rsidR="00E90986" w:rsidRDefault="00E9098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18CCF" w14:textId="56EC330D" w:rsidR="00953C94" w:rsidRDefault="00E90986" w:rsidP="00B200C8">
    <w:pPr>
      <w:tabs>
        <w:tab w:val="right" w:pos="10466"/>
      </w:tabs>
      <w:adjustRightInd w:val="0"/>
      <w:snapToGrid w:val="0"/>
      <w:spacing w:line="240" w:lineRule="auto"/>
      <w:rPr>
        <w:sz w:val="16"/>
      </w:rPr>
    </w:pPr>
    <w:r>
      <w:rPr>
        <w:i/>
        <w:sz w:val="16"/>
      </w:rPr>
      <w:t xml:space="preserve">Int. J. Environ. Res. Public Health </w:t>
    </w:r>
    <w:r w:rsidR="00B432DE" w:rsidRPr="00B432DE">
      <w:rPr>
        <w:b/>
        <w:sz w:val="16"/>
      </w:rPr>
      <w:t>2021</w:t>
    </w:r>
    <w:r w:rsidR="00AE348C" w:rsidRPr="00AE348C">
      <w:rPr>
        <w:sz w:val="16"/>
      </w:rPr>
      <w:t xml:space="preserve">, </w:t>
    </w:r>
    <w:r w:rsidR="00B432DE" w:rsidRPr="00B432DE">
      <w:rPr>
        <w:i/>
        <w:sz w:val="16"/>
      </w:rPr>
      <w:t>18</w:t>
    </w:r>
    <w:r w:rsidR="001F0C32">
      <w:rPr>
        <w:sz w:val="16"/>
      </w:rPr>
      <w:t>, x FOR PEER REVIEW</w:t>
    </w:r>
    <w:r w:rsidR="001A1D0B">
      <w:rPr>
        <w:sz w:val="16"/>
      </w:rPr>
      <w:ptab w:relativeTo="margin" w:alignment="right" w:leader="none"/>
    </w:r>
    <w:r w:rsidR="001F0C32">
      <w:rPr>
        <w:sz w:val="16"/>
      </w:rPr>
      <w:fldChar w:fldCharType="begin"/>
    </w:r>
    <w:r w:rsidR="001F0C32">
      <w:rPr>
        <w:sz w:val="16"/>
      </w:rPr>
      <w:instrText xml:space="preserve"> PAGE   \* MERGEFORMAT </w:instrText>
    </w:r>
    <w:r w:rsidR="001F0C32">
      <w:rPr>
        <w:sz w:val="16"/>
      </w:rPr>
      <w:fldChar w:fldCharType="separate"/>
    </w:r>
    <w:r w:rsidR="009313EF">
      <w:rPr>
        <w:sz w:val="16"/>
      </w:rPr>
      <w:t>5</w:t>
    </w:r>
    <w:r w:rsidR="001F0C32">
      <w:rPr>
        <w:sz w:val="16"/>
      </w:rPr>
      <w:fldChar w:fldCharType="end"/>
    </w:r>
    <w:r w:rsidR="001F0C32">
      <w:rPr>
        <w:sz w:val="16"/>
      </w:rPr>
      <w:t xml:space="preserve"> of </w:t>
    </w:r>
    <w:r w:rsidR="001F0C32">
      <w:rPr>
        <w:sz w:val="16"/>
      </w:rPr>
      <w:fldChar w:fldCharType="begin"/>
    </w:r>
    <w:r w:rsidR="001F0C32">
      <w:rPr>
        <w:sz w:val="16"/>
      </w:rPr>
      <w:instrText xml:space="preserve"> NUMPAGES   \* MERGEFORMAT </w:instrText>
    </w:r>
    <w:r w:rsidR="001F0C32">
      <w:rPr>
        <w:sz w:val="16"/>
      </w:rPr>
      <w:fldChar w:fldCharType="separate"/>
    </w:r>
    <w:r w:rsidR="009313EF">
      <w:rPr>
        <w:sz w:val="16"/>
      </w:rPr>
      <w:t>5</w:t>
    </w:r>
    <w:r w:rsidR="001F0C32">
      <w:rPr>
        <w:sz w:val="16"/>
      </w:rPr>
      <w:fldChar w:fldCharType="end"/>
    </w:r>
  </w:p>
  <w:p w14:paraId="5DC39B31" w14:textId="77777777" w:rsidR="00E90986" w:rsidRPr="00305CED" w:rsidRDefault="00E90986" w:rsidP="00F32F04">
    <w:pPr>
      <w:pBdr>
        <w:bottom w:val="single" w:sz="4" w:space="1" w:color="000000"/>
      </w:pBdr>
      <w:tabs>
        <w:tab w:val="right" w:pos="8844"/>
      </w:tabs>
      <w:adjustRightInd w:val="0"/>
      <w:snapToGrid w:val="0"/>
      <w:spacing w:after="480" w:line="100" w:lineRule="exact"/>
      <w:jc w:val="left"/>
      <w:rPr>
        <w:sz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953C94" w:rsidRPr="00B200C8" w14:paraId="73B086E8" w14:textId="77777777" w:rsidTr="00B200C8">
      <w:trPr>
        <w:trHeight w:val="686"/>
      </w:trPr>
      <w:tc>
        <w:tcPr>
          <w:tcW w:w="3679" w:type="dxa"/>
          <w:shd w:val="clear" w:color="auto" w:fill="auto"/>
          <w:vAlign w:val="center"/>
        </w:tcPr>
        <w:p w14:paraId="429B7C0A" w14:textId="38082536" w:rsidR="00953C94" w:rsidRPr="006331AD" w:rsidRDefault="001A0803" w:rsidP="00B200C8">
          <w:pPr>
            <w:pStyle w:val="Header"/>
            <w:pBdr>
              <w:bottom w:val="none" w:sz="0" w:space="0" w:color="auto"/>
            </w:pBdr>
            <w:jc w:val="left"/>
            <w:rPr>
              <w:rFonts w:eastAsia="DengXian"/>
              <w:b/>
              <w:bCs/>
            </w:rPr>
          </w:pPr>
          <w:r>
            <w:rPr>
              <w:rFonts w:eastAsia="DengXian"/>
              <w:b/>
              <w:bCs/>
              <w:noProof/>
            </w:rPr>
            <w:drawing>
              <wp:inline distT="0" distB="0" distL="0" distR="0" wp14:anchorId="2925262B" wp14:editId="75CC41E0">
                <wp:extent cx="1828800" cy="438150"/>
                <wp:effectExtent l="0" t="0" r="0" b="0"/>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438150"/>
                        </a:xfrm>
                        <a:prstGeom prst="rect">
                          <a:avLst/>
                        </a:prstGeom>
                        <a:noFill/>
                        <a:ln>
                          <a:noFill/>
                        </a:ln>
                      </pic:spPr>
                    </pic:pic>
                  </a:graphicData>
                </a:graphic>
              </wp:inline>
            </w:drawing>
          </w:r>
        </w:p>
      </w:tc>
      <w:tc>
        <w:tcPr>
          <w:tcW w:w="4535" w:type="dxa"/>
          <w:shd w:val="clear" w:color="auto" w:fill="auto"/>
          <w:vAlign w:val="center"/>
        </w:tcPr>
        <w:p w14:paraId="61F26206" w14:textId="77777777" w:rsidR="00953C94" w:rsidRPr="006331AD" w:rsidRDefault="00953C94" w:rsidP="00B200C8">
          <w:pPr>
            <w:pStyle w:val="Header"/>
            <w:pBdr>
              <w:bottom w:val="none" w:sz="0" w:space="0" w:color="auto"/>
            </w:pBdr>
            <w:rPr>
              <w:rFonts w:eastAsia="DengXian"/>
              <w:b/>
              <w:bCs/>
            </w:rPr>
          </w:pPr>
        </w:p>
      </w:tc>
      <w:tc>
        <w:tcPr>
          <w:tcW w:w="2273" w:type="dxa"/>
          <w:shd w:val="clear" w:color="auto" w:fill="auto"/>
          <w:vAlign w:val="center"/>
        </w:tcPr>
        <w:p w14:paraId="2AA76A94" w14:textId="458F7D52" w:rsidR="00953C94" w:rsidRPr="006331AD" w:rsidRDefault="001A0803" w:rsidP="00B200C8">
          <w:pPr>
            <w:pStyle w:val="Header"/>
            <w:pBdr>
              <w:bottom w:val="none" w:sz="0" w:space="0" w:color="auto"/>
            </w:pBdr>
            <w:jc w:val="right"/>
            <w:rPr>
              <w:rFonts w:eastAsia="DengXian"/>
              <w:b/>
              <w:bCs/>
            </w:rPr>
          </w:pPr>
          <w:r>
            <w:rPr>
              <w:rFonts w:eastAsia="DengXian"/>
              <w:b/>
              <w:bCs/>
              <w:noProof/>
            </w:rPr>
            <w:drawing>
              <wp:inline distT="0" distB="0" distL="0" distR="0" wp14:anchorId="113603A9" wp14:editId="64A2687D">
                <wp:extent cx="539750" cy="355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750" cy="355600"/>
                        </a:xfrm>
                        <a:prstGeom prst="rect">
                          <a:avLst/>
                        </a:prstGeom>
                        <a:noFill/>
                        <a:ln>
                          <a:noFill/>
                        </a:ln>
                      </pic:spPr>
                    </pic:pic>
                  </a:graphicData>
                </a:graphic>
              </wp:inline>
            </w:drawing>
          </w:r>
        </w:p>
      </w:tc>
    </w:tr>
  </w:tbl>
  <w:p w14:paraId="563455A3" w14:textId="77777777" w:rsidR="00E90986" w:rsidRPr="00953C94" w:rsidRDefault="00E90986" w:rsidP="00F32F04">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F6105"/>
    <w:multiLevelType w:val="hybridMultilevel"/>
    <w:tmpl w:val="E846814E"/>
    <w:lvl w:ilvl="0" w:tplc="66DA1068">
      <w:start w:val="1"/>
      <w:numFmt w:val="decimal"/>
      <w:lvlRestart w:val="0"/>
      <w:pStyle w:val="MDPI71FootNotes"/>
      <w:lvlText w:val="%1."/>
      <w:lvlJc w:val="left"/>
      <w:pPr>
        <w:ind w:left="425" w:hanging="425"/>
      </w:pPr>
      <w:rPr>
        <w:rFonts w:hint="default"/>
        <w:b w:val="0"/>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468F5"/>
    <w:multiLevelType w:val="hybridMultilevel"/>
    <w:tmpl w:val="378A1918"/>
    <w:lvl w:ilvl="0" w:tplc="A5E60D02">
      <w:start w:val="1"/>
      <w:numFmt w:val="decimal"/>
      <w:lvlRestart w:val="0"/>
      <w:lvlText w:val="%1."/>
      <w:lvlJc w:val="left"/>
      <w:pPr>
        <w:ind w:left="425" w:hanging="425"/>
      </w:pPr>
      <w:rPr>
        <w:b w:val="0"/>
        <w:i w:val="0"/>
        <w:color w:val="auto"/>
        <w:sz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A176652"/>
    <w:multiLevelType w:val="hybridMultilevel"/>
    <w:tmpl w:val="591AB9A4"/>
    <w:lvl w:ilvl="0" w:tplc="3990C968">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num w:numId="1" w16cid:durableId="1909881484">
    <w:abstractNumId w:val="5"/>
  </w:num>
  <w:num w:numId="2" w16cid:durableId="2125882777">
    <w:abstractNumId w:val="2"/>
  </w:num>
  <w:num w:numId="3" w16cid:durableId="1908615302">
    <w:abstractNumId w:val="3"/>
  </w:num>
  <w:num w:numId="4" w16cid:durableId="1815901635">
    <w:abstractNumId w:val="4"/>
  </w:num>
  <w:num w:numId="5" w16cid:durableId="966743263">
    <w:abstractNumId w:val="1"/>
  </w:num>
  <w:num w:numId="6" w16cid:durableId="1613786752">
    <w:abstractNumId w:val="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DPI">
    <w15:presenceInfo w15:providerId="None" w15:userId="MDPI"/>
  </w15:person>
  <w15:person w15:author="Joanne DICKSON">
    <w15:presenceInfo w15:providerId="AD" w15:userId="S::j.dickson@ecu.edu.au::24cef5a0-112b-43a7-a7ae-8d713017c5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AB8"/>
    <w:rsid w:val="000020B4"/>
    <w:rsid w:val="00006EE0"/>
    <w:rsid w:val="00012FD4"/>
    <w:rsid w:val="00016545"/>
    <w:rsid w:val="00016DD9"/>
    <w:rsid w:val="00022BE0"/>
    <w:rsid w:val="0002524A"/>
    <w:rsid w:val="0002554A"/>
    <w:rsid w:val="0003183D"/>
    <w:rsid w:val="00032F5F"/>
    <w:rsid w:val="00041937"/>
    <w:rsid w:val="00046CCA"/>
    <w:rsid w:val="00047C14"/>
    <w:rsid w:val="00050128"/>
    <w:rsid w:val="000504C8"/>
    <w:rsid w:val="0006052C"/>
    <w:rsid w:val="00062D64"/>
    <w:rsid w:val="00070BC3"/>
    <w:rsid w:val="00072F70"/>
    <w:rsid w:val="0008578D"/>
    <w:rsid w:val="00086D29"/>
    <w:rsid w:val="00094EF4"/>
    <w:rsid w:val="000B164B"/>
    <w:rsid w:val="000C3D95"/>
    <w:rsid w:val="000D4CAC"/>
    <w:rsid w:val="000F351F"/>
    <w:rsid w:val="00101375"/>
    <w:rsid w:val="001035B5"/>
    <w:rsid w:val="00106504"/>
    <w:rsid w:val="00107EBE"/>
    <w:rsid w:val="00113A18"/>
    <w:rsid w:val="001210D9"/>
    <w:rsid w:val="00121956"/>
    <w:rsid w:val="001228BC"/>
    <w:rsid w:val="00127FD8"/>
    <w:rsid w:val="00130B7D"/>
    <w:rsid w:val="00141D83"/>
    <w:rsid w:val="00145712"/>
    <w:rsid w:val="00154E0E"/>
    <w:rsid w:val="00174597"/>
    <w:rsid w:val="00177995"/>
    <w:rsid w:val="00183AB8"/>
    <w:rsid w:val="00185EC3"/>
    <w:rsid w:val="00192B0C"/>
    <w:rsid w:val="00194C32"/>
    <w:rsid w:val="001957FA"/>
    <w:rsid w:val="00196547"/>
    <w:rsid w:val="00197328"/>
    <w:rsid w:val="001A0803"/>
    <w:rsid w:val="001A19F4"/>
    <w:rsid w:val="001A1D0B"/>
    <w:rsid w:val="001A28F0"/>
    <w:rsid w:val="001A3B21"/>
    <w:rsid w:val="001A4D8B"/>
    <w:rsid w:val="001B1D6F"/>
    <w:rsid w:val="001B623A"/>
    <w:rsid w:val="001D41F9"/>
    <w:rsid w:val="001E2736"/>
    <w:rsid w:val="001E2AEB"/>
    <w:rsid w:val="001E72C2"/>
    <w:rsid w:val="001F0C32"/>
    <w:rsid w:val="001F53CA"/>
    <w:rsid w:val="001F6D18"/>
    <w:rsid w:val="00200EEC"/>
    <w:rsid w:val="002019E5"/>
    <w:rsid w:val="0020566A"/>
    <w:rsid w:val="00205714"/>
    <w:rsid w:val="00205AC7"/>
    <w:rsid w:val="0020625A"/>
    <w:rsid w:val="002076CD"/>
    <w:rsid w:val="00214A6A"/>
    <w:rsid w:val="00216859"/>
    <w:rsid w:val="00223336"/>
    <w:rsid w:val="00224567"/>
    <w:rsid w:val="00225C01"/>
    <w:rsid w:val="00226F74"/>
    <w:rsid w:val="00243165"/>
    <w:rsid w:val="00244745"/>
    <w:rsid w:val="002501D9"/>
    <w:rsid w:val="00252A64"/>
    <w:rsid w:val="00255C05"/>
    <w:rsid w:val="00257BA9"/>
    <w:rsid w:val="002611E9"/>
    <w:rsid w:val="002638F4"/>
    <w:rsid w:val="0027678A"/>
    <w:rsid w:val="00284BEB"/>
    <w:rsid w:val="0028607E"/>
    <w:rsid w:val="00292FA3"/>
    <w:rsid w:val="00294695"/>
    <w:rsid w:val="002A615D"/>
    <w:rsid w:val="002B1549"/>
    <w:rsid w:val="002C111D"/>
    <w:rsid w:val="002D57A5"/>
    <w:rsid w:val="002E0F65"/>
    <w:rsid w:val="002E1F0F"/>
    <w:rsid w:val="002E22DC"/>
    <w:rsid w:val="002E3019"/>
    <w:rsid w:val="002F53B4"/>
    <w:rsid w:val="002F7825"/>
    <w:rsid w:val="002F7C68"/>
    <w:rsid w:val="0030017E"/>
    <w:rsid w:val="00305720"/>
    <w:rsid w:val="00306807"/>
    <w:rsid w:val="0032047A"/>
    <w:rsid w:val="00322BD2"/>
    <w:rsid w:val="00326141"/>
    <w:rsid w:val="00334DBD"/>
    <w:rsid w:val="00353418"/>
    <w:rsid w:val="003663D4"/>
    <w:rsid w:val="0036736D"/>
    <w:rsid w:val="00371F8E"/>
    <w:rsid w:val="003735D1"/>
    <w:rsid w:val="00376211"/>
    <w:rsid w:val="0039002C"/>
    <w:rsid w:val="00392020"/>
    <w:rsid w:val="003938DA"/>
    <w:rsid w:val="0039402E"/>
    <w:rsid w:val="003B0CE4"/>
    <w:rsid w:val="003B7C16"/>
    <w:rsid w:val="003C277F"/>
    <w:rsid w:val="003C4448"/>
    <w:rsid w:val="003D2097"/>
    <w:rsid w:val="003D3C6E"/>
    <w:rsid w:val="003E5478"/>
    <w:rsid w:val="003F3DC2"/>
    <w:rsid w:val="003F5E04"/>
    <w:rsid w:val="00400AAD"/>
    <w:rsid w:val="00401B3A"/>
    <w:rsid w:val="00401D30"/>
    <w:rsid w:val="00407587"/>
    <w:rsid w:val="00410958"/>
    <w:rsid w:val="00414DE1"/>
    <w:rsid w:val="00417958"/>
    <w:rsid w:val="00420A01"/>
    <w:rsid w:val="00421077"/>
    <w:rsid w:val="004236AA"/>
    <w:rsid w:val="00423DC3"/>
    <w:rsid w:val="0042738E"/>
    <w:rsid w:val="004328C0"/>
    <w:rsid w:val="00432D05"/>
    <w:rsid w:val="00432FEA"/>
    <w:rsid w:val="00442BF3"/>
    <w:rsid w:val="0046726B"/>
    <w:rsid w:val="0047109A"/>
    <w:rsid w:val="00474D0A"/>
    <w:rsid w:val="0048167C"/>
    <w:rsid w:val="004863C4"/>
    <w:rsid w:val="004863FA"/>
    <w:rsid w:val="0049103A"/>
    <w:rsid w:val="004A1A60"/>
    <w:rsid w:val="004A6AEE"/>
    <w:rsid w:val="004A751A"/>
    <w:rsid w:val="004B5280"/>
    <w:rsid w:val="004D22DA"/>
    <w:rsid w:val="004D5A80"/>
    <w:rsid w:val="004D6235"/>
    <w:rsid w:val="004D6B8D"/>
    <w:rsid w:val="004E1550"/>
    <w:rsid w:val="004E41BC"/>
    <w:rsid w:val="004F23A3"/>
    <w:rsid w:val="00506D66"/>
    <w:rsid w:val="00514646"/>
    <w:rsid w:val="00520E75"/>
    <w:rsid w:val="00522304"/>
    <w:rsid w:val="0052235A"/>
    <w:rsid w:val="00526359"/>
    <w:rsid w:val="00526C14"/>
    <w:rsid w:val="00527484"/>
    <w:rsid w:val="00542790"/>
    <w:rsid w:val="00547C19"/>
    <w:rsid w:val="00570B92"/>
    <w:rsid w:val="00574BF3"/>
    <w:rsid w:val="00576272"/>
    <w:rsid w:val="00576B71"/>
    <w:rsid w:val="00577898"/>
    <w:rsid w:val="00580B13"/>
    <w:rsid w:val="005823D8"/>
    <w:rsid w:val="005838E9"/>
    <w:rsid w:val="00585351"/>
    <w:rsid w:val="005907AA"/>
    <w:rsid w:val="005940DE"/>
    <w:rsid w:val="005A226F"/>
    <w:rsid w:val="005A272D"/>
    <w:rsid w:val="005A730C"/>
    <w:rsid w:val="005B0E8A"/>
    <w:rsid w:val="005B6C3D"/>
    <w:rsid w:val="005C0244"/>
    <w:rsid w:val="005C282B"/>
    <w:rsid w:val="005D30CA"/>
    <w:rsid w:val="005D375F"/>
    <w:rsid w:val="005E17D1"/>
    <w:rsid w:val="005E31DA"/>
    <w:rsid w:val="00605B5C"/>
    <w:rsid w:val="00612BB1"/>
    <w:rsid w:val="00615072"/>
    <w:rsid w:val="00615B6B"/>
    <w:rsid w:val="006211DD"/>
    <w:rsid w:val="00624EE7"/>
    <w:rsid w:val="006255D2"/>
    <w:rsid w:val="00630D0F"/>
    <w:rsid w:val="006331AD"/>
    <w:rsid w:val="00633B57"/>
    <w:rsid w:val="00636EC8"/>
    <w:rsid w:val="00662E41"/>
    <w:rsid w:val="006701C8"/>
    <w:rsid w:val="00682592"/>
    <w:rsid w:val="00692393"/>
    <w:rsid w:val="00692A0D"/>
    <w:rsid w:val="006A4939"/>
    <w:rsid w:val="006A4CC9"/>
    <w:rsid w:val="006C1AA0"/>
    <w:rsid w:val="006C5AB8"/>
    <w:rsid w:val="006C61EE"/>
    <w:rsid w:val="006D0B83"/>
    <w:rsid w:val="006E055E"/>
    <w:rsid w:val="006E40D9"/>
    <w:rsid w:val="006E78DB"/>
    <w:rsid w:val="006F16DB"/>
    <w:rsid w:val="007045E2"/>
    <w:rsid w:val="00706364"/>
    <w:rsid w:val="00711C0C"/>
    <w:rsid w:val="00712A4B"/>
    <w:rsid w:val="007133FE"/>
    <w:rsid w:val="0073063E"/>
    <w:rsid w:val="00740C6A"/>
    <w:rsid w:val="00746505"/>
    <w:rsid w:val="00746E18"/>
    <w:rsid w:val="0075703E"/>
    <w:rsid w:val="0076035B"/>
    <w:rsid w:val="007866E0"/>
    <w:rsid w:val="007A0755"/>
    <w:rsid w:val="007A2FD7"/>
    <w:rsid w:val="007A47AB"/>
    <w:rsid w:val="007A7068"/>
    <w:rsid w:val="007A754C"/>
    <w:rsid w:val="007A779E"/>
    <w:rsid w:val="007B3E14"/>
    <w:rsid w:val="007B7DF1"/>
    <w:rsid w:val="007C437A"/>
    <w:rsid w:val="007D1435"/>
    <w:rsid w:val="007D1550"/>
    <w:rsid w:val="007D225A"/>
    <w:rsid w:val="007E0565"/>
    <w:rsid w:val="007E5A5B"/>
    <w:rsid w:val="008002C8"/>
    <w:rsid w:val="0081492A"/>
    <w:rsid w:val="00823005"/>
    <w:rsid w:val="00826149"/>
    <w:rsid w:val="008426D0"/>
    <w:rsid w:val="00853070"/>
    <w:rsid w:val="00872BE7"/>
    <w:rsid w:val="00885514"/>
    <w:rsid w:val="00885A91"/>
    <w:rsid w:val="00886CEF"/>
    <w:rsid w:val="0089489F"/>
    <w:rsid w:val="00894A41"/>
    <w:rsid w:val="008A1D2D"/>
    <w:rsid w:val="008A4C39"/>
    <w:rsid w:val="008B24F0"/>
    <w:rsid w:val="008B3F57"/>
    <w:rsid w:val="008B4E46"/>
    <w:rsid w:val="008C17EC"/>
    <w:rsid w:val="008C5CBF"/>
    <w:rsid w:val="008D13B2"/>
    <w:rsid w:val="008D30A2"/>
    <w:rsid w:val="008D7D26"/>
    <w:rsid w:val="008E3B5E"/>
    <w:rsid w:val="009202D2"/>
    <w:rsid w:val="009313EF"/>
    <w:rsid w:val="00934E4D"/>
    <w:rsid w:val="00935BD2"/>
    <w:rsid w:val="00944579"/>
    <w:rsid w:val="00951FCF"/>
    <w:rsid w:val="00953C94"/>
    <w:rsid w:val="0095410D"/>
    <w:rsid w:val="0095596F"/>
    <w:rsid w:val="00966621"/>
    <w:rsid w:val="00984FFC"/>
    <w:rsid w:val="00985746"/>
    <w:rsid w:val="00987ACB"/>
    <w:rsid w:val="009910DE"/>
    <w:rsid w:val="0099285A"/>
    <w:rsid w:val="00997B86"/>
    <w:rsid w:val="00997FF1"/>
    <w:rsid w:val="009A0F8C"/>
    <w:rsid w:val="009A12FA"/>
    <w:rsid w:val="009A52C8"/>
    <w:rsid w:val="009B152D"/>
    <w:rsid w:val="009B2425"/>
    <w:rsid w:val="009E62D9"/>
    <w:rsid w:val="009E66BF"/>
    <w:rsid w:val="009F274E"/>
    <w:rsid w:val="009F70E6"/>
    <w:rsid w:val="00A0136F"/>
    <w:rsid w:val="00A02301"/>
    <w:rsid w:val="00A04FED"/>
    <w:rsid w:val="00A146C0"/>
    <w:rsid w:val="00A30A4D"/>
    <w:rsid w:val="00A321DC"/>
    <w:rsid w:val="00A36C54"/>
    <w:rsid w:val="00A36E43"/>
    <w:rsid w:val="00A4078B"/>
    <w:rsid w:val="00A41EC8"/>
    <w:rsid w:val="00A460C6"/>
    <w:rsid w:val="00A510D5"/>
    <w:rsid w:val="00A54BB7"/>
    <w:rsid w:val="00A566BE"/>
    <w:rsid w:val="00A637C8"/>
    <w:rsid w:val="00A64950"/>
    <w:rsid w:val="00A6591C"/>
    <w:rsid w:val="00A8408B"/>
    <w:rsid w:val="00A84754"/>
    <w:rsid w:val="00A92665"/>
    <w:rsid w:val="00A929AC"/>
    <w:rsid w:val="00A96E4B"/>
    <w:rsid w:val="00AB1120"/>
    <w:rsid w:val="00AB54F9"/>
    <w:rsid w:val="00AC1F3B"/>
    <w:rsid w:val="00AC457C"/>
    <w:rsid w:val="00AC61B4"/>
    <w:rsid w:val="00AD2D7B"/>
    <w:rsid w:val="00AD2FA5"/>
    <w:rsid w:val="00AE348C"/>
    <w:rsid w:val="00AE70D3"/>
    <w:rsid w:val="00AF44C1"/>
    <w:rsid w:val="00B00E09"/>
    <w:rsid w:val="00B06823"/>
    <w:rsid w:val="00B12F70"/>
    <w:rsid w:val="00B14E36"/>
    <w:rsid w:val="00B200C8"/>
    <w:rsid w:val="00B230E1"/>
    <w:rsid w:val="00B23D5B"/>
    <w:rsid w:val="00B24F9E"/>
    <w:rsid w:val="00B273E3"/>
    <w:rsid w:val="00B370E0"/>
    <w:rsid w:val="00B432DE"/>
    <w:rsid w:val="00B4397C"/>
    <w:rsid w:val="00B469B0"/>
    <w:rsid w:val="00B60966"/>
    <w:rsid w:val="00B643D2"/>
    <w:rsid w:val="00B91113"/>
    <w:rsid w:val="00BA1E44"/>
    <w:rsid w:val="00BC76DC"/>
    <w:rsid w:val="00BD4734"/>
    <w:rsid w:val="00BE339D"/>
    <w:rsid w:val="00BE6750"/>
    <w:rsid w:val="00BF19CA"/>
    <w:rsid w:val="00BF437C"/>
    <w:rsid w:val="00C011FD"/>
    <w:rsid w:val="00C05732"/>
    <w:rsid w:val="00C13470"/>
    <w:rsid w:val="00C22823"/>
    <w:rsid w:val="00C243C9"/>
    <w:rsid w:val="00C26C25"/>
    <w:rsid w:val="00C47401"/>
    <w:rsid w:val="00C569FB"/>
    <w:rsid w:val="00C57B0C"/>
    <w:rsid w:val="00C57E08"/>
    <w:rsid w:val="00C639EA"/>
    <w:rsid w:val="00C65B0B"/>
    <w:rsid w:val="00C82596"/>
    <w:rsid w:val="00C8300B"/>
    <w:rsid w:val="00C85F72"/>
    <w:rsid w:val="00C865BF"/>
    <w:rsid w:val="00C94373"/>
    <w:rsid w:val="00C97A71"/>
    <w:rsid w:val="00CA3DFC"/>
    <w:rsid w:val="00CA7505"/>
    <w:rsid w:val="00CB597B"/>
    <w:rsid w:val="00CB5F9D"/>
    <w:rsid w:val="00CB6D2F"/>
    <w:rsid w:val="00CC3BD2"/>
    <w:rsid w:val="00CC40B1"/>
    <w:rsid w:val="00CC4EDF"/>
    <w:rsid w:val="00CC57CC"/>
    <w:rsid w:val="00CE3392"/>
    <w:rsid w:val="00CE33DC"/>
    <w:rsid w:val="00CF3B71"/>
    <w:rsid w:val="00D02B76"/>
    <w:rsid w:val="00D17656"/>
    <w:rsid w:val="00D23A1E"/>
    <w:rsid w:val="00D3010F"/>
    <w:rsid w:val="00D35180"/>
    <w:rsid w:val="00D35BF4"/>
    <w:rsid w:val="00D412C1"/>
    <w:rsid w:val="00D609C6"/>
    <w:rsid w:val="00D64960"/>
    <w:rsid w:val="00D65906"/>
    <w:rsid w:val="00D677ED"/>
    <w:rsid w:val="00D75394"/>
    <w:rsid w:val="00D81521"/>
    <w:rsid w:val="00D96023"/>
    <w:rsid w:val="00DA2C89"/>
    <w:rsid w:val="00DA6C4D"/>
    <w:rsid w:val="00DB4C36"/>
    <w:rsid w:val="00DB5DCF"/>
    <w:rsid w:val="00DC7F54"/>
    <w:rsid w:val="00DD44B1"/>
    <w:rsid w:val="00DD5900"/>
    <w:rsid w:val="00DE206B"/>
    <w:rsid w:val="00DE6839"/>
    <w:rsid w:val="00E04E7D"/>
    <w:rsid w:val="00E111C0"/>
    <w:rsid w:val="00E13E97"/>
    <w:rsid w:val="00E208A9"/>
    <w:rsid w:val="00E21010"/>
    <w:rsid w:val="00E41576"/>
    <w:rsid w:val="00E450AB"/>
    <w:rsid w:val="00E66088"/>
    <w:rsid w:val="00E706A1"/>
    <w:rsid w:val="00E71F9B"/>
    <w:rsid w:val="00E74517"/>
    <w:rsid w:val="00E755FF"/>
    <w:rsid w:val="00E90986"/>
    <w:rsid w:val="00E94327"/>
    <w:rsid w:val="00EB36F0"/>
    <w:rsid w:val="00EC6655"/>
    <w:rsid w:val="00ED1494"/>
    <w:rsid w:val="00ED1BAB"/>
    <w:rsid w:val="00EE49E2"/>
    <w:rsid w:val="00EF7D34"/>
    <w:rsid w:val="00F005AA"/>
    <w:rsid w:val="00F01EEE"/>
    <w:rsid w:val="00F0608D"/>
    <w:rsid w:val="00F145AC"/>
    <w:rsid w:val="00F17C71"/>
    <w:rsid w:val="00F314FB"/>
    <w:rsid w:val="00F32F04"/>
    <w:rsid w:val="00F35C92"/>
    <w:rsid w:val="00F53A40"/>
    <w:rsid w:val="00F62C5C"/>
    <w:rsid w:val="00F669EE"/>
    <w:rsid w:val="00F71C48"/>
    <w:rsid w:val="00F71EC5"/>
    <w:rsid w:val="00F819A2"/>
    <w:rsid w:val="00F92413"/>
    <w:rsid w:val="00F93CDB"/>
    <w:rsid w:val="00FA115D"/>
    <w:rsid w:val="00FA6084"/>
    <w:rsid w:val="00FA72E6"/>
    <w:rsid w:val="00FB0D48"/>
    <w:rsid w:val="00FC5240"/>
    <w:rsid w:val="00FC7DC9"/>
    <w:rsid w:val="00FE217C"/>
    <w:rsid w:val="00FE5566"/>
    <w:rsid w:val="00FE6577"/>
    <w:rsid w:val="00FF1726"/>
    <w:rsid w:val="00FF5724"/>
    <w:rsid w:val="00FF5F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8467E"/>
  <w15:chartTrackingRefBased/>
  <w15:docId w15:val="{41B56D98-9591-481C-AA9F-A4FB216CA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304"/>
    <w:pPr>
      <w:spacing w:line="260" w:lineRule="atLeast"/>
      <w:jc w:val="both"/>
    </w:pPr>
    <w:rPr>
      <w:rFonts w:ascii="Palatino Linotype" w:hAnsi="Palatino Linotype"/>
      <w:color w:val="000000"/>
    </w:rPr>
  </w:style>
  <w:style w:type="paragraph" w:styleId="Heading1">
    <w:name w:val="heading 1"/>
    <w:basedOn w:val="Normal"/>
    <w:link w:val="Heading1Char"/>
    <w:uiPriority w:val="9"/>
    <w:qFormat/>
    <w:rsid w:val="004863FA"/>
    <w:pPr>
      <w:spacing w:before="100" w:beforeAutospacing="1" w:after="100" w:afterAutospacing="1" w:line="240" w:lineRule="auto"/>
      <w:jc w:val="left"/>
      <w:outlineLvl w:val="0"/>
    </w:pPr>
    <w:rPr>
      <w:rFonts w:ascii="Times New Roman" w:eastAsia="Times New Roman" w:hAnsi="Times New Roman"/>
      <w:b/>
      <w:bCs/>
      <w:color w:val="auto"/>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522304"/>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522304"/>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522304"/>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522304"/>
    <w:pPr>
      <w:adjustRightInd w:val="0"/>
      <w:snapToGrid w:val="0"/>
      <w:spacing w:line="240" w:lineRule="atLeast"/>
      <w:ind w:right="113"/>
      <w:jc w:val="left"/>
    </w:pPr>
    <w:rPr>
      <w:rFonts w:eastAsia="Times New Roman"/>
      <w:sz w:val="14"/>
      <w:lang w:eastAsia="de-DE" w:bidi="en-US"/>
    </w:rPr>
  </w:style>
  <w:style w:type="paragraph" w:customStyle="1" w:styleId="MDPI16affiliation">
    <w:name w:val="MDPI_1.6_affiliation"/>
    <w:qFormat/>
    <w:rsid w:val="00522304"/>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522304"/>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522304"/>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A6591C"/>
    <w:pPr>
      <w:pBdr>
        <w:bottom w:val="single" w:sz="4"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46726B"/>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39"/>
    <w:rsid w:val="00522304"/>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522304"/>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522304"/>
    <w:rPr>
      <w:rFonts w:ascii="Palatino Linotype" w:hAnsi="Palatino Linotype"/>
      <w:noProof/>
      <w:color w:val="000000"/>
      <w:szCs w:val="18"/>
    </w:rPr>
  </w:style>
  <w:style w:type="paragraph" w:styleId="Header">
    <w:name w:val="header"/>
    <w:basedOn w:val="Normal"/>
    <w:link w:val="HeaderChar"/>
    <w:rsid w:val="00522304"/>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522304"/>
    <w:rPr>
      <w:rFonts w:ascii="Palatino Linotype" w:hAnsi="Palatino Linotype"/>
      <w:noProof/>
      <w:color w:val="000000"/>
      <w:szCs w:val="18"/>
    </w:rPr>
  </w:style>
  <w:style w:type="paragraph" w:customStyle="1" w:styleId="MDPIheaderjournallogo">
    <w:name w:val="MDPI_header_journal_logo"/>
    <w:qFormat/>
    <w:rsid w:val="00522304"/>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522304"/>
    <w:pPr>
      <w:ind w:firstLine="0"/>
    </w:pPr>
  </w:style>
  <w:style w:type="paragraph" w:customStyle="1" w:styleId="MDPI31text">
    <w:name w:val="MDPI_3.1_text"/>
    <w:qFormat/>
    <w:rsid w:val="00322BD2"/>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522304"/>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4textspacebefore">
    <w:name w:val="MDPI_3.4_text_space_before"/>
    <w:qFormat/>
    <w:rsid w:val="00522304"/>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522304"/>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522304"/>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522304"/>
    <w:pPr>
      <w:numPr>
        <w:numId w:val="1"/>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522304"/>
    <w:pPr>
      <w:numPr>
        <w:numId w:val="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522304"/>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522304"/>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522304"/>
    <w:pPr>
      <w:adjustRightInd w:val="0"/>
      <w:snapToGrid w:val="0"/>
      <w:spacing w:before="240" w:after="120" w:line="228" w:lineRule="auto"/>
      <w:ind w:left="2608"/>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7D1435"/>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522304"/>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522304"/>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522304"/>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81theorem">
    <w:name w:val="MDPI_8.1_theorem"/>
    <w:qFormat/>
    <w:rsid w:val="00522304"/>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522304"/>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footerfirstpage">
    <w:name w:val="MDPI_footer_firstpage"/>
    <w:qFormat/>
    <w:rsid w:val="00522304"/>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522304"/>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522304"/>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522304"/>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522304"/>
    <w:pPr>
      <w:numPr>
        <w:numId w:val="3"/>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522304"/>
    <w:rPr>
      <w:rFonts w:cs="Tahoma"/>
      <w:szCs w:val="18"/>
    </w:rPr>
  </w:style>
  <w:style w:type="character" w:customStyle="1" w:styleId="BalloonTextChar">
    <w:name w:val="Balloon Text Char"/>
    <w:link w:val="BalloonText"/>
    <w:uiPriority w:val="99"/>
    <w:rsid w:val="00522304"/>
    <w:rPr>
      <w:rFonts w:ascii="Palatino Linotype" w:hAnsi="Palatino Linotype" w:cs="Tahoma"/>
      <w:noProof/>
      <w:color w:val="000000"/>
      <w:szCs w:val="18"/>
    </w:rPr>
  </w:style>
  <w:style w:type="character" w:styleId="LineNumber">
    <w:name w:val="line number"/>
    <w:uiPriority w:val="99"/>
    <w:rsid w:val="00284BEB"/>
    <w:rPr>
      <w:rFonts w:ascii="Palatino Linotype" w:hAnsi="Palatino Linotype"/>
      <w:sz w:val="16"/>
    </w:rPr>
  </w:style>
  <w:style w:type="table" w:customStyle="1" w:styleId="MDPI41threelinetable">
    <w:name w:val="MDPI_4.1_three_line_table"/>
    <w:basedOn w:val="TableNormal"/>
    <w:uiPriority w:val="99"/>
    <w:rsid w:val="00522304"/>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522304"/>
    <w:rPr>
      <w:color w:val="0000FF"/>
      <w:u w:val="single"/>
    </w:rPr>
  </w:style>
  <w:style w:type="character" w:styleId="UnresolvedMention">
    <w:name w:val="Unresolved Mention"/>
    <w:uiPriority w:val="99"/>
    <w:semiHidden/>
    <w:unhideWhenUsed/>
    <w:rsid w:val="00C243C9"/>
    <w:rPr>
      <w:color w:val="605E5C"/>
      <w:shd w:val="clear" w:color="auto" w:fill="E1DFDD"/>
    </w:rPr>
  </w:style>
  <w:style w:type="table" w:styleId="PlainTable4">
    <w:name w:val="Plain Table 4"/>
    <w:basedOn w:val="TableNormal"/>
    <w:uiPriority w:val="44"/>
    <w:rsid w:val="00AE348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522304"/>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522304"/>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522304"/>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522304"/>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522304"/>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522304"/>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522304"/>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522304"/>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522304"/>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522304"/>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522304"/>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522304"/>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522304"/>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522304"/>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522304"/>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522304"/>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522304"/>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522304"/>
  </w:style>
  <w:style w:type="paragraph" w:styleId="Bibliography">
    <w:name w:val="Bibliography"/>
    <w:basedOn w:val="Normal"/>
    <w:next w:val="Normal"/>
    <w:uiPriority w:val="37"/>
    <w:semiHidden/>
    <w:unhideWhenUsed/>
    <w:rsid w:val="00522304"/>
  </w:style>
  <w:style w:type="paragraph" w:styleId="BodyText">
    <w:name w:val="Body Text"/>
    <w:link w:val="BodyTextChar"/>
    <w:rsid w:val="00522304"/>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522304"/>
    <w:rPr>
      <w:rFonts w:ascii="Palatino Linotype" w:hAnsi="Palatino Linotype"/>
      <w:color w:val="000000"/>
      <w:sz w:val="24"/>
      <w:lang w:eastAsia="de-DE"/>
    </w:rPr>
  </w:style>
  <w:style w:type="character" w:styleId="CommentReference">
    <w:name w:val="annotation reference"/>
    <w:uiPriority w:val="99"/>
    <w:rsid w:val="00522304"/>
    <w:rPr>
      <w:sz w:val="21"/>
      <w:szCs w:val="21"/>
    </w:rPr>
  </w:style>
  <w:style w:type="paragraph" w:styleId="CommentText">
    <w:name w:val="annotation text"/>
    <w:basedOn w:val="Normal"/>
    <w:link w:val="CommentTextChar"/>
    <w:uiPriority w:val="99"/>
    <w:rsid w:val="00522304"/>
  </w:style>
  <w:style w:type="character" w:customStyle="1" w:styleId="CommentTextChar">
    <w:name w:val="Comment Text Char"/>
    <w:link w:val="CommentText"/>
    <w:uiPriority w:val="99"/>
    <w:rsid w:val="00522304"/>
    <w:rPr>
      <w:rFonts w:ascii="Palatino Linotype" w:hAnsi="Palatino Linotype"/>
      <w:noProof/>
      <w:color w:val="000000"/>
    </w:rPr>
  </w:style>
  <w:style w:type="paragraph" w:styleId="CommentSubject">
    <w:name w:val="annotation subject"/>
    <w:basedOn w:val="CommentText"/>
    <w:next w:val="CommentText"/>
    <w:link w:val="CommentSubjectChar"/>
    <w:uiPriority w:val="99"/>
    <w:rsid w:val="00522304"/>
    <w:rPr>
      <w:b/>
      <w:bCs/>
    </w:rPr>
  </w:style>
  <w:style w:type="character" w:customStyle="1" w:styleId="CommentSubjectChar">
    <w:name w:val="Comment Subject Char"/>
    <w:link w:val="CommentSubject"/>
    <w:uiPriority w:val="99"/>
    <w:rsid w:val="00522304"/>
    <w:rPr>
      <w:rFonts w:ascii="Palatino Linotype" w:hAnsi="Palatino Linotype"/>
      <w:b/>
      <w:bCs/>
      <w:noProof/>
      <w:color w:val="000000"/>
    </w:rPr>
  </w:style>
  <w:style w:type="character" w:styleId="EndnoteReference">
    <w:name w:val="endnote reference"/>
    <w:rsid w:val="00522304"/>
    <w:rPr>
      <w:vertAlign w:val="superscript"/>
    </w:rPr>
  </w:style>
  <w:style w:type="paragraph" w:styleId="EndnoteText">
    <w:name w:val="endnote text"/>
    <w:basedOn w:val="Normal"/>
    <w:link w:val="EndnoteTextChar"/>
    <w:semiHidden/>
    <w:unhideWhenUsed/>
    <w:rsid w:val="00522304"/>
    <w:pPr>
      <w:spacing w:line="240" w:lineRule="auto"/>
    </w:pPr>
  </w:style>
  <w:style w:type="character" w:customStyle="1" w:styleId="EndnoteTextChar">
    <w:name w:val="Endnote Text Char"/>
    <w:link w:val="EndnoteText"/>
    <w:semiHidden/>
    <w:rsid w:val="00522304"/>
    <w:rPr>
      <w:rFonts w:ascii="Palatino Linotype" w:hAnsi="Palatino Linotype"/>
      <w:noProof/>
      <w:color w:val="000000"/>
    </w:rPr>
  </w:style>
  <w:style w:type="character" w:styleId="FollowedHyperlink">
    <w:name w:val="FollowedHyperlink"/>
    <w:uiPriority w:val="99"/>
    <w:rsid w:val="00522304"/>
    <w:rPr>
      <w:color w:val="954F72"/>
      <w:u w:val="single"/>
    </w:rPr>
  </w:style>
  <w:style w:type="paragraph" w:styleId="FootnoteText">
    <w:name w:val="footnote text"/>
    <w:basedOn w:val="Normal"/>
    <w:link w:val="FootnoteTextChar"/>
    <w:semiHidden/>
    <w:unhideWhenUsed/>
    <w:rsid w:val="00522304"/>
    <w:pPr>
      <w:spacing w:line="240" w:lineRule="auto"/>
    </w:pPr>
  </w:style>
  <w:style w:type="character" w:customStyle="1" w:styleId="FootnoteTextChar">
    <w:name w:val="Footnote Text Char"/>
    <w:link w:val="FootnoteText"/>
    <w:semiHidden/>
    <w:rsid w:val="00522304"/>
    <w:rPr>
      <w:rFonts w:ascii="Palatino Linotype" w:hAnsi="Palatino Linotype"/>
      <w:noProof/>
      <w:color w:val="000000"/>
    </w:rPr>
  </w:style>
  <w:style w:type="paragraph" w:styleId="NormalWeb">
    <w:name w:val="Normal (Web)"/>
    <w:basedOn w:val="Normal"/>
    <w:uiPriority w:val="99"/>
    <w:rsid w:val="00522304"/>
    <w:rPr>
      <w:szCs w:val="24"/>
    </w:rPr>
  </w:style>
  <w:style w:type="paragraph" w:customStyle="1" w:styleId="MsoFootnoteText0">
    <w:name w:val="MsoFootnoteText"/>
    <w:basedOn w:val="NormalWeb"/>
    <w:qFormat/>
    <w:rsid w:val="00522304"/>
    <w:rPr>
      <w:rFonts w:ascii="Times New Roman" w:hAnsi="Times New Roman"/>
    </w:rPr>
  </w:style>
  <w:style w:type="character" w:styleId="PageNumber">
    <w:name w:val="page number"/>
    <w:uiPriority w:val="99"/>
    <w:rsid w:val="00522304"/>
  </w:style>
  <w:style w:type="character" w:styleId="PlaceholderText">
    <w:name w:val="Placeholder Text"/>
    <w:uiPriority w:val="99"/>
    <w:semiHidden/>
    <w:rsid w:val="00522304"/>
    <w:rPr>
      <w:color w:val="808080"/>
    </w:rPr>
  </w:style>
  <w:style w:type="paragraph" w:styleId="Caption">
    <w:name w:val="caption"/>
    <w:basedOn w:val="Normal"/>
    <w:next w:val="Normal"/>
    <w:uiPriority w:val="35"/>
    <w:unhideWhenUsed/>
    <w:qFormat/>
    <w:rsid w:val="0095596F"/>
    <w:pPr>
      <w:spacing w:after="200" w:line="240" w:lineRule="auto"/>
      <w:jc w:val="left"/>
    </w:pPr>
    <w:rPr>
      <w:rFonts w:ascii="Times New Roman" w:eastAsia="Times New Roman" w:hAnsi="Times New Roman"/>
      <w:i/>
      <w:iCs/>
      <w:color w:val="44546A"/>
      <w:sz w:val="18"/>
      <w:szCs w:val="18"/>
      <w:lang w:val="en-AU" w:eastAsia="en-GB"/>
    </w:rPr>
  </w:style>
  <w:style w:type="character" w:customStyle="1" w:styleId="Heading1Char">
    <w:name w:val="Heading 1 Char"/>
    <w:link w:val="Heading1"/>
    <w:uiPriority w:val="9"/>
    <w:rsid w:val="004863FA"/>
    <w:rPr>
      <w:rFonts w:ascii="Times New Roman" w:eastAsia="Times New Roman" w:hAnsi="Times New Roman"/>
      <w:b/>
      <w:bCs/>
      <w:kern w:val="36"/>
      <w:sz w:val="48"/>
      <w:szCs w:val="48"/>
      <w:lang w:eastAsia="en-US"/>
    </w:rPr>
  </w:style>
  <w:style w:type="paragraph" w:styleId="ListParagraph">
    <w:name w:val="List Paragraph"/>
    <w:basedOn w:val="Normal"/>
    <w:uiPriority w:val="34"/>
    <w:qFormat/>
    <w:rsid w:val="004863FA"/>
    <w:pPr>
      <w:spacing w:line="240" w:lineRule="auto"/>
      <w:ind w:left="720"/>
      <w:contextualSpacing/>
      <w:jc w:val="left"/>
    </w:pPr>
    <w:rPr>
      <w:rFonts w:ascii="Times New Roman" w:eastAsia="Times New Roman" w:hAnsi="Times New Roman"/>
      <w:color w:val="auto"/>
      <w:sz w:val="24"/>
      <w:szCs w:val="24"/>
      <w:lang w:val="en-AU" w:eastAsia="en-GB"/>
    </w:rPr>
  </w:style>
  <w:style w:type="paragraph" w:styleId="Revision">
    <w:name w:val="Revision"/>
    <w:hidden/>
    <w:uiPriority w:val="99"/>
    <w:semiHidden/>
    <w:rsid w:val="004863FA"/>
    <w:rPr>
      <w:rFonts w:ascii="Times New Roman" w:eastAsia="Times New Roman" w:hAnsi="Times New Roman"/>
      <w:sz w:val="24"/>
      <w:szCs w:val="24"/>
      <w:lang w:val="en-AU" w:eastAsia="en-GB"/>
    </w:rPr>
  </w:style>
  <w:style w:type="character" w:customStyle="1" w:styleId="mark9b3iu3quo">
    <w:name w:val="mark9b3iu3quo"/>
    <w:basedOn w:val="DefaultParagraphFont"/>
    <w:rsid w:val="004863FA"/>
  </w:style>
  <w:style w:type="character" w:customStyle="1" w:styleId="markh5s6dr9yl">
    <w:name w:val="markh5s6dr9yl"/>
    <w:basedOn w:val="DefaultParagraphFont"/>
    <w:rsid w:val="004863FA"/>
  </w:style>
  <w:style w:type="character" w:customStyle="1" w:styleId="markrmutbz5pk">
    <w:name w:val="markrmutbz5pk"/>
    <w:basedOn w:val="DefaultParagraphFont"/>
    <w:rsid w:val="004863FA"/>
  </w:style>
  <w:style w:type="numbering" w:customStyle="1" w:styleId="Singlepunch">
    <w:name w:val="Single punch"/>
    <w:rsid w:val="004863FA"/>
    <w:pPr>
      <w:numPr>
        <w:numId w:val="4"/>
      </w:numPr>
    </w:pPr>
  </w:style>
  <w:style w:type="character" w:customStyle="1" w:styleId="doi">
    <w:name w:val="doi"/>
    <w:basedOn w:val="DefaultParagraphFont"/>
    <w:rsid w:val="004863FA"/>
  </w:style>
  <w:style w:type="character" w:customStyle="1" w:styleId="c-pdf-downloadtext">
    <w:name w:val="c-pdf-download__text"/>
    <w:basedOn w:val="DefaultParagraphFont"/>
    <w:rsid w:val="004863FA"/>
  </w:style>
  <w:style w:type="paragraph" w:customStyle="1" w:styleId="c-article-identifiersitem">
    <w:name w:val="c-article-identifiers__item"/>
    <w:basedOn w:val="Normal"/>
    <w:rsid w:val="004863FA"/>
    <w:pPr>
      <w:spacing w:before="100" w:beforeAutospacing="1" w:after="100" w:afterAutospacing="1" w:line="240" w:lineRule="auto"/>
      <w:jc w:val="left"/>
    </w:pPr>
    <w:rPr>
      <w:rFonts w:ascii="Times New Roman" w:eastAsia="Times New Roman" w:hAnsi="Times New Roman"/>
      <w:color w:val="auto"/>
      <w:sz w:val="24"/>
      <w:szCs w:val="24"/>
      <w:lang w:eastAsia="en-US"/>
    </w:rPr>
  </w:style>
  <w:style w:type="paragraph" w:customStyle="1" w:styleId="c-article-author-listitem">
    <w:name w:val="c-article-author-list__item"/>
    <w:basedOn w:val="Normal"/>
    <w:rsid w:val="004863FA"/>
    <w:pPr>
      <w:spacing w:before="100" w:beforeAutospacing="1" w:after="100" w:afterAutospacing="1" w:line="240" w:lineRule="auto"/>
      <w:jc w:val="left"/>
    </w:pPr>
    <w:rPr>
      <w:rFonts w:ascii="Times New Roman" w:eastAsia="Times New Roman" w:hAnsi="Times New Roman"/>
      <w:color w:val="auto"/>
      <w:sz w:val="24"/>
      <w:szCs w:val="24"/>
      <w:lang w:eastAsia="en-US"/>
    </w:rPr>
  </w:style>
  <w:style w:type="paragraph" w:customStyle="1" w:styleId="c-article-info-details">
    <w:name w:val="c-article-info-details"/>
    <w:basedOn w:val="Normal"/>
    <w:rsid w:val="004863FA"/>
    <w:pPr>
      <w:spacing w:before="100" w:beforeAutospacing="1" w:after="100" w:afterAutospacing="1" w:line="240" w:lineRule="auto"/>
      <w:jc w:val="left"/>
    </w:pPr>
    <w:rPr>
      <w:rFonts w:ascii="Times New Roman" w:eastAsia="Times New Roman" w:hAnsi="Times New Roman"/>
      <w:color w:val="auto"/>
      <w:sz w:val="24"/>
      <w:szCs w:val="24"/>
      <w:lang w:eastAsia="en-US"/>
    </w:rPr>
  </w:style>
  <w:style w:type="character" w:customStyle="1" w:styleId="u-visually-hidden">
    <w:name w:val="u-visually-hidden"/>
    <w:basedOn w:val="DefaultParagraphFont"/>
    <w:rsid w:val="004863FA"/>
  </w:style>
  <w:style w:type="character" w:customStyle="1" w:styleId="fm-vol-iss-date">
    <w:name w:val="fm-vol-iss-date"/>
    <w:basedOn w:val="DefaultParagraphFont"/>
    <w:rsid w:val="004863FA"/>
  </w:style>
  <w:style w:type="character" w:customStyle="1" w:styleId="fm-citation-ids-label">
    <w:name w:val="fm-citation-ids-label"/>
    <w:basedOn w:val="DefaultParagraphFont"/>
    <w:rsid w:val="004863FA"/>
  </w:style>
  <w:style w:type="character" w:customStyle="1" w:styleId="accordion-tabbedtab-mobile">
    <w:name w:val="accordion-tabbed__tab-mobile"/>
    <w:basedOn w:val="DefaultParagraphFont"/>
    <w:rsid w:val="004863FA"/>
  </w:style>
  <w:style w:type="character" w:customStyle="1" w:styleId="comma-separator">
    <w:name w:val="comma-separator"/>
    <w:basedOn w:val="DefaultParagraphFont"/>
    <w:rsid w:val="004863FA"/>
  </w:style>
  <w:style w:type="character" w:customStyle="1" w:styleId="epub-state">
    <w:name w:val="epub-state"/>
    <w:basedOn w:val="DefaultParagraphFont"/>
    <w:rsid w:val="004863FA"/>
  </w:style>
  <w:style w:type="character" w:customStyle="1" w:styleId="epub-date">
    <w:name w:val="epub-date"/>
    <w:basedOn w:val="DefaultParagraphFont"/>
    <w:rsid w:val="004863FA"/>
  </w:style>
  <w:style w:type="character" w:styleId="Emphasis">
    <w:name w:val="Emphasis"/>
    <w:uiPriority w:val="20"/>
    <w:qFormat/>
    <w:rsid w:val="004863FA"/>
    <w:rPr>
      <w:i/>
      <w:iCs/>
    </w:rPr>
  </w:style>
  <w:style w:type="paragraph" w:styleId="HTMLPreformatted">
    <w:name w:val="HTML Preformatted"/>
    <w:basedOn w:val="Normal"/>
    <w:link w:val="HTMLPreformattedChar"/>
    <w:uiPriority w:val="99"/>
    <w:semiHidden/>
    <w:unhideWhenUsed/>
    <w:rsid w:val="00A84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auto"/>
    </w:rPr>
  </w:style>
  <w:style w:type="character" w:customStyle="1" w:styleId="HTMLPreformattedChar">
    <w:name w:val="HTML Preformatted Char"/>
    <w:link w:val="HTMLPreformatted"/>
    <w:uiPriority w:val="99"/>
    <w:semiHidden/>
    <w:rsid w:val="00A8408B"/>
    <w:rPr>
      <w:rFonts w:ascii="Courier New" w:eastAsia="Times New Roman" w:hAnsi="Courier New" w:cs="Courier New"/>
    </w:rPr>
  </w:style>
  <w:style w:type="paragraph" w:customStyle="1" w:styleId="MDPI71FootNotes">
    <w:name w:val="MDPI_7.1_FootNotes"/>
    <w:qFormat/>
    <w:rsid w:val="008A4C39"/>
    <w:pPr>
      <w:numPr>
        <w:numId w:val="6"/>
      </w:numPr>
      <w:adjustRightInd w:val="0"/>
      <w:snapToGrid w:val="0"/>
      <w:spacing w:line="228" w:lineRule="auto"/>
    </w:pPr>
    <w:rPr>
      <w:rFonts w:ascii="Palatino Linotype" w:eastAsiaTheme="minorEastAsia" w:hAnsi="Palatino Linotype"/>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977486">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dickson@ecu.edu.au" TargetMode="External"/><Relationship Id="rId13" Type="http://schemas.openxmlformats.org/officeDocument/2006/relationships/comments" Target="comments.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23" Type="http://schemas.microsoft.com/office/2011/relationships/people" Target="people.xm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j.dickson@ecu.edu.au" TargetMode="External"/><Relationship Id="rId14" Type="http://schemas.microsoft.com/office/2011/relationships/commentsExtended" Target="commentsExtended.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st\Downloads\ijerph-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C:\Users\test\Downloads\ijerph-template.dot</Template>
  <TotalTime>81</TotalTime>
  <Pages>21</Pages>
  <Words>9212</Words>
  <Characters>52511</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A</vt:lpstr>
    </vt:vector>
  </TitlesOfParts>
  <Company/>
  <LinksUpToDate>false</LinksUpToDate>
  <CharactersWithSpaces>61600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MDPI</dc:creator>
  <cp:keywords/>
  <dc:description/>
  <cp:lastModifiedBy>Huntley, Chris</cp:lastModifiedBy>
  <cp:revision>5</cp:revision>
  <cp:lastPrinted>2023-01-02T03:34:00Z</cp:lastPrinted>
  <dcterms:created xsi:type="dcterms:W3CDTF">2023-01-02T07:31:00Z</dcterms:created>
  <dcterms:modified xsi:type="dcterms:W3CDTF">2023-01-04T11:27:00Z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ac2a1fec3795d92482dbe1bc92f629bcb40aad05b8b71da8db23c53026b5e144</vt:lpwstr>
  </property>
</Properties>
</file>