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B0B403" w14:textId="3D41CC8B" w:rsidR="004F7008" w:rsidRDefault="009B2070" w:rsidP="00A27F83">
      <w:pPr>
        <w:spacing w:line="360" w:lineRule="auto"/>
      </w:pPr>
      <w:proofErr w:type="spellStart"/>
      <w:r w:rsidRPr="000959BA">
        <w:rPr>
          <w:rFonts w:eastAsiaTheme="minorHAnsi"/>
          <w:b/>
          <w:bCs/>
          <w:color w:val="000000" w:themeColor="text1"/>
          <w:lang w:val="en-GB" w:eastAsia="en-US"/>
        </w:rPr>
        <w:t>IVIg</w:t>
      </w:r>
      <w:proofErr w:type="spellEnd"/>
      <w:r w:rsidRPr="000959BA">
        <w:rPr>
          <w:rFonts w:eastAsiaTheme="minorHAnsi"/>
          <w:b/>
          <w:bCs/>
          <w:color w:val="000000" w:themeColor="text1"/>
          <w:lang w:val="en-GB" w:eastAsia="en-US"/>
        </w:rPr>
        <w:t>-</w:t>
      </w:r>
      <w:r w:rsidR="00673077">
        <w:rPr>
          <w:rFonts w:eastAsiaTheme="minorHAnsi"/>
          <w:b/>
          <w:bCs/>
          <w:color w:val="000000" w:themeColor="text1"/>
          <w:lang w:val="en-GB" w:eastAsia="en-US"/>
        </w:rPr>
        <w:t>exposure and</w:t>
      </w:r>
      <w:r w:rsidR="00673077" w:rsidRPr="000959BA">
        <w:rPr>
          <w:rFonts w:eastAsiaTheme="minorHAnsi"/>
          <w:b/>
          <w:bCs/>
          <w:color w:val="000000" w:themeColor="text1"/>
          <w:lang w:val="en-GB" w:eastAsia="en-US"/>
        </w:rPr>
        <w:t xml:space="preserve"> </w:t>
      </w:r>
      <w:r w:rsidRPr="000959BA">
        <w:rPr>
          <w:rFonts w:eastAsiaTheme="minorHAnsi"/>
          <w:b/>
          <w:bCs/>
          <w:color w:val="000000" w:themeColor="text1"/>
          <w:lang w:val="en-GB" w:eastAsia="en-US"/>
        </w:rPr>
        <w:t>thromboembolic event risk</w:t>
      </w:r>
      <w:r w:rsidR="00576E5D">
        <w:rPr>
          <w:rFonts w:eastAsiaTheme="minorHAnsi"/>
          <w:b/>
          <w:bCs/>
          <w:color w:val="000000" w:themeColor="text1"/>
          <w:lang w:val="en-GB" w:eastAsia="en-US"/>
        </w:rPr>
        <w:t xml:space="preserve">: findings from </w:t>
      </w:r>
      <w:r w:rsidR="00673077">
        <w:rPr>
          <w:rFonts w:eastAsiaTheme="minorHAnsi"/>
          <w:b/>
          <w:bCs/>
          <w:color w:val="000000" w:themeColor="text1"/>
          <w:lang w:val="en-GB" w:eastAsia="en-US"/>
        </w:rPr>
        <w:t xml:space="preserve">the </w:t>
      </w:r>
      <w:r w:rsidR="00576E5D">
        <w:rPr>
          <w:rFonts w:eastAsiaTheme="minorHAnsi"/>
          <w:b/>
          <w:bCs/>
          <w:color w:val="000000" w:themeColor="text1"/>
          <w:lang w:val="en-GB" w:eastAsia="en-US"/>
        </w:rPr>
        <w:t>UK Biobank</w:t>
      </w:r>
    </w:p>
    <w:p w14:paraId="41296D5E" w14:textId="679DCF46" w:rsidR="004F7008" w:rsidRDefault="004F7008" w:rsidP="00A27F83">
      <w:pPr>
        <w:spacing w:line="360" w:lineRule="auto"/>
        <w:rPr>
          <w:rFonts w:eastAsiaTheme="minorHAnsi"/>
          <w:color w:val="1A1718"/>
          <w:lang w:val="en-GB" w:eastAsia="en-US"/>
        </w:rPr>
      </w:pPr>
      <w:r w:rsidRPr="001961BA">
        <w:rPr>
          <w:rFonts w:eastAsiaTheme="minorHAnsi"/>
          <w:color w:val="1A1718"/>
          <w:lang w:val="en-GB" w:eastAsia="en-US"/>
        </w:rPr>
        <w:t>Mahima Kapoor</w:t>
      </w:r>
      <w:r>
        <w:rPr>
          <w:rFonts w:eastAsiaTheme="minorHAnsi"/>
          <w:color w:val="1A1718"/>
          <w:lang w:val="en-GB" w:eastAsia="en-US"/>
        </w:rPr>
        <w:t xml:space="preserve"> FRACP</w:t>
      </w:r>
      <w:r w:rsidR="00463996" w:rsidRPr="00C801E7">
        <w:rPr>
          <w:rFonts w:eastAsiaTheme="minorHAnsi"/>
          <w:color w:val="1A1718"/>
          <w:vertAlign w:val="superscript"/>
          <w:lang w:val="en-GB" w:eastAsia="en-US"/>
        </w:rPr>
        <w:t>1,2</w:t>
      </w:r>
      <w:r>
        <w:rPr>
          <w:rFonts w:eastAsiaTheme="minorHAnsi"/>
          <w:color w:val="1A1718"/>
          <w:lang w:val="en-GB" w:eastAsia="en-US"/>
        </w:rPr>
        <w:t>, Ian Hunt PhD</w:t>
      </w:r>
      <w:r w:rsidR="00463996">
        <w:rPr>
          <w:rFonts w:eastAsiaTheme="minorHAnsi"/>
          <w:color w:val="1A1718"/>
          <w:vertAlign w:val="superscript"/>
          <w:lang w:val="en-GB" w:eastAsia="en-US"/>
        </w:rPr>
        <w:t>3</w:t>
      </w:r>
      <w:r>
        <w:rPr>
          <w:rFonts w:eastAsiaTheme="minorHAnsi"/>
          <w:color w:val="1A1718"/>
          <w:lang w:val="en-GB" w:eastAsia="en-US"/>
        </w:rPr>
        <w:t>, Jennifer Spillane PhD</w:t>
      </w:r>
      <w:r w:rsidR="00463996">
        <w:rPr>
          <w:rFonts w:eastAsiaTheme="minorHAnsi"/>
          <w:color w:val="1A1718"/>
          <w:vertAlign w:val="superscript"/>
          <w:lang w:val="en-GB" w:eastAsia="en-US"/>
        </w:rPr>
        <w:t>4,5</w:t>
      </w:r>
      <w:r>
        <w:rPr>
          <w:rFonts w:eastAsiaTheme="minorHAnsi"/>
          <w:color w:val="1A1718"/>
          <w:lang w:val="en-GB" w:eastAsia="en-US"/>
        </w:rPr>
        <w:t xml:space="preserve">, </w:t>
      </w:r>
      <w:r w:rsidRPr="001961BA">
        <w:rPr>
          <w:rFonts w:eastAsiaTheme="minorHAnsi"/>
          <w:color w:val="000000" w:themeColor="text1"/>
          <w:lang w:val="en-GB" w:eastAsia="en-US"/>
        </w:rPr>
        <w:t>Laura Bonnett</w:t>
      </w:r>
      <w:r>
        <w:rPr>
          <w:rFonts w:eastAsiaTheme="minorHAnsi"/>
          <w:color w:val="000000" w:themeColor="text1"/>
          <w:lang w:val="en-GB" w:eastAsia="en-US"/>
        </w:rPr>
        <w:t xml:space="preserve"> PhD</w:t>
      </w:r>
      <w:r w:rsidR="009339C6">
        <w:rPr>
          <w:rFonts w:eastAsiaTheme="minorHAnsi"/>
          <w:color w:val="1A1718"/>
          <w:vertAlign w:val="superscript"/>
          <w:lang w:val="en-GB" w:eastAsia="en-US"/>
        </w:rPr>
        <w:t>6</w:t>
      </w:r>
      <w:r>
        <w:rPr>
          <w:rFonts w:eastAsiaTheme="minorHAnsi"/>
          <w:color w:val="000000" w:themeColor="text1"/>
          <w:lang w:val="en-GB" w:eastAsia="en-US"/>
        </w:rPr>
        <w:t xml:space="preserve">, </w:t>
      </w:r>
      <w:r w:rsidR="00A61A73" w:rsidRPr="001961BA">
        <w:rPr>
          <w:rFonts w:eastAsiaTheme="minorHAnsi"/>
          <w:color w:val="000000" w:themeColor="text1"/>
          <w:lang w:val="en-GB" w:eastAsia="en-US"/>
        </w:rPr>
        <w:t>Elspeth J Hutton</w:t>
      </w:r>
      <w:r w:rsidR="00A61A73">
        <w:rPr>
          <w:rFonts w:eastAsiaTheme="minorHAnsi"/>
          <w:color w:val="000000" w:themeColor="text1"/>
          <w:lang w:val="en-GB" w:eastAsia="en-US"/>
        </w:rPr>
        <w:t xml:space="preserve"> PhD</w:t>
      </w:r>
      <w:r w:rsidR="00463996" w:rsidRPr="003B5222">
        <w:rPr>
          <w:rFonts w:eastAsiaTheme="minorHAnsi"/>
          <w:color w:val="1A1718"/>
          <w:vertAlign w:val="superscript"/>
          <w:lang w:val="en-GB" w:eastAsia="en-US"/>
        </w:rPr>
        <w:t>2</w:t>
      </w:r>
      <w:r w:rsidR="00A61A73">
        <w:rPr>
          <w:rFonts w:eastAsiaTheme="minorHAnsi"/>
          <w:color w:val="000000" w:themeColor="text1"/>
          <w:lang w:val="en-GB" w:eastAsia="en-US"/>
        </w:rPr>
        <w:t xml:space="preserve">, </w:t>
      </w:r>
      <w:r w:rsidR="00A61A73" w:rsidRPr="001961BA">
        <w:rPr>
          <w:rFonts w:eastAsiaTheme="minorHAnsi"/>
          <w:color w:val="000000" w:themeColor="text1"/>
          <w:lang w:val="en-GB" w:eastAsia="en-US"/>
        </w:rPr>
        <w:t>James McFadyen</w:t>
      </w:r>
      <w:r w:rsidR="00A61A73">
        <w:rPr>
          <w:rFonts w:eastAsiaTheme="minorHAnsi"/>
          <w:color w:val="000000" w:themeColor="text1"/>
          <w:lang w:val="en-GB" w:eastAsia="en-US"/>
        </w:rPr>
        <w:t xml:space="preserve"> PhD</w:t>
      </w:r>
      <w:r w:rsidR="009339C6">
        <w:rPr>
          <w:rFonts w:eastAsiaTheme="minorHAnsi"/>
          <w:color w:val="1A1718"/>
          <w:vertAlign w:val="superscript"/>
          <w:lang w:val="en-GB" w:eastAsia="en-US"/>
        </w:rPr>
        <w:t>7,8</w:t>
      </w:r>
      <w:r w:rsidR="00463996">
        <w:rPr>
          <w:rFonts w:eastAsiaTheme="minorHAnsi"/>
          <w:color w:val="1A1718"/>
          <w:vertAlign w:val="superscript"/>
          <w:lang w:val="en-GB" w:eastAsia="en-US"/>
        </w:rPr>
        <w:t>,9,10</w:t>
      </w:r>
      <w:r w:rsidR="00A61A73">
        <w:rPr>
          <w:rFonts w:eastAsiaTheme="minorHAnsi"/>
          <w:color w:val="000000" w:themeColor="text1"/>
          <w:lang w:val="en-GB" w:eastAsia="en-US"/>
        </w:rPr>
        <w:t xml:space="preserve">, </w:t>
      </w:r>
      <w:r w:rsidR="00A61A73" w:rsidRPr="001961BA">
        <w:rPr>
          <w:color w:val="212121"/>
          <w:shd w:val="clear" w:color="auto" w:fill="FFFFFF"/>
        </w:rPr>
        <w:t>John-Paul</w:t>
      </w:r>
      <w:r w:rsidR="00A61A73">
        <w:rPr>
          <w:color w:val="212121"/>
          <w:shd w:val="clear" w:color="auto" w:fill="FFFFFF"/>
        </w:rPr>
        <w:t xml:space="preserve"> </w:t>
      </w:r>
      <w:r w:rsidR="00A61A73" w:rsidRPr="001961BA">
        <w:rPr>
          <w:color w:val="212121"/>
          <w:shd w:val="clear" w:color="auto" w:fill="FFFFFF"/>
        </w:rPr>
        <w:t>Westwood</w:t>
      </w:r>
      <w:r w:rsidR="00A61A73">
        <w:rPr>
          <w:color w:val="212121"/>
          <w:shd w:val="clear" w:color="auto" w:fill="FFFFFF"/>
        </w:rPr>
        <w:t xml:space="preserve"> </w:t>
      </w:r>
      <w:r w:rsidR="00220E61">
        <w:rPr>
          <w:rFonts w:eastAsiaTheme="minorHAnsi"/>
          <w:color w:val="000000" w:themeColor="text1"/>
          <w:lang w:val="en-GB" w:eastAsia="en-US"/>
        </w:rPr>
        <w:t>M</w:t>
      </w:r>
      <w:r w:rsidR="00A61A73">
        <w:rPr>
          <w:rFonts w:eastAsiaTheme="minorHAnsi"/>
          <w:color w:val="000000" w:themeColor="text1"/>
          <w:lang w:val="en-GB" w:eastAsia="en-US"/>
        </w:rPr>
        <w:t>D</w:t>
      </w:r>
      <w:r w:rsidR="00220E61">
        <w:rPr>
          <w:rFonts w:eastAsiaTheme="minorHAnsi"/>
          <w:color w:val="1A1718"/>
          <w:vertAlign w:val="superscript"/>
          <w:lang w:val="en-GB" w:eastAsia="en-US"/>
        </w:rPr>
        <w:t>1</w:t>
      </w:r>
      <w:r w:rsidR="009339C6">
        <w:rPr>
          <w:rFonts w:eastAsiaTheme="minorHAnsi"/>
          <w:color w:val="1A1718"/>
          <w:vertAlign w:val="superscript"/>
          <w:lang w:val="en-GB" w:eastAsia="en-US"/>
        </w:rPr>
        <w:t>1</w:t>
      </w:r>
      <w:r w:rsidR="00A61A73">
        <w:rPr>
          <w:rFonts w:eastAsiaTheme="minorHAnsi"/>
          <w:color w:val="000000" w:themeColor="text1"/>
          <w:lang w:val="en-GB" w:eastAsia="en-US"/>
        </w:rPr>
        <w:t xml:space="preserve">, </w:t>
      </w:r>
      <w:r w:rsidR="00A61A73" w:rsidRPr="001961BA">
        <w:rPr>
          <w:color w:val="000000" w:themeColor="text1"/>
          <w:u w:color="212121"/>
          <w:shd w:val="clear" w:color="auto" w:fill="FFFFFF"/>
        </w:rPr>
        <w:t>Michael P Lunn</w:t>
      </w:r>
      <w:r w:rsidR="00A61A73">
        <w:rPr>
          <w:color w:val="000000" w:themeColor="text1"/>
          <w:u w:color="212121"/>
          <w:shd w:val="clear" w:color="auto" w:fill="FFFFFF"/>
        </w:rPr>
        <w:t xml:space="preserve"> </w:t>
      </w:r>
      <w:r w:rsidR="00A61A73">
        <w:rPr>
          <w:rFonts w:eastAsiaTheme="minorHAnsi"/>
          <w:color w:val="000000" w:themeColor="text1"/>
          <w:lang w:val="en-GB" w:eastAsia="en-US"/>
        </w:rPr>
        <w:t>PhD</w:t>
      </w:r>
      <w:r w:rsidR="006F15CC" w:rsidRPr="003B5222">
        <w:rPr>
          <w:rFonts w:eastAsiaTheme="minorHAnsi"/>
          <w:color w:val="1A1718"/>
          <w:vertAlign w:val="superscript"/>
          <w:lang w:val="en-GB" w:eastAsia="en-US"/>
        </w:rPr>
        <w:t>,</w:t>
      </w:r>
      <w:r w:rsidR="006F15CC">
        <w:rPr>
          <w:rFonts w:eastAsiaTheme="minorHAnsi"/>
          <w:color w:val="1A1718"/>
          <w:vertAlign w:val="superscript"/>
          <w:lang w:val="en-GB" w:eastAsia="en-US"/>
        </w:rPr>
        <w:t>1,1</w:t>
      </w:r>
      <w:r w:rsidR="009339C6">
        <w:rPr>
          <w:rFonts w:eastAsiaTheme="minorHAnsi"/>
          <w:color w:val="1A1718"/>
          <w:vertAlign w:val="superscript"/>
          <w:lang w:val="en-GB" w:eastAsia="en-US"/>
        </w:rPr>
        <w:t>2</w:t>
      </w:r>
      <w:r w:rsidR="00A61A73">
        <w:rPr>
          <w:rFonts w:eastAsiaTheme="minorHAnsi"/>
          <w:color w:val="000000" w:themeColor="text1"/>
          <w:lang w:val="en-GB" w:eastAsia="en-US"/>
        </w:rPr>
        <w:t xml:space="preserve">, </w:t>
      </w:r>
      <w:r w:rsidR="00A61A73" w:rsidRPr="001961BA">
        <w:rPr>
          <w:rFonts w:eastAsiaTheme="minorHAnsi"/>
          <w:color w:val="1A1718"/>
          <w:lang w:val="en-GB" w:eastAsia="en-US"/>
        </w:rPr>
        <w:t>Aisling S Carr</w:t>
      </w:r>
      <w:r w:rsidR="00A61A73">
        <w:rPr>
          <w:rFonts w:eastAsiaTheme="minorHAnsi"/>
          <w:color w:val="1A1718"/>
          <w:lang w:val="en-GB" w:eastAsia="en-US"/>
        </w:rPr>
        <w:t xml:space="preserve"> </w:t>
      </w:r>
      <w:r w:rsidR="00A61A73">
        <w:rPr>
          <w:rFonts w:eastAsiaTheme="minorHAnsi"/>
          <w:color w:val="000000" w:themeColor="text1"/>
          <w:lang w:val="en-GB" w:eastAsia="en-US"/>
        </w:rPr>
        <w:t>PhD</w:t>
      </w:r>
      <w:r w:rsidR="006F15CC">
        <w:rPr>
          <w:rFonts w:eastAsiaTheme="minorHAnsi"/>
          <w:color w:val="1A1718"/>
          <w:vertAlign w:val="superscript"/>
          <w:lang w:val="en-GB" w:eastAsia="en-US"/>
        </w:rPr>
        <w:t>1</w:t>
      </w:r>
      <w:r w:rsidR="00A61A73">
        <w:rPr>
          <w:rFonts w:eastAsiaTheme="minorHAnsi"/>
          <w:color w:val="000000" w:themeColor="text1"/>
          <w:lang w:val="en-GB" w:eastAsia="en-US"/>
        </w:rPr>
        <w:t xml:space="preserve">, </w:t>
      </w:r>
      <w:r w:rsidR="00A61A73" w:rsidRPr="001961BA">
        <w:rPr>
          <w:rFonts w:eastAsiaTheme="minorHAnsi"/>
          <w:color w:val="1A1718"/>
          <w:lang w:val="en-GB" w:eastAsia="en-US"/>
        </w:rPr>
        <w:t>Mary M Reilly</w:t>
      </w:r>
      <w:r w:rsidR="00A61A73">
        <w:rPr>
          <w:rFonts w:eastAsiaTheme="minorHAnsi"/>
          <w:color w:val="1A1718"/>
          <w:lang w:val="en-GB" w:eastAsia="en-US"/>
        </w:rPr>
        <w:t xml:space="preserve"> FRCP</w:t>
      </w:r>
      <w:r w:rsidR="006F15CC">
        <w:rPr>
          <w:rFonts w:eastAsiaTheme="minorHAnsi"/>
          <w:color w:val="1A1718"/>
          <w:vertAlign w:val="superscript"/>
          <w:lang w:val="en-GB" w:eastAsia="en-US"/>
        </w:rPr>
        <w:t>1</w:t>
      </w:r>
    </w:p>
    <w:p w14:paraId="12D53E4B" w14:textId="38D54D1A" w:rsidR="00463996" w:rsidRDefault="00463996" w:rsidP="00A27F83">
      <w:pPr>
        <w:spacing w:line="360" w:lineRule="auto"/>
        <w:rPr>
          <w:rFonts w:eastAsiaTheme="minorHAnsi"/>
          <w:color w:val="1A1718"/>
          <w:lang w:val="en-GB" w:eastAsia="en-US"/>
        </w:rPr>
      </w:pPr>
    </w:p>
    <w:p w14:paraId="60517AEE" w14:textId="77777777" w:rsidR="00463996" w:rsidRPr="001961BA" w:rsidRDefault="00463996" w:rsidP="00A27F83">
      <w:pPr>
        <w:spacing w:line="360" w:lineRule="auto"/>
      </w:pPr>
      <w:r>
        <w:rPr>
          <w:rFonts w:eastAsiaTheme="minorHAnsi"/>
          <w:color w:val="1A1718"/>
          <w:lang w:val="en-GB" w:eastAsia="en-US"/>
        </w:rPr>
        <w:t xml:space="preserve">1: </w:t>
      </w:r>
      <w:r w:rsidRPr="001961BA">
        <w:rPr>
          <w:color w:val="212121"/>
          <w:shd w:val="clear" w:color="auto" w:fill="FFFFFF"/>
        </w:rPr>
        <w:t>Centre for Neuromuscular Diseases, UCL Queen Square Institute of Neurology</w:t>
      </w:r>
      <w:r>
        <w:rPr>
          <w:color w:val="212121"/>
          <w:shd w:val="clear" w:color="auto" w:fill="FFFFFF"/>
        </w:rPr>
        <w:t xml:space="preserve"> and</w:t>
      </w:r>
      <w:r w:rsidRPr="001961BA">
        <w:rPr>
          <w:color w:val="212121"/>
          <w:shd w:val="clear" w:color="auto" w:fill="FFFFFF"/>
        </w:rPr>
        <w:t xml:space="preserve"> National Hospital for Neurology and Neurosurgery, Queen Square, London, UK.</w:t>
      </w:r>
    </w:p>
    <w:p w14:paraId="17AA0B7C" w14:textId="77777777" w:rsidR="00463996" w:rsidRPr="001961BA" w:rsidRDefault="00463996" w:rsidP="00A27F83">
      <w:pPr>
        <w:spacing w:line="360" w:lineRule="auto"/>
        <w:jc w:val="both"/>
        <w:rPr>
          <w:color w:val="000000" w:themeColor="text1"/>
        </w:rPr>
      </w:pPr>
      <w:r>
        <w:rPr>
          <w:rFonts w:eastAsiaTheme="minorHAnsi"/>
          <w:color w:val="1A1718"/>
          <w:lang w:val="en-GB" w:eastAsia="en-US"/>
        </w:rPr>
        <w:t xml:space="preserve">2: </w:t>
      </w:r>
      <w:r w:rsidRPr="001961BA">
        <w:rPr>
          <w:color w:val="000000" w:themeColor="text1"/>
        </w:rPr>
        <w:t>Department of Neurosciences, Central Clinical School, Monash University, The Alfred Centre, Level 6, 99 Commercial Road, Melbourne, VIC, Australia</w:t>
      </w:r>
    </w:p>
    <w:p w14:paraId="69FBA1A7" w14:textId="77C071D5" w:rsidR="00463996" w:rsidRDefault="00463996" w:rsidP="00A27F83">
      <w:pPr>
        <w:spacing w:line="360" w:lineRule="auto"/>
        <w:rPr>
          <w:color w:val="212121"/>
          <w:shd w:val="clear" w:color="auto" w:fill="FFFFFF"/>
        </w:rPr>
      </w:pPr>
      <w:r>
        <w:rPr>
          <w:rFonts w:eastAsiaTheme="minorHAnsi"/>
          <w:color w:val="1A1718"/>
          <w:lang w:val="en-GB" w:eastAsia="en-US"/>
        </w:rPr>
        <w:t>3:</w:t>
      </w:r>
      <w:r w:rsidRPr="00463996">
        <w:rPr>
          <w:color w:val="212121"/>
          <w:shd w:val="clear" w:color="auto" w:fill="FFFFFF"/>
        </w:rPr>
        <w:t xml:space="preserve"> </w:t>
      </w:r>
      <w:r w:rsidRPr="001961BA">
        <w:rPr>
          <w:color w:val="212121"/>
          <w:shd w:val="clear" w:color="auto" w:fill="FFFFFF"/>
        </w:rPr>
        <w:t>College of Sciences and Engineering, University of Tasmania, Tasmania, Australia</w:t>
      </w:r>
    </w:p>
    <w:p w14:paraId="2CDBE148" w14:textId="49876412" w:rsidR="00463996" w:rsidRDefault="00463996" w:rsidP="00A27F83">
      <w:pPr>
        <w:spacing w:line="360" w:lineRule="auto"/>
        <w:rPr>
          <w:rFonts w:eastAsiaTheme="minorHAnsi"/>
          <w:color w:val="1A1718"/>
          <w:lang w:val="en-GB" w:eastAsia="en-US"/>
        </w:rPr>
      </w:pPr>
      <w:r>
        <w:rPr>
          <w:rFonts w:eastAsiaTheme="minorHAnsi"/>
          <w:color w:val="1A1718"/>
          <w:lang w:val="en-GB" w:eastAsia="en-US"/>
        </w:rPr>
        <w:t>4:</w:t>
      </w:r>
      <w:r w:rsidRPr="00463996">
        <w:rPr>
          <w:color w:val="212121"/>
          <w:shd w:val="clear" w:color="auto" w:fill="FFFFFF"/>
        </w:rPr>
        <w:t xml:space="preserve"> </w:t>
      </w:r>
      <w:r w:rsidRPr="001961BA">
        <w:rPr>
          <w:color w:val="212121"/>
          <w:shd w:val="clear" w:color="auto" w:fill="FFFFFF"/>
        </w:rPr>
        <w:t>National Hospital for Neurology and Neurosurgery, University College London Hospitals NHS Foundation Trust, Queen Square, London, UK</w:t>
      </w:r>
    </w:p>
    <w:p w14:paraId="486431C1" w14:textId="2113D496" w:rsidR="00463996" w:rsidRDefault="00463996" w:rsidP="00A27F83">
      <w:pPr>
        <w:spacing w:line="360" w:lineRule="auto"/>
        <w:rPr>
          <w:rFonts w:eastAsiaTheme="minorHAnsi"/>
          <w:color w:val="1A1718"/>
          <w:lang w:val="en-GB" w:eastAsia="en-US"/>
        </w:rPr>
      </w:pPr>
      <w:r>
        <w:rPr>
          <w:rFonts w:eastAsiaTheme="minorHAnsi"/>
          <w:color w:val="1A1718"/>
          <w:lang w:val="en-GB" w:eastAsia="en-US"/>
        </w:rPr>
        <w:t xml:space="preserve">5: </w:t>
      </w:r>
      <w:r w:rsidRPr="001961BA">
        <w:rPr>
          <w:color w:val="212121"/>
          <w:shd w:val="clear" w:color="auto" w:fill="FFFFFF"/>
        </w:rPr>
        <w:t>Guy's and St Thomas' NHS Foundation Trust, London, UK</w:t>
      </w:r>
    </w:p>
    <w:p w14:paraId="4F9FE2F5" w14:textId="0D15189C" w:rsidR="00463996" w:rsidRDefault="009339C6" w:rsidP="00A27F83">
      <w:pPr>
        <w:spacing w:line="360" w:lineRule="auto"/>
        <w:rPr>
          <w:rFonts w:eastAsiaTheme="minorHAnsi"/>
          <w:color w:val="1A1718"/>
          <w:lang w:val="en-GB" w:eastAsia="en-US"/>
        </w:rPr>
      </w:pPr>
      <w:r>
        <w:rPr>
          <w:rFonts w:eastAsiaTheme="minorHAnsi"/>
          <w:color w:val="1A1718"/>
          <w:lang w:val="en-GB" w:eastAsia="en-US"/>
        </w:rPr>
        <w:t>6</w:t>
      </w:r>
      <w:r w:rsidR="00463996">
        <w:rPr>
          <w:rFonts w:eastAsiaTheme="minorHAnsi"/>
          <w:color w:val="1A1718"/>
          <w:lang w:val="en-GB" w:eastAsia="en-US"/>
        </w:rPr>
        <w:t xml:space="preserve">: </w:t>
      </w:r>
      <w:r w:rsidR="00463996" w:rsidRPr="001961BA">
        <w:rPr>
          <w:color w:val="212121"/>
          <w:shd w:val="clear" w:color="auto" w:fill="FFFFFF"/>
        </w:rPr>
        <w:t>Department of Health Data Science, University of Liverpool, Liverpool, UK</w:t>
      </w:r>
    </w:p>
    <w:p w14:paraId="6D74102B" w14:textId="7D5DD5A9" w:rsidR="00463996" w:rsidRPr="001961BA" w:rsidRDefault="009339C6" w:rsidP="00A27F83">
      <w:pPr>
        <w:shd w:val="clear" w:color="auto" w:fill="FFFFFF"/>
        <w:spacing w:line="360" w:lineRule="auto"/>
        <w:rPr>
          <w:color w:val="212121"/>
        </w:rPr>
      </w:pPr>
      <w:r>
        <w:rPr>
          <w:color w:val="212121"/>
        </w:rPr>
        <w:t>7</w:t>
      </w:r>
      <w:r w:rsidR="00463996">
        <w:rPr>
          <w:color w:val="212121"/>
        </w:rPr>
        <w:t xml:space="preserve">: </w:t>
      </w:r>
      <w:r w:rsidR="00463996" w:rsidRPr="001961BA">
        <w:rPr>
          <w:color w:val="212121"/>
        </w:rPr>
        <w:t>Atherothrombosis and Vascular Biology Laboratory, Baker Heart and Diabetes Institute, 75 Commercial Road, Melbourne, 3004 Victoria, Australia.</w:t>
      </w:r>
    </w:p>
    <w:p w14:paraId="189D24FB" w14:textId="13DAAF0E" w:rsidR="00463996" w:rsidRPr="001961BA" w:rsidRDefault="009339C6" w:rsidP="00A27F83">
      <w:pPr>
        <w:shd w:val="clear" w:color="auto" w:fill="FFFFFF"/>
        <w:spacing w:line="360" w:lineRule="auto"/>
        <w:rPr>
          <w:color w:val="212121"/>
        </w:rPr>
      </w:pPr>
      <w:r>
        <w:rPr>
          <w:color w:val="212121"/>
        </w:rPr>
        <w:t>8</w:t>
      </w:r>
      <w:r w:rsidR="00463996">
        <w:rPr>
          <w:color w:val="212121"/>
        </w:rPr>
        <w:t xml:space="preserve">: </w:t>
      </w:r>
      <w:r w:rsidR="00463996" w:rsidRPr="001961BA">
        <w:rPr>
          <w:color w:val="212121"/>
        </w:rPr>
        <w:t xml:space="preserve">Department of Clinical </w:t>
      </w:r>
      <w:proofErr w:type="spellStart"/>
      <w:r w:rsidR="00463996" w:rsidRPr="001961BA">
        <w:rPr>
          <w:color w:val="212121"/>
        </w:rPr>
        <w:t>Hematology</w:t>
      </w:r>
      <w:proofErr w:type="spellEnd"/>
      <w:r w:rsidR="00463996" w:rsidRPr="001961BA">
        <w:rPr>
          <w:color w:val="212121"/>
        </w:rPr>
        <w:t>, The Alfred Hospital, Melbourne, 3004 Victoria, Australia.</w:t>
      </w:r>
    </w:p>
    <w:p w14:paraId="5FA05F43" w14:textId="477A6CE6" w:rsidR="00463996" w:rsidRPr="001961BA" w:rsidRDefault="009339C6" w:rsidP="00A27F83">
      <w:pPr>
        <w:shd w:val="clear" w:color="auto" w:fill="FFFFFF"/>
        <w:spacing w:line="360" w:lineRule="auto"/>
        <w:rPr>
          <w:color w:val="212121"/>
        </w:rPr>
      </w:pPr>
      <w:r>
        <w:rPr>
          <w:color w:val="212121"/>
        </w:rPr>
        <w:t>9</w:t>
      </w:r>
      <w:r w:rsidR="00463996">
        <w:rPr>
          <w:color w:val="212121"/>
        </w:rPr>
        <w:t xml:space="preserve">: </w:t>
      </w:r>
      <w:r w:rsidR="00463996" w:rsidRPr="001961BA">
        <w:rPr>
          <w:color w:val="212121"/>
        </w:rPr>
        <w:t>Department of Medicine, Central Clinical School, Monash University, Melbourne, 3004 Victoria, Australia.</w:t>
      </w:r>
    </w:p>
    <w:p w14:paraId="26738261" w14:textId="3EB091F7" w:rsidR="00463996" w:rsidRPr="001961BA" w:rsidRDefault="00463996" w:rsidP="00A27F83">
      <w:pPr>
        <w:shd w:val="clear" w:color="auto" w:fill="FFFFFF"/>
        <w:spacing w:line="360" w:lineRule="auto"/>
        <w:rPr>
          <w:color w:val="212121"/>
        </w:rPr>
      </w:pPr>
      <w:r>
        <w:rPr>
          <w:color w:val="212121"/>
        </w:rPr>
        <w:t>1</w:t>
      </w:r>
      <w:r w:rsidR="009339C6">
        <w:rPr>
          <w:color w:val="212121"/>
        </w:rPr>
        <w:t>0</w:t>
      </w:r>
      <w:r>
        <w:rPr>
          <w:color w:val="212121"/>
        </w:rPr>
        <w:t xml:space="preserve">: </w:t>
      </w:r>
      <w:r w:rsidRPr="001961BA">
        <w:rPr>
          <w:color w:val="212121"/>
        </w:rPr>
        <w:t>Baker Department of Cardiometabolic Health, University of Melbourne, Melbourne, 3010 Victoria, Australia.</w:t>
      </w:r>
    </w:p>
    <w:p w14:paraId="7DF61829" w14:textId="16DC857A" w:rsidR="004F7008" w:rsidRDefault="00220E61" w:rsidP="00A27F83">
      <w:pPr>
        <w:spacing w:line="360" w:lineRule="auto"/>
        <w:rPr>
          <w:color w:val="212121"/>
          <w:shd w:val="clear" w:color="auto" w:fill="FFFFFF"/>
        </w:rPr>
      </w:pPr>
      <w:r>
        <w:rPr>
          <w:rFonts w:eastAsiaTheme="minorHAnsi"/>
          <w:color w:val="1A1718"/>
          <w:lang w:val="en-GB" w:eastAsia="en-US"/>
        </w:rPr>
        <w:t>1</w:t>
      </w:r>
      <w:r w:rsidR="009339C6">
        <w:rPr>
          <w:rFonts w:eastAsiaTheme="minorHAnsi"/>
          <w:color w:val="1A1718"/>
          <w:lang w:val="en-GB" w:eastAsia="en-US"/>
        </w:rPr>
        <w:t>1</w:t>
      </w:r>
      <w:r>
        <w:rPr>
          <w:rFonts w:eastAsiaTheme="minorHAnsi"/>
          <w:color w:val="1A1718"/>
          <w:lang w:val="en-GB" w:eastAsia="en-US"/>
        </w:rPr>
        <w:t xml:space="preserve">: </w:t>
      </w:r>
      <w:r w:rsidR="004F7008" w:rsidRPr="001961BA">
        <w:rPr>
          <w:color w:val="212121"/>
          <w:shd w:val="clear" w:color="auto" w:fill="FFFFFF"/>
        </w:rPr>
        <w:t>Department of Haematology, University College London Hospital, London, United Kingdom</w:t>
      </w:r>
    </w:p>
    <w:p w14:paraId="1E9624AE" w14:textId="24F95D82" w:rsidR="006F15CC" w:rsidRDefault="006F15CC" w:rsidP="00A27F83">
      <w:pPr>
        <w:spacing w:line="360" w:lineRule="auto"/>
        <w:jc w:val="both"/>
        <w:rPr>
          <w:color w:val="000000" w:themeColor="text1"/>
        </w:rPr>
      </w:pPr>
      <w:r>
        <w:rPr>
          <w:color w:val="212121"/>
          <w:shd w:val="clear" w:color="auto" w:fill="FFFFFF"/>
        </w:rPr>
        <w:t>1</w:t>
      </w:r>
      <w:r w:rsidR="009339C6">
        <w:rPr>
          <w:color w:val="212121"/>
          <w:shd w:val="clear" w:color="auto" w:fill="FFFFFF"/>
        </w:rPr>
        <w:t>2</w:t>
      </w:r>
      <w:r>
        <w:rPr>
          <w:color w:val="212121"/>
          <w:shd w:val="clear" w:color="auto" w:fill="FFFFFF"/>
        </w:rPr>
        <w:t xml:space="preserve">: </w:t>
      </w:r>
      <w:r w:rsidRPr="001961BA">
        <w:rPr>
          <w:color w:val="000000" w:themeColor="text1"/>
          <w:shd w:val="clear" w:color="auto" w:fill="FFFFFF"/>
        </w:rPr>
        <w:t>Neuroimmunology and CSF Laboratory (NICL), UCL Queen Square Institute of Neurology, London, UK</w:t>
      </w:r>
    </w:p>
    <w:p w14:paraId="51F68731" w14:textId="77777777" w:rsidR="004F7008" w:rsidRPr="000959BA" w:rsidRDefault="004F7008" w:rsidP="00A27F83">
      <w:pPr>
        <w:spacing w:line="360" w:lineRule="auto"/>
      </w:pPr>
    </w:p>
    <w:p w14:paraId="006EE2B6" w14:textId="77777777" w:rsidR="00CD0F2F" w:rsidRPr="000959BA" w:rsidRDefault="00CD0F2F" w:rsidP="00A27F83">
      <w:pPr>
        <w:spacing w:line="360" w:lineRule="auto"/>
        <w:rPr>
          <w:b/>
          <w:bCs/>
          <w:color w:val="000000" w:themeColor="text1"/>
        </w:rPr>
      </w:pPr>
      <w:r w:rsidRPr="000959BA">
        <w:rPr>
          <w:b/>
          <w:bCs/>
          <w:color w:val="000000" w:themeColor="text1"/>
        </w:rPr>
        <w:t xml:space="preserve">Corresponding Author: </w:t>
      </w:r>
    </w:p>
    <w:p w14:paraId="5A0758FD" w14:textId="27295FAB" w:rsidR="000959BA" w:rsidRPr="000959BA" w:rsidRDefault="00CD0F2F" w:rsidP="00A27F83">
      <w:pPr>
        <w:spacing w:line="360" w:lineRule="auto"/>
        <w:rPr>
          <w:color w:val="000000" w:themeColor="text1"/>
        </w:rPr>
      </w:pPr>
      <w:r w:rsidRPr="000959BA">
        <w:rPr>
          <w:color w:val="000000" w:themeColor="text1"/>
        </w:rPr>
        <w:t>Mahima Kapoor</w:t>
      </w:r>
    </w:p>
    <w:p w14:paraId="63EE0563" w14:textId="59A09C76" w:rsidR="00CD0F2F" w:rsidRPr="00D901E9" w:rsidRDefault="00CD0F2F" w:rsidP="00A27F83">
      <w:pPr>
        <w:spacing w:line="360" w:lineRule="auto"/>
        <w:rPr>
          <w:color w:val="000000" w:themeColor="text1"/>
        </w:rPr>
      </w:pPr>
      <w:r w:rsidRPr="00D901E9">
        <w:rPr>
          <w:color w:val="000000" w:themeColor="text1"/>
        </w:rPr>
        <w:t>m</w:t>
      </w:r>
      <w:r w:rsidR="00DD0836">
        <w:rPr>
          <w:color w:val="000000" w:themeColor="text1"/>
        </w:rPr>
        <w:t>a</w:t>
      </w:r>
      <w:r w:rsidRPr="00D901E9">
        <w:rPr>
          <w:color w:val="000000" w:themeColor="text1"/>
        </w:rPr>
        <w:t>hima.kapoor@monash.edu</w:t>
      </w:r>
    </w:p>
    <w:p w14:paraId="66689F97" w14:textId="77777777" w:rsidR="00D901E9" w:rsidRDefault="00CD0F2F" w:rsidP="00A27F83">
      <w:pPr>
        <w:spacing w:line="360" w:lineRule="auto"/>
        <w:rPr>
          <w:color w:val="000000" w:themeColor="text1"/>
        </w:rPr>
      </w:pPr>
      <w:r w:rsidRPr="00D901E9">
        <w:rPr>
          <w:color w:val="000000" w:themeColor="text1"/>
        </w:rPr>
        <w:t>Central Clinical School</w:t>
      </w:r>
      <w:r w:rsidR="00D901E9">
        <w:rPr>
          <w:color w:val="000000" w:themeColor="text1"/>
        </w:rPr>
        <w:t xml:space="preserve">, </w:t>
      </w:r>
      <w:r w:rsidRPr="00D901E9">
        <w:rPr>
          <w:color w:val="000000" w:themeColor="text1"/>
        </w:rPr>
        <w:t xml:space="preserve">Department of Neurosciences </w:t>
      </w:r>
    </w:p>
    <w:p w14:paraId="78C33931" w14:textId="0C11B900" w:rsidR="00CD0F2F" w:rsidRPr="00D901E9" w:rsidRDefault="00D901E9" w:rsidP="00A27F83">
      <w:pPr>
        <w:spacing w:line="360" w:lineRule="auto"/>
        <w:rPr>
          <w:color w:val="000000" w:themeColor="text1"/>
        </w:rPr>
      </w:pPr>
      <w:r w:rsidRPr="00D901E9">
        <w:rPr>
          <w:color w:val="000000" w:themeColor="text1"/>
        </w:rPr>
        <w:t>Monash University</w:t>
      </w:r>
      <w:r>
        <w:rPr>
          <w:color w:val="000000" w:themeColor="text1"/>
        </w:rPr>
        <w:t xml:space="preserve">, </w:t>
      </w:r>
      <w:r w:rsidR="00CD0F2F" w:rsidRPr="00D901E9">
        <w:rPr>
          <w:color w:val="000000" w:themeColor="text1"/>
        </w:rPr>
        <w:t>Level 6</w:t>
      </w:r>
      <w:r>
        <w:rPr>
          <w:color w:val="000000" w:themeColor="text1"/>
        </w:rPr>
        <w:t xml:space="preserve">, </w:t>
      </w:r>
      <w:r w:rsidR="00CD0F2F" w:rsidRPr="00D901E9">
        <w:rPr>
          <w:color w:val="000000" w:themeColor="text1"/>
        </w:rPr>
        <w:t>99 Commercial Road</w:t>
      </w:r>
      <w:r>
        <w:rPr>
          <w:color w:val="000000" w:themeColor="text1"/>
        </w:rPr>
        <w:t xml:space="preserve">, </w:t>
      </w:r>
      <w:r w:rsidR="00CD0F2F" w:rsidRPr="00D901E9">
        <w:rPr>
          <w:color w:val="000000" w:themeColor="text1"/>
        </w:rPr>
        <w:t>Melbourne</w:t>
      </w:r>
      <w:r>
        <w:rPr>
          <w:color w:val="000000" w:themeColor="text1"/>
        </w:rPr>
        <w:t xml:space="preserve">, </w:t>
      </w:r>
      <w:r w:rsidR="00CD0F2F" w:rsidRPr="00D901E9">
        <w:rPr>
          <w:color w:val="000000" w:themeColor="text1"/>
        </w:rPr>
        <w:t>VIC 3004</w:t>
      </w:r>
      <w:r>
        <w:rPr>
          <w:color w:val="000000" w:themeColor="text1"/>
        </w:rPr>
        <w:t xml:space="preserve">, </w:t>
      </w:r>
      <w:r w:rsidR="00CD0F2F" w:rsidRPr="00D901E9">
        <w:rPr>
          <w:color w:val="000000" w:themeColor="text1"/>
        </w:rPr>
        <w:t>Australia</w:t>
      </w:r>
    </w:p>
    <w:p w14:paraId="776B2956" w14:textId="77777777" w:rsidR="00CD0F2F" w:rsidRPr="00D901E9" w:rsidRDefault="00CD0F2F" w:rsidP="00A27F83">
      <w:pPr>
        <w:spacing w:line="360" w:lineRule="auto"/>
        <w:rPr>
          <w:color w:val="000000" w:themeColor="text1"/>
        </w:rPr>
      </w:pPr>
      <w:r w:rsidRPr="00D901E9">
        <w:rPr>
          <w:color w:val="000000" w:themeColor="text1"/>
        </w:rPr>
        <w:t>Ph: +61 3 9903 0781</w:t>
      </w:r>
    </w:p>
    <w:p w14:paraId="4BCE7AC4" w14:textId="2828DEB0" w:rsidR="00C259B1" w:rsidRDefault="00CD0F2F" w:rsidP="00A27F83">
      <w:pPr>
        <w:spacing w:line="360" w:lineRule="auto"/>
        <w:rPr>
          <w:b/>
          <w:bCs/>
          <w:color w:val="000000" w:themeColor="text1"/>
        </w:rPr>
      </w:pPr>
      <w:r w:rsidRPr="00D901E9">
        <w:rPr>
          <w:color w:val="000000" w:themeColor="text1"/>
        </w:rPr>
        <w:t>Fax: +61 3 9903</w:t>
      </w:r>
      <w:r w:rsidR="006F15CC">
        <w:rPr>
          <w:color w:val="000000" w:themeColor="text1"/>
        </w:rPr>
        <w:t xml:space="preserve"> </w:t>
      </w:r>
      <w:r w:rsidRPr="00D901E9">
        <w:rPr>
          <w:color w:val="000000" w:themeColor="text1"/>
        </w:rPr>
        <w:t>867</w:t>
      </w:r>
      <w:r w:rsidR="00587D28">
        <w:rPr>
          <w:color w:val="000000" w:themeColor="text1"/>
        </w:rPr>
        <w:t>6</w:t>
      </w:r>
      <w:r w:rsidRPr="00CD0F2F">
        <w:rPr>
          <w:b/>
          <w:bCs/>
          <w:color w:val="000000" w:themeColor="text1"/>
        </w:rPr>
        <w:t xml:space="preserve"> </w:t>
      </w:r>
    </w:p>
    <w:p w14:paraId="62B2E865" w14:textId="149B5C82" w:rsidR="00C259B1" w:rsidRPr="00D901E9" w:rsidRDefault="00C259B1" w:rsidP="00A27F83">
      <w:pPr>
        <w:spacing w:line="360" w:lineRule="auto"/>
        <w:rPr>
          <w:color w:val="000000" w:themeColor="text1"/>
        </w:rPr>
      </w:pPr>
      <w:r w:rsidRPr="00EA769D">
        <w:rPr>
          <w:b/>
          <w:bCs/>
          <w:color w:val="000000" w:themeColor="text1"/>
        </w:rPr>
        <w:lastRenderedPageBreak/>
        <w:t>Abstract</w:t>
      </w:r>
      <w:r w:rsidR="00DA6130" w:rsidRPr="00D901E9">
        <w:rPr>
          <w:color w:val="000000" w:themeColor="text1"/>
        </w:rPr>
        <w:t>:</w:t>
      </w:r>
      <w:r w:rsidR="001B07A9" w:rsidRPr="00D901E9">
        <w:rPr>
          <w:color w:val="000000" w:themeColor="text1"/>
        </w:rPr>
        <w:t xml:space="preserve"> </w:t>
      </w:r>
      <w:r w:rsidR="005B28D1">
        <w:rPr>
          <w:color w:val="000000" w:themeColor="text1"/>
        </w:rPr>
        <w:t xml:space="preserve">max </w:t>
      </w:r>
      <w:r w:rsidR="00576E5D">
        <w:rPr>
          <w:color w:val="000000" w:themeColor="text1"/>
        </w:rPr>
        <w:t xml:space="preserve">300 </w:t>
      </w:r>
      <w:r w:rsidR="005B28D1">
        <w:rPr>
          <w:color w:val="000000" w:themeColor="text1"/>
        </w:rPr>
        <w:t>(</w:t>
      </w:r>
      <w:r w:rsidR="003A60A1">
        <w:rPr>
          <w:color w:val="000000" w:themeColor="text1"/>
        </w:rPr>
        <w:t>293</w:t>
      </w:r>
      <w:r w:rsidR="005B28D1">
        <w:rPr>
          <w:color w:val="000000" w:themeColor="text1"/>
        </w:rPr>
        <w:t>)</w:t>
      </w:r>
    </w:p>
    <w:p w14:paraId="25C7AF6B" w14:textId="1992C2F4" w:rsidR="00C259B1" w:rsidRPr="00D901E9" w:rsidRDefault="00C259B1" w:rsidP="00A27F83">
      <w:pPr>
        <w:spacing w:line="360" w:lineRule="auto"/>
        <w:rPr>
          <w:color w:val="000000" w:themeColor="text1"/>
        </w:rPr>
      </w:pPr>
      <w:r w:rsidRPr="00EA769D">
        <w:rPr>
          <w:b/>
          <w:bCs/>
          <w:color w:val="000000" w:themeColor="text1"/>
        </w:rPr>
        <w:t>Word</w:t>
      </w:r>
      <w:r w:rsidRPr="00D901E9">
        <w:rPr>
          <w:color w:val="000000" w:themeColor="text1"/>
        </w:rPr>
        <w:t xml:space="preserve"> </w:t>
      </w:r>
      <w:r w:rsidRPr="00EA769D">
        <w:rPr>
          <w:b/>
          <w:bCs/>
          <w:color w:val="000000" w:themeColor="text1"/>
        </w:rPr>
        <w:t>Count</w:t>
      </w:r>
      <w:r w:rsidRPr="00D901E9">
        <w:rPr>
          <w:color w:val="000000" w:themeColor="text1"/>
        </w:rPr>
        <w:t>:</w:t>
      </w:r>
      <w:r w:rsidR="00452256">
        <w:rPr>
          <w:color w:val="000000" w:themeColor="text1"/>
        </w:rPr>
        <w:t xml:space="preserve"> </w:t>
      </w:r>
      <w:r w:rsidR="002C224B">
        <w:rPr>
          <w:color w:val="000000" w:themeColor="text1"/>
        </w:rPr>
        <w:t xml:space="preserve">max </w:t>
      </w:r>
      <w:r w:rsidR="00576E5D">
        <w:rPr>
          <w:color w:val="000000" w:themeColor="text1"/>
        </w:rPr>
        <w:t xml:space="preserve">3500 </w:t>
      </w:r>
      <w:r w:rsidR="00744E52">
        <w:rPr>
          <w:color w:val="000000" w:themeColor="text1"/>
        </w:rPr>
        <w:t>(</w:t>
      </w:r>
      <w:r w:rsidR="00D42059">
        <w:rPr>
          <w:color w:val="000000" w:themeColor="text1"/>
        </w:rPr>
        <w:t>3134</w:t>
      </w:r>
      <w:r w:rsidR="00744E52">
        <w:rPr>
          <w:color w:val="000000" w:themeColor="text1"/>
        </w:rPr>
        <w:t>)</w:t>
      </w:r>
      <w:r w:rsidRPr="00D901E9">
        <w:rPr>
          <w:color w:val="000000" w:themeColor="text1"/>
        </w:rPr>
        <w:br/>
      </w:r>
      <w:r w:rsidRPr="00EA769D">
        <w:rPr>
          <w:b/>
          <w:bCs/>
          <w:color w:val="000000" w:themeColor="text1"/>
        </w:rPr>
        <w:t>Figures</w:t>
      </w:r>
      <w:r w:rsidRPr="00D901E9">
        <w:rPr>
          <w:color w:val="000000" w:themeColor="text1"/>
        </w:rPr>
        <w:t>:</w:t>
      </w:r>
      <w:r w:rsidR="004336F7">
        <w:rPr>
          <w:color w:val="000000" w:themeColor="text1"/>
        </w:rPr>
        <w:t xml:space="preserve"> </w:t>
      </w:r>
      <w:r w:rsidR="0090765B">
        <w:rPr>
          <w:color w:val="000000" w:themeColor="text1"/>
        </w:rPr>
        <w:t>3</w:t>
      </w:r>
    </w:p>
    <w:p w14:paraId="3885D6CC" w14:textId="2E4DBC18" w:rsidR="00C259B1" w:rsidRPr="00D901E9" w:rsidRDefault="00C259B1" w:rsidP="00A27F83">
      <w:pPr>
        <w:spacing w:line="360" w:lineRule="auto"/>
        <w:rPr>
          <w:color w:val="000000" w:themeColor="text1"/>
        </w:rPr>
      </w:pPr>
      <w:r w:rsidRPr="00EA769D">
        <w:rPr>
          <w:b/>
          <w:bCs/>
          <w:color w:val="000000" w:themeColor="text1"/>
        </w:rPr>
        <w:t>Tables</w:t>
      </w:r>
      <w:r w:rsidRPr="00D901E9">
        <w:rPr>
          <w:color w:val="000000" w:themeColor="text1"/>
        </w:rPr>
        <w:t>:</w:t>
      </w:r>
      <w:r w:rsidR="002A2F0D">
        <w:rPr>
          <w:color w:val="000000" w:themeColor="text1"/>
        </w:rPr>
        <w:t xml:space="preserve"> </w:t>
      </w:r>
      <w:r w:rsidR="0090765B">
        <w:rPr>
          <w:color w:val="000000" w:themeColor="text1"/>
        </w:rPr>
        <w:t>3</w:t>
      </w:r>
    </w:p>
    <w:p w14:paraId="4EBDE887" w14:textId="6B780F6F" w:rsidR="00387A91" w:rsidRDefault="00C259B1" w:rsidP="00A27F83">
      <w:pPr>
        <w:spacing w:line="360" w:lineRule="auto"/>
        <w:rPr>
          <w:color w:val="000000" w:themeColor="text1"/>
        </w:rPr>
      </w:pPr>
      <w:r w:rsidRPr="00EA769D">
        <w:rPr>
          <w:b/>
          <w:bCs/>
          <w:color w:val="000000" w:themeColor="text1"/>
        </w:rPr>
        <w:t>References</w:t>
      </w:r>
      <w:r w:rsidRPr="00D901E9">
        <w:rPr>
          <w:color w:val="000000" w:themeColor="text1"/>
        </w:rPr>
        <w:t>:</w:t>
      </w:r>
      <w:r w:rsidR="00BC4485">
        <w:rPr>
          <w:color w:val="000000" w:themeColor="text1"/>
        </w:rPr>
        <w:t xml:space="preserve"> </w:t>
      </w:r>
      <w:r w:rsidR="00AA156E">
        <w:rPr>
          <w:color w:val="000000" w:themeColor="text1"/>
        </w:rPr>
        <w:t>30</w:t>
      </w:r>
    </w:p>
    <w:p w14:paraId="0EF2DC6D" w14:textId="6613A975" w:rsidR="00DF739B" w:rsidRPr="00397C2B" w:rsidRDefault="00387A91" w:rsidP="00A27F83">
      <w:pPr>
        <w:spacing w:line="360" w:lineRule="auto"/>
        <w:rPr>
          <w:b/>
          <w:bCs/>
          <w:color w:val="000000" w:themeColor="text1"/>
        </w:rPr>
      </w:pPr>
      <w:r>
        <w:rPr>
          <w:b/>
          <w:bCs/>
          <w:color w:val="000000" w:themeColor="text1"/>
        </w:rPr>
        <w:t xml:space="preserve">Supplement: </w:t>
      </w:r>
      <w:r w:rsidR="005C0657">
        <w:rPr>
          <w:color w:val="000000" w:themeColor="text1"/>
        </w:rPr>
        <w:t>2x tables</w:t>
      </w:r>
      <w:r>
        <w:rPr>
          <w:color w:val="000000" w:themeColor="text1"/>
        </w:rPr>
        <w:t xml:space="preserve"> </w:t>
      </w:r>
      <w:r w:rsidR="00DF739B" w:rsidRPr="00397C2B">
        <w:rPr>
          <w:b/>
          <w:bCs/>
          <w:color w:val="000000" w:themeColor="text1"/>
        </w:rPr>
        <w:br w:type="page"/>
      </w:r>
    </w:p>
    <w:p w14:paraId="0544B2DA" w14:textId="4A77FF9B" w:rsidR="0044766D" w:rsidRPr="00397C2B" w:rsidRDefault="0044766D" w:rsidP="00A27F83">
      <w:pPr>
        <w:spacing w:line="360" w:lineRule="auto"/>
        <w:rPr>
          <w:b/>
          <w:bCs/>
          <w:color w:val="000000" w:themeColor="text1"/>
        </w:rPr>
      </w:pPr>
      <w:r w:rsidRPr="00397C2B">
        <w:rPr>
          <w:b/>
          <w:bCs/>
          <w:color w:val="000000" w:themeColor="text1"/>
        </w:rPr>
        <w:lastRenderedPageBreak/>
        <w:t>Abstract</w:t>
      </w:r>
    </w:p>
    <w:p w14:paraId="378E02AD" w14:textId="03B47106" w:rsidR="0044766D" w:rsidRPr="00397C2B" w:rsidRDefault="00C801E7" w:rsidP="00A27F83">
      <w:pPr>
        <w:spacing w:line="360" w:lineRule="auto"/>
        <w:rPr>
          <w:b/>
          <w:bCs/>
          <w:color w:val="000000" w:themeColor="text1"/>
        </w:rPr>
      </w:pPr>
      <w:r>
        <w:rPr>
          <w:b/>
          <w:bCs/>
          <w:color w:val="000000" w:themeColor="text1"/>
        </w:rPr>
        <w:t>Background</w:t>
      </w:r>
    </w:p>
    <w:p w14:paraId="10A4B6BE" w14:textId="40AFDC7F" w:rsidR="0044766D" w:rsidRPr="00397C2B" w:rsidRDefault="0044766D" w:rsidP="00A27F83">
      <w:pPr>
        <w:spacing w:line="360" w:lineRule="auto"/>
      </w:pPr>
      <w:r w:rsidRPr="00397C2B">
        <w:rPr>
          <w:color w:val="000000" w:themeColor="text1"/>
        </w:rPr>
        <w:t>Arterial and venous thromboembolic events (TEEs) have been associated with intravenous immunoglobulin (</w:t>
      </w:r>
      <w:proofErr w:type="spellStart"/>
      <w:r w:rsidRPr="00397C2B">
        <w:rPr>
          <w:rFonts w:eastAsiaTheme="minorHAnsi"/>
          <w:color w:val="000000" w:themeColor="text1"/>
          <w:lang w:val="en-GB"/>
        </w:rPr>
        <w:t>IVIg</w:t>
      </w:r>
      <w:proofErr w:type="spellEnd"/>
      <w:r w:rsidRPr="00397C2B">
        <w:rPr>
          <w:rFonts w:eastAsiaTheme="minorHAnsi"/>
          <w:color w:val="000000" w:themeColor="text1"/>
          <w:lang w:val="en-GB"/>
        </w:rPr>
        <w:t>)</w:t>
      </w:r>
      <w:r w:rsidRPr="00397C2B">
        <w:rPr>
          <w:color w:val="000000" w:themeColor="text1"/>
        </w:rPr>
        <w:t xml:space="preserve"> use, but the risk has been poorly quantified. </w:t>
      </w:r>
      <w:r w:rsidR="00C801E7">
        <w:rPr>
          <w:color w:val="000000" w:themeColor="text1"/>
        </w:rPr>
        <w:t xml:space="preserve">We aimed </w:t>
      </w:r>
      <w:r w:rsidR="00C801E7">
        <w:t>t</w:t>
      </w:r>
      <w:r w:rsidRPr="00397C2B">
        <w:t xml:space="preserve">o calculate the </w:t>
      </w:r>
      <w:r w:rsidRPr="00397C2B">
        <w:rPr>
          <w:rFonts w:eastAsiaTheme="minorHAnsi"/>
          <w:lang w:val="en-GB"/>
        </w:rPr>
        <w:t xml:space="preserve">risk of </w:t>
      </w:r>
      <w:r w:rsidRPr="00397C2B">
        <w:t>TEEs</w:t>
      </w:r>
      <w:r w:rsidRPr="00397C2B">
        <w:rPr>
          <w:rFonts w:eastAsiaTheme="minorHAnsi"/>
          <w:lang w:val="en-GB"/>
        </w:rPr>
        <w:t xml:space="preserve"> </w:t>
      </w:r>
      <w:r w:rsidRPr="00397C2B">
        <w:t xml:space="preserve">associated with </w:t>
      </w:r>
      <w:r w:rsidRPr="00397C2B">
        <w:rPr>
          <w:rFonts w:eastAsiaTheme="minorHAnsi"/>
          <w:lang w:val="en-GB"/>
        </w:rPr>
        <w:t xml:space="preserve">exposure to </w:t>
      </w:r>
      <w:proofErr w:type="spellStart"/>
      <w:r w:rsidRPr="00397C2B">
        <w:rPr>
          <w:rFonts w:eastAsiaTheme="minorHAnsi"/>
          <w:lang w:val="en-GB"/>
        </w:rPr>
        <w:t>IVIg</w:t>
      </w:r>
      <w:proofErr w:type="spellEnd"/>
      <w:r w:rsidRPr="00397C2B">
        <w:t>.</w:t>
      </w:r>
    </w:p>
    <w:p w14:paraId="1A03499A" w14:textId="13319A8C" w:rsidR="0044766D" w:rsidRPr="00397C2B" w:rsidRDefault="00C801E7" w:rsidP="00A27F83">
      <w:pPr>
        <w:spacing w:line="360" w:lineRule="auto"/>
        <w:rPr>
          <w:b/>
          <w:bCs/>
          <w:color w:val="000000" w:themeColor="text1"/>
        </w:rPr>
      </w:pPr>
      <w:r>
        <w:rPr>
          <w:b/>
          <w:bCs/>
          <w:color w:val="000000" w:themeColor="text1"/>
        </w:rPr>
        <w:t>Methods</w:t>
      </w:r>
    </w:p>
    <w:p w14:paraId="0B2B63BA" w14:textId="41939148" w:rsidR="0044766D" w:rsidRPr="00397C2B" w:rsidRDefault="003A60A1" w:rsidP="00A27F83">
      <w:pPr>
        <w:spacing w:line="360" w:lineRule="auto"/>
        <w:rPr>
          <w:color w:val="000000" w:themeColor="text1"/>
        </w:rPr>
      </w:pPr>
      <w:r>
        <w:rPr>
          <w:color w:val="000000" w:themeColor="text1"/>
        </w:rPr>
        <w:t xml:space="preserve">We included participants from UK Biobank </w:t>
      </w:r>
      <w:r w:rsidR="0044766D" w:rsidRPr="00397C2B">
        <w:rPr>
          <w:color w:val="000000" w:themeColor="text1"/>
        </w:rPr>
        <w:t xml:space="preserve">recruited over 3 years, with data extracted September 2020. </w:t>
      </w:r>
    </w:p>
    <w:p w14:paraId="2A5DEDAB" w14:textId="53A06596" w:rsidR="0044766D" w:rsidRPr="00397C2B" w:rsidRDefault="0044766D" w:rsidP="00A27F83">
      <w:pPr>
        <w:spacing w:line="360" w:lineRule="auto"/>
        <w:rPr>
          <w:color w:val="000000" w:themeColor="text1"/>
        </w:rPr>
      </w:pPr>
      <w:r w:rsidRPr="00397C2B">
        <w:rPr>
          <w:color w:val="000000" w:themeColor="text1"/>
        </w:rPr>
        <w:t xml:space="preserve">The study endpoints were the incidence of myocardial infarction, other acute ischemic heart disease, stroke, pulmonary embolism and other venous embolism and thrombosis. </w:t>
      </w:r>
    </w:p>
    <w:p w14:paraId="707388C4" w14:textId="55395770" w:rsidR="0044766D" w:rsidRDefault="0044766D" w:rsidP="00A27F83">
      <w:pPr>
        <w:spacing w:line="360" w:lineRule="auto"/>
        <w:rPr>
          <w:color w:val="000000" w:themeColor="text1"/>
        </w:rPr>
      </w:pPr>
      <w:r w:rsidRPr="00397C2B">
        <w:rPr>
          <w:color w:val="000000" w:themeColor="text1"/>
        </w:rPr>
        <w:t>Predictors included known TEE risk factors: age, sex, diagnosis of hypertension, smoking status, type 2 diabetes mellitus, hypercholesterolemia</w:t>
      </w:r>
      <w:r w:rsidR="00936C38">
        <w:rPr>
          <w:color w:val="000000" w:themeColor="text1"/>
        </w:rPr>
        <w:t>, cancer</w:t>
      </w:r>
      <w:r w:rsidRPr="00397C2B">
        <w:rPr>
          <w:color w:val="000000" w:themeColor="text1"/>
        </w:rPr>
        <w:t xml:space="preserve"> and past history of TEE. </w:t>
      </w:r>
      <w:proofErr w:type="spellStart"/>
      <w:r w:rsidRPr="00397C2B">
        <w:rPr>
          <w:color w:val="000000" w:themeColor="text1"/>
        </w:rPr>
        <w:t>IVIg</w:t>
      </w:r>
      <w:proofErr w:type="spellEnd"/>
      <w:r w:rsidRPr="00397C2B">
        <w:rPr>
          <w:color w:val="000000" w:themeColor="text1"/>
        </w:rPr>
        <w:t xml:space="preserve"> and </w:t>
      </w:r>
      <w:r w:rsidR="00936C38">
        <w:rPr>
          <w:color w:val="000000" w:themeColor="text1"/>
        </w:rPr>
        <w:t>six</w:t>
      </w:r>
      <w:r w:rsidR="00936C38" w:rsidRPr="00397C2B">
        <w:rPr>
          <w:color w:val="000000" w:themeColor="text1"/>
        </w:rPr>
        <w:t xml:space="preserve"> </w:t>
      </w:r>
      <w:r w:rsidR="00CD28A7">
        <w:rPr>
          <w:color w:val="000000" w:themeColor="text1"/>
        </w:rPr>
        <w:t>other</w:t>
      </w:r>
      <w:r w:rsidRPr="00397C2B">
        <w:rPr>
          <w:color w:val="000000" w:themeColor="text1"/>
        </w:rPr>
        <w:t xml:space="preserve"> predictors were added in the sensitivity analysis.</w:t>
      </w:r>
    </w:p>
    <w:p w14:paraId="13DC4D31" w14:textId="192B2462" w:rsidR="0075696F" w:rsidRPr="00397C2B" w:rsidRDefault="0075696F" w:rsidP="00A27F83">
      <w:pPr>
        <w:spacing w:line="360" w:lineRule="auto"/>
        <w:rPr>
          <w:color w:val="000000" w:themeColor="text1"/>
        </w:rPr>
      </w:pPr>
      <w:r>
        <w:rPr>
          <w:color w:val="000000" w:themeColor="text1"/>
        </w:rPr>
        <w:t>Information from participants was collected prospectively, while data from linked resources, including death, cancer, hospital admissions and primary care records were collected retrospectively and prospectively.</w:t>
      </w:r>
    </w:p>
    <w:p w14:paraId="1B52CAA1" w14:textId="3B49435D" w:rsidR="0044766D" w:rsidRPr="00397C2B" w:rsidRDefault="00C801E7" w:rsidP="00A27F83">
      <w:pPr>
        <w:spacing w:line="360" w:lineRule="auto"/>
        <w:rPr>
          <w:b/>
          <w:bCs/>
          <w:color w:val="000000" w:themeColor="text1"/>
        </w:rPr>
      </w:pPr>
      <w:r>
        <w:rPr>
          <w:b/>
          <w:bCs/>
          <w:color w:val="000000" w:themeColor="text1"/>
        </w:rPr>
        <w:t>Findings</w:t>
      </w:r>
    </w:p>
    <w:p w14:paraId="52344D0B" w14:textId="4B8266CC" w:rsidR="0044766D" w:rsidRPr="00397C2B" w:rsidRDefault="0044766D" w:rsidP="00EC1ED6">
      <w:pPr>
        <w:spacing w:before="240" w:line="360" w:lineRule="auto"/>
        <w:rPr>
          <w:color w:val="000000" w:themeColor="text1"/>
        </w:rPr>
      </w:pPr>
      <w:r w:rsidRPr="00397C2B">
        <w:rPr>
          <w:color w:val="000000" w:themeColor="text1"/>
        </w:rPr>
        <w:t>14</w:t>
      </w:r>
      <w:r w:rsidR="00FA2DCD">
        <w:rPr>
          <w:color w:val="000000" w:themeColor="text1"/>
        </w:rPr>
        <w:t xml:space="preserve"> </w:t>
      </w:r>
      <w:r w:rsidRPr="00397C2B">
        <w:rPr>
          <w:color w:val="000000" w:themeColor="text1"/>
        </w:rPr>
        <w:t>794</w:t>
      </w:r>
      <w:r w:rsidR="00CD28A7">
        <w:rPr>
          <w:color w:val="000000" w:themeColor="text1"/>
        </w:rPr>
        <w:t xml:space="preserve"> of</w:t>
      </w:r>
      <w:r w:rsidRPr="00397C2B">
        <w:rPr>
          <w:color w:val="000000" w:themeColor="text1"/>
        </w:rPr>
        <w:t xml:space="preserve"> 502</w:t>
      </w:r>
      <w:r w:rsidR="00FA2DCD">
        <w:rPr>
          <w:color w:val="000000" w:themeColor="text1"/>
        </w:rPr>
        <w:t xml:space="preserve"> </w:t>
      </w:r>
      <w:r w:rsidRPr="00397C2B">
        <w:rPr>
          <w:color w:val="000000" w:themeColor="text1"/>
        </w:rPr>
        <w:t>543 individuals had an incident TEE during the study period. The rate of incident events was 3-fold higher in those with prior history of TEE (8</w:t>
      </w:r>
      <w:r w:rsidR="00E877BF" w:rsidRPr="00E877BF">
        <w:rPr>
          <w:rFonts w:ascii="Times" w:eastAsiaTheme="minorHAnsi" w:hAnsi="Times" w:cs="Times"/>
          <w:color w:val="000000"/>
          <w:sz w:val="18"/>
          <w:szCs w:val="18"/>
          <w:lang w:val="en-GB" w:eastAsia="en-US"/>
        </w:rPr>
        <w:t xml:space="preserve"> </w:t>
      </w:r>
      <w:r w:rsidR="00E877BF">
        <w:rPr>
          <w:rFonts w:ascii="Times" w:eastAsiaTheme="minorHAnsi" w:hAnsi="Times" w:cs="Times"/>
          <w:color w:val="000000"/>
          <w:sz w:val="18"/>
          <w:szCs w:val="18"/>
          <w:lang w:val="en-GB" w:eastAsia="en-US"/>
        </w:rPr>
        <w:t>·</w:t>
      </w:r>
      <w:r w:rsidRPr="00397C2B">
        <w:rPr>
          <w:color w:val="000000" w:themeColor="text1"/>
        </w:rPr>
        <w:t>7%) than those without previous history of TEE (3</w:t>
      </w:r>
      <w:r w:rsidR="00584A34">
        <w:rPr>
          <w:rFonts w:ascii="Times" w:eastAsiaTheme="minorHAnsi" w:hAnsi="Times" w:cs="Times"/>
          <w:color w:val="000000"/>
          <w:sz w:val="18"/>
          <w:szCs w:val="18"/>
          <w:lang w:val="en-GB" w:eastAsia="en-US"/>
        </w:rPr>
        <w:t xml:space="preserve"> </w:t>
      </w:r>
      <w:r w:rsidR="00FA2DCD">
        <w:rPr>
          <w:rFonts w:ascii="Times" w:eastAsiaTheme="minorHAnsi" w:hAnsi="Times" w:cs="Times"/>
          <w:color w:val="000000"/>
          <w:sz w:val="18"/>
          <w:szCs w:val="18"/>
          <w:lang w:val="en-GB" w:eastAsia="en-US"/>
        </w:rPr>
        <w:t>·</w:t>
      </w:r>
      <w:r w:rsidR="00584A34">
        <w:rPr>
          <w:rFonts w:ascii="Times" w:eastAsiaTheme="minorHAnsi" w:hAnsi="Times" w:cs="Times"/>
          <w:color w:val="000000"/>
          <w:sz w:val="18"/>
          <w:szCs w:val="18"/>
          <w:lang w:val="en-GB" w:eastAsia="en-US"/>
        </w:rPr>
        <w:t xml:space="preserve"> </w:t>
      </w:r>
      <w:r w:rsidRPr="00397C2B">
        <w:rPr>
          <w:color w:val="000000" w:themeColor="text1"/>
        </w:rPr>
        <w:t>0%).</w:t>
      </w:r>
    </w:p>
    <w:p w14:paraId="3B7C6E92" w14:textId="6405BF22" w:rsidR="0044766D" w:rsidRPr="001E2BCD" w:rsidRDefault="0044766D" w:rsidP="00EC1ED6">
      <w:pPr>
        <w:spacing w:line="360" w:lineRule="auto"/>
        <w:rPr>
          <w:color w:val="212121"/>
          <w:shd w:val="clear" w:color="auto" w:fill="FFFFFF"/>
        </w:rPr>
      </w:pPr>
      <w:r w:rsidRPr="00397C2B">
        <w:rPr>
          <w:color w:val="000000" w:themeColor="text1"/>
        </w:rPr>
        <w:t xml:space="preserve">In the prior TEE category, </w:t>
      </w:r>
      <w:proofErr w:type="spellStart"/>
      <w:r w:rsidRPr="00397C2B">
        <w:rPr>
          <w:color w:val="000000" w:themeColor="text1"/>
        </w:rPr>
        <w:t>IVIg</w:t>
      </w:r>
      <w:proofErr w:type="spellEnd"/>
      <w:r w:rsidRPr="00397C2B">
        <w:rPr>
          <w:color w:val="000000" w:themeColor="text1"/>
        </w:rPr>
        <w:t xml:space="preserve"> exposure was independently associated with increased risk of incident TEE (OR= 3</w:t>
      </w:r>
      <w:r w:rsidR="003B27A3">
        <w:rPr>
          <w:color w:val="000000" w:themeColor="text1"/>
        </w:rPr>
        <w:t xml:space="preserve"> </w:t>
      </w:r>
      <w:r w:rsidR="00E877BF">
        <w:rPr>
          <w:rFonts w:ascii="Times" w:eastAsiaTheme="minorHAnsi" w:hAnsi="Times" w:cs="Times"/>
          <w:color w:val="000000"/>
          <w:sz w:val="18"/>
          <w:szCs w:val="18"/>
          <w:lang w:val="en-GB" w:eastAsia="en-US"/>
        </w:rPr>
        <w:t>·</w:t>
      </w:r>
      <w:r w:rsidR="003B27A3">
        <w:rPr>
          <w:rFonts w:ascii="Times" w:eastAsiaTheme="minorHAnsi" w:hAnsi="Times" w:cs="Times"/>
          <w:color w:val="000000"/>
          <w:sz w:val="18"/>
          <w:szCs w:val="18"/>
          <w:lang w:val="en-GB" w:eastAsia="en-US"/>
        </w:rPr>
        <w:t xml:space="preserve"> </w:t>
      </w:r>
      <w:r w:rsidRPr="00397C2B">
        <w:rPr>
          <w:color w:val="000000" w:themeColor="text1"/>
        </w:rPr>
        <w:t>69, p=0</w:t>
      </w:r>
      <w:r w:rsidR="003B27A3">
        <w:rPr>
          <w:color w:val="000000" w:themeColor="text1"/>
        </w:rPr>
        <w:t xml:space="preserve"> </w:t>
      </w:r>
      <w:r w:rsidR="00E877BF">
        <w:rPr>
          <w:rFonts w:ascii="Times" w:eastAsiaTheme="minorHAnsi" w:hAnsi="Times" w:cs="Times"/>
          <w:color w:val="000000"/>
          <w:sz w:val="18"/>
          <w:szCs w:val="18"/>
          <w:lang w:val="en-GB" w:eastAsia="en-US"/>
        </w:rPr>
        <w:t>·</w:t>
      </w:r>
      <w:r w:rsidR="003B27A3">
        <w:rPr>
          <w:rFonts w:ascii="Times" w:eastAsiaTheme="minorHAnsi" w:hAnsi="Times" w:cs="Times"/>
          <w:color w:val="000000"/>
          <w:sz w:val="18"/>
          <w:szCs w:val="18"/>
          <w:lang w:val="en-GB" w:eastAsia="en-US"/>
        </w:rPr>
        <w:t xml:space="preserve"> </w:t>
      </w:r>
      <w:r w:rsidRPr="00397C2B">
        <w:rPr>
          <w:color w:val="000000" w:themeColor="text1"/>
        </w:rPr>
        <w:t>03) on multivariate analysis</w:t>
      </w:r>
      <w:r w:rsidR="00174407">
        <w:rPr>
          <w:color w:val="000000" w:themeColor="text1"/>
        </w:rPr>
        <w:t>.</w:t>
      </w:r>
      <w:r w:rsidRPr="00397C2B">
        <w:rPr>
          <w:color w:val="000000" w:themeColor="text1"/>
        </w:rPr>
        <w:t xml:space="preserve"> The </w:t>
      </w:r>
      <w:r w:rsidRPr="00397C2B">
        <w:rPr>
          <w:color w:val="212121"/>
          <w:shd w:val="clear" w:color="auto" w:fill="FFFFFF"/>
        </w:rPr>
        <w:t>Number Needed to Harm</w:t>
      </w:r>
      <w:r w:rsidR="00991E9B">
        <w:rPr>
          <w:color w:val="212121"/>
          <w:shd w:val="clear" w:color="auto" w:fill="FFFFFF"/>
        </w:rPr>
        <w:t xml:space="preserve"> </w:t>
      </w:r>
      <w:r w:rsidR="003A477C">
        <w:rPr>
          <w:color w:val="212121"/>
          <w:shd w:val="clear" w:color="auto" w:fill="FFFFFF"/>
        </w:rPr>
        <w:t xml:space="preserve">by exposure to </w:t>
      </w:r>
      <w:proofErr w:type="spellStart"/>
      <w:r w:rsidR="003A477C">
        <w:rPr>
          <w:color w:val="212121"/>
          <w:shd w:val="clear" w:color="auto" w:fill="FFFFFF"/>
        </w:rPr>
        <w:t>IVIg</w:t>
      </w:r>
      <w:proofErr w:type="spellEnd"/>
      <w:r w:rsidR="003A477C">
        <w:rPr>
          <w:color w:val="212121"/>
          <w:shd w:val="clear" w:color="auto" w:fill="FFFFFF"/>
        </w:rPr>
        <w:t xml:space="preserve"> in</w:t>
      </w:r>
      <w:r w:rsidR="00991E9B">
        <w:rPr>
          <w:color w:val="212121"/>
          <w:shd w:val="clear" w:color="auto" w:fill="FFFFFF"/>
        </w:rPr>
        <w:t xml:space="preserve"> those with a history of TEE</w:t>
      </w:r>
      <w:r w:rsidRPr="00397C2B">
        <w:rPr>
          <w:color w:val="212121"/>
          <w:shd w:val="clear" w:color="auto" w:fill="FFFFFF"/>
        </w:rPr>
        <w:t xml:space="preserve"> was 5</w:t>
      </w:r>
      <w:r w:rsidR="00FA2DCD">
        <w:rPr>
          <w:rFonts w:ascii="Times" w:eastAsiaTheme="minorHAnsi" w:hAnsi="Times" w:cs="Times"/>
          <w:color w:val="000000"/>
          <w:sz w:val="18"/>
          <w:szCs w:val="18"/>
          <w:lang w:val="en-GB" w:eastAsia="en-US"/>
        </w:rPr>
        <w:t>·</w:t>
      </w:r>
      <w:r w:rsidRPr="00397C2B">
        <w:rPr>
          <w:color w:val="212121"/>
          <w:shd w:val="clear" w:color="auto" w:fill="FFFFFF"/>
        </w:rPr>
        <w:t>8 (95% CI, 2</w:t>
      </w:r>
      <w:r w:rsidR="00FA2DCD">
        <w:rPr>
          <w:rFonts w:ascii="Times" w:eastAsiaTheme="minorHAnsi" w:hAnsi="Times" w:cs="Times"/>
          <w:color w:val="000000"/>
          <w:sz w:val="18"/>
          <w:szCs w:val="18"/>
          <w:lang w:val="en-GB" w:eastAsia="en-US"/>
        </w:rPr>
        <w:t>·</w:t>
      </w:r>
      <w:r w:rsidRPr="00397C2B">
        <w:rPr>
          <w:color w:val="212121"/>
          <w:shd w:val="clear" w:color="auto" w:fill="FFFFFF"/>
        </w:rPr>
        <w:t>3-88</w:t>
      </w:r>
      <w:r w:rsidR="00FA2DCD">
        <w:rPr>
          <w:rFonts w:ascii="Times" w:eastAsiaTheme="minorHAnsi" w:hAnsi="Times" w:cs="Times"/>
          <w:color w:val="000000"/>
          <w:sz w:val="18"/>
          <w:szCs w:val="18"/>
          <w:lang w:val="en-GB" w:eastAsia="en-US"/>
        </w:rPr>
        <w:t>·</w:t>
      </w:r>
      <w:r w:rsidRPr="00397C2B">
        <w:rPr>
          <w:color w:val="212121"/>
          <w:shd w:val="clear" w:color="auto" w:fill="FFFFFF"/>
        </w:rPr>
        <w:t>3)</w:t>
      </w:r>
      <w:r w:rsidRPr="00397C2B">
        <w:rPr>
          <w:color w:val="000000" w:themeColor="text1"/>
        </w:rPr>
        <w:t xml:space="preserve">. </w:t>
      </w:r>
    </w:p>
    <w:p w14:paraId="2FAAAD22" w14:textId="77777777" w:rsidR="0044766D" w:rsidRPr="00397C2B" w:rsidRDefault="0044766D" w:rsidP="00EC1ED6">
      <w:pPr>
        <w:spacing w:line="360" w:lineRule="auto"/>
        <w:rPr>
          <w:color w:val="000000" w:themeColor="text1"/>
        </w:rPr>
      </w:pPr>
      <w:proofErr w:type="spellStart"/>
      <w:r w:rsidRPr="00397C2B">
        <w:rPr>
          <w:color w:val="000000" w:themeColor="text1"/>
        </w:rPr>
        <w:t>IVIg</w:t>
      </w:r>
      <w:proofErr w:type="spellEnd"/>
      <w:r w:rsidRPr="00397C2B">
        <w:rPr>
          <w:color w:val="000000" w:themeColor="text1"/>
        </w:rPr>
        <w:t xml:space="preserve"> exposure did not increase risk of TEE in those with no previous history of TEE.</w:t>
      </w:r>
    </w:p>
    <w:p w14:paraId="41C0BFE0" w14:textId="560517EC" w:rsidR="0044766D" w:rsidRPr="00C01222" w:rsidRDefault="00AA2B34" w:rsidP="00EC1ED6">
      <w:pPr>
        <w:spacing w:line="360" w:lineRule="auto"/>
        <w:rPr>
          <w:b/>
          <w:bCs/>
          <w:color w:val="000000" w:themeColor="text1"/>
        </w:rPr>
      </w:pPr>
      <w:r w:rsidRPr="00C01222">
        <w:rPr>
          <w:b/>
          <w:bCs/>
          <w:color w:val="000000" w:themeColor="text1"/>
        </w:rPr>
        <w:t>Interpretation</w:t>
      </w:r>
    </w:p>
    <w:p w14:paraId="1A8DDC01" w14:textId="1740D1A8" w:rsidR="0044766D" w:rsidRDefault="0044766D" w:rsidP="00EC1ED6">
      <w:pPr>
        <w:spacing w:line="360" w:lineRule="auto"/>
        <w:rPr>
          <w:color w:val="000000" w:themeColor="text1"/>
        </w:rPr>
      </w:pPr>
      <w:proofErr w:type="spellStart"/>
      <w:r w:rsidRPr="00C01222">
        <w:rPr>
          <w:color w:val="000000" w:themeColor="text1"/>
        </w:rPr>
        <w:t>IVIg</w:t>
      </w:r>
      <w:proofErr w:type="spellEnd"/>
      <w:r w:rsidRPr="00C01222">
        <w:rPr>
          <w:color w:val="000000" w:themeColor="text1"/>
        </w:rPr>
        <w:t xml:space="preserve"> is associated with increased risk of further TEE in individuals with prior history of an event with one further TEE for every 6 people exposed. In practice, this will influence how </w:t>
      </w:r>
      <w:proofErr w:type="gramStart"/>
      <w:r w:rsidRPr="00C01222">
        <w:rPr>
          <w:color w:val="000000" w:themeColor="text1"/>
        </w:rPr>
        <w:t>clinicians</w:t>
      </w:r>
      <w:proofErr w:type="gramEnd"/>
      <w:r w:rsidRPr="00C01222">
        <w:rPr>
          <w:color w:val="000000" w:themeColor="text1"/>
        </w:rPr>
        <w:t xml:space="preserve"> consent for and manage overall TEE risk upon </w:t>
      </w:r>
      <w:proofErr w:type="spellStart"/>
      <w:r w:rsidRPr="00C01222">
        <w:rPr>
          <w:color w:val="000000" w:themeColor="text1"/>
        </w:rPr>
        <w:t>IVIg</w:t>
      </w:r>
      <w:proofErr w:type="spellEnd"/>
      <w:r w:rsidRPr="00C01222">
        <w:rPr>
          <w:color w:val="000000" w:themeColor="text1"/>
        </w:rPr>
        <w:t xml:space="preserve"> exposure. </w:t>
      </w:r>
    </w:p>
    <w:p w14:paraId="2CB7CD35" w14:textId="77777777" w:rsidR="0075696F" w:rsidRPr="00C01222" w:rsidRDefault="0075696F" w:rsidP="00EC1ED6">
      <w:pPr>
        <w:spacing w:line="360" w:lineRule="auto"/>
        <w:rPr>
          <w:color w:val="000000" w:themeColor="text1"/>
        </w:rPr>
      </w:pPr>
    </w:p>
    <w:p w14:paraId="0A77EADC" w14:textId="77777777" w:rsidR="00671DA3" w:rsidRPr="00C01222" w:rsidRDefault="00671DA3" w:rsidP="00EC1ED6">
      <w:pPr>
        <w:spacing w:line="360" w:lineRule="auto"/>
        <w:rPr>
          <w:b/>
          <w:bCs/>
          <w:color w:val="000000" w:themeColor="text1"/>
          <w:u w:val="single"/>
        </w:rPr>
      </w:pPr>
      <w:r w:rsidRPr="00C01222">
        <w:rPr>
          <w:b/>
          <w:bCs/>
          <w:color w:val="000000" w:themeColor="text1"/>
          <w:u w:val="single"/>
        </w:rPr>
        <w:t>Funding</w:t>
      </w:r>
    </w:p>
    <w:p w14:paraId="61609DB2" w14:textId="7D54B172" w:rsidR="00A50783" w:rsidRPr="00C01222" w:rsidRDefault="00A50783" w:rsidP="00EC1ED6">
      <w:pPr>
        <w:spacing w:line="360" w:lineRule="auto"/>
        <w:jc w:val="both"/>
      </w:pPr>
      <w:r w:rsidRPr="00C01222">
        <w:rPr>
          <w:rStyle w:val="None"/>
          <w:rFonts w:eastAsia="Arial Unicode MS"/>
        </w:rPr>
        <w:t xml:space="preserve">National Institute for Health Research University College London Hospitals Biomedical Research, UK </w:t>
      </w:r>
      <w:r w:rsidRPr="00C01222">
        <w:t xml:space="preserve">Medical Research Council, and the National Institutes of Neurological Diseases and Stroke and office of Rare Diseases </w:t>
      </w:r>
    </w:p>
    <w:p w14:paraId="7BFFB884" w14:textId="1C458647" w:rsidR="00CE4D33" w:rsidRDefault="00CE4D33" w:rsidP="00CE4D33">
      <w:pPr>
        <w:spacing w:line="360" w:lineRule="auto"/>
        <w:rPr>
          <w:b/>
          <w:bCs/>
          <w:color w:val="000000" w:themeColor="text1"/>
        </w:rPr>
      </w:pPr>
      <w:r>
        <w:rPr>
          <w:b/>
          <w:bCs/>
          <w:color w:val="000000" w:themeColor="text1"/>
        </w:rPr>
        <w:lastRenderedPageBreak/>
        <w:t>What is already known on this topic</w:t>
      </w:r>
    </w:p>
    <w:p w14:paraId="422B51A0" w14:textId="6E4168B9" w:rsidR="00CE4D33" w:rsidRDefault="00CE4D33" w:rsidP="00CE4D33">
      <w:pPr>
        <w:spacing w:line="360" w:lineRule="auto"/>
        <w:jc w:val="both"/>
      </w:pPr>
      <w:r>
        <w:t xml:space="preserve">Arterial and venous thromboembolic complications of intravenous immunoglobulin (IVIg) have been reported, however, conflictingly, </w:t>
      </w:r>
      <w:proofErr w:type="spellStart"/>
      <w:r>
        <w:t>IVIg</w:t>
      </w:r>
      <w:proofErr w:type="spellEnd"/>
      <w:r>
        <w:t xml:space="preserve"> is also frequently used for inflammatory conditions which lead to increased risk of thromboses. The answer to the primary question of whether </w:t>
      </w:r>
      <w:proofErr w:type="spellStart"/>
      <w:r>
        <w:t>IVIg</w:t>
      </w:r>
      <w:proofErr w:type="spellEnd"/>
      <w:r>
        <w:t xml:space="preserve"> increases the risk of TEEs is inconsistent between reports. A systematic review and meta-analysis of randomised trials did not find the odds of developing a TEE with </w:t>
      </w:r>
      <w:proofErr w:type="spellStart"/>
      <w:r>
        <w:t>IVIg</w:t>
      </w:r>
      <w:proofErr w:type="spellEnd"/>
      <w:r>
        <w:t xml:space="preserve"> to be significantly increased, but a large longitudinal health insurance claims database cohort analysis found concerning rates of same-day TEEs after </w:t>
      </w:r>
      <w:proofErr w:type="spellStart"/>
      <w:r>
        <w:t>IVIg</w:t>
      </w:r>
      <w:proofErr w:type="spellEnd"/>
      <w:r>
        <w:t xml:space="preserve"> administration. These, and other studies, have been limited by insufficient details regarding other cardiovascular risk factors or relevant past history, and we did not find any comprehensive assessment of the impact of </w:t>
      </w:r>
      <w:proofErr w:type="spellStart"/>
      <w:r>
        <w:t>IVIg</w:t>
      </w:r>
      <w:proofErr w:type="spellEnd"/>
      <w:r>
        <w:t xml:space="preserve"> on the participants’ overall cardiovascular disease risk. Small sample sizes have also precluded meaningful subgroup analyses. </w:t>
      </w:r>
    </w:p>
    <w:p w14:paraId="12E7477C" w14:textId="77777777" w:rsidR="00CE4D33" w:rsidRDefault="00CE4D33" w:rsidP="00CE4D33">
      <w:pPr>
        <w:spacing w:line="360" w:lineRule="auto"/>
      </w:pPr>
    </w:p>
    <w:p w14:paraId="4DAE2A27" w14:textId="5A7E7273" w:rsidR="00CE4D33" w:rsidRDefault="00CE4D33" w:rsidP="00CE4D33">
      <w:pPr>
        <w:spacing w:line="360" w:lineRule="auto"/>
        <w:rPr>
          <w:b/>
          <w:bCs/>
          <w:color w:val="000000" w:themeColor="text1"/>
        </w:rPr>
      </w:pPr>
      <w:r>
        <w:rPr>
          <w:b/>
          <w:bCs/>
          <w:color w:val="000000" w:themeColor="text1"/>
        </w:rPr>
        <w:t>What this study adds</w:t>
      </w:r>
    </w:p>
    <w:p w14:paraId="2D93E64C" w14:textId="6B6DFEC1" w:rsidR="00CE4D33" w:rsidRDefault="00CE4D33" w:rsidP="00CE4D33">
      <w:pPr>
        <w:spacing w:line="360" w:lineRule="auto"/>
        <w:rPr>
          <w:color w:val="000000" w:themeColor="text1"/>
        </w:rPr>
      </w:pPr>
      <w:r>
        <w:rPr>
          <w:color w:val="000000" w:themeColor="text1"/>
        </w:rPr>
        <w:t xml:space="preserve">Our study is the largest investigation into factors linking </w:t>
      </w:r>
      <w:proofErr w:type="spellStart"/>
      <w:r>
        <w:rPr>
          <w:color w:val="000000" w:themeColor="text1"/>
        </w:rPr>
        <w:t>IVIg</w:t>
      </w:r>
      <w:proofErr w:type="spellEnd"/>
      <w:r>
        <w:rPr>
          <w:color w:val="000000" w:themeColor="text1"/>
        </w:rPr>
        <w:t xml:space="preserve"> exposure to an increased risk of recurrent thromboembolic events. Our findings show the significant increased odds of recurrent arterial and/or venous thromboembolic event after exposure to </w:t>
      </w:r>
      <w:proofErr w:type="spellStart"/>
      <w:r>
        <w:rPr>
          <w:color w:val="000000" w:themeColor="text1"/>
        </w:rPr>
        <w:t>IVIg</w:t>
      </w:r>
      <w:proofErr w:type="spellEnd"/>
      <w:r>
        <w:rPr>
          <w:color w:val="000000" w:themeColor="text1"/>
        </w:rPr>
        <w:t xml:space="preserve"> independent of other known cardiovascular risk factors. It highlights the number of patients who may be at increased risk, as any severity of previous thromboembolic event (from deep-vein thrombosis managed as an outpatient to patients admitted to hospital with pulmonary emboli or myocardial infarction) have an increased risk of future thromboembolism. </w:t>
      </w:r>
    </w:p>
    <w:p w14:paraId="1DF6BA11" w14:textId="77777777" w:rsidR="00CE4D33" w:rsidRDefault="00CE4D33" w:rsidP="00CE4D33">
      <w:pPr>
        <w:spacing w:line="360" w:lineRule="auto"/>
        <w:rPr>
          <w:color w:val="000000" w:themeColor="text1"/>
          <w:u w:val="single"/>
        </w:rPr>
      </w:pPr>
    </w:p>
    <w:p w14:paraId="1D4CEA75" w14:textId="2F59963C" w:rsidR="00CE4D33" w:rsidRDefault="00CE4D33" w:rsidP="00CE4D33">
      <w:pPr>
        <w:spacing w:line="360" w:lineRule="auto"/>
        <w:rPr>
          <w:b/>
          <w:bCs/>
          <w:color w:val="000000" w:themeColor="text1"/>
        </w:rPr>
      </w:pPr>
      <w:r>
        <w:rPr>
          <w:b/>
          <w:bCs/>
          <w:color w:val="000000" w:themeColor="text1"/>
        </w:rPr>
        <w:t>How this study might affect research, practice and/or policy</w:t>
      </w:r>
    </w:p>
    <w:p w14:paraId="2ACB3A89" w14:textId="77777777" w:rsidR="00CE4D33" w:rsidRDefault="00CE4D33" w:rsidP="00CE4D33">
      <w:pPr>
        <w:spacing w:line="360" w:lineRule="auto"/>
        <w:rPr>
          <w:color w:val="000000" w:themeColor="text1"/>
        </w:rPr>
      </w:pPr>
      <w:r>
        <w:rPr>
          <w:color w:val="000000" w:themeColor="text1"/>
        </w:rPr>
        <w:t xml:space="preserve">Given the increased risk of recurrent thromboembolic events, especially arterial, in people treated with </w:t>
      </w:r>
      <w:proofErr w:type="spellStart"/>
      <w:r>
        <w:rPr>
          <w:color w:val="000000" w:themeColor="text1"/>
        </w:rPr>
        <w:t>IVIg</w:t>
      </w:r>
      <w:proofErr w:type="spellEnd"/>
      <w:r>
        <w:rPr>
          <w:color w:val="000000" w:themeColor="text1"/>
        </w:rPr>
        <w:t xml:space="preserve">, local secondary prevention guidelines should be closely implemented and reinforced in this cohort. </w:t>
      </w:r>
    </w:p>
    <w:p w14:paraId="6D029868" w14:textId="77777777" w:rsidR="00CE4D33" w:rsidRDefault="00CE4D33" w:rsidP="00EC1ED6">
      <w:pPr>
        <w:spacing w:line="360" w:lineRule="auto"/>
        <w:rPr>
          <w:b/>
          <w:bCs/>
          <w:color w:val="000000" w:themeColor="text1"/>
          <w:u w:val="single"/>
        </w:rPr>
      </w:pPr>
    </w:p>
    <w:p w14:paraId="38E14382" w14:textId="50CD3F4F" w:rsidR="0085597D" w:rsidRPr="00397C2B" w:rsidRDefault="006265B4" w:rsidP="00EC1ED6">
      <w:pPr>
        <w:spacing w:line="360" w:lineRule="auto"/>
        <w:rPr>
          <w:b/>
          <w:bCs/>
          <w:color w:val="000000" w:themeColor="text1"/>
          <w:u w:val="single"/>
        </w:rPr>
      </w:pPr>
      <w:r w:rsidRPr="00397C2B">
        <w:rPr>
          <w:b/>
          <w:bCs/>
          <w:color w:val="000000" w:themeColor="text1"/>
          <w:u w:val="single"/>
        </w:rPr>
        <w:t>Introduction</w:t>
      </w:r>
    </w:p>
    <w:p w14:paraId="6EEEAEF9" w14:textId="02BC5D3D" w:rsidR="00AA37AA" w:rsidRPr="00397C2B" w:rsidRDefault="0085597D" w:rsidP="00EC1ED6">
      <w:pPr>
        <w:pStyle w:val="PhDNormal"/>
        <w:spacing w:after="0"/>
        <w:ind w:firstLine="0"/>
        <w:jc w:val="left"/>
        <w:rPr>
          <w:color w:val="000000" w:themeColor="text1"/>
          <w:szCs w:val="24"/>
        </w:rPr>
      </w:pPr>
      <w:r w:rsidRPr="00397C2B">
        <w:rPr>
          <w:color w:val="000000" w:themeColor="text1"/>
          <w:szCs w:val="24"/>
        </w:rPr>
        <w:t>Arterial and venous</w:t>
      </w:r>
      <w:r w:rsidR="00AA37AA" w:rsidRPr="00397C2B">
        <w:rPr>
          <w:color w:val="000000" w:themeColor="text1"/>
          <w:szCs w:val="24"/>
        </w:rPr>
        <w:t xml:space="preserve"> thromboembolic (TEE)</w:t>
      </w:r>
      <w:r w:rsidRPr="00397C2B">
        <w:rPr>
          <w:color w:val="000000" w:themeColor="text1"/>
          <w:szCs w:val="24"/>
        </w:rPr>
        <w:t xml:space="preserve"> complications of</w:t>
      </w:r>
      <w:r w:rsidR="00DD5DAE">
        <w:rPr>
          <w:color w:val="000000" w:themeColor="text1"/>
          <w:szCs w:val="24"/>
        </w:rPr>
        <w:t xml:space="preserve"> </w:t>
      </w:r>
      <w:r w:rsidR="001C1E17">
        <w:rPr>
          <w:color w:val="000000" w:themeColor="text1"/>
          <w:szCs w:val="24"/>
        </w:rPr>
        <w:t>intravenous</w:t>
      </w:r>
      <w:r w:rsidR="00DD5DAE">
        <w:rPr>
          <w:color w:val="000000" w:themeColor="text1"/>
          <w:szCs w:val="24"/>
        </w:rPr>
        <w:t xml:space="preserve"> immunoglobulin (</w:t>
      </w:r>
      <w:proofErr w:type="spellStart"/>
      <w:r w:rsidRPr="00397C2B">
        <w:rPr>
          <w:color w:val="000000" w:themeColor="text1"/>
          <w:szCs w:val="24"/>
        </w:rPr>
        <w:t>IVIg</w:t>
      </w:r>
      <w:proofErr w:type="spellEnd"/>
      <w:r w:rsidR="00DD5DAE">
        <w:rPr>
          <w:color w:val="000000" w:themeColor="text1"/>
          <w:szCs w:val="24"/>
        </w:rPr>
        <w:t>)</w:t>
      </w:r>
      <w:r w:rsidRPr="00397C2B">
        <w:rPr>
          <w:color w:val="000000" w:themeColor="text1"/>
          <w:szCs w:val="24"/>
        </w:rPr>
        <w:t xml:space="preserve"> have been reported for decades</w:t>
      </w:r>
      <w:r w:rsidR="009956C5" w:rsidRPr="00397C2B">
        <w:rPr>
          <w:color w:val="000000" w:themeColor="text1"/>
          <w:szCs w:val="24"/>
        </w:rPr>
        <w:t>.</w:t>
      </w:r>
      <w:r w:rsidRPr="00397C2B">
        <w:rPr>
          <w:color w:val="000000" w:themeColor="text1"/>
          <w:szCs w:val="24"/>
        </w:rPr>
        <w:t xml:space="preserve"> </w:t>
      </w:r>
      <w:r w:rsidR="009956C5" w:rsidRPr="00397C2B">
        <w:rPr>
          <w:color w:val="000000" w:themeColor="text1"/>
          <w:szCs w:val="24"/>
        </w:rPr>
        <w:t xml:space="preserve">A </w:t>
      </w:r>
      <w:r w:rsidR="00AA37AA" w:rsidRPr="00397C2B">
        <w:rPr>
          <w:color w:val="000000" w:themeColor="text1"/>
          <w:szCs w:val="24"/>
        </w:rPr>
        <w:t>large cohort analysis of 11</w:t>
      </w:r>
      <w:r w:rsidR="00FA2DCD">
        <w:rPr>
          <w:color w:val="000000" w:themeColor="text1"/>
          <w:szCs w:val="24"/>
        </w:rPr>
        <w:t xml:space="preserve"> </w:t>
      </w:r>
      <w:r w:rsidR="00AA37AA" w:rsidRPr="00397C2B">
        <w:rPr>
          <w:color w:val="000000" w:themeColor="text1"/>
          <w:szCs w:val="24"/>
        </w:rPr>
        <w:t>785 patients using a longitudinal health insurance claims database found 122 persons (10</w:t>
      </w:r>
      <w:r w:rsidR="00FA2DCD">
        <w:rPr>
          <w:color w:val="000000" w:themeColor="text1"/>
          <w:szCs w:val="24"/>
        </w:rPr>
        <w:t xml:space="preserve"> </w:t>
      </w:r>
      <w:r w:rsidR="00FA2DCD">
        <w:rPr>
          <w:rFonts w:ascii="Times" w:eastAsiaTheme="minorHAnsi" w:hAnsi="Times" w:cs="Times"/>
          <w:color w:val="000000"/>
          <w:sz w:val="18"/>
          <w:szCs w:val="18"/>
          <w:lang w:val="en-GB"/>
        </w:rPr>
        <w:t xml:space="preserve">· </w:t>
      </w:r>
      <w:r w:rsidR="00AA37AA" w:rsidRPr="00397C2B">
        <w:rPr>
          <w:color w:val="000000" w:themeColor="text1"/>
          <w:szCs w:val="24"/>
        </w:rPr>
        <w:t>4 per 1000 persons exposed) had same-day TEEs</w:t>
      </w:r>
      <w:r w:rsidR="009956C5" w:rsidRPr="00397C2B">
        <w:rPr>
          <w:color w:val="000000" w:themeColor="text1"/>
          <w:szCs w:val="24"/>
        </w:rPr>
        <w:t xml:space="preserve"> after exposure to </w:t>
      </w:r>
      <w:proofErr w:type="spellStart"/>
      <w:r w:rsidR="001C1E17" w:rsidRPr="00397C2B">
        <w:rPr>
          <w:color w:val="000000" w:themeColor="text1"/>
          <w:szCs w:val="24"/>
        </w:rPr>
        <w:t>IVIg</w:t>
      </w:r>
      <w:proofErr w:type="spellEnd"/>
      <w:r w:rsidR="00416337" w:rsidRPr="00397C2B">
        <w:rPr>
          <w:color w:val="000000" w:themeColor="text1"/>
          <w:szCs w:val="24"/>
        </w:rPr>
        <w:t>; the</w:t>
      </w:r>
      <w:r w:rsidR="00AA37AA" w:rsidRPr="00397C2B">
        <w:rPr>
          <w:color w:val="000000" w:themeColor="text1"/>
          <w:szCs w:val="24"/>
        </w:rPr>
        <w:t xml:space="preserve"> FDA </w:t>
      </w:r>
      <w:r w:rsidR="009956C5" w:rsidRPr="00397C2B">
        <w:rPr>
          <w:color w:val="000000" w:themeColor="text1"/>
          <w:szCs w:val="24"/>
        </w:rPr>
        <w:t xml:space="preserve">subsequently </w:t>
      </w:r>
      <w:r w:rsidR="00AA37AA" w:rsidRPr="00397C2B">
        <w:rPr>
          <w:color w:val="000000" w:themeColor="text1"/>
          <w:szCs w:val="24"/>
        </w:rPr>
        <w:t xml:space="preserve">mandated a </w:t>
      </w:r>
      <w:r w:rsidR="002F0B46" w:rsidRPr="00397C2B">
        <w:rPr>
          <w:color w:val="000000" w:themeColor="text1"/>
          <w:szCs w:val="24"/>
        </w:rPr>
        <w:t>black-box w</w:t>
      </w:r>
      <w:r w:rsidR="00AA37AA" w:rsidRPr="00397C2B">
        <w:rPr>
          <w:color w:val="000000" w:themeColor="text1"/>
          <w:szCs w:val="24"/>
        </w:rPr>
        <w:t xml:space="preserve">arning about the risk of thrombosis for all human </w:t>
      </w:r>
      <w:r w:rsidR="00016148" w:rsidRPr="00397C2B">
        <w:rPr>
          <w:color w:val="000000" w:themeColor="text1"/>
          <w:szCs w:val="24"/>
        </w:rPr>
        <w:t>Ig</w:t>
      </w:r>
      <w:r w:rsidR="00AA37AA" w:rsidRPr="00397C2B">
        <w:rPr>
          <w:color w:val="000000" w:themeColor="text1"/>
          <w:szCs w:val="24"/>
        </w:rPr>
        <w:t xml:space="preserve"> </w:t>
      </w:r>
      <w:proofErr w:type="gramStart"/>
      <w:r w:rsidR="00AA37AA" w:rsidRPr="00397C2B">
        <w:rPr>
          <w:color w:val="000000" w:themeColor="text1"/>
          <w:szCs w:val="24"/>
        </w:rPr>
        <w:t>products.</w:t>
      </w:r>
      <w:r w:rsidR="001C05E2">
        <w:rPr>
          <w:color w:val="000000" w:themeColor="text1"/>
          <w:szCs w:val="24"/>
        </w:rPr>
        <w:t>{</w:t>
      </w:r>
      <w:proofErr w:type="gramEnd"/>
      <w:r w:rsidR="001C05E2">
        <w:rPr>
          <w:color w:val="000000" w:themeColor="text1"/>
          <w:szCs w:val="24"/>
        </w:rPr>
        <w:t>Daniel, 2012 #8830;Blumberg, 2013 #245}</w:t>
      </w:r>
      <w:r w:rsidR="00891796" w:rsidRPr="00397C2B">
        <w:rPr>
          <w:color w:val="000000" w:themeColor="text1"/>
          <w:szCs w:val="24"/>
        </w:rPr>
        <w:t xml:space="preserve"> </w:t>
      </w:r>
    </w:p>
    <w:p w14:paraId="24AB5C80" w14:textId="1183432B" w:rsidR="00D56B03" w:rsidRPr="00397C2B" w:rsidRDefault="00F24326" w:rsidP="00EC1ED6">
      <w:pPr>
        <w:pStyle w:val="PhDNormal"/>
        <w:spacing w:after="0"/>
        <w:ind w:firstLine="0"/>
        <w:jc w:val="left"/>
        <w:rPr>
          <w:color w:val="000000" w:themeColor="text1"/>
          <w:szCs w:val="24"/>
        </w:rPr>
      </w:pPr>
      <w:r w:rsidRPr="00397C2B">
        <w:rPr>
          <w:color w:val="000000" w:themeColor="text1"/>
          <w:szCs w:val="24"/>
        </w:rPr>
        <w:lastRenderedPageBreak/>
        <w:t>In a retrospective study in our</w:t>
      </w:r>
      <w:r w:rsidR="00991E9B">
        <w:rPr>
          <w:color w:val="000000" w:themeColor="text1"/>
          <w:szCs w:val="24"/>
        </w:rPr>
        <w:t xml:space="preserve"> hospital’s</w:t>
      </w:r>
      <w:r w:rsidRPr="00397C2B">
        <w:rPr>
          <w:color w:val="000000" w:themeColor="text1"/>
          <w:szCs w:val="24"/>
        </w:rPr>
        <w:t xml:space="preserve"> </w:t>
      </w:r>
      <w:r w:rsidR="00016148" w:rsidRPr="00397C2B">
        <w:rPr>
          <w:color w:val="000000" w:themeColor="text1"/>
          <w:szCs w:val="24"/>
        </w:rPr>
        <w:t>neuromuscular</w:t>
      </w:r>
      <w:r w:rsidRPr="00397C2B">
        <w:rPr>
          <w:color w:val="000000" w:themeColor="text1"/>
          <w:szCs w:val="24"/>
        </w:rPr>
        <w:t xml:space="preserve"> cohort on maintenance </w:t>
      </w:r>
      <w:proofErr w:type="spellStart"/>
      <w:r w:rsidRPr="00397C2B">
        <w:rPr>
          <w:color w:val="000000" w:themeColor="text1"/>
          <w:szCs w:val="24"/>
        </w:rPr>
        <w:t>IVIg</w:t>
      </w:r>
      <w:proofErr w:type="spellEnd"/>
      <w:r w:rsidR="00016148" w:rsidRPr="00397C2B">
        <w:rPr>
          <w:color w:val="000000" w:themeColor="text1"/>
          <w:szCs w:val="24"/>
        </w:rPr>
        <w:t>,</w:t>
      </w:r>
      <w:r w:rsidRPr="00397C2B">
        <w:rPr>
          <w:color w:val="000000" w:themeColor="text1"/>
          <w:szCs w:val="24"/>
        </w:rPr>
        <w:t xml:space="preserve"> we </w:t>
      </w:r>
      <w:r w:rsidR="0038395D">
        <w:rPr>
          <w:color w:val="000000" w:themeColor="text1"/>
          <w:szCs w:val="24"/>
        </w:rPr>
        <w:t>previously</w:t>
      </w:r>
      <w:r w:rsidR="00B87D03">
        <w:rPr>
          <w:color w:val="000000" w:themeColor="text1"/>
          <w:szCs w:val="24"/>
        </w:rPr>
        <w:t xml:space="preserve"> </w:t>
      </w:r>
      <w:r w:rsidRPr="00397C2B">
        <w:rPr>
          <w:color w:val="000000" w:themeColor="text1"/>
          <w:szCs w:val="24"/>
        </w:rPr>
        <w:t xml:space="preserve">found a </w:t>
      </w:r>
      <w:r w:rsidR="0001637D">
        <w:rPr>
          <w:color w:val="000000" w:themeColor="text1"/>
          <w:szCs w:val="24"/>
        </w:rPr>
        <w:t>seven</w:t>
      </w:r>
      <w:r w:rsidRPr="00397C2B">
        <w:rPr>
          <w:color w:val="000000" w:themeColor="text1"/>
          <w:szCs w:val="24"/>
        </w:rPr>
        <w:t xml:space="preserve">-fold increase in TEE incidence compared with contemporaneous population-based </w:t>
      </w:r>
      <w:proofErr w:type="gramStart"/>
      <w:r w:rsidRPr="00397C2B">
        <w:rPr>
          <w:color w:val="000000" w:themeColor="text1"/>
          <w:szCs w:val="24"/>
        </w:rPr>
        <w:t>rates.</w:t>
      </w:r>
      <w:r w:rsidR="001C05E2">
        <w:rPr>
          <w:color w:val="000000" w:themeColor="text1"/>
          <w:szCs w:val="24"/>
        </w:rPr>
        <w:t>{</w:t>
      </w:r>
      <w:proofErr w:type="gramEnd"/>
      <w:r w:rsidR="001C05E2">
        <w:rPr>
          <w:color w:val="000000" w:themeColor="text1"/>
          <w:szCs w:val="24"/>
        </w:rPr>
        <w:t>Kapoor, 2020 #9010}</w:t>
      </w:r>
    </w:p>
    <w:p w14:paraId="6A37C77D" w14:textId="493FF4E3" w:rsidR="00664843" w:rsidRPr="00397C2B" w:rsidRDefault="00D56B03" w:rsidP="00EC1ED6">
      <w:pPr>
        <w:pStyle w:val="PhDNormal"/>
        <w:spacing w:after="0"/>
        <w:ind w:firstLine="0"/>
        <w:jc w:val="left"/>
        <w:rPr>
          <w:color w:val="000000" w:themeColor="text1"/>
          <w:szCs w:val="24"/>
        </w:rPr>
      </w:pPr>
      <w:r w:rsidRPr="00397C2B">
        <w:rPr>
          <w:color w:val="000000" w:themeColor="text1"/>
          <w:szCs w:val="24"/>
        </w:rPr>
        <w:t>The mechanism by which</w:t>
      </w:r>
      <w:r w:rsidR="0085597D" w:rsidRPr="00397C2B">
        <w:rPr>
          <w:color w:val="000000" w:themeColor="text1"/>
          <w:szCs w:val="24"/>
        </w:rPr>
        <w:t xml:space="preserve"> </w:t>
      </w:r>
      <w:proofErr w:type="spellStart"/>
      <w:r w:rsidR="0085597D" w:rsidRPr="00397C2B">
        <w:rPr>
          <w:color w:val="000000" w:themeColor="text1"/>
          <w:szCs w:val="24"/>
        </w:rPr>
        <w:t>IVIg</w:t>
      </w:r>
      <w:proofErr w:type="spellEnd"/>
      <w:r w:rsidR="0085597D" w:rsidRPr="00397C2B">
        <w:rPr>
          <w:color w:val="000000" w:themeColor="text1"/>
          <w:szCs w:val="24"/>
        </w:rPr>
        <w:t xml:space="preserve"> increases the risk of</w:t>
      </w:r>
      <w:r w:rsidR="009956C5" w:rsidRPr="00397C2B">
        <w:rPr>
          <w:color w:val="000000" w:themeColor="text1"/>
          <w:szCs w:val="24"/>
        </w:rPr>
        <w:t xml:space="preserve"> </w:t>
      </w:r>
      <w:r w:rsidR="0085597D" w:rsidRPr="00397C2B">
        <w:rPr>
          <w:color w:val="000000" w:themeColor="text1"/>
          <w:szCs w:val="24"/>
        </w:rPr>
        <w:t xml:space="preserve">TEEs is </w:t>
      </w:r>
      <w:r w:rsidR="00D1022C" w:rsidRPr="00397C2B">
        <w:rPr>
          <w:color w:val="000000" w:themeColor="text1"/>
          <w:szCs w:val="24"/>
        </w:rPr>
        <w:t>uncertain</w:t>
      </w:r>
      <w:r w:rsidR="00AA37AA" w:rsidRPr="00397C2B">
        <w:rPr>
          <w:color w:val="000000" w:themeColor="text1"/>
          <w:szCs w:val="24"/>
        </w:rPr>
        <w:t xml:space="preserve"> and the rarity of this complication in neurology,</w:t>
      </w:r>
      <w:r w:rsidR="00FE0965" w:rsidRPr="00397C2B">
        <w:rPr>
          <w:color w:val="000000" w:themeColor="text1"/>
          <w:szCs w:val="24"/>
        </w:rPr>
        <w:t xml:space="preserve"> </w:t>
      </w:r>
      <w:r w:rsidR="00AA37AA" w:rsidRPr="00397C2B">
        <w:rPr>
          <w:color w:val="000000" w:themeColor="text1"/>
          <w:szCs w:val="24"/>
        </w:rPr>
        <w:t xml:space="preserve">haematology and immunology literature </w:t>
      </w:r>
      <w:r w:rsidR="00F24326" w:rsidRPr="00397C2B">
        <w:rPr>
          <w:color w:val="000000" w:themeColor="text1"/>
          <w:szCs w:val="24"/>
        </w:rPr>
        <w:t>has limited</w:t>
      </w:r>
      <w:r w:rsidR="00AA37AA" w:rsidRPr="00397C2B">
        <w:rPr>
          <w:color w:val="000000" w:themeColor="text1"/>
          <w:szCs w:val="24"/>
        </w:rPr>
        <w:t xml:space="preserve"> a comprehensive assessment of </w:t>
      </w:r>
      <w:r w:rsidR="00D423AB" w:rsidRPr="00397C2B">
        <w:rPr>
          <w:color w:val="000000" w:themeColor="text1"/>
          <w:szCs w:val="24"/>
        </w:rPr>
        <w:t>the</w:t>
      </w:r>
      <w:r w:rsidR="00AA37AA" w:rsidRPr="00397C2B">
        <w:rPr>
          <w:color w:val="000000" w:themeColor="text1"/>
          <w:szCs w:val="24"/>
        </w:rPr>
        <w:t xml:space="preserve"> </w:t>
      </w:r>
      <w:r w:rsidR="00E8506A" w:rsidRPr="00397C2B">
        <w:rPr>
          <w:color w:val="000000" w:themeColor="text1"/>
          <w:szCs w:val="24"/>
        </w:rPr>
        <w:t xml:space="preserve">independent </w:t>
      </w:r>
      <w:r w:rsidR="00D423AB" w:rsidRPr="00397C2B">
        <w:rPr>
          <w:color w:val="000000" w:themeColor="text1"/>
          <w:szCs w:val="24"/>
        </w:rPr>
        <w:t>association</w:t>
      </w:r>
      <w:r w:rsidR="00AA37AA" w:rsidRPr="00397C2B">
        <w:rPr>
          <w:color w:val="000000" w:themeColor="text1"/>
          <w:szCs w:val="24"/>
        </w:rPr>
        <w:t xml:space="preserve"> between </w:t>
      </w:r>
      <w:proofErr w:type="spellStart"/>
      <w:r w:rsidR="00AA37AA" w:rsidRPr="00397C2B">
        <w:rPr>
          <w:color w:val="000000" w:themeColor="text1"/>
          <w:szCs w:val="24"/>
        </w:rPr>
        <w:t>IVIg</w:t>
      </w:r>
      <w:proofErr w:type="spellEnd"/>
      <w:r w:rsidR="00AA37AA" w:rsidRPr="00397C2B">
        <w:rPr>
          <w:color w:val="000000" w:themeColor="text1"/>
          <w:szCs w:val="24"/>
        </w:rPr>
        <w:t xml:space="preserve"> and TEEs. </w:t>
      </w:r>
    </w:p>
    <w:p w14:paraId="42AE040E" w14:textId="1AE54CDF" w:rsidR="00C77306" w:rsidRDefault="004739CD" w:rsidP="00EC1ED6">
      <w:pPr>
        <w:spacing w:line="360" w:lineRule="auto"/>
        <w:rPr>
          <w:color w:val="000000" w:themeColor="text1"/>
        </w:rPr>
      </w:pPr>
      <w:r>
        <w:rPr>
          <w:color w:val="000000" w:themeColor="text1"/>
        </w:rPr>
        <w:t>C</w:t>
      </w:r>
      <w:r w:rsidR="00B87D03" w:rsidRPr="00397C2B">
        <w:rPr>
          <w:color w:val="000000" w:themeColor="text1"/>
        </w:rPr>
        <w:t>ardiovascular</w:t>
      </w:r>
      <w:r w:rsidR="00B87D03">
        <w:rPr>
          <w:color w:val="000000" w:themeColor="text1"/>
        </w:rPr>
        <w:t xml:space="preserve"> disease</w:t>
      </w:r>
      <w:r w:rsidR="00B87D03" w:rsidRPr="00397C2B">
        <w:rPr>
          <w:color w:val="000000" w:themeColor="text1"/>
        </w:rPr>
        <w:t xml:space="preserve"> (CVD) risk is assessed by </w:t>
      </w:r>
      <w:r w:rsidR="00B87D03">
        <w:rPr>
          <w:color w:val="000000" w:themeColor="text1"/>
        </w:rPr>
        <w:t>considering</w:t>
      </w:r>
      <w:r w:rsidR="00B87D03" w:rsidRPr="00397C2B">
        <w:rPr>
          <w:color w:val="000000" w:themeColor="text1"/>
        </w:rPr>
        <w:t xml:space="preserve"> the effect of multiple risk factors </w:t>
      </w:r>
      <w:r w:rsidR="00B87D03">
        <w:rPr>
          <w:color w:val="000000" w:themeColor="text1"/>
        </w:rPr>
        <w:t>(</w:t>
      </w:r>
      <w:r w:rsidR="00B87D03" w:rsidRPr="00397C2B">
        <w:rPr>
          <w:color w:val="000000" w:themeColor="text1"/>
        </w:rPr>
        <w:t>additive or synergistic</w:t>
      </w:r>
      <w:r w:rsidR="00B87D03">
        <w:rPr>
          <w:color w:val="000000" w:themeColor="text1"/>
        </w:rPr>
        <w:t>). M</w:t>
      </w:r>
      <w:r w:rsidR="00B87D03" w:rsidRPr="00397C2B">
        <w:rPr>
          <w:color w:val="000000" w:themeColor="text1"/>
        </w:rPr>
        <w:t>oderate reductions in several risk factors are more effective in reducing overall CVD risk</w:t>
      </w:r>
      <w:r w:rsidR="00B87D03">
        <w:rPr>
          <w:color w:val="000000" w:themeColor="text1"/>
        </w:rPr>
        <w:t xml:space="preserve"> than trying to abolish any one factor alone</w:t>
      </w:r>
      <w:r w:rsidR="00B87D03" w:rsidRPr="00397C2B">
        <w:rPr>
          <w:color w:val="000000" w:themeColor="text1"/>
        </w:rPr>
        <w:t>.</w:t>
      </w:r>
      <w:r w:rsidR="00B87D03">
        <w:rPr>
          <w:color w:val="000000" w:themeColor="text1"/>
        </w:rPr>
        <w:t xml:space="preserve"> An</w:t>
      </w:r>
      <w:r w:rsidR="003034D0">
        <w:rPr>
          <w:color w:val="000000" w:themeColor="text1"/>
        </w:rPr>
        <w:t>y</w:t>
      </w:r>
      <w:r w:rsidR="00B87D03">
        <w:rPr>
          <w:color w:val="000000" w:themeColor="text1"/>
        </w:rPr>
        <w:t xml:space="preserve"> additional risk from </w:t>
      </w:r>
      <w:proofErr w:type="spellStart"/>
      <w:r w:rsidR="00735FB0" w:rsidRPr="00397C2B">
        <w:rPr>
          <w:color w:val="000000" w:themeColor="text1"/>
        </w:rPr>
        <w:t>IVIg</w:t>
      </w:r>
      <w:proofErr w:type="spellEnd"/>
      <w:r w:rsidR="00735FB0" w:rsidRPr="00397C2B">
        <w:rPr>
          <w:color w:val="000000" w:themeColor="text1"/>
        </w:rPr>
        <w:t xml:space="preserve"> </w:t>
      </w:r>
      <w:r w:rsidR="00B87D03">
        <w:rPr>
          <w:color w:val="000000" w:themeColor="text1"/>
        </w:rPr>
        <w:t xml:space="preserve">should be clinically considered and incorporated into decision making for treatment. </w:t>
      </w:r>
      <w:r w:rsidR="00CB1811" w:rsidRPr="00397C2B">
        <w:rPr>
          <w:color w:val="000000" w:themeColor="text1"/>
        </w:rPr>
        <w:t xml:space="preserve">The classification </w:t>
      </w:r>
      <w:r w:rsidR="003034D0">
        <w:rPr>
          <w:color w:val="000000" w:themeColor="text1"/>
        </w:rPr>
        <w:t xml:space="preserve">of </w:t>
      </w:r>
      <w:r w:rsidR="001C05E2">
        <w:rPr>
          <w:color w:val="000000" w:themeColor="text1"/>
        </w:rPr>
        <w:t xml:space="preserve">CVD </w:t>
      </w:r>
      <w:r w:rsidR="003034D0">
        <w:rPr>
          <w:color w:val="000000" w:themeColor="text1"/>
        </w:rPr>
        <w:t>risk</w:t>
      </w:r>
      <w:r w:rsidR="003034D0" w:rsidRPr="00397C2B">
        <w:rPr>
          <w:color w:val="000000" w:themeColor="text1"/>
        </w:rPr>
        <w:t xml:space="preserve"> differs </w:t>
      </w:r>
      <w:r w:rsidR="003034D0">
        <w:rPr>
          <w:color w:val="000000" w:themeColor="text1"/>
        </w:rPr>
        <w:t>between geographical</w:t>
      </w:r>
      <w:r w:rsidR="003034D0" w:rsidRPr="00397C2B">
        <w:rPr>
          <w:color w:val="000000" w:themeColor="text1"/>
        </w:rPr>
        <w:t xml:space="preserve"> regions, but absolute risk calculations are used to guide primary and secondary prevention decisions.</w:t>
      </w:r>
      <w:r w:rsidR="003034D0">
        <w:rPr>
          <w:color w:val="000000" w:themeColor="text1"/>
        </w:rPr>
        <w:t xml:space="preserve"> In </w:t>
      </w:r>
      <w:r w:rsidR="00967F18">
        <w:rPr>
          <w:color w:val="000000" w:themeColor="text1"/>
        </w:rPr>
        <w:t>t</w:t>
      </w:r>
      <w:r w:rsidR="003034D0">
        <w:rPr>
          <w:color w:val="000000" w:themeColor="text1"/>
        </w:rPr>
        <w:t xml:space="preserve">he UK guidelines, </w:t>
      </w:r>
      <w:r w:rsidR="00CB1811" w:rsidRPr="00397C2B">
        <w:rPr>
          <w:color w:val="000000" w:themeColor="text1"/>
        </w:rPr>
        <w:t xml:space="preserve">low </w:t>
      </w:r>
      <w:r w:rsidR="00F20FC3" w:rsidRPr="00397C2B">
        <w:rPr>
          <w:color w:val="000000" w:themeColor="text1"/>
        </w:rPr>
        <w:t xml:space="preserve">risk </w:t>
      </w:r>
      <w:r w:rsidR="00F20FC3">
        <w:rPr>
          <w:color w:val="000000" w:themeColor="text1"/>
        </w:rPr>
        <w:t>is</w:t>
      </w:r>
      <w:r w:rsidR="003034D0">
        <w:rPr>
          <w:color w:val="000000" w:themeColor="text1"/>
        </w:rPr>
        <w:t xml:space="preserve"> </w:t>
      </w:r>
      <w:r w:rsidR="00930FD8" w:rsidRPr="00397C2B">
        <w:rPr>
          <w:color w:val="000000" w:themeColor="text1"/>
        </w:rPr>
        <w:t xml:space="preserve">&lt;10% </w:t>
      </w:r>
      <w:r w:rsidR="003034D0">
        <w:rPr>
          <w:color w:val="000000" w:themeColor="text1"/>
        </w:rPr>
        <w:t xml:space="preserve">incidence </w:t>
      </w:r>
      <w:r w:rsidR="00930FD8" w:rsidRPr="00397C2B">
        <w:rPr>
          <w:color w:val="000000" w:themeColor="text1"/>
        </w:rPr>
        <w:t xml:space="preserve">within the next 10 years and </w:t>
      </w:r>
      <w:r w:rsidR="00CB1811" w:rsidRPr="00397C2B">
        <w:rPr>
          <w:color w:val="000000" w:themeColor="text1"/>
        </w:rPr>
        <w:t xml:space="preserve">high risk </w:t>
      </w:r>
      <w:r w:rsidR="003034D0">
        <w:rPr>
          <w:color w:val="000000" w:themeColor="text1"/>
        </w:rPr>
        <w:t xml:space="preserve">is </w:t>
      </w:r>
      <w:r w:rsidR="00930FD8" w:rsidRPr="00397C2B">
        <w:rPr>
          <w:color w:val="000000" w:themeColor="text1"/>
        </w:rPr>
        <w:sym w:font="Symbol" w:char="F0B3"/>
      </w:r>
      <w:r w:rsidR="00CB1811" w:rsidRPr="00397C2B">
        <w:rPr>
          <w:color w:val="000000" w:themeColor="text1"/>
        </w:rPr>
        <w:t xml:space="preserve"> </w:t>
      </w:r>
      <w:r w:rsidR="00930FD8" w:rsidRPr="00397C2B">
        <w:rPr>
          <w:color w:val="000000" w:themeColor="text1"/>
        </w:rPr>
        <w:t>20</w:t>
      </w:r>
      <w:r w:rsidR="00CB1811" w:rsidRPr="00397C2B">
        <w:rPr>
          <w:color w:val="000000" w:themeColor="text1"/>
        </w:rPr>
        <w:t xml:space="preserve">% </w:t>
      </w:r>
      <w:r w:rsidR="00F62FEE" w:rsidRPr="00397C2B">
        <w:rPr>
          <w:color w:val="000000" w:themeColor="text1"/>
        </w:rPr>
        <w:t>probability</w:t>
      </w:r>
      <w:r w:rsidR="00CB1811" w:rsidRPr="00397C2B">
        <w:rPr>
          <w:color w:val="000000" w:themeColor="text1"/>
        </w:rPr>
        <w:t xml:space="preserve"> of CVD within the next </w:t>
      </w:r>
      <w:r w:rsidR="00930FD8" w:rsidRPr="00397C2B">
        <w:rPr>
          <w:color w:val="000000" w:themeColor="text1"/>
        </w:rPr>
        <w:t>10</w:t>
      </w:r>
      <w:r w:rsidR="00CB1811" w:rsidRPr="00397C2B">
        <w:rPr>
          <w:color w:val="000000" w:themeColor="text1"/>
        </w:rPr>
        <w:t xml:space="preserve"> </w:t>
      </w:r>
      <w:proofErr w:type="gramStart"/>
      <w:r w:rsidR="00CB1811" w:rsidRPr="00397C2B">
        <w:rPr>
          <w:color w:val="000000" w:themeColor="text1"/>
        </w:rPr>
        <w:t>years</w:t>
      </w:r>
      <w:r w:rsidR="00F62FEE" w:rsidRPr="00397C2B">
        <w:rPr>
          <w:color w:val="000000" w:themeColor="text1"/>
        </w:rPr>
        <w:t>.</w:t>
      </w:r>
      <w:r w:rsidR="001C05E2">
        <w:rPr>
          <w:color w:val="000000" w:themeColor="text1"/>
        </w:rPr>
        <w:t>{</w:t>
      </w:r>
      <w:proofErr w:type="gramEnd"/>
      <w:r w:rsidR="001C05E2">
        <w:rPr>
          <w:color w:val="000000" w:themeColor="text1"/>
        </w:rPr>
        <w:t>National Institute for Health and Care, 2021 #100;Hippisley-Cox, 2008 #9035}</w:t>
      </w:r>
      <w:r w:rsidR="00F62FEE" w:rsidRPr="00397C2B">
        <w:rPr>
          <w:color w:val="000000" w:themeColor="text1"/>
        </w:rPr>
        <w:t xml:space="preserve"> </w:t>
      </w:r>
    </w:p>
    <w:p w14:paraId="2A55D354" w14:textId="5A2F10F7" w:rsidR="006E7821" w:rsidRPr="00397C2B" w:rsidRDefault="006E7821" w:rsidP="00EC1ED6">
      <w:pPr>
        <w:spacing w:line="360" w:lineRule="auto"/>
        <w:rPr>
          <w:color w:val="000000" w:themeColor="text1"/>
        </w:rPr>
      </w:pPr>
      <w:r>
        <w:rPr>
          <w:color w:val="000000" w:themeColor="text1"/>
        </w:rPr>
        <w:t xml:space="preserve">Venous TEEs are divided in to </w:t>
      </w:r>
      <w:r w:rsidR="00967F18">
        <w:rPr>
          <w:color w:val="000000" w:themeColor="text1"/>
        </w:rPr>
        <w:t xml:space="preserve">unprovoked and provoked, which </w:t>
      </w:r>
      <w:r w:rsidR="00A06D72">
        <w:rPr>
          <w:color w:val="000000" w:themeColor="text1"/>
        </w:rPr>
        <w:t>are</w:t>
      </w:r>
      <w:r w:rsidR="00967F18">
        <w:rPr>
          <w:color w:val="000000" w:themeColor="text1"/>
        </w:rPr>
        <w:t xml:space="preserve"> </w:t>
      </w:r>
      <w:r w:rsidR="00B66276">
        <w:rPr>
          <w:color w:val="000000" w:themeColor="text1"/>
        </w:rPr>
        <w:t xml:space="preserve">further divided in to surgical and non-surgical, and transient or persistent. This </w:t>
      </w:r>
      <w:r w:rsidR="001269D3">
        <w:rPr>
          <w:color w:val="000000" w:themeColor="text1"/>
        </w:rPr>
        <w:t>classification</w:t>
      </w:r>
      <w:r w:rsidR="00B66276">
        <w:rPr>
          <w:color w:val="000000" w:themeColor="text1"/>
        </w:rPr>
        <w:t xml:space="preserve"> is important as it impacts on the risk for recurrence and duration of </w:t>
      </w:r>
      <w:proofErr w:type="gramStart"/>
      <w:r w:rsidR="00B66276">
        <w:rPr>
          <w:color w:val="000000" w:themeColor="text1"/>
        </w:rPr>
        <w:t>anticoagulation.</w:t>
      </w:r>
      <w:r w:rsidR="001C05E2">
        <w:rPr>
          <w:color w:val="000000" w:themeColor="text1"/>
        </w:rPr>
        <w:t>{</w:t>
      </w:r>
      <w:proofErr w:type="gramEnd"/>
      <w:r w:rsidR="001C05E2">
        <w:rPr>
          <w:color w:val="000000" w:themeColor="text1"/>
        </w:rPr>
        <w:t>Tran, 2019 #12841}</w:t>
      </w:r>
    </w:p>
    <w:p w14:paraId="2D50A119" w14:textId="31466CFC" w:rsidR="00F24326" w:rsidRPr="00397C2B" w:rsidRDefault="00D423AB" w:rsidP="00EC1ED6">
      <w:pPr>
        <w:pStyle w:val="PhDNormal"/>
        <w:spacing w:after="0"/>
        <w:ind w:firstLine="0"/>
        <w:jc w:val="left"/>
        <w:rPr>
          <w:color w:val="000000" w:themeColor="text1"/>
          <w:szCs w:val="24"/>
        </w:rPr>
      </w:pPr>
      <w:r w:rsidRPr="00397C2B">
        <w:rPr>
          <w:color w:val="000000" w:themeColor="text1"/>
          <w:szCs w:val="24"/>
        </w:rPr>
        <w:t>Analysing data from more than 500</w:t>
      </w:r>
      <w:r w:rsidR="001C05E2">
        <w:rPr>
          <w:color w:val="000000" w:themeColor="text1"/>
          <w:szCs w:val="24"/>
        </w:rPr>
        <w:t xml:space="preserve"> </w:t>
      </w:r>
      <w:r w:rsidRPr="00397C2B">
        <w:rPr>
          <w:color w:val="000000" w:themeColor="text1"/>
          <w:szCs w:val="24"/>
        </w:rPr>
        <w:t xml:space="preserve">000 participants in the UK Biobank, we investigated associations of several established </w:t>
      </w:r>
      <w:r w:rsidR="00F24326" w:rsidRPr="00397C2B">
        <w:rPr>
          <w:color w:val="000000" w:themeColor="text1"/>
          <w:szCs w:val="24"/>
        </w:rPr>
        <w:t xml:space="preserve">TEE </w:t>
      </w:r>
      <w:r w:rsidRPr="00397C2B">
        <w:rPr>
          <w:color w:val="000000" w:themeColor="text1"/>
          <w:szCs w:val="24"/>
        </w:rPr>
        <w:t xml:space="preserve">risk factors </w:t>
      </w:r>
      <w:r w:rsidR="003034D0">
        <w:rPr>
          <w:color w:val="000000" w:themeColor="text1"/>
          <w:szCs w:val="24"/>
        </w:rPr>
        <w:t xml:space="preserve">and </w:t>
      </w:r>
      <w:proofErr w:type="spellStart"/>
      <w:r w:rsidR="003034D0">
        <w:rPr>
          <w:color w:val="000000" w:themeColor="text1"/>
          <w:szCs w:val="24"/>
        </w:rPr>
        <w:t>IVIg</w:t>
      </w:r>
      <w:proofErr w:type="spellEnd"/>
      <w:r w:rsidR="003034D0">
        <w:rPr>
          <w:color w:val="000000" w:themeColor="text1"/>
          <w:szCs w:val="24"/>
        </w:rPr>
        <w:t xml:space="preserve"> exposure </w:t>
      </w:r>
      <w:r w:rsidR="006141B6">
        <w:rPr>
          <w:color w:val="000000" w:themeColor="text1"/>
          <w:szCs w:val="24"/>
        </w:rPr>
        <w:t>with</w:t>
      </w:r>
      <w:r w:rsidRPr="00397C2B">
        <w:rPr>
          <w:color w:val="000000" w:themeColor="text1"/>
          <w:szCs w:val="24"/>
        </w:rPr>
        <w:t xml:space="preserve"> the incidence of arterial and venous TEEs</w:t>
      </w:r>
      <w:r w:rsidR="00D56B03" w:rsidRPr="00397C2B">
        <w:rPr>
          <w:color w:val="000000" w:themeColor="text1"/>
          <w:szCs w:val="24"/>
        </w:rPr>
        <w:t>.</w:t>
      </w:r>
      <w:r w:rsidRPr="00397C2B">
        <w:rPr>
          <w:color w:val="000000" w:themeColor="text1"/>
          <w:szCs w:val="24"/>
        </w:rPr>
        <w:t xml:space="preserve"> </w:t>
      </w:r>
    </w:p>
    <w:p w14:paraId="7E1B381B" w14:textId="141F3A56" w:rsidR="00DB005A" w:rsidRDefault="00DB005A" w:rsidP="00EC1ED6">
      <w:pPr>
        <w:spacing w:line="360" w:lineRule="auto"/>
        <w:rPr>
          <w:b/>
          <w:bCs/>
          <w:color w:val="000000" w:themeColor="text1"/>
          <w:u w:val="single"/>
        </w:rPr>
      </w:pPr>
    </w:p>
    <w:p w14:paraId="70A27288" w14:textId="234A8D4B" w:rsidR="004D4A3C" w:rsidRPr="00397C2B" w:rsidRDefault="004D4A3C" w:rsidP="00EC1ED6">
      <w:pPr>
        <w:spacing w:line="360" w:lineRule="auto"/>
        <w:rPr>
          <w:b/>
          <w:bCs/>
          <w:color w:val="000000" w:themeColor="text1"/>
          <w:u w:val="single"/>
        </w:rPr>
      </w:pPr>
      <w:r w:rsidRPr="00397C2B">
        <w:rPr>
          <w:b/>
          <w:bCs/>
          <w:color w:val="000000" w:themeColor="text1"/>
          <w:u w:val="single"/>
        </w:rPr>
        <w:t>Methods</w:t>
      </w:r>
    </w:p>
    <w:p w14:paraId="40DAD3A2" w14:textId="75CFC8F9" w:rsidR="00D312E0" w:rsidRPr="00397C2B" w:rsidRDefault="004D4A3C" w:rsidP="00EC1ED6">
      <w:pPr>
        <w:spacing w:line="360" w:lineRule="auto"/>
        <w:rPr>
          <w:b/>
          <w:bCs/>
          <w:color w:val="000000" w:themeColor="text1"/>
        </w:rPr>
      </w:pPr>
      <w:r w:rsidRPr="00397C2B">
        <w:rPr>
          <w:color w:val="000000" w:themeColor="text1"/>
        </w:rPr>
        <w:t xml:space="preserve">The risk prediction model </w:t>
      </w:r>
      <w:r w:rsidR="009956C5" w:rsidRPr="00397C2B">
        <w:rPr>
          <w:color w:val="000000" w:themeColor="text1"/>
        </w:rPr>
        <w:t>was</w:t>
      </w:r>
      <w:r w:rsidRPr="00397C2B">
        <w:rPr>
          <w:color w:val="000000" w:themeColor="text1"/>
        </w:rPr>
        <w:t xml:space="preserve"> developed using the UK Biobank datase</w:t>
      </w:r>
      <w:r w:rsidR="00891796">
        <w:rPr>
          <w:color w:val="000000" w:themeColor="text1"/>
        </w:rPr>
        <w:t>t</w:t>
      </w:r>
      <w:r w:rsidR="00C95E75">
        <w:rPr>
          <w:color w:val="000000" w:themeColor="text1"/>
        </w:rPr>
        <w:t xml:space="preserve"> (Project</w:t>
      </w:r>
      <w:r w:rsidR="00FB3D42">
        <w:rPr>
          <w:color w:val="000000" w:themeColor="text1"/>
        </w:rPr>
        <w:t xml:space="preserve"> 45291, 43383</w:t>
      </w:r>
      <w:proofErr w:type="gramStart"/>
      <w:r w:rsidR="00FB3D42">
        <w:rPr>
          <w:color w:val="000000" w:themeColor="text1"/>
        </w:rPr>
        <w:t>)</w:t>
      </w:r>
      <w:r w:rsidR="00891796">
        <w:rPr>
          <w:color w:val="000000" w:themeColor="text1"/>
        </w:rPr>
        <w:t>.</w:t>
      </w:r>
      <w:r w:rsidR="001C05E2">
        <w:rPr>
          <w:color w:val="000000" w:themeColor="text1"/>
        </w:rPr>
        <w:t>{</w:t>
      </w:r>
      <w:proofErr w:type="gramEnd"/>
      <w:r w:rsidR="001C05E2">
        <w:rPr>
          <w:color w:val="000000" w:themeColor="text1"/>
        </w:rPr>
        <w:t>Collins, 2012 #6851;Palmer, 2007 #6795;Sudlow, 2015 #8768}</w:t>
      </w:r>
    </w:p>
    <w:p w14:paraId="3B08F20D" w14:textId="77777777" w:rsidR="002D2D1B" w:rsidRDefault="002D2D1B" w:rsidP="00EC1ED6">
      <w:pPr>
        <w:spacing w:line="360" w:lineRule="auto"/>
        <w:rPr>
          <w:b/>
          <w:bCs/>
          <w:color w:val="000000" w:themeColor="text1"/>
        </w:rPr>
      </w:pPr>
    </w:p>
    <w:p w14:paraId="144A65AB" w14:textId="14D14320" w:rsidR="004D4A3C" w:rsidRPr="00397C2B" w:rsidRDefault="002D52AA" w:rsidP="00EC1ED6">
      <w:pPr>
        <w:spacing w:line="360" w:lineRule="auto"/>
        <w:rPr>
          <w:b/>
          <w:bCs/>
          <w:color w:val="000000" w:themeColor="text1"/>
        </w:rPr>
      </w:pPr>
      <w:r>
        <w:rPr>
          <w:b/>
          <w:bCs/>
          <w:color w:val="000000" w:themeColor="text1"/>
        </w:rPr>
        <w:t>Participants</w:t>
      </w:r>
    </w:p>
    <w:p w14:paraId="1D3796D6" w14:textId="2D36F440" w:rsidR="004D4A3C" w:rsidRDefault="004D4A3C" w:rsidP="00EC1ED6">
      <w:pPr>
        <w:autoSpaceDE w:val="0"/>
        <w:autoSpaceDN w:val="0"/>
        <w:adjustRightInd w:val="0"/>
        <w:spacing w:line="360" w:lineRule="auto"/>
        <w:rPr>
          <w:rFonts w:eastAsiaTheme="minorHAnsi"/>
          <w:color w:val="000000" w:themeColor="text1"/>
          <w:lang w:val="en-GB" w:eastAsia="en-US"/>
        </w:rPr>
      </w:pPr>
      <w:r w:rsidRPr="00397C2B">
        <w:rPr>
          <w:color w:val="000000" w:themeColor="text1"/>
        </w:rPr>
        <w:t>The UK Biobank cohort includes 502</w:t>
      </w:r>
      <w:r w:rsidR="00FA2DCD">
        <w:rPr>
          <w:color w:val="000000" w:themeColor="text1"/>
        </w:rPr>
        <w:t xml:space="preserve"> </w:t>
      </w:r>
      <w:r w:rsidRPr="00397C2B">
        <w:rPr>
          <w:color w:val="000000" w:themeColor="text1"/>
        </w:rPr>
        <w:t>543 community-dwelling individuals, aged 40–</w:t>
      </w:r>
      <w:r w:rsidR="00016148" w:rsidRPr="00397C2B">
        <w:rPr>
          <w:color w:val="000000" w:themeColor="text1"/>
        </w:rPr>
        <w:t>73 recruited</w:t>
      </w:r>
      <w:r w:rsidRPr="00397C2B">
        <w:rPr>
          <w:color w:val="000000" w:themeColor="text1"/>
        </w:rPr>
        <w:t xml:space="preserve"> between April 2007 and December 2010. Data on </w:t>
      </w:r>
      <w:r w:rsidR="00CC1B80" w:rsidRPr="00397C2B">
        <w:rPr>
          <w:color w:val="000000" w:themeColor="text1"/>
        </w:rPr>
        <w:t>demographics</w:t>
      </w:r>
      <w:r w:rsidR="00BC3FB7">
        <w:rPr>
          <w:color w:val="000000" w:themeColor="text1"/>
        </w:rPr>
        <w:t xml:space="preserve"> and a </w:t>
      </w:r>
      <w:r w:rsidRPr="00397C2B">
        <w:rPr>
          <w:color w:val="000000" w:themeColor="text1"/>
        </w:rPr>
        <w:t xml:space="preserve">range of exposure and health-related outcomes </w:t>
      </w:r>
      <w:r w:rsidR="00D55E12" w:rsidRPr="00397C2B">
        <w:rPr>
          <w:color w:val="000000" w:themeColor="text1"/>
        </w:rPr>
        <w:t>continues to be</w:t>
      </w:r>
      <w:r w:rsidRPr="00397C2B">
        <w:rPr>
          <w:color w:val="000000" w:themeColor="text1"/>
        </w:rPr>
        <w:t xml:space="preserve"> collected. All participants </w:t>
      </w:r>
      <w:r w:rsidR="00206F09" w:rsidRPr="00397C2B">
        <w:rPr>
          <w:color w:val="000000" w:themeColor="text1"/>
        </w:rPr>
        <w:t xml:space="preserve">are </w:t>
      </w:r>
      <w:r w:rsidRPr="00397C2B">
        <w:rPr>
          <w:color w:val="000000" w:themeColor="text1"/>
        </w:rPr>
        <w:t xml:space="preserve">followed up for health outcomes through linkage to national electronic health-related data sets. Participants provided written informed consent to participate in research as previously </w:t>
      </w:r>
      <w:proofErr w:type="gramStart"/>
      <w:r w:rsidRPr="00397C2B">
        <w:rPr>
          <w:color w:val="000000" w:themeColor="text1"/>
        </w:rPr>
        <w:lastRenderedPageBreak/>
        <w:t>described.</w:t>
      </w:r>
      <w:r w:rsidR="001C05E2">
        <w:rPr>
          <w:color w:val="000000" w:themeColor="text1"/>
        </w:rPr>
        <w:t>{</w:t>
      </w:r>
      <w:proofErr w:type="spellStart"/>
      <w:proofErr w:type="gramEnd"/>
      <w:r w:rsidR="001C05E2">
        <w:rPr>
          <w:color w:val="000000" w:themeColor="text1"/>
        </w:rPr>
        <w:t>Sudlow</w:t>
      </w:r>
      <w:proofErr w:type="spellEnd"/>
      <w:r w:rsidR="001C05E2">
        <w:rPr>
          <w:color w:val="000000" w:themeColor="text1"/>
        </w:rPr>
        <w:t>, 2015 #8768}</w:t>
      </w:r>
      <w:r w:rsidRPr="00397C2B">
        <w:rPr>
          <w:color w:val="000000" w:themeColor="text1"/>
        </w:rPr>
        <w:t xml:space="preserve"> </w:t>
      </w:r>
      <w:r w:rsidR="00A56FE3" w:rsidRPr="00397C2B">
        <w:rPr>
          <w:rFonts w:eastAsiaTheme="minorHAnsi"/>
          <w:color w:val="000000" w:themeColor="text1"/>
          <w:lang w:val="en-GB" w:eastAsia="en-US"/>
        </w:rPr>
        <w:t>The volunteers tended to be healthier at baseline than the general UK population</w:t>
      </w:r>
      <w:r w:rsidR="00721B21" w:rsidRPr="00397C2B">
        <w:rPr>
          <w:rFonts w:eastAsiaTheme="minorHAnsi"/>
          <w:color w:val="000000" w:themeColor="text1"/>
          <w:lang w:val="en-GB" w:eastAsia="en-US"/>
        </w:rPr>
        <w:t>.</w:t>
      </w:r>
      <w:r w:rsidR="001C05E2">
        <w:rPr>
          <w:rFonts w:eastAsiaTheme="minorHAnsi"/>
          <w:color w:val="000000" w:themeColor="text1"/>
          <w:lang w:val="en-GB" w:eastAsia="en-US"/>
        </w:rPr>
        <w:t>{Fry, 2017 #8805}</w:t>
      </w:r>
    </w:p>
    <w:p w14:paraId="3044FCD0" w14:textId="52BAC4EC" w:rsidR="00D67426" w:rsidRPr="00397C2B" w:rsidRDefault="00D67426" w:rsidP="00EC1ED6">
      <w:pPr>
        <w:autoSpaceDE w:val="0"/>
        <w:autoSpaceDN w:val="0"/>
        <w:adjustRightInd w:val="0"/>
        <w:spacing w:line="360" w:lineRule="auto"/>
        <w:rPr>
          <w:rFonts w:eastAsiaTheme="minorHAnsi"/>
          <w:color w:val="000000" w:themeColor="text1"/>
          <w:lang w:val="en-GB" w:eastAsia="en-US"/>
        </w:rPr>
      </w:pPr>
      <w:r>
        <w:rPr>
          <w:rFonts w:eastAsiaTheme="minorHAnsi"/>
          <w:color w:val="000000" w:themeColor="text1"/>
          <w:lang w:val="en-GB" w:eastAsia="en-US"/>
        </w:rPr>
        <w:t xml:space="preserve">Information from participants was collected prospectively, while data from linked resources, including death, cancer, hospital admissions and primary care records were collected retrospectively and prospectively. </w:t>
      </w:r>
    </w:p>
    <w:p w14:paraId="0E5955E1" w14:textId="283702D3" w:rsidR="004D4A3C" w:rsidRDefault="004D4A3C" w:rsidP="00EC1ED6">
      <w:pPr>
        <w:spacing w:line="360" w:lineRule="auto"/>
        <w:rPr>
          <w:color w:val="000000" w:themeColor="text1"/>
        </w:rPr>
      </w:pPr>
      <w:r w:rsidRPr="00397C2B">
        <w:rPr>
          <w:color w:val="000000" w:themeColor="text1"/>
        </w:rPr>
        <w:t>We excluded participants with incomplete data on the outcomes. Our final analysis included 502</w:t>
      </w:r>
      <w:r w:rsidR="00FA2DCD">
        <w:rPr>
          <w:color w:val="000000" w:themeColor="text1"/>
        </w:rPr>
        <w:t xml:space="preserve"> </w:t>
      </w:r>
      <w:r w:rsidRPr="00397C2B">
        <w:rPr>
          <w:color w:val="000000" w:themeColor="text1"/>
        </w:rPr>
        <w:t xml:space="preserve">492 </w:t>
      </w:r>
      <w:r w:rsidR="009B7EE0">
        <w:rPr>
          <w:color w:val="000000" w:themeColor="text1"/>
        </w:rPr>
        <w:t xml:space="preserve">of these </w:t>
      </w:r>
      <w:r w:rsidRPr="00397C2B">
        <w:rPr>
          <w:color w:val="000000" w:themeColor="text1"/>
        </w:rPr>
        <w:t>participants</w:t>
      </w:r>
      <w:r w:rsidR="009B7EE0">
        <w:rPr>
          <w:color w:val="000000" w:themeColor="text1"/>
        </w:rPr>
        <w:t xml:space="preserve"> for whom data were available</w:t>
      </w:r>
      <w:r w:rsidRPr="00397C2B">
        <w:rPr>
          <w:color w:val="000000" w:themeColor="text1"/>
        </w:rPr>
        <w:t xml:space="preserve">. </w:t>
      </w:r>
      <w:r w:rsidR="007B0960" w:rsidRPr="00673077">
        <w:rPr>
          <w:color w:val="000000" w:themeColor="text1"/>
        </w:rPr>
        <w:t>UK Biobank</w:t>
      </w:r>
      <w:r w:rsidR="00673077" w:rsidRPr="00673077">
        <w:rPr>
          <w:color w:val="000000" w:themeColor="text1"/>
        </w:rPr>
        <w:t xml:space="preserve"> was approved by the</w:t>
      </w:r>
      <w:r w:rsidR="005D434B">
        <w:rPr>
          <w:color w:val="000000" w:themeColor="text1"/>
        </w:rPr>
        <w:t xml:space="preserve"> </w:t>
      </w:r>
      <w:r w:rsidR="00673077" w:rsidRPr="00673077">
        <w:rPr>
          <w:color w:val="000000" w:themeColor="text1"/>
        </w:rPr>
        <w:t xml:space="preserve">North West </w:t>
      </w:r>
      <w:proofErr w:type="spellStart"/>
      <w:r w:rsidR="00673077" w:rsidRPr="00673077">
        <w:rPr>
          <w:color w:val="000000" w:themeColor="text1"/>
        </w:rPr>
        <w:t>Multi­Centre</w:t>
      </w:r>
      <w:proofErr w:type="spellEnd"/>
      <w:r w:rsidR="00673077" w:rsidRPr="00673077">
        <w:rPr>
          <w:color w:val="000000" w:themeColor="text1"/>
        </w:rPr>
        <w:t xml:space="preserve"> Research Ethics Committee (reference 11/NW/0382)</w:t>
      </w:r>
      <w:r w:rsidR="00C2713D">
        <w:rPr>
          <w:color w:val="000000" w:themeColor="text1"/>
        </w:rPr>
        <w:t>.</w:t>
      </w:r>
    </w:p>
    <w:p w14:paraId="2611DB56" w14:textId="1618312F" w:rsidR="000B33F5" w:rsidRPr="00397C2B" w:rsidRDefault="000B33F5" w:rsidP="00EC1ED6">
      <w:pPr>
        <w:spacing w:line="360" w:lineRule="auto"/>
        <w:rPr>
          <w:color w:val="000000" w:themeColor="text1"/>
        </w:rPr>
      </w:pPr>
    </w:p>
    <w:p w14:paraId="14404BFE" w14:textId="5086A204" w:rsidR="004D4A3C" w:rsidRPr="00397C2B" w:rsidRDefault="004D4A3C" w:rsidP="00EC1ED6">
      <w:pPr>
        <w:spacing w:line="360" w:lineRule="auto"/>
        <w:rPr>
          <w:b/>
          <w:bCs/>
          <w:color w:val="000000" w:themeColor="text1"/>
        </w:rPr>
      </w:pPr>
      <w:r w:rsidRPr="00397C2B">
        <w:rPr>
          <w:b/>
          <w:bCs/>
          <w:color w:val="000000" w:themeColor="text1"/>
        </w:rPr>
        <w:t xml:space="preserve">Study endpoints </w:t>
      </w:r>
    </w:p>
    <w:p w14:paraId="7E0F8CC5" w14:textId="61742EE5" w:rsidR="00723026" w:rsidRDefault="009258D6">
      <w:pPr>
        <w:spacing w:line="360" w:lineRule="auto"/>
        <w:rPr>
          <w:color w:val="000000" w:themeColor="text1"/>
        </w:rPr>
      </w:pPr>
      <w:r w:rsidRPr="00397C2B">
        <w:rPr>
          <w:color w:val="000000" w:themeColor="text1"/>
        </w:rPr>
        <w:t xml:space="preserve">A TEE (study endpoint) was identified as any of the following: </w:t>
      </w:r>
      <w:r w:rsidR="004D4A3C" w:rsidRPr="00397C2B">
        <w:rPr>
          <w:color w:val="000000" w:themeColor="text1"/>
        </w:rPr>
        <w:t xml:space="preserve">fatal or non-fatal myocardial infarction, other acute ischemic heart disease, stroke (haemorrhage or infarction), </w:t>
      </w:r>
      <w:r w:rsidR="00F20FC3">
        <w:rPr>
          <w:color w:val="000000" w:themeColor="text1"/>
        </w:rPr>
        <w:t xml:space="preserve">deep vein thrombosis, </w:t>
      </w:r>
      <w:r w:rsidR="004D4A3C" w:rsidRPr="00397C2B">
        <w:rPr>
          <w:color w:val="000000" w:themeColor="text1"/>
        </w:rPr>
        <w:t xml:space="preserve">pulmonary embolism, portal vein thrombosis, and other </w:t>
      </w:r>
      <w:r w:rsidR="00661D7A" w:rsidRPr="00397C2B">
        <w:rPr>
          <w:color w:val="000000" w:themeColor="text1"/>
        </w:rPr>
        <w:t xml:space="preserve">venous embolism and thrombosis </w:t>
      </w:r>
      <w:r w:rsidR="004D4A3C" w:rsidRPr="00397C2B">
        <w:rPr>
          <w:color w:val="000000" w:themeColor="text1"/>
        </w:rPr>
        <w:t xml:space="preserve">as defined by the UK Biobank. </w:t>
      </w:r>
      <w:r w:rsidR="00E70AE4">
        <w:rPr>
          <w:color w:val="000000" w:themeColor="text1"/>
        </w:rPr>
        <w:t>These diagnoses were identified from verbal interview</w:t>
      </w:r>
      <w:r w:rsidR="00824AC3">
        <w:rPr>
          <w:color w:val="000000" w:themeColor="text1"/>
        </w:rPr>
        <w:t>. F</w:t>
      </w:r>
      <w:r w:rsidR="00E70AE4">
        <w:rPr>
          <w:color w:val="000000" w:themeColor="text1"/>
        </w:rPr>
        <w:t>urther o</w:t>
      </w:r>
      <w:r w:rsidR="004D4A3C" w:rsidRPr="00397C2B">
        <w:rPr>
          <w:color w:val="000000" w:themeColor="text1"/>
        </w:rPr>
        <w:t xml:space="preserve">utcome adjudication involved linkage with hospital admissions data and national death register data to identify the date of the first known </w:t>
      </w:r>
      <w:r w:rsidRPr="00397C2B">
        <w:rPr>
          <w:color w:val="000000" w:themeColor="text1"/>
        </w:rPr>
        <w:t>TEE</w:t>
      </w:r>
      <w:r w:rsidR="00016148" w:rsidRPr="00397C2B">
        <w:rPr>
          <w:color w:val="000000" w:themeColor="text1"/>
        </w:rPr>
        <w:t xml:space="preserve"> and/or first date of </w:t>
      </w:r>
      <w:proofErr w:type="spellStart"/>
      <w:r w:rsidR="00016148" w:rsidRPr="00397C2B">
        <w:rPr>
          <w:color w:val="000000" w:themeColor="text1"/>
        </w:rPr>
        <w:t>IVIg</w:t>
      </w:r>
      <w:proofErr w:type="spellEnd"/>
      <w:r w:rsidR="00016148" w:rsidRPr="00397C2B">
        <w:rPr>
          <w:color w:val="000000" w:themeColor="text1"/>
        </w:rPr>
        <w:t xml:space="preserve"> exposure</w:t>
      </w:r>
      <w:r w:rsidR="004D4A3C" w:rsidRPr="00397C2B">
        <w:rPr>
          <w:color w:val="000000" w:themeColor="text1"/>
        </w:rPr>
        <w:t xml:space="preserve"> after the date of baseline assessment. </w:t>
      </w:r>
    </w:p>
    <w:p w14:paraId="59CAC162" w14:textId="603F1B65" w:rsidR="004D4A3C" w:rsidRDefault="00060BA1" w:rsidP="00EC1ED6">
      <w:pPr>
        <w:spacing w:line="360" w:lineRule="auto"/>
        <w:rPr>
          <w:color w:val="000000" w:themeColor="text1"/>
        </w:rPr>
      </w:pPr>
      <w:r>
        <w:rPr>
          <w:color w:val="000000" w:themeColor="text1"/>
        </w:rPr>
        <w:t xml:space="preserve">Two datasets were created from the </w:t>
      </w:r>
      <w:r w:rsidRPr="00397C2B">
        <w:rPr>
          <w:color w:val="000000" w:themeColor="text1"/>
        </w:rPr>
        <w:t>502</w:t>
      </w:r>
      <w:r>
        <w:rPr>
          <w:color w:val="000000" w:themeColor="text1"/>
        </w:rPr>
        <w:t xml:space="preserve"> </w:t>
      </w:r>
      <w:r w:rsidRPr="00397C2B">
        <w:rPr>
          <w:color w:val="000000" w:themeColor="text1"/>
        </w:rPr>
        <w:t>492 participants</w:t>
      </w:r>
      <w:r>
        <w:rPr>
          <w:color w:val="000000" w:themeColor="text1"/>
        </w:rPr>
        <w:t xml:space="preserve">. For the first dataset, </w:t>
      </w:r>
      <w:r w:rsidR="00057297">
        <w:rPr>
          <w:color w:val="000000" w:themeColor="text1"/>
        </w:rPr>
        <w:t>o</w:t>
      </w:r>
      <w:r w:rsidR="004D4A3C" w:rsidRPr="00397C2B">
        <w:rPr>
          <w:color w:val="000000" w:themeColor="text1"/>
        </w:rPr>
        <w:t>utcomes</w:t>
      </w:r>
      <w:r w:rsidR="00256799">
        <w:rPr>
          <w:color w:val="000000" w:themeColor="text1"/>
        </w:rPr>
        <w:t xml:space="preserve"> </w:t>
      </w:r>
      <w:r w:rsidR="009258D6" w:rsidRPr="00397C2B">
        <w:rPr>
          <w:color w:val="000000" w:themeColor="text1"/>
        </w:rPr>
        <w:t xml:space="preserve">were </w:t>
      </w:r>
      <w:r w:rsidR="004D4A3C" w:rsidRPr="00397C2B">
        <w:rPr>
          <w:color w:val="000000" w:themeColor="text1"/>
        </w:rPr>
        <w:t xml:space="preserve">defined by codes mapped to </w:t>
      </w:r>
      <w:r w:rsidR="00FA2DCD">
        <w:rPr>
          <w:color w:val="000000" w:themeColor="text1"/>
        </w:rPr>
        <w:t>three</w:t>
      </w:r>
      <w:r w:rsidR="004D4A3C" w:rsidRPr="00397C2B">
        <w:rPr>
          <w:color w:val="000000" w:themeColor="text1"/>
        </w:rPr>
        <w:t>-character</w:t>
      </w:r>
      <w:r w:rsidR="0079137E" w:rsidRPr="00397C2B">
        <w:rPr>
          <w:color w:val="000000" w:themeColor="text1"/>
        </w:rPr>
        <w:t>s</w:t>
      </w:r>
      <w:r w:rsidR="004D4A3C" w:rsidRPr="00397C2B">
        <w:rPr>
          <w:color w:val="000000" w:themeColor="text1"/>
        </w:rPr>
        <w:t xml:space="preserve"> </w:t>
      </w:r>
      <w:r w:rsidR="0079137E" w:rsidRPr="00397C2B">
        <w:rPr>
          <w:color w:val="000000" w:themeColor="text1"/>
        </w:rPr>
        <w:t>(</w:t>
      </w:r>
      <w:r w:rsidR="004D4A3C" w:rsidRPr="00397C2B">
        <w:rPr>
          <w:color w:val="000000" w:themeColor="text1"/>
        </w:rPr>
        <w:t>I21, I24, I26, 163, I64, I81, I82</w:t>
      </w:r>
      <w:r w:rsidR="0079137E" w:rsidRPr="00397C2B">
        <w:rPr>
          <w:color w:val="000000" w:themeColor="text1"/>
        </w:rPr>
        <w:t>)</w:t>
      </w:r>
      <w:r w:rsidR="004D4A3C" w:rsidRPr="00397C2B">
        <w:rPr>
          <w:color w:val="000000" w:themeColor="text1"/>
        </w:rPr>
        <w:t xml:space="preserve"> in the 10th edition of the International Classification of Diseases (ICD-10). </w:t>
      </w:r>
      <w:r w:rsidR="005C7870">
        <w:rPr>
          <w:color w:val="000000" w:themeColor="text1"/>
        </w:rPr>
        <w:t>For the second</w:t>
      </w:r>
      <w:r w:rsidR="00B956E5">
        <w:rPr>
          <w:color w:val="000000" w:themeColor="text1"/>
        </w:rPr>
        <w:t xml:space="preserve"> </w:t>
      </w:r>
      <w:r>
        <w:rPr>
          <w:color w:val="000000" w:themeColor="text1"/>
        </w:rPr>
        <w:t>dataset</w:t>
      </w:r>
      <w:r w:rsidR="00B956E5">
        <w:rPr>
          <w:color w:val="000000" w:themeColor="text1"/>
        </w:rPr>
        <w:t xml:space="preserve">, </w:t>
      </w:r>
      <w:r>
        <w:rPr>
          <w:color w:val="000000" w:themeColor="text1"/>
        </w:rPr>
        <w:t>outcomes</w:t>
      </w:r>
      <w:r w:rsidR="005C7870">
        <w:rPr>
          <w:color w:val="000000" w:themeColor="text1"/>
        </w:rPr>
        <w:t xml:space="preserve"> also included data-field codes corresponding to self-reported illness code for the above study endpoints. These were collected through a </w:t>
      </w:r>
      <w:r w:rsidR="00BC3FB7">
        <w:rPr>
          <w:color w:val="000000" w:themeColor="text1"/>
        </w:rPr>
        <w:t>nurse-led interview</w:t>
      </w:r>
      <w:r w:rsidR="00E705A2">
        <w:rPr>
          <w:color w:val="000000" w:themeColor="text1"/>
        </w:rPr>
        <w:t>, as per UK Biobank protocol</w:t>
      </w:r>
      <w:r w:rsidR="005C7870">
        <w:rPr>
          <w:color w:val="000000" w:themeColor="text1"/>
        </w:rPr>
        <w:t xml:space="preserve">. </w:t>
      </w:r>
      <w:r w:rsidR="004D4A3C" w:rsidRPr="00397C2B">
        <w:rPr>
          <w:color w:val="000000" w:themeColor="text1"/>
        </w:rPr>
        <w:t>Follow-up started at inclusion in the UK Biobank study and our dataset</w:t>
      </w:r>
      <w:r w:rsidR="00FB5656">
        <w:rPr>
          <w:color w:val="000000" w:themeColor="text1"/>
        </w:rPr>
        <w:t>s</w:t>
      </w:r>
      <w:r w:rsidR="004D4A3C" w:rsidRPr="00397C2B">
        <w:rPr>
          <w:color w:val="000000" w:themeColor="text1"/>
        </w:rPr>
        <w:t xml:space="preserve"> was extracted on 22 Sep 2020, or on the first fatal or non-fatal venous or arterial event for all participants. </w:t>
      </w:r>
    </w:p>
    <w:p w14:paraId="089E5B8B" w14:textId="77777777" w:rsidR="004E3BE4" w:rsidRPr="004E3BE4" w:rsidRDefault="004E3BE4" w:rsidP="004E3BE4">
      <w:pPr>
        <w:spacing w:line="360" w:lineRule="auto"/>
        <w:rPr>
          <w:color w:val="000000" w:themeColor="text1"/>
        </w:rPr>
      </w:pPr>
      <w:r w:rsidRPr="004E3BE4">
        <w:rPr>
          <w:color w:val="000000" w:themeColor="text1"/>
        </w:rPr>
        <w:t>The study endpoints were ascertained in the following ways:</w:t>
      </w:r>
    </w:p>
    <w:p w14:paraId="220FC088" w14:textId="77777777" w:rsidR="004E3BE4" w:rsidRDefault="004E3BE4" w:rsidP="004E3BE4">
      <w:pPr>
        <w:pStyle w:val="ListParagraph"/>
        <w:numPr>
          <w:ilvl w:val="0"/>
          <w:numId w:val="8"/>
        </w:numPr>
        <w:spacing w:line="360" w:lineRule="auto"/>
        <w:rPr>
          <w:color w:val="000000" w:themeColor="text1"/>
        </w:rPr>
      </w:pPr>
      <w:r w:rsidRPr="004E3BE4">
        <w:rPr>
          <w:color w:val="000000" w:themeColor="text1"/>
        </w:rPr>
        <w:t>Date of myocardial infarction, venous TEE, stroke, portal vein thrombosis, cerebral infarction, pulmonary embolism and ischaemic heart disease: These were provided as a single date based on algorithms developed by the UK Biobank and Outcome Adjudication group who combined coded information from UK Biobank’s baseline assessment data collection (and linked data from hospital admissions (diagnoses and procedures) and death registries.</w:t>
      </w:r>
    </w:p>
    <w:p w14:paraId="67C54A12" w14:textId="77777777" w:rsidR="004E3BE4" w:rsidRDefault="004E3BE4" w:rsidP="004E3BE4">
      <w:pPr>
        <w:pStyle w:val="ListParagraph"/>
        <w:numPr>
          <w:ilvl w:val="0"/>
          <w:numId w:val="8"/>
        </w:numPr>
        <w:spacing w:line="360" w:lineRule="auto"/>
        <w:rPr>
          <w:color w:val="000000" w:themeColor="text1"/>
        </w:rPr>
      </w:pPr>
      <w:r w:rsidRPr="004E3BE4">
        <w:rPr>
          <w:color w:val="000000" w:themeColor="text1"/>
        </w:rPr>
        <w:lastRenderedPageBreak/>
        <w:t>For the second dataset, patient-reported study endpoint information for arterial and venous was acquired at the assessment centre, where participants independently answered questions on a touchscreen. The questions for this section stated:</w:t>
      </w:r>
    </w:p>
    <w:p w14:paraId="33BC0C4F" w14:textId="77777777" w:rsidR="004E3BE4" w:rsidRDefault="004E3BE4" w:rsidP="004E3BE4">
      <w:pPr>
        <w:pStyle w:val="ListParagraph"/>
        <w:numPr>
          <w:ilvl w:val="1"/>
          <w:numId w:val="8"/>
        </w:numPr>
        <w:spacing w:line="360" w:lineRule="auto"/>
        <w:rPr>
          <w:color w:val="000000" w:themeColor="text1"/>
        </w:rPr>
      </w:pPr>
      <w:r w:rsidRPr="004E3BE4">
        <w:rPr>
          <w:color w:val="000000" w:themeColor="text1"/>
        </w:rPr>
        <w:t>‘What was your age when the angina was first diagnosed?’</w:t>
      </w:r>
    </w:p>
    <w:p w14:paraId="2F00A9AA" w14:textId="4779A3FE" w:rsidR="004E3BE4" w:rsidRDefault="004E3BE4" w:rsidP="004E3BE4">
      <w:pPr>
        <w:pStyle w:val="ListParagraph"/>
        <w:numPr>
          <w:ilvl w:val="1"/>
          <w:numId w:val="8"/>
        </w:numPr>
        <w:spacing w:line="360" w:lineRule="auto"/>
        <w:rPr>
          <w:color w:val="000000" w:themeColor="text1"/>
        </w:rPr>
      </w:pPr>
      <w:r w:rsidRPr="004E3BE4">
        <w:rPr>
          <w:color w:val="000000" w:themeColor="text1"/>
        </w:rPr>
        <w:t>‘What was your age when the heart attack was first diagnosed?’</w:t>
      </w:r>
    </w:p>
    <w:p w14:paraId="3CF324F9" w14:textId="77777777" w:rsidR="004E3BE4" w:rsidRDefault="004E3BE4" w:rsidP="004E3BE4">
      <w:pPr>
        <w:pStyle w:val="ListParagraph"/>
        <w:numPr>
          <w:ilvl w:val="1"/>
          <w:numId w:val="8"/>
        </w:numPr>
        <w:spacing w:line="360" w:lineRule="auto"/>
        <w:rPr>
          <w:color w:val="000000" w:themeColor="text1"/>
        </w:rPr>
      </w:pPr>
      <w:r w:rsidRPr="004E3BE4">
        <w:rPr>
          <w:color w:val="000000" w:themeColor="text1"/>
        </w:rPr>
        <w:t>‘What was your age when the blood clot in the leg (DVT) was first diagnosed?’</w:t>
      </w:r>
    </w:p>
    <w:p w14:paraId="03086038" w14:textId="77777777" w:rsidR="004E3BE4" w:rsidRDefault="004E3BE4" w:rsidP="004E3BE4">
      <w:pPr>
        <w:pStyle w:val="ListParagraph"/>
        <w:numPr>
          <w:ilvl w:val="1"/>
          <w:numId w:val="8"/>
        </w:numPr>
        <w:spacing w:line="360" w:lineRule="auto"/>
        <w:rPr>
          <w:color w:val="000000" w:themeColor="text1"/>
        </w:rPr>
      </w:pPr>
      <w:r w:rsidRPr="004E3BE4">
        <w:rPr>
          <w:color w:val="000000" w:themeColor="text1"/>
        </w:rPr>
        <w:t>‘What was your age when the blood clot in the lung was first diagnosed?’</w:t>
      </w:r>
    </w:p>
    <w:p w14:paraId="700AED9F" w14:textId="25B3EFEF" w:rsidR="004E3BE4" w:rsidRPr="004E3BE4" w:rsidRDefault="004E3BE4" w:rsidP="004E3BE4">
      <w:pPr>
        <w:pStyle w:val="ListParagraph"/>
        <w:numPr>
          <w:ilvl w:val="1"/>
          <w:numId w:val="8"/>
        </w:numPr>
        <w:spacing w:line="360" w:lineRule="auto"/>
        <w:rPr>
          <w:color w:val="000000" w:themeColor="text1"/>
        </w:rPr>
      </w:pPr>
      <w:r w:rsidRPr="004E3BE4">
        <w:rPr>
          <w:color w:val="000000" w:themeColor="text1"/>
        </w:rPr>
        <w:t>‘What was your age when the stroke was first diagnosed?’</w:t>
      </w:r>
    </w:p>
    <w:p w14:paraId="60F2035C" w14:textId="02E9B3DC" w:rsidR="00D312E0" w:rsidRPr="00397C2B" w:rsidRDefault="00D312E0" w:rsidP="00EC1ED6">
      <w:pPr>
        <w:spacing w:line="360" w:lineRule="auto"/>
        <w:rPr>
          <w:b/>
          <w:bCs/>
          <w:color w:val="000000" w:themeColor="text1"/>
        </w:rPr>
      </w:pPr>
    </w:p>
    <w:p w14:paraId="5269C011" w14:textId="25F5C778" w:rsidR="004D4A3C" w:rsidRPr="00397C2B" w:rsidRDefault="004D4A3C" w:rsidP="00EC1ED6">
      <w:pPr>
        <w:spacing w:line="360" w:lineRule="auto"/>
        <w:rPr>
          <w:b/>
          <w:bCs/>
          <w:color w:val="000000" w:themeColor="text1"/>
        </w:rPr>
      </w:pPr>
      <w:r w:rsidRPr="00397C2B">
        <w:rPr>
          <w:b/>
          <w:bCs/>
          <w:color w:val="000000" w:themeColor="text1"/>
        </w:rPr>
        <w:t>Predictors</w:t>
      </w:r>
    </w:p>
    <w:p w14:paraId="3DFA397F" w14:textId="73600740" w:rsidR="004D4A3C" w:rsidRDefault="004D4A3C">
      <w:pPr>
        <w:spacing w:line="360" w:lineRule="auto"/>
        <w:rPr>
          <w:color w:val="000000" w:themeColor="text1"/>
        </w:rPr>
      </w:pPr>
      <w:r w:rsidRPr="00397C2B">
        <w:rPr>
          <w:color w:val="000000" w:themeColor="text1"/>
        </w:rPr>
        <w:t>The UK Biobank dataset contains 7</w:t>
      </w:r>
      <w:r w:rsidR="00CF537E">
        <w:rPr>
          <w:color w:val="000000" w:themeColor="text1"/>
        </w:rPr>
        <w:t xml:space="preserve"> </w:t>
      </w:r>
      <w:r w:rsidRPr="00397C2B">
        <w:rPr>
          <w:color w:val="000000" w:themeColor="text1"/>
        </w:rPr>
        <w:t xml:space="preserve">800 separate data points for each individual. </w:t>
      </w:r>
      <w:r w:rsidR="002C63D8">
        <w:rPr>
          <w:color w:val="000000" w:themeColor="text1"/>
        </w:rPr>
        <w:t xml:space="preserve">We specified </w:t>
      </w:r>
      <w:r w:rsidR="004F707F">
        <w:rPr>
          <w:color w:val="000000" w:themeColor="text1"/>
        </w:rPr>
        <w:t>variables</w:t>
      </w:r>
      <w:r w:rsidR="002C63D8">
        <w:rPr>
          <w:color w:val="000000" w:themeColor="text1"/>
        </w:rPr>
        <w:t xml:space="preserve"> we </w:t>
      </w:r>
      <w:r w:rsidR="004F707F">
        <w:rPr>
          <w:color w:val="000000" w:themeColor="text1"/>
        </w:rPr>
        <w:t>intended</w:t>
      </w:r>
      <w:r w:rsidR="002C63D8">
        <w:rPr>
          <w:color w:val="000000" w:themeColor="text1"/>
        </w:rPr>
        <w:t xml:space="preserve"> to include in the model </w:t>
      </w:r>
      <w:r w:rsidR="004F707F">
        <w:rPr>
          <w:i/>
          <w:iCs/>
          <w:color w:val="000000" w:themeColor="text1"/>
        </w:rPr>
        <w:t>a</w:t>
      </w:r>
      <w:r w:rsidR="0063608D" w:rsidRPr="002C63D8">
        <w:rPr>
          <w:i/>
          <w:iCs/>
          <w:color w:val="000000" w:themeColor="text1"/>
        </w:rPr>
        <w:t xml:space="preserve"> priori</w:t>
      </w:r>
      <w:r w:rsidR="0063608D" w:rsidRPr="0063608D">
        <w:rPr>
          <w:color w:val="000000" w:themeColor="text1"/>
        </w:rPr>
        <w:t xml:space="preserve"> </w:t>
      </w:r>
      <w:r w:rsidR="004F707F" w:rsidRPr="0063608D">
        <w:rPr>
          <w:color w:val="000000" w:themeColor="text1"/>
        </w:rPr>
        <w:t>based on</w:t>
      </w:r>
      <w:r w:rsidR="0063608D" w:rsidRPr="0063608D">
        <w:rPr>
          <w:color w:val="000000" w:themeColor="text1"/>
        </w:rPr>
        <w:t xml:space="preserve"> traditional risk scores</w:t>
      </w:r>
      <w:r w:rsidR="0063608D">
        <w:rPr>
          <w:color w:val="000000" w:themeColor="text1"/>
        </w:rPr>
        <w:t>. We included the following</w:t>
      </w:r>
      <w:r w:rsidR="00206F09" w:rsidRPr="00397C2B">
        <w:rPr>
          <w:color w:val="000000" w:themeColor="text1"/>
        </w:rPr>
        <w:t xml:space="preserve"> </w:t>
      </w:r>
      <w:r w:rsidR="00811729">
        <w:rPr>
          <w:color w:val="000000" w:themeColor="text1"/>
        </w:rPr>
        <w:t>arterial</w:t>
      </w:r>
      <w:r w:rsidR="00D37DB2">
        <w:rPr>
          <w:color w:val="000000" w:themeColor="text1"/>
        </w:rPr>
        <w:t xml:space="preserve"> and venous</w:t>
      </w:r>
      <w:r w:rsidR="00811729">
        <w:rPr>
          <w:color w:val="000000" w:themeColor="text1"/>
        </w:rPr>
        <w:t xml:space="preserve"> </w:t>
      </w:r>
      <w:r w:rsidR="00206F09" w:rsidRPr="00397C2B">
        <w:rPr>
          <w:color w:val="000000" w:themeColor="text1"/>
        </w:rPr>
        <w:t xml:space="preserve">TEE </w:t>
      </w:r>
      <w:r w:rsidRPr="00397C2B">
        <w:rPr>
          <w:color w:val="000000" w:themeColor="text1"/>
        </w:rPr>
        <w:t xml:space="preserve">risk factors: age, sex, diagnosis of hypertension, </w:t>
      </w:r>
      <w:r w:rsidR="00BC3FB7" w:rsidRPr="00397C2B">
        <w:rPr>
          <w:color w:val="000000" w:themeColor="text1"/>
        </w:rPr>
        <w:t xml:space="preserve">type 2 diabetes mellitus, </w:t>
      </w:r>
      <w:r w:rsidR="00042588" w:rsidRPr="00397C2B">
        <w:rPr>
          <w:color w:val="000000" w:themeColor="text1"/>
        </w:rPr>
        <w:t>hypercholesterolemia, smoking</w:t>
      </w:r>
      <w:r w:rsidRPr="00397C2B">
        <w:rPr>
          <w:color w:val="000000" w:themeColor="text1"/>
        </w:rPr>
        <w:t xml:space="preserve"> status (never, ever), </w:t>
      </w:r>
      <w:r w:rsidR="00BC3FB7">
        <w:rPr>
          <w:color w:val="000000" w:themeColor="text1"/>
        </w:rPr>
        <w:t xml:space="preserve">past </w:t>
      </w:r>
      <w:r w:rsidR="009258D6" w:rsidRPr="00397C2B">
        <w:rPr>
          <w:color w:val="000000" w:themeColor="text1"/>
        </w:rPr>
        <w:t>history</w:t>
      </w:r>
      <w:r w:rsidR="00BC3FB7">
        <w:rPr>
          <w:color w:val="000000" w:themeColor="text1"/>
        </w:rPr>
        <w:t xml:space="preserve"> (</w:t>
      </w:r>
      <w:proofErr w:type="spellStart"/>
      <w:r w:rsidR="00BC3FB7">
        <w:rPr>
          <w:color w:val="000000" w:themeColor="text1"/>
        </w:rPr>
        <w:t>Phx</w:t>
      </w:r>
      <w:proofErr w:type="spellEnd"/>
      <w:r w:rsidR="00BC3FB7">
        <w:rPr>
          <w:color w:val="000000" w:themeColor="text1"/>
        </w:rPr>
        <w:t>)</w:t>
      </w:r>
      <w:r w:rsidR="009258D6" w:rsidRPr="00397C2B">
        <w:rPr>
          <w:color w:val="000000" w:themeColor="text1"/>
        </w:rPr>
        <w:t xml:space="preserve"> of TEE</w:t>
      </w:r>
      <w:r w:rsidR="00D37DB2">
        <w:rPr>
          <w:color w:val="000000" w:themeColor="text1"/>
        </w:rPr>
        <w:t xml:space="preserve"> and, </w:t>
      </w:r>
      <w:r w:rsidR="00D37DB2" w:rsidRPr="00397C2B">
        <w:rPr>
          <w:color w:val="000000" w:themeColor="text1"/>
        </w:rPr>
        <w:t>history of cancer defined from the ICD-10</w:t>
      </w:r>
      <w:r w:rsidR="00942EE9">
        <w:rPr>
          <w:color w:val="000000" w:themeColor="text1"/>
        </w:rPr>
        <w:t xml:space="preserve"> (</w:t>
      </w:r>
      <w:r w:rsidR="00942EE9" w:rsidRPr="00397C2B">
        <w:rPr>
          <w:color w:val="000000" w:themeColor="text1"/>
        </w:rPr>
        <w:t>Chapter 2</w:t>
      </w:r>
      <w:r w:rsidR="00942EE9">
        <w:rPr>
          <w:color w:val="000000" w:themeColor="text1"/>
        </w:rPr>
        <w:t>: C00-C97)</w:t>
      </w:r>
      <w:r w:rsidR="00D37DB2" w:rsidRPr="00397C2B">
        <w:rPr>
          <w:color w:val="000000" w:themeColor="text1"/>
        </w:rPr>
        <w:t>, not including neoplasms in situ or benign neoplasms.</w:t>
      </w:r>
      <w:r w:rsidR="001C05E2">
        <w:rPr>
          <w:color w:val="000000" w:themeColor="text1"/>
        </w:rPr>
        <w:t>{WHO, 2016 #443}</w:t>
      </w:r>
      <w:r w:rsidR="00D75EF3">
        <w:rPr>
          <w:color w:val="000000" w:themeColor="text1"/>
        </w:rPr>
        <w:t xml:space="preserve"> </w:t>
      </w:r>
      <w:r w:rsidR="00D37DB2">
        <w:rPr>
          <w:color w:val="000000" w:themeColor="text1"/>
        </w:rPr>
        <w:t>Six</w:t>
      </w:r>
      <w:r w:rsidR="00D37DB2" w:rsidRPr="00397C2B">
        <w:rPr>
          <w:color w:val="000000" w:themeColor="text1"/>
        </w:rPr>
        <w:t xml:space="preserve"> </w:t>
      </w:r>
      <w:r w:rsidRPr="00397C2B">
        <w:rPr>
          <w:color w:val="000000" w:themeColor="text1"/>
        </w:rPr>
        <w:t xml:space="preserve">potential additional </w:t>
      </w:r>
      <w:r w:rsidR="00016148" w:rsidRPr="00397C2B">
        <w:rPr>
          <w:color w:val="000000" w:themeColor="text1"/>
        </w:rPr>
        <w:t>CVD</w:t>
      </w:r>
      <w:r w:rsidRPr="00397C2B">
        <w:rPr>
          <w:color w:val="000000" w:themeColor="text1"/>
        </w:rPr>
        <w:t xml:space="preserve"> predictors were selected based on the literature and availability in the dataset: </w:t>
      </w:r>
      <w:proofErr w:type="spellStart"/>
      <w:r w:rsidRPr="00397C2B">
        <w:rPr>
          <w:color w:val="000000" w:themeColor="text1"/>
        </w:rPr>
        <w:t>IVIg</w:t>
      </w:r>
      <w:proofErr w:type="spellEnd"/>
      <w:r w:rsidRPr="00397C2B">
        <w:rPr>
          <w:color w:val="000000" w:themeColor="text1"/>
        </w:rPr>
        <w:t xml:space="preserve"> exposure</w:t>
      </w:r>
      <w:r w:rsidR="004F707F">
        <w:rPr>
          <w:color w:val="000000" w:themeColor="text1"/>
        </w:rPr>
        <w:t xml:space="preserve"> and </w:t>
      </w:r>
      <w:r w:rsidR="00BC3FB7">
        <w:rPr>
          <w:color w:val="000000" w:themeColor="text1"/>
        </w:rPr>
        <w:t>medications (</w:t>
      </w:r>
      <w:r w:rsidRPr="00397C2B">
        <w:rPr>
          <w:color w:val="000000" w:themeColor="text1"/>
        </w:rPr>
        <w:t>antiplatelet, antihypertensive, lipid-lowering, insulin, oral hypoglycaemic</w:t>
      </w:r>
      <w:r w:rsidR="00BC3FB7">
        <w:rPr>
          <w:color w:val="000000" w:themeColor="text1"/>
        </w:rPr>
        <w:t xml:space="preserve"> agents)</w:t>
      </w:r>
      <w:r w:rsidR="00D37DB2">
        <w:rPr>
          <w:color w:val="000000" w:themeColor="text1"/>
        </w:rPr>
        <w:t>.</w:t>
      </w:r>
    </w:p>
    <w:p w14:paraId="342F2A29" w14:textId="77777777" w:rsidR="004E3BE4" w:rsidRPr="004E3BE4" w:rsidRDefault="004E3BE4" w:rsidP="004E3BE4">
      <w:pPr>
        <w:spacing w:line="360" w:lineRule="auto"/>
        <w:rPr>
          <w:color w:val="000000" w:themeColor="text1"/>
        </w:rPr>
      </w:pPr>
      <w:r w:rsidRPr="004E3BE4">
        <w:rPr>
          <w:color w:val="000000" w:themeColor="text1"/>
        </w:rPr>
        <w:t>The predictors were ascertained in the following ways:</w:t>
      </w:r>
    </w:p>
    <w:p w14:paraId="2B300EFF" w14:textId="77777777" w:rsidR="004E3BE4" w:rsidRDefault="004E3BE4" w:rsidP="004E3BE4">
      <w:pPr>
        <w:pStyle w:val="ListParagraph"/>
        <w:numPr>
          <w:ilvl w:val="0"/>
          <w:numId w:val="9"/>
        </w:numPr>
        <w:spacing w:line="360" w:lineRule="auto"/>
        <w:rPr>
          <w:color w:val="000000" w:themeColor="text1"/>
        </w:rPr>
      </w:pPr>
      <w:r w:rsidRPr="004E3BE4">
        <w:rPr>
          <w:color w:val="000000" w:themeColor="text1"/>
        </w:rPr>
        <w:t>Medications for cholesterol, blood pressure and diabetes: At the assessment centre, participants independently answered questions on a touchscreen. The question for this section stated, ‘Do you regularly take any of the following medications? (you can select more than one answer)’</w:t>
      </w:r>
    </w:p>
    <w:p w14:paraId="5FD35E9D" w14:textId="77777777" w:rsidR="004E3BE4" w:rsidRDefault="004E3BE4" w:rsidP="004E3BE4">
      <w:pPr>
        <w:pStyle w:val="ListParagraph"/>
        <w:numPr>
          <w:ilvl w:val="1"/>
          <w:numId w:val="9"/>
        </w:numPr>
        <w:spacing w:line="360" w:lineRule="auto"/>
        <w:rPr>
          <w:color w:val="000000" w:themeColor="text1"/>
        </w:rPr>
      </w:pPr>
      <w:r w:rsidRPr="004E3BE4">
        <w:rPr>
          <w:color w:val="000000" w:themeColor="text1"/>
        </w:rPr>
        <w:t>Cholesterol lowering medication.</w:t>
      </w:r>
    </w:p>
    <w:p w14:paraId="4D3B88C0" w14:textId="77777777" w:rsidR="004E3BE4" w:rsidRDefault="004E3BE4" w:rsidP="004E3BE4">
      <w:pPr>
        <w:pStyle w:val="ListParagraph"/>
        <w:numPr>
          <w:ilvl w:val="1"/>
          <w:numId w:val="9"/>
        </w:numPr>
        <w:spacing w:line="360" w:lineRule="auto"/>
        <w:rPr>
          <w:color w:val="000000" w:themeColor="text1"/>
        </w:rPr>
      </w:pPr>
      <w:r w:rsidRPr="004E3BE4">
        <w:rPr>
          <w:color w:val="000000" w:themeColor="text1"/>
        </w:rPr>
        <w:t>Blood pressure medication.</w:t>
      </w:r>
    </w:p>
    <w:p w14:paraId="3F1CEC63" w14:textId="354A05CE" w:rsidR="004E3BE4" w:rsidRPr="004E3BE4" w:rsidRDefault="004E3BE4" w:rsidP="004E3BE4">
      <w:pPr>
        <w:pStyle w:val="ListParagraph"/>
        <w:numPr>
          <w:ilvl w:val="1"/>
          <w:numId w:val="9"/>
        </w:numPr>
        <w:spacing w:line="360" w:lineRule="auto"/>
        <w:rPr>
          <w:color w:val="000000" w:themeColor="text1"/>
        </w:rPr>
      </w:pPr>
      <w:r>
        <w:rPr>
          <w:color w:val="000000" w:themeColor="text1"/>
        </w:rPr>
        <w:t>I</w:t>
      </w:r>
      <w:r w:rsidRPr="004E3BE4">
        <w:rPr>
          <w:color w:val="000000" w:themeColor="text1"/>
        </w:rPr>
        <w:t>nsulin.</w:t>
      </w:r>
    </w:p>
    <w:p w14:paraId="2B5DB236" w14:textId="77777777" w:rsidR="004E3BE4" w:rsidRDefault="004E3BE4" w:rsidP="004E3BE4">
      <w:pPr>
        <w:pStyle w:val="ListParagraph"/>
        <w:numPr>
          <w:ilvl w:val="0"/>
          <w:numId w:val="9"/>
        </w:numPr>
        <w:spacing w:line="360" w:lineRule="auto"/>
        <w:rPr>
          <w:color w:val="000000" w:themeColor="text1"/>
        </w:rPr>
      </w:pPr>
      <w:r w:rsidRPr="004E3BE4">
        <w:rPr>
          <w:color w:val="000000" w:themeColor="text1"/>
        </w:rPr>
        <w:t xml:space="preserve">Antiplatelets and warfarin: These medications were ascertained during a verbal interview with a clinic nurse at the assessment centre. The medications included in our analysis were labelled as the following and had an individual numerical code: aspirin 75 mg tablet, nu-seals aspirin 75 mg e/c tablet, aspirin, isosorbide mononitrate +aspirin, dipyridamole +aspirin, dipyridamole, clopidogrel, ticlopidine, warfarin and </w:t>
      </w:r>
      <w:r w:rsidRPr="004E3BE4">
        <w:rPr>
          <w:color w:val="000000" w:themeColor="text1"/>
        </w:rPr>
        <w:lastRenderedPageBreak/>
        <w:t xml:space="preserve">sodium warfarin. Other antiplatelets and </w:t>
      </w:r>
      <w:proofErr w:type="spellStart"/>
      <w:r w:rsidRPr="004E3BE4">
        <w:rPr>
          <w:color w:val="000000" w:themeColor="text1"/>
        </w:rPr>
        <w:t>antithrombotics</w:t>
      </w:r>
      <w:proofErr w:type="spellEnd"/>
      <w:r w:rsidRPr="004E3BE4">
        <w:rPr>
          <w:color w:val="000000" w:themeColor="text1"/>
        </w:rPr>
        <w:t>: ticagrelor, prasugrel, eptifibatide and direct oral anticoagulants were not recorded in the dataset and hence, are not included in this analysis.</w:t>
      </w:r>
    </w:p>
    <w:p w14:paraId="2CE6EBC8" w14:textId="77777777" w:rsidR="004E3BE4" w:rsidRDefault="004E3BE4" w:rsidP="004E3BE4">
      <w:pPr>
        <w:pStyle w:val="ListParagraph"/>
        <w:numPr>
          <w:ilvl w:val="0"/>
          <w:numId w:val="9"/>
        </w:numPr>
        <w:spacing w:line="360" w:lineRule="auto"/>
        <w:rPr>
          <w:color w:val="000000" w:themeColor="text1"/>
        </w:rPr>
      </w:pPr>
      <w:r w:rsidRPr="004E3BE4">
        <w:rPr>
          <w:color w:val="000000" w:themeColor="text1"/>
        </w:rPr>
        <w:t>Oral hypoglycaemics: These medications were ascertained during a verbal interview with a clinic nurse at the assessment centre. The medications included in our analysis were labelled as the following and had an individual numerical code: metformin, rosiglitazone 1 mg/metformin 500 mg tablet, glipizide, glipizide product, glimepiride, repaglinide, pioglitazone.</w:t>
      </w:r>
    </w:p>
    <w:p w14:paraId="31D078B6" w14:textId="77777777" w:rsidR="004E3BE4" w:rsidRDefault="004E3BE4" w:rsidP="004E3BE4">
      <w:pPr>
        <w:pStyle w:val="ListParagraph"/>
        <w:numPr>
          <w:ilvl w:val="0"/>
          <w:numId w:val="9"/>
        </w:numPr>
        <w:spacing w:line="360" w:lineRule="auto"/>
        <w:rPr>
          <w:color w:val="000000" w:themeColor="text1"/>
        </w:rPr>
      </w:pPr>
      <w:r w:rsidRPr="004E3BE4">
        <w:rPr>
          <w:color w:val="000000" w:themeColor="text1"/>
        </w:rPr>
        <w:t>Smoking: At the assessment centre, participants independently answered questions on a touchscreen. The questions for this section stated, ‘In the past, how often have you smoked tobacco?’ and ‘Do you smoke tobacco now?’</w:t>
      </w:r>
    </w:p>
    <w:p w14:paraId="01F2E305" w14:textId="77777777" w:rsidR="004E3BE4" w:rsidRDefault="004E3BE4" w:rsidP="004E3BE4">
      <w:pPr>
        <w:pStyle w:val="ListParagraph"/>
        <w:numPr>
          <w:ilvl w:val="0"/>
          <w:numId w:val="9"/>
        </w:numPr>
        <w:spacing w:line="360" w:lineRule="auto"/>
        <w:rPr>
          <w:color w:val="000000" w:themeColor="text1"/>
        </w:rPr>
      </w:pPr>
      <w:r w:rsidRPr="004E3BE4">
        <w:rPr>
          <w:color w:val="000000" w:themeColor="text1"/>
        </w:rPr>
        <w:t>H</w:t>
      </w:r>
      <w:r w:rsidRPr="004E3BE4">
        <w:rPr>
          <w:color w:val="000000" w:themeColor="text1"/>
        </w:rPr>
        <w:t>ypertension: At the assessment centre, participants independently answered questions on a touchscreen. The questions for this section stated, ‘Has a doctor ever told you that you have had any of the follow conditions (you can select more than one answer)?’</w:t>
      </w:r>
    </w:p>
    <w:p w14:paraId="30671782" w14:textId="77777777" w:rsidR="004E3BE4" w:rsidRDefault="004E3BE4" w:rsidP="004E3BE4">
      <w:pPr>
        <w:pStyle w:val="ListParagraph"/>
        <w:numPr>
          <w:ilvl w:val="1"/>
          <w:numId w:val="9"/>
        </w:numPr>
        <w:spacing w:line="360" w:lineRule="auto"/>
        <w:rPr>
          <w:color w:val="000000" w:themeColor="text1"/>
        </w:rPr>
      </w:pPr>
      <w:r w:rsidRPr="004E3BE4">
        <w:rPr>
          <w:color w:val="000000" w:themeColor="text1"/>
        </w:rPr>
        <w:t>Heart attack.</w:t>
      </w:r>
    </w:p>
    <w:p w14:paraId="3013F2EA" w14:textId="77777777" w:rsidR="004E3BE4" w:rsidRDefault="004E3BE4" w:rsidP="004E3BE4">
      <w:pPr>
        <w:pStyle w:val="ListParagraph"/>
        <w:numPr>
          <w:ilvl w:val="1"/>
          <w:numId w:val="9"/>
        </w:numPr>
        <w:spacing w:line="360" w:lineRule="auto"/>
        <w:rPr>
          <w:color w:val="000000" w:themeColor="text1"/>
        </w:rPr>
      </w:pPr>
      <w:r w:rsidRPr="004E3BE4">
        <w:rPr>
          <w:color w:val="000000" w:themeColor="text1"/>
        </w:rPr>
        <w:t>Angina.</w:t>
      </w:r>
    </w:p>
    <w:p w14:paraId="2B601BAF" w14:textId="77777777" w:rsidR="004E3BE4" w:rsidRDefault="004E3BE4" w:rsidP="004E3BE4">
      <w:pPr>
        <w:pStyle w:val="ListParagraph"/>
        <w:numPr>
          <w:ilvl w:val="1"/>
          <w:numId w:val="9"/>
        </w:numPr>
        <w:spacing w:line="360" w:lineRule="auto"/>
        <w:rPr>
          <w:color w:val="000000" w:themeColor="text1"/>
        </w:rPr>
      </w:pPr>
      <w:r w:rsidRPr="004E3BE4">
        <w:rPr>
          <w:color w:val="000000" w:themeColor="text1"/>
        </w:rPr>
        <w:t>Stroke.</w:t>
      </w:r>
    </w:p>
    <w:p w14:paraId="78AAA21D" w14:textId="77777777" w:rsidR="004E3BE4" w:rsidRDefault="004E3BE4" w:rsidP="004E3BE4">
      <w:pPr>
        <w:pStyle w:val="ListParagraph"/>
        <w:numPr>
          <w:ilvl w:val="1"/>
          <w:numId w:val="9"/>
        </w:numPr>
        <w:spacing w:line="360" w:lineRule="auto"/>
        <w:rPr>
          <w:color w:val="000000" w:themeColor="text1"/>
        </w:rPr>
      </w:pPr>
      <w:r w:rsidRPr="004E3BE4">
        <w:rPr>
          <w:color w:val="000000" w:themeColor="text1"/>
        </w:rPr>
        <w:t>High blood pressure.</w:t>
      </w:r>
    </w:p>
    <w:p w14:paraId="1C99DBD1" w14:textId="77777777" w:rsidR="004E3BE4" w:rsidRDefault="004E3BE4" w:rsidP="004E3BE4">
      <w:pPr>
        <w:pStyle w:val="ListParagraph"/>
        <w:numPr>
          <w:ilvl w:val="1"/>
          <w:numId w:val="9"/>
        </w:numPr>
        <w:spacing w:line="360" w:lineRule="auto"/>
        <w:rPr>
          <w:color w:val="000000" w:themeColor="text1"/>
        </w:rPr>
      </w:pPr>
      <w:r w:rsidRPr="004E3BE4">
        <w:rPr>
          <w:color w:val="000000" w:themeColor="text1"/>
        </w:rPr>
        <w:t>None of the above.</w:t>
      </w:r>
    </w:p>
    <w:p w14:paraId="6AD6E2FA" w14:textId="2FEFC65E" w:rsidR="004E3BE4" w:rsidRPr="004E3BE4" w:rsidRDefault="004E3BE4" w:rsidP="004E3BE4">
      <w:pPr>
        <w:pStyle w:val="ListParagraph"/>
        <w:numPr>
          <w:ilvl w:val="1"/>
          <w:numId w:val="9"/>
        </w:numPr>
        <w:spacing w:line="360" w:lineRule="auto"/>
        <w:rPr>
          <w:color w:val="000000" w:themeColor="text1"/>
        </w:rPr>
      </w:pPr>
      <w:r w:rsidRPr="004E3BE4">
        <w:rPr>
          <w:color w:val="000000" w:themeColor="text1"/>
        </w:rPr>
        <w:t>Prefer not to say.</w:t>
      </w:r>
    </w:p>
    <w:p w14:paraId="0A91DAF0" w14:textId="77777777" w:rsidR="004E3BE4" w:rsidRDefault="004E3BE4" w:rsidP="004E3BE4">
      <w:pPr>
        <w:pStyle w:val="ListParagraph"/>
        <w:numPr>
          <w:ilvl w:val="0"/>
          <w:numId w:val="9"/>
        </w:numPr>
        <w:spacing w:line="360" w:lineRule="auto"/>
        <w:rPr>
          <w:color w:val="000000" w:themeColor="text1"/>
        </w:rPr>
      </w:pPr>
      <w:r w:rsidRPr="004E3BE4">
        <w:rPr>
          <w:color w:val="000000" w:themeColor="text1"/>
        </w:rPr>
        <w:t>Cancer diagnosis: This predictor was determined from primary/main diagnosis codes and distinct secondary diagnoses codes a participant has had recorded across all their hospital inpatient records.</w:t>
      </w:r>
    </w:p>
    <w:p w14:paraId="32B0792D" w14:textId="77777777" w:rsidR="004E3BE4" w:rsidRDefault="004E3BE4" w:rsidP="004E3BE4">
      <w:pPr>
        <w:pStyle w:val="ListParagraph"/>
        <w:numPr>
          <w:ilvl w:val="0"/>
          <w:numId w:val="9"/>
        </w:numPr>
        <w:spacing w:line="360" w:lineRule="auto"/>
        <w:rPr>
          <w:color w:val="000000" w:themeColor="text1"/>
        </w:rPr>
      </w:pPr>
      <w:r w:rsidRPr="004E3BE4">
        <w:rPr>
          <w:color w:val="000000" w:themeColor="text1"/>
        </w:rPr>
        <w:t>Diabetes: At the assessment centre, participants independently answered questions on a touchscreen. The questions for this section stated, ‘Has a doctor ever told you that you have diabetes?’</w:t>
      </w:r>
    </w:p>
    <w:p w14:paraId="46032A52" w14:textId="023E7F90" w:rsidR="004E3BE4" w:rsidRPr="004E3BE4" w:rsidRDefault="004E3BE4" w:rsidP="004E3BE4">
      <w:pPr>
        <w:pStyle w:val="ListParagraph"/>
        <w:numPr>
          <w:ilvl w:val="0"/>
          <w:numId w:val="9"/>
        </w:numPr>
        <w:spacing w:line="360" w:lineRule="auto"/>
        <w:rPr>
          <w:color w:val="000000" w:themeColor="text1"/>
        </w:rPr>
      </w:pPr>
      <w:r w:rsidRPr="004E3BE4">
        <w:rPr>
          <w:color w:val="000000" w:themeColor="text1"/>
        </w:rPr>
        <w:t xml:space="preserve">Intravenous Ig exposure: This predictor was determined from the main and secondary operation and procedure codes a participant has had recorded across all their hospital inpatient records. Operative procedures (including intravenous Ig administration) are coded according to the Office of Population Censuses and Surreys Classification of Interventions and Procedures, V.4. Only the first date of operation/procedure was </w:t>
      </w:r>
      <w:r w:rsidRPr="004E3BE4">
        <w:rPr>
          <w:color w:val="000000" w:themeColor="text1"/>
        </w:rPr>
        <w:lastRenderedPageBreak/>
        <w:t>provided in the dataset so an accurate time between last intravenous Ig and study endpoint could not be accurately calculated.</w:t>
      </w:r>
    </w:p>
    <w:p w14:paraId="437C9780" w14:textId="77777777" w:rsidR="004D4A3C" w:rsidRPr="00397C2B" w:rsidRDefault="004D4A3C" w:rsidP="00CE4D33">
      <w:pPr>
        <w:spacing w:line="360" w:lineRule="auto"/>
        <w:rPr>
          <w:color w:val="000000" w:themeColor="text1"/>
        </w:rPr>
      </w:pPr>
    </w:p>
    <w:p w14:paraId="1DCCE597" w14:textId="77777777" w:rsidR="004D4A3C" w:rsidRPr="00397C2B" w:rsidRDefault="004D4A3C" w:rsidP="00EC1ED6">
      <w:pPr>
        <w:spacing w:line="360" w:lineRule="auto"/>
        <w:rPr>
          <w:b/>
          <w:bCs/>
          <w:color w:val="000000" w:themeColor="text1"/>
        </w:rPr>
      </w:pPr>
      <w:r w:rsidRPr="00397C2B">
        <w:rPr>
          <w:b/>
          <w:bCs/>
          <w:color w:val="000000" w:themeColor="text1"/>
        </w:rPr>
        <w:t xml:space="preserve">Statistical Analysis  </w:t>
      </w:r>
    </w:p>
    <w:p w14:paraId="709F5B11" w14:textId="77777777" w:rsidR="0039033F" w:rsidRDefault="0039033F" w:rsidP="00EC1ED6">
      <w:pPr>
        <w:spacing w:line="360" w:lineRule="auto"/>
        <w:rPr>
          <w:b/>
          <w:bCs/>
          <w:color w:val="000000" w:themeColor="text1"/>
        </w:rPr>
      </w:pPr>
    </w:p>
    <w:p w14:paraId="58908E65" w14:textId="493E285D" w:rsidR="004D4A3C" w:rsidRPr="00397C2B" w:rsidRDefault="004D4A3C" w:rsidP="00EC1ED6">
      <w:pPr>
        <w:spacing w:line="360" w:lineRule="auto"/>
        <w:rPr>
          <w:b/>
          <w:bCs/>
          <w:color w:val="000000" w:themeColor="text1"/>
        </w:rPr>
      </w:pPr>
      <w:r w:rsidRPr="00397C2B">
        <w:rPr>
          <w:b/>
          <w:bCs/>
          <w:color w:val="000000" w:themeColor="text1"/>
        </w:rPr>
        <w:t>Data Handling</w:t>
      </w:r>
    </w:p>
    <w:p w14:paraId="3CB3AFE7" w14:textId="6C4A4680" w:rsidR="004D4A3C" w:rsidRPr="00397C2B" w:rsidRDefault="004D4A3C" w:rsidP="00EC1ED6">
      <w:pPr>
        <w:spacing w:line="360" w:lineRule="auto"/>
        <w:rPr>
          <w:color w:val="000000" w:themeColor="text1"/>
        </w:rPr>
      </w:pPr>
      <w:r w:rsidRPr="00397C2B">
        <w:rPr>
          <w:color w:val="000000" w:themeColor="text1"/>
        </w:rPr>
        <w:t xml:space="preserve">Continuous variables were modelled as continuous to prevent biological implausibility and inefficient use of </w:t>
      </w:r>
      <w:proofErr w:type="gramStart"/>
      <w:r w:rsidRPr="00397C2B">
        <w:rPr>
          <w:color w:val="000000" w:themeColor="text1"/>
        </w:rPr>
        <w:t>data</w:t>
      </w:r>
      <w:r w:rsidR="008B3EC0" w:rsidRPr="00397C2B">
        <w:rPr>
          <w:color w:val="000000" w:themeColor="text1"/>
        </w:rPr>
        <w:t>.</w:t>
      </w:r>
      <w:r w:rsidR="001C05E2">
        <w:rPr>
          <w:color w:val="000000" w:themeColor="text1"/>
        </w:rPr>
        <w:t>{</w:t>
      </w:r>
      <w:proofErr w:type="gramEnd"/>
      <w:r w:rsidR="001C05E2">
        <w:rPr>
          <w:color w:val="000000" w:themeColor="text1"/>
        </w:rPr>
        <w:t>Collins, 2016 #6767}</w:t>
      </w:r>
      <w:r w:rsidRPr="00397C2B">
        <w:rPr>
          <w:color w:val="000000" w:themeColor="text1"/>
        </w:rPr>
        <w:t xml:space="preserve"> All other variables were </w:t>
      </w:r>
      <w:r w:rsidR="009B16A1">
        <w:rPr>
          <w:color w:val="000000" w:themeColor="text1"/>
        </w:rPr>
        <w:t>dichotomous</w:t>
      </w:r>
      <w:r w:rsidRPr="00397C2B">
        <w:rPr>
          <w:color w:val="000000" w:themeColor="text1"/>
        </w:rPr>
        <w:t xml:space="preserve">. </w:t>
      </w:r>
    </w:p>
    <w:p w14:paraId="51628937" w14:textId="77777777" w:rsidR="008673E6" w:rsidRDefault="008673E6" w:rsidP="00EC1ED6">
      <w:pPr>
        <w:spacing w:line="360" w:lineRule="auto"/>
        <w:rPr>
          <w:b/>
          <w:bCs/>
          <w:color w:val="000000" w:themeColor="text1"/>
        </w:rPr>
      </w:pPr>
    </w:p>
    <w:p w14:paraId="54700A62" w14:textId="2AB0881D" w:rsidR="004D4A3C" w:rsidRPr="00397C2B" w:rsidRDefault="004D4A3C" w:rsidP="00EC1ED6">
      <w:pPr>
        <w:spacing w:line="360" w:lineRule="auto"/>
        <w:rPr>
          <w:b/>
          <w:bCs/>
          <w:color w:val="000000" w:themeColor="text1"/>
        </w:rPr>
      </w:pPr>
      <w:r w:rsidRPr="00397C2B">
        <w:rPr>
          <w:b/>
          <w:bCs/>
          <w:color w:val="000000" w:themeColor="text1"/>
        </w:rPr>
        <w:t>Missing Data</w:t>
      </w:r>
    </w:p>
    <w:p w14:paraId="6A2D7060" w14:textId="0667166B" w:rsidR="004D4A3C" w:rsidRPr="00397C2B" w:rsidRDefault="00206F09" w:rsidP="00EC1ED6">
      <w:pPr>
        <w:spacing w:line="360" w:lineRule="auto"/>
        <w:rPr>
          <w:color w:val="000000" w:themeColor="text1"/>
        </w:rPr>
      </w:pPr>
      <w:r w:rsidRPr="00397C2B">
        <w:rPr>
          <w:color w:val="000000" w:themeColor="text1"/>
        </w:rPr>
        <w:t>M</w:t>
      </w:r>
      <w:r w:rsidR="004D4A3C" w:rsidRPr="00397C2B">
        <w:rPr>
          <w:color w:val="000000" w:themeColor="text1"/>
        </w:rPr>
        <w:t xml:space="preserve">issing data </w:t>
      </w:r>
      <w:r w:rsidRPr="00397C2B">
        <w:rPr>
          <w:color w:val="000000" w:themeColor="text1"/>
        </w:rPr>
        <w:t xml:space="preserve">were </w:t>
      </w:r>
      <w:r w:rsidR="00354D85">
        <w:rPr>
          <w:color w:val="000000" w:themeColor="text1"/>
        </w:rPr>
        <w:t>few</w:t>
      </w:r>
      <w:r w:rsidR="004D4A3C" w:rsidRPr="00397C2B">
        <w:rPr>
          <w:color w:val="000000" w:themeColor="text1"/>
        </w:rPr>
        <w:t xml:space="preserve"> (</w:t>
      </w:r>
      <w:r w:rsidR="00934452" w:rsidRPr="00397C2B">
        <w:rPr>
          <w:color w:val="000000" w:themeColor="text1"/>
        </w:rPr>
        <w:t>&lt;</w:t>
      </w:r>
      <w:r w:rsidR="004D4A3C" w:rsidRPr="00397C2B">
        <w:rPr>
          <w:color w:val="000000" w:themeColor="text1"/>
        </w:rPr>
        <w:t xml:space="preserve">1% for all variables), </w:t>
      </w:r>
      <w:r w:rsidRPr="00397C2B">
        <w:rPr>
          <w:color w:val="000000" w:themeColor="text1"/>
        </w:rPr>
        <w:t xml:space="preserve">and </w:t>
      </w:r>
      <w:r w:rsidR="004D4A3C" w:rsidRPr="00397C2B">
        <w:rPr>
          <w:color w:val="000000" w:themeColor="text1"/>
        </w:rPr>
        <w:t>therefore complete case analysis was used. Total numbers for each variable are shown in Table 1</w:t>
      </w:r>
      <w:r w:rsidR="00A9710A">
        <w:rPr>
          <w:color w:val="000000" w:themeColor="text1"/>
        </w:rPr>
        <w:t>, for each model</w:t>
      </w:r>
      <w:r w:rsidR="004D4A3C" w:rsidRPr="00397C2B">
        <w:rPr>
          <w:color w:val="000000" w:themeColor="text1"/>
        </w:rPr>
        <w:t xml:space="preserve">.  </w:t>
      </w:r>
    </w:p>
    <w:p w14:paraId="048B7F2A" w14:textId="77777777" w:rsidR="008673E6" w:rsidRDefault="008673E6" w:rsidP="00EC1ED6">
      <w:pPr>
        <w:spacing w:line="360" w:lineRule="auto"/>
        <w:rPr>
          <w:b/>
          <w:bCs/>
          <w:color w:val="000000" w:themeColor="text1"/>
        </w:rPr>
      </w:pPr>
    </w:p>
    <w:p w14:paraId="6C3CF03C" w14:textId="18A81DCA" w:rsidR="004D4A3C" w:rsidRPr="00397C2B" w:rsidRDefault="004D4A3C" w:rsidP="00EC1ED6">
      <w:pPr>
        <w:spacing w:line="360" w:lineRule="auto"/>
        <w:rPr>
          <w:b/>
          <w:bCs/>
          <w:color w:val="000000" w:themeColor="text1"/>
        </w:rPr>
      </w:pPr>
      <w:r w:rsidRPr="00397C2B">
        <w:rPr>
          <w:b/>
          <w:bCs/>
          <w:color w:val="000000" w:themeColor="text1"/>
        </w:rPr>
        <w:t>Model Development</w:t>
      </w:r>
    </w:p>
    <w:p w14:paraId="637F800A" w14:textId="06F70776" w:rsidR="0071120B" w:rsidRDefault="00E23462" w:rsidP="00EC1ED6">
      <w:pPr>
        <w:spacing w:line="360" w:lineRule="auto"/>
        <w:rPr>
          <w:color w:val="000000" w:themeColor="text1"/>
        </w:rPr>
      </w:pPr>
      <w:r w:rsidRPr="00397C2B">
        <w:rPr>
          <w:color w:val="000000" w:themeColor="text1"/>
        </w:rPr>
        <w:t>Transparent reporting of a multivaria</w:t>
      </w:r>
      <w:r w:rsidR="009018D0" w:rsidRPr="00397C2B">
        <w:rPr>
          <w:color w:val="000000" w:themeColor="text1"/>
        </w:rPr>
        <w:t>t</w:t>
      </w:r>
      <w:r w:rsidRPr="00397C2B">
        <w:rPr>
          <w:color w:val="000000" w:themeColor="text1"/>
        </w:rPr>
        <w:t xml:space="preserve">e prediction model for individual prognosis or diagnosis (TRIPOD) guidelines for development and reporting </w:t>
      </w:r>
      <w:r w:rsidR="00206F09" w:rsidRPr="00397C2B">
        <w:rPr>
          <w:color w:val="000000" w:themeColor="text1"/>
        </w:rPr>
        <w:t>were</w:t>
      </w:r>
      <w:r w:rsidRPr="00397C2B">
        <w:rPr>
          <w:color w:val="000000" w:themeColor="text1"/>
        </w:rPr>
        <w:t xml:space="preserve"> </w:t>
      </w:r>
      <w:proofErr w:type="gramStart"/>
      <w:r w:rsidRPr="00397C2B">
        <w:rPr>
          <w:color w:val="000000" w:themeColor="text1"/>
        </w:rPr>
        <w:t>followed.</w:t>
      </w:r>
      <w:r w:rsidR="001C05E2">
        <w:rPr>
          <w:color w:val="000000" w:themeColor="text1"/>
        </w:rPr>
        <w:t>{</w:t>
      </w:r>
      <w:proofErr w:type="gramEnd"/>
      <w:r w:rsidR="001C05E2">
        <w:rPr>
          <w:color w:val="000000" w:themeColor="text1"/>
        </w:rPr>
        <w:t>Collins, 2015 #8618}</w:t>
      </w:r>
      <w:r w:rsidRPr="00397C2B">
        <w:rPr>
          <w:color w:val="000000" w:themeColor="text1"/>
        </w:rPr>
        <w:t xml:space="preserve"> </w:t>
      </w:r>
    </w:p>
    <w:p w14:paraId="08808B2D" w14:textId="04680F94" w:rsidR="0071120B" w:rsidRDefault="0071120B" w:rsidP="00EC1ED6">
      <w:pPr>
        <w:spacing w:line="360" w:lineRule="auto"/>
        <w:rPr>
          <w:color w:val="000000" w:themeColor="text1"/>
        </w:rPr>
      </w:pPr>
      <w:r>
        <w:rPr>
          <w:color w:val="000000" w:themeColor="text1"/>
        </w:rPr>
        <w:t>The dataset</w:t>
      </w:r>
      <w:r w:rsidR="002408F2">
        <w:rPr>
          <w:color w:val="000000" w:themeColor="text1"/>
        </w:rPr>
        <w:t>s</w:t>
      </w:r>
      <w:r>
        <w:rPr>
          <w:color w:val="000000" w:themeColor="text1"/>
        </w:rPr>
        <w:t xml:space="preserve"> </w:t>
      </w:r>
      <w:r w:rsidR="002408F2">
        <w:rPr>
          <w:color w:val="000000" w:themeColor="text1"/>
        </w:rPr>
        <w:t>were</w:t>
      </w:r>
      <w:r>
        <w:rPr>
          <w:color w:val="000000" w:themeColor="text1"/>
        </w:rPr>
        <w:t xml:space="preserve"> used to build</w:t>
      </w:r>
      <w:r w:rsidRPr="0071120B">
        <w:rPr>
          <w:color w:val="000000" w:themeColor="text1"/>
        </w:rPr>
        <w:t xml:space="preserve"> </w:t>
      </w:r>
      <w:r w:rsidR="00B96522">
        <w:rPr>
          <w:color w:val="000000" w:themeColor="text1"/>
        </w:rPr>
        <w:t xml:space="preserve">multivariate </w:t>
      </w:r>
      <w:r w:rsidR="00060BA1" w:rsidRPr="00060BA1">
        <w:rPr>
          <w:color w:val="000000" w:themeColor="text1"/>
        </w:rPr>
        <w:t>cardiovascular</w:t>
      </w:r>
      <w:r w:rsidR="00060BA1">
        <w:rPr>
          <w:color w:val="000000" w:themeColor="text1"/>
        </w:rPr>
        <w:t xml:space="preserve"> </w:t>
      </w:r>
      <w:r w:rsidR="00060BA1" w:rsidRPr="00060BA1">
        <w:rPr>
          <w:color w:val="000000" w:themeColor="text1"/>
        </w:rPr>
        <w:t>disease risk prediction equations</w:t>
      </w:r>
      <w:r w:rsidR="002408F2">
        <w:rPr>
          <w:color w:val="000000" w:themeColor="text1"/>
        </w:rPr>
        <w:t xml:space="preserve"> </w:t>
      </w:r>
      <w:r w:rsidR="00DD0AEB">
        <w:rPr>
          <w:color w:val="000000" w:themeColor="text1"/>
        </w:rPr>
        <w:t>(Figure 1)</w:t>
      </w:r>
      <w:r>
        <w:rPr>
          <w:color w:val="000000" w:themeColor="text1"/>
        </w:rPr>
        <w:t xml:space="preserve">. </w:t>
      </w:r>
    </w:p>
    <w:p w14:paraId="05AF732B" w14:textId="77777777" w:rsidR="0087750C" w:rsidRDefault="0087750C">
      <w:pPr>
        <w:spacing w:line="360" w:lineRule="auto"/>
        <w:rPr>
          <w:color w:val="000000" w:themeColor="text1"/>
          <w:u w:val="single"/>
        </w:rPr>
      </w:pPr>
    </w:p>
    <w:p w14:paraId="3403B21F" w14:textId="12B48F91" w:rsidR="0071120B" w:rsidRPr="00EC1ED6" w:rsidRDefault="0087750C" w:rsidP="00EC1ED6">
      <w:pPr>
        <w:spacing w:line="360" w:lineRule="auto"/>
        <w:rPr>
          <w:color w:val="000000" w:themeColor="text1"/>
          <w:u w:val="single"/>
        </w:rPr>
      </w:pPr>
      <w:r>
        <w:rPr>
          <w:color w:val="000000" w:themeColor="text1"/>
          <w:u w:val="single"/>
        </w:rPr>
        <w:t xml:space="preserve">Dataset 1: </w:t>
      </w:r>
      <w:r w:rsidR="00E5748D">
        <w:rPr>
          <w:color w:val="000000" w:themeColor="text1"/>
          <w:u w:val="single"/>
        </w:rPr>
        <w:t>Model 1</w:t>
      </w:r>
      <w:r>
        <w:rPr>
          <w:color w:val="000000" w:themeColor="text1"/>
          <w:u w:val="single"/>
        </w:rPr>
        <w:t xml:space="preserve"> and Model 2</w:t>
      </w:r>
    </w:p>
    <w:p w14:paraId="5D3580C0" w14:textId="272A4CC0" w:rsidR="00995698" w:rsidRDefault="004D4A3C">
      <w:pPr>
        <w:spacing w:line="360" w:lineRule="auto"/>
        <w:rPr>
          <w:color w:val="000000" w:themeColor="text1"/>
        </w:rPr>
      </w:pPr>
      <w:r w:rsidRPr="00397C2B">
        <w:rPr>
          <w:color w:val="000000" w:themeColor="text1"/>
        </w:rPr>
        <w:t>The dataset was divided into two group</w:t>
      </w:r>
      <w:r w:rsidR="008D3631">
        <w:rPr>
          <w:color w:val="000000" w:themeColor="text1"/>
        </w:rPr>
        <w:t>s</w:t>
      </w:r>
      <w:r w:rsidRPr="00397C2B">
        <w:rPr>
          <w:color w:val="000000" w:themeColor="text1"/>
        </w:rPr>
        <w:t xml:space="preserve">: participants with and without a </w:t>
      </w:r>
      <w:proofErr w:type="spellStart"/>
      <w:r w:rsidR="00BC3FB7">
        <w:rPr>
          <w:color w:val="000000" w:themeColor="text1"/>
        </w:rPr>
        <w:t>Phx</w:t>
      </w:r>
      <w:proofErr w:type="spellEnd"/>
      <w:r w:rsidR="00BC3FB7" w:rsidRPr="00397C2B">
        <w:rPr>
          <w:color w:val="000000" w:themeColor="text1"/>
        </w:rPr>
        <w:t xml:space="preserve"> </w:t>
      </w:r>
      <w:r w:rsidRPr="00397C2B">
        <w:rPr>
          <w:color w:val="000000" w:themeColor="text1"/>
        </w:rPr>
        <w:t>of TEEs</w:t>
      </w:r>
      <w:r w:rsidR="00D37DB2">
        <w:rPr>
          <w:color w:val="000000" w:themeColor="text1"/>
        </w:rPr>
        <w:t>. P</w:t>
      </w:r>
      <w:r w:rsidR="00590080">
        <w:rPr>
          <w:color w:val="000000" w:themeColor="text1"/>
        </w:rPr>
        <w:t xml:space="preserve">articipants with no </w:t>
      </w:r>
      <w:proofErr w:type="spellStart"/>
      <w:r w:rsidR="00BC3FB7">
        <w:rPr>
          <w:color w:val="000000" w:themeColor="text1"/>
        </w:rPr>
        <w:t>Phx</w:t>
      </w:r>
      <w:proofErr w:type="spellEnd"/>
      <w:r w:rsidR="00BC3FB7">
        <w:rPr>
          <w:color w:val="000000" w:themeColor="text1"/>
        </w:rPr>
        <w:t xml:space="preserve"> </w:t>
      </w:r>
      <w:r w:rsidR="00590080">
        <w:rPr>
          <w:color w:val="000000" w:themeColor="text1"/>
        </w:rPr>
        <w:t xml:space="preserve">but on an antiplatelet agent were </w:t>
      </w:r>
      <w:r w:rsidR="00BC3FB7">
        <w:rPr>
          <w:color w:val="000000" w:themeColor="text1"/>
        </w:rPr>
        <w:t>excluded from</w:t>
      </w:r>
      <w:r w:rsidR="00D37DB2">
        <w:rPr>
          <w:color w:val="000000" w:themeColor="text1"/>
        </w:rPr>
        <w:t xml:space="preserve"> the no </w:t>
      </w:r>
      <w:proofErr w:type="spellStart"/>
      <w:r w:rsidR="00D37DB2">
        <w:rPr>
          <w:color w:val="000000" w:themeColor="text1"/>
        </w:rPr>
        <w:t>Phx</w:t>
      </w:r>
      <w:proofErr w:type="spellEnd"/>
      <w:r w:rsidR="00D37DB2">
        <w:rPr>
          <w:color w:val="000000" w:themeColor="text1"/>
        </w:rPr>
        <w:t xml:space="preserve"> of TEE cohort.</w:t>
      </w:r>
      <w:r w:rsidR="00995698">
        <w:rPr>
          <w:color w:val="000000" w:themeColor="text1"/>
        </w:rPr>
        <w:t xml:space="preserve"> We developed two conditional </w:t>
      </w:r>
      <w:r w:rsidR="00192A5D">
        <w:rPr>
          <w:color w:val="000000" w:themeColor="text1"/>
        </w:rPr>
        <w:t xml:space="preserve">multivariate </w:t>
      </w:r>
      <w:r w:rsidR="00995698">
        <w:rPr>
          <w:color w:val="000000" w:themeColor="text1"/>
        </w:rPr>
        <w:t xml:space="preserve">logistic regression models from Dataset 1: Model </w:t>
      </w:r>
      <w:r w:rsidR="002B59FC">
        <w:rPr>
          <w:color w:val="000000" w:themeColor="text1"/>
        </w:rPr>
        <w:t xml:space="preserve">1 applies to </w:t>
      </w:r>
      <w:r w:rsidR="00995698">
        <w:rPr>
          <w:color w:val="000000" w:themeColor="text1"/>
        </w:rPr>
        <w:t xml:space="preserve">those without </w:t>
      </w:r>
      <w:r w:rsidR="00995698" w:rsidRPr="00397C2B">
        <w:rPr>
          <w:color w:val="000000" w:themeColor="text1"/>
        </w:rPr>
        <w:t xml:space="preserve">a </w:t>
      </w:r>
      <w:proofErr w:type="spellStart"/>
      <w:r w:rsidR="00995698">
        <w:rPr>
          <w:color w:val="000000" w:themeColor="text1"/>
        </w:rPr>
        <w:t>Phx</w:t>
      </w:r>
      <w:proofErr w:type="spellEnd"/>
      <w:r w:rsidR="00995698" w:rsidRPr="00397C2B">
        <w:rPr>
          <w:color w:val="000000" w:themeColor="text1"/>
        </w:rPr>
        <w:t xml:space="preserve"> of TEEs</w:t>
      </w:r>
      <w:r w:rsidR="002B59FC">
        <w:rPr>
          <w:color w:val="000000" w:themeColor="text1"/>
        </w:rPr>
        <w:t xml:space="preserve"> and Model</w:t>
      </w:r>
      <w:r w:rsidR="00EC1ED6">
        <w:rPr>
          <w:color w:val="000000" w:themeColor="text1"/>
        </w:rPr>
        <w:t xml:space="preserve"> 2</w:t>
      </w:r>
      <w:r w:rsidR="002B59FC">
        <w:rPr>
          <w:color w:val="000000" w:themeColor="text1"/>
        </w:rPr>
        <w:t xml:space="preserve"> to those </w:t>
      </w:r>
      <w:r w:rsidR="002B59FC" w:rsidRPr="00EC1ED6">
        <w:rPr>
          <w:i/>
          <w:iCs/>
          <w:color w:val="000000" w:themeColor="text1"/>
        </w:rPr>
        <w:t>with</w:t>
      </w:r>
      <w:r w:rsidR="002B59FC">
        <w:rPr>
          <w:color w:val="000000" w:themeColor="text1"/>
        </w:rPr>
        <w:t xml:space="preserve"> a </w:t>
      </w:r>
      <w:proofErr w:type="spellStart"/>
      <w:r w:rsidR="002B59FC">
        <w:rPr>
          <w:color w:val="000000" w:themeColor="text1"/>
        </w:rPr>
        <w:t>Phx</w:t>
      </w:r>
      <w:proofErr w:type="spellEnd"/>
      <w:r w:rsidR="002B59FC" w:rsidRPr="00397C2B">
        <w:rPr>
          <w:color w:val="000000" w:themeColor="text1"/>
        </w:rPr>
        <w:t xml:space="preserve"> of TEEs</w:t>
      </w:r>
      <w:r w:rsidR="002B59FC">
        <w:rPr>
          <w:color w:val="000000" w:themeColor="text1"/>
        </w:rPr>
        <w:t>.</w:t>
      </w:r>
    </w:p>
    <w:p w14:paraId="2B6BCC20" w14:textId="77777777" w:rsidR="002B59FC" w:rsidRDefault="002B59FC">
      <w:pPr>
        <w:spacing w:line="360" w:lineRule="auto"/>
        <w:rPr>
          <w:color w:val="000000" w:themeColor="text1"/>
        </w:rPr>
      </w:pPr>
    </w:p>
    <w:p w14:paraId="44466DB2" w14:textId="77DE9570" w:rsidR="00995698" w:rsidRDefault="00157F72">
      <w:pPr>
        <w:spacing w:line="360" w:lineRule="auto"/>
        <w:rPr>
          <w:color w:val="000000" w:themeColor="text1"/>
        </w:rPr>
      </w:pPr>
      <w:r>
        <w:rPr>
          <w:color w:val="000000" w:themeColor="text1"/>
        </w:rPr>
        <w:t xml:space="preserve">For each model, the </w:t>
      </w:r>
      <w:r w:rsidR="004D4A3C" w:rsidRPr="00397C2B">
        <w:rPr>
          <w:color w:val="000000" w:themeColor="text1"/>
        </w:rPr>
        <w:t>variable</w:t>
      </w:r>
      <w:r>
        <w:rPr>
          <w:color w:val="000000" w:themeColor="text1"/>
        </w:rPr>
        <w:t>s</w:t>
      </w:r>
      <w:r w:rsidR="004D4A3C" w:rsidRPr="00397C2B">
        <w:rPr>
          <w:color w:val="000000" w:themeColor="text1"/>
        </w:rPr>
        <w:t xml:space="preserve"> of interest </w:t>
      </w:r>
      <w:r>
        <w:rPr>
          <w:color w:val="000000" w:themeColor="text1"/>
        </w:rPr>
        <w:t xml:space="preserve">were </w:t>
      </w:r>
      <w:r w:rsidR="004D4A3C" w:rsidRPr="00397C2B">
        <w:rPr>
          <w:color w:val="000000" w:themeColor="text1"/>
        </w:rPr>
        <w:t>tested for an (unadjusted) association with the outcome. Th</w:t>
      </w:r>
      <w:r w:rsidR="00864E5A">
        <w:rPr>
          <w:color w:val="000000" w:themeColor="text1"/>
        </w:rPr>
        <w:t>is</w:t>
      </w:r>
      <w:r w:rsidR="004D4A3C" w:rsidRPr="00397C2B">
        <w:rPr>
          <w:color w:val="000000" w:themeColor="text1"/>
        </w:rPr>
        <w:t xml:space="preserve"> step was performed to detect associations, not to aid in variable selection. </w:t>
      </w:r>
      <w:r w:rsidR="0087750C">
        <w:rPr>
          <w:color w:val="000000" w:themeColor="text1"/>
        </w:rPr>
        <w:t xml:space="preserve">The </w:t>
      </w:r>
      <w:r w:rsidR="0087750C" w:rsidRPr="00EC1ED6">
        <w:rPr>
          <w:i/>
          <w:iCs/>
          <w:color w:val="000000" w:themeColor="text1"/>
        </w:rPr>
        <w:t>a priori</w:t>
      </w:r>
      <w:r w:rsidR="0087750C">
        <w:rPr>
          <w:color w:val="000000" w:themeColor="text1"/>
        </w:rPr>
        <w:t xml:space="preserve"> variables were included as a baseline model</w:t>
      </w:r>
      <w:r w:rsidR="00160DE7">
        <w:rPr>
          <w:color w:val="000000" w:themeColor="text1"/>
        </w:rPr>
        <w:t xml:space="preserve">. </w:t>
      </w:r>
      <w:r w:rsidR="00E56EC2">
        <w:rPr>
          <w:color w:val="000000" w:themeColor="text1"/>
        </w:rPr>
        <w:t>T</w:t>
      </w:r>
      <w:r w:rsidR="0087750C">
        <w:rPr>
          <w:color w:val="000000" w:themeColor="text1"/>
        </w:rPr>
        <w:t xml:space="preserve">hen models including </w:t>
      </w:r>
      <w:r w:rsidR="0087750C" w:rsidRPr="0087750C">
        <w:rPr>
          <w:color w:val="000000" w:themeColor="text1"/>
        </w:rPr>
        <w:t>first-order interactions between</w:t>
      </w:r>
      <w:r w:rsidR="00E56EC2">
        <w:rPr>
          <w:color w:val="000000" w:themeColor="text1"/>
        </w:rPr>
        <w:t xml:space="preserve"> </w:t>
      </w:r>
      <w:r w:rsidR="0087750C" w:rsidRPr="0087750C">
        <w:rPr>
          <w:color w:val="000000" w:themeColor="text1"/>
        </w:rPr>
        <w:t xml:space="preserve">continuous and categorical variables were assessed </w:t>
      </w:r>
      <w:r w:rsidR="0087750C">
        <w:t xml:space="preserve">by </w:t>
      </w:r>
      <w:r w:rsidR="0087750C" w:rsidRPr="0015475A">
        <w:t xml:space="preserve">a series of pairwise likelihood ratio tests for each </w:t>
      </w:r>
      <w:r w:rsidR="0087750C">
        <w:t xml:space="preserve">additional interaction term. </w:t>
      </w:r>
      <w:r w:rsidR="004D4A3C" w:rsidRPr="00397C2B">
        <w:rPr>
          <w:color w:val="000000" w:themeColor="text1"/>
        </w:rPr>
        <w:t>Once</w:t>
      </w:r>
      <w:r w:rsidR="00995698">
        <w:rPr>
          <w:color w:val="000000" w:themeColor="text1"/>
        </w:rPr>
        <w:t xml:space="preserve"> the</w:t>
      </w:r>
      <w:r w:rsidR="00B40D10" w:rsidRPr="00397C2B">
        <w:rPr>
          <w:color w:val="000000" w:themeColor="text1"/>
        </w:rPr>
        <w:t xml:space="preserve"> addition of further interaction terms did not improve </w:t>
      </w:r>
      <w:r w:rsidR="0017329A">
        <w:rPr>
          <w:color w:val="000000" w:themeColor="text1"/>
        </w:rPr>
        <w:t xml:space="preserve">a </w:t>
      </w:r>
      <w:r w:rsidR="00B40D10" w:rsidRPr="00397C2B">
        <w:rPr>
          <w:color w:val="000000" w:themeColor="text1"/>
        </w:rPr>
        <w:t>model’s performance</w:t>
      </w:r>
      <w:r w:rsidR="004D4A3C" w:rsidRPr="00397C2B">
        <w:rPr>
          <w:color w:val="000000" w:themeColor="text1"/>
        </w:rPr>
        <w:t xml:space="preserve">, we added </w:t>
      </w:r>
      <w:proofErr w:type="spellStart"/>
      <w:r w:rsidR="004D4A3C" w:rsidRPr="00397C2B">
        <w:rPr>
          <w:color w:val="000000" w:themeColor="text1"/>
        </w:rPr>
        <w:t>IVIg</w:t>
      </w:r>
      <w:proofErr w:type="spellEnd"/>
      <w:r w:rsidR="004D4A3C" w:rsidRPr="00397C2B">
        <w:rPr>
          <w:color w:val="000000" w:themeColor="text1"/>
        </w:rPr>
        <w:t xml:space="preserve"> </w:t>
      </w:r>
      <w:r w:rsidR="00D55E12" w:rsidRPr="00397C2B">
        <w:rPr>
          <w:color w:val="000000" w:themeColor="text1"/>
        </w:rPr>
        <w:t xml:space="preserve">as </w:t>
      </w:r>
      <w:r w:rsidR="00995698">
        <w:rPr>
          <w:color w:val="000000" w:themeColor="text1"/>
        </w:rPr>
        <w:t xml:space="preserve">a </w:t>
      </w:r>
      <w:r w:rsidR="00D55E12" w:rsidRPr="00397C2B">
        <w:rPr>
          <w:color w:val="000000" w:themeColor="text1"/>
        </w:rPr>
        <w:t>novel risk factor</w:t>
      </w:r>
      <w:r w:rsidR="00995698">
        <w:rPr>
          <w:color w:val="000000" w:themeColor="text1"/>
        </w:rPr>
        <w:t>.</w:t>
      </w:r>
    </w:p>
    <w:p w14:paraId="3E566CB7" w14:textId="03A3F6F9" w:rsidR="004D4A3C" w:rsidRPr="00397C2B" w:rsidRDefault="000A2C4F" w:rsidP="00EC1ED6">
      <w:pPr>
        <w:spacing w:line="360" w:lineRule="auto"/>
        <w:rPr>
          <w:color w:val="000000" w:themeColor="text1"/>
        </w:rPr>
      </w:pPr>
      <w:r>
        <w:t xml:space="preserve"> </w:t>
      </w:r>
    </w:p>
    <w:p w14:paraId="710B490C" w14:textId="73A39587" w:rsidR="007A7839" w:rsidRDefault="004D4A3C" w:rsidP="00EC1ED6">
      <w:pPr>
        <w:spacing w:line="360" w:lineRule="auto"/>
        <w:rPr>
          <w:color w:val="000000" w:themeColor="text1"/>
        </w:rPr>
      </w:pPr>
      <w:r w:rsidRPr="00397C2B">
        <w:rPr>
          <w:color w:val="000000" w:themeColor="text1"/>
        </w:rPr>
        <w:lastRenderedPageBreak/>
        <w:t xml:space="preserve">We used logistic regression analyses to assess the association between the traditional </w:t>
      </w:r>
      <w:r w:rsidR="001D3263" w:rsidRPr="00397C2B">
        <w:rPr>
          <w:color w:val="000000" w:themeColor="text1"/>
        </w:rPr>
        <w:t xml:space="preserve">TEE </w:t>
      </w:r>
      <w:r w:rsidRPr="00397C2B">
        <w:rPr>
          <w:color w:val="000000" w:themeColor="text1"/>
        </w:rPr>
        <w:t xml:space="preserve">risk factors, </w:t>
      </w:r>
      <w:proofErr w:type="spellStart"/>
      <w:r w:rsidRPr="00397C2B">
        <w:rPr>
          <w:color w:val="000000" w:themeColor="text1"/>
        </w:rPr>
        <w:t>IVIg</w:t>
      </w:r>
      <w:proofErr w:type="spellEnd"/>
      <w:r w:rsidRPr="00397C2B">
        <w:rPr>
          <w:color w:val="000000" w:themeColor="text1"/>
        </w:rPr>
        <w:t xml:space="preserve"> and use of medications (antiplatelet only in the model with </w:t>
      </w:r>
      <w:proofErr w:type="spellStart"/>
      <w:r w:rsidR="00EC3A37" w:rsidRPr="00397C2B">
        <w:rPr>
          <w:color w:val="000000" w:themeColor="text1"/>
        </w:rPr>
        <w:t>Phx</w:t>
      </w:r>
      <w:proofErr w:type="spellEnd"/>
      <w:r w:rsidRPr="00397C2B">
        <w:rPr>
          <w:color w:val="000000" w:themeColor="text1"/>
        </w:rPr>
        <w:t xml:space="preserve"> of </w:t>
      </w:r>
      <w:r w:rsidR="001D3263" w:rsidRPr="00397C2B">
        <w:rPr>
          <w:color w:val="000000" w:themeColor="text1"/>
        </w:rPr>
        <w:t>TEE</w:t>
      </w:r>
      <w:r w:rsidRPr="00397C2B">
        <w:rPr>
          <w:color w:val="000000" w:themeColor="text1"/>
        </w:rPr>
        <w:t xml:space="preserve">, </w:t>
      </w:r>
      <w:r w:rsidR="007010CD" w:rsidRPr="00397C2B">
        <w:rPr>
          <w:color w:val="000000" w:themeColor="text1"/>
        </w:rPr>
        <w:t xml:space="preserve">others were included </w:t>
      </w:r>
      <w:r w:rsidR="0079137E" w:rsidRPr="00397C2B">
        <w:rPr>
          <w:color w:val="000000" w:themeColor="text1"/>
        </w:rPr>
        <w:t>in both models</w:t>
      </w:r>
      <w:r w:rsidRPr="00397C2B">
        <w:rPr>
          <w:color w:val="000000" w:themeColor="text1"/>
        </w:rPr>
        <w:t xml:space="preserve">) to determine whether treating traditional risk factors </w:t>
      </w:r>
      <w:r w:rsidR="00016148" w:rsidRPr="00397C2B">
        <w:rPr>
          <w:color w:val="000000" w:themeColor="text1"/>
        </w:rPr>
        <w:t>mitigates</w:t>
      </w:r>
      <w:r w:rsidRPr="00397C2B">
        <w:rPr>
          <w:color w:val="000000" w:themeColor="text1"/>
        </w:rPr>
        <w:t xml:space="preserve"> the overall incident TEE risk.</w:t>
      </w:r>
      <w:r w:rsidR="007A7839" w:rsidRPr="00397C2B">
        <w:rPr>
          <w:color w:val="000000" w:themeColor="text1"/>
        </w:rPr>
        <w:t xml:space="preserve"> We present the final model</w:t>
      </w:r>
      <w:r w:rsidR="00FA2DE6">
        <w:rPr>
          <w:color w:val="000000" w:themeColor="text1"/>
        </w:rPr>
        <w:t>s</w:t>
      </w:r>
      <w:r w:rsidR="007A7839" w:rsidRPr="00397C2B">
        <w:rPr>
          <w:color w:val="000000" w:themeColor="text1"/>
        </w:rPr>
        <w:t xml:space="preserve"> with </w:t>
      </w:r>
      <w:r w:rsidR="00B25858">
        <w:rPr>
          <w:color w:val="000000" w:themeColor="text1"/>
        </w:rPr>
        <w:t xml:space="preserve">their </w:t>
      </w:r>
      <w:r w:rsidR="007A7839" w:rsidRPr="00397C2B">
        <w:rPr>
          <w:color w:val="000000" w:themeColor="text1"/>
        </w:rPr>
        <w:t>coefficient</w:t>
      </w:r>
      <w:r w:rsidR="00995698">
        <w:rPr>
          <w:color w:val="000000" w:themeColor="text1"/>
        </w:rPr>
        <w:t>s</w:t>
      </w:r>
      <w:r w:rsidR="007A7839" w:rsidRPr="00397C2B">
        <w:rPr>
          <w:color w:val="000000" w:themeColor="text1"/>
        </w:rPr>
        <w:t xml:space="preserve"> and odds ratio</w:t>
      </w:r>
      <w:r w:rsidR="00995698">
        <w:rPr>
          <w:color w:val="000000" w:themeColor="text1"/>
        </w:rPr>
        <w:t>s</w:t>
      </w:r>
      <w:r w:rsidR="007A7839" w:rsidRPr="00397C2B">
        <w:rPr>
          <w:color w:val="000000" w:themeColor="text1"/>
        </w:rPr>
        <w:t xml:space="preserve"> (OR) with 95% confidence intervals</w:t>
      </w:r>
      <w:r w:rsidR="00EF39E3">
        <w:rPr>
          <w:color w:val="000000" w:themeColor="text1"/>
        </w:rPr>
        <w:t>.</w:t>
      </w:r>
    </w:p>
    <w:p w14:paraId="35C43A3F" w14:textId="77777777" w:rsidR="0010446F" w:rsidRDefault="0010446F" w:rsidP="00CE4D33">
      <w:pPr>
        <w:spacing w:line="360" w:lineRule="auto"/>
        <w:rPr>
          <w:color w:val="000000" w:themeColor="text1"/>
        </w:rPr>
      </w:pPr>
    </w:p>
    <w:p w14:paraId="1907FC96" w14:textId="25AE2D9E" w:rsidR="00211045" w:rsidRPr="00B3130F" w:rsidRDefault="00E56EC2" w:rsidP="001C11A0">
      <w:pPr>
        <w:spacing w:line="360" w:lineRule="auto"/>
        <w:rPr>
          <w:color w:val="000000" w:themeColor="text1"/>
          <w:u w:val="single"/>
        </w:rPr>
      </w:pPr>
      <w:r>
        <w:rPr>
          <w:color w:val="000000" w:themeColor="text1"/>
          <w:u w:val="single"/>
        </w:rPr>
        <w:t>Dataset 2</w:t>
      </w:r>
      <w:r w:rsidR="008B3D2F">
        <w:rPr>
          <w:color w:val="000000" w:themeColor="text1"/>
          <w:u w:val="single"/>
        </w:rPr>
        <w:t>:</w:t>
      </w:r>
      <w:r>
        <w:rPr>
          <w:color w:val="000000" w:themeColor="text1"/>
          <w:u w:val="single"/>
        </w:rPr>
        <w:t xml:space="preserve"> Model 3 and Model 4</w:t>
      </w:r>
    </w:p>
    <w:p w14:paraId="4DEE6AF5" w14:textId="4BEC4DA0" w:rsidR="00F634EC" w:rsidRDefault="003962A4">
      <w:pPr>
        <w:spacing w:line="360" w:lineRule="auto"/>
        <w:rPr>
          <w:color w:val="000000" w:themeColor="text1"/>
        </w:rPr>
      </w:pPr>
      <w:r>
        <w:rPr>
          <w:color w:val="000000" w:themeColor="text1"/>
        </w:rPr>
        <w:t xml:space="preserve">Dataset 2 adjudicated outcomes by also including data-field codes corresponding to self-reported illness code.  Other variables were collected in the same method as dataset 1. </w:t>
      </w:r>
      <w:r w:rsidR="00211045" w:rsidRPr="00397C2B">
        <w:rPr>
          <w:color w:val="000000" w:themeColor="text1"/>
        </w:rPr>
        <w:t>The dataset was</w:t>
      </w:r>
      <w:r w:rsidR="00DD0AEB">
        <w:rPr>
          <w:color w:val="000000" w:themeColor="text1"/>
        </w:rPr>
        <w:t xml:space="preserve"> again</w:t>
      </w:r>
      <w:r w:rsidR="00211045" w:rsidRPr="00397C2B">
        <w:rPr>
          <w:color w:val="000000" w:themeColor="text1"/>
        </w:rPr>
        <w:t xml:space="preserve"> divided into two group</w:t>
      </w:r>
      <w:r w:rsidR="008D3631">
        <w:rPr>
          <w:color w:val="000000" w:themeColor="text1"/>
        </w:rPr>
        <w:t>s</w:t>
      </w:r>
      <w:r w:rsidR="00211045" w:rsidRPr="00397C2B">
        <w:rPr>
          <w:color w:val="000000" w:themeColor="text1"/>
        </w:rPr>
        <w:t xml:space="preserve">: participants with and without </w:t>
      </w:r>
      <w:proofErr w:type="spellStart"/>
      <w:r w:rsidR="00FA2DE6">
        <w:rPr>
          <w:color w:val="000000" w:themeColor="text1"/>
        </w:rPr>
        <w:t>Phx</w:t>
      </w:r>
      <w:proofErr w:type="spellEnd"/>
      <w:r w:rsidR="00FA2DE6" w:rsidRPr="00397C2B">
        <w:rPr>
          <w:color w:val="000000" w:themeColor="text1"/>
        </w:rPr>
        <w:t xml:space="preserve"> </w:t>
      </w:r>
      <w:r w:rsidR="00211045" w:rsidRPr="00397C2B">
        <w:rPr>
          <w:color w:val="000000" w:themeColor="text1"/>
        </w:rPr>
        <w:t xml:space="preserve">of TEEs. </w:t>
      </w:r>
      <w:r w:rsidR="008D3631">
        <w:rPr>
          <w:color w:val="000000" w:themeColor="text1"/>
        </w:rPr>
        <w:t>A s</w:t>
      </w:r>
      <w:r w:rsidR="00DD0AEB">
        <w:rPr>
          <w:color w:val="000000" w:themeColor="text1"/>
        </w:rPr>
        <w:t>imilar approach to develop</w:t>
      </w:r>
      <w:r w:rsidR="00096D2B">
        <w:rPr>
          <w:color w:val="000000" w:themeColor="text1"/>
        </w:rPr>
        <w:t>ing two conditional models</w:t>
      </w:r>
      <w:r w:rsidR="00DD0AEB">
        <w:rPr>
          <w:color w:val="000000" w:themeColor="text1"/>
        </w:rPr>
        <w:t xml:space="preserve"> was adopted</w:t>
      </w:r>
      <w:r w:rsidR="008974E9">
        <w:rPr>
          <w:color w:val="000000" w:themeColor="text1"/>
        </w:rPr>
        <w:t xml:space="preserve">.  </w:t>
      </w:r>
      <w:r w:rsidR="00F634EC">
        <w:rPr>
          <w:color w:val="000000" w:themeColor="text1"/>
        </w:rPr>
        <w:t>These are called Model 3 (wit</w:t>
      </w:r>
      <w:r w:rsidR="00EC1ED6">
        <w:rPr>
          <w:color w:val="000000" w:themeColor="text1"/>
        </w:rPr>
        <w:t>hout</w:t>
      </w:r>
      <w:r w:rsidR="00F634EC">
        <w:rPr>
          <w:color w:val="000000" w:themeColor="text1"/>
        </w:rPr>
        <w:t xml:space="preserve"> </w:t>
      </w:r>
      <w:proofErr w:type="spellStart"/>
      <w:r w:rsidR="00F634EC">
        <w:rPr>
          <w:color w:val="000000" w:themeColor="text1"/>
        </w:rPr>
        <w:t>Phx</w:t>
      </w:r>
      <w:proofErr w:type="spellEnd"/>
      <w:r w:rsidR="00F634EC" w:rsidRPr="00397C2B">
        <w:rPr>
          <w:color w:val="000000" w:themeColor="text1"/>
        </w:rPr>
        <w:t xml:space="preserve"> of TEEs</w:t>
      </w:r>
      <w:r w:rsidR="00F634EC">
        <w:rPr>
          <w:color w:val="000000" w:themeColor="text1"/>
        </w:rPr>
        <w:t xml:space="preserve">) and Model 4 (with </w:t>
      </w:r>
      <w:proofErr w:type="spellStart"/>
      <w:r w:rsidR="00F634EC">
        <w:rPr>
          <w:color w:val="000000" w:themeColor="text1"/>
        </w:rPr>
        <w:t>Phx</w:t>
      </w:r>
      <w:proofErr w:type="spellEnd"/>
      <w:r w:rsidR="00F634EC" w:rsidRPr="00397C2B">
        <w:rPr>
          <w:color w:val="000000" w:themeColor="text1"/>
        </w:rPr>
        <w:t xml:space="preserve"> of TEEs</w:t>
      </w:r>
      <w:r w:rsidR="00F634EC">
        <w:rPr>
          <w:color w:val="000000" w:themeColor="text1"/>
        </w:rPr>
        <w:t>).</w:t>
      </w:r>
    </w:p>
    <w:p w14:paraId="21FE4B07" w14:textId="77777777" w:rsidR="00F634EC" w:rsidRDefault="00F634EC">
      <w:pPr>
        <w:spacing w:line="360" w:lineRule="auto"/>
        <w:rPr>
          <w:color w:val="000000" w:themeColor="text1"/>
        </w:rPr>
      </w:pPr>
    </w:p>
    <w:p w14:paraId="0D052687" w14:textId="53031A7D" w:rsidR="00E56EC2" w:rsidRDefault="008974E9" w:rsidP="001C11A0">
      <w:pPr>
        <w:spacing w:line="360" w:lineRule="auto"/>
        <w:rPr>
          <w:color w:val="000000" w:themeColor="text1"/>
        </w:rPr>
      </w:pPr>
      <w:r>
        <w:rPr>
          <w:color w:val="000000" w:themeColor="text1"/>
        </w:rPr>
        <w:t xml:space="preserve">We also examined </w:t>
      </w:r>
      <w:r w:rsidR="00962BCF">
        <w:rPr>
          <w:color w:val="000000" w:themeColor="text1"/>
        </w:rPr>
        <w:t xml:space="preserve">the feasibility of </w:t>
      </w:r>
      <w:r w:rsidR="001850F2">
        <w:rPr>
          <w:color w:val="000000" w:themeColor="text1"/>
        </w:rPr>
        <w:t xml:space="preserve">exploratory models </w:t>
      </w:r>
      <w:r w:rsidR="00D77405">
        <w:rPr>
          <w:color w:val="000000" w:themeColor="text1"/>
        </w:rPr>
        <w:t>for Dataset 2</w:t>
      </w:r>
      <w:r w:rsidR="00D63E26">
        <w:rPr>
          <w:color w:val="000000" w:themeColor="text1"/>
        </w:rPr>
        <w:t xml:space="preserve"> </w:t>
      </w:r>
      <w:r w:rsidR="00D77405">
        <w:rPr>
          <w:color w:val="000000" w:themeColor="text1"/>
        </w:rPr>
        <w:t xml:space="preserve">in which we made </w:t>
      </w:r>
      <w:r w:rsidR="003052E9">
        <w:rPr>
          <w:color w:val="000000" w:themeColor="text1"/>
        </w:rPr>
        <w:t xml:space="preserve">separate </w:t>
      </w:r>
      <w:r w:rsidR="00D77405">
        <w:rPr>
          <w:color w:val="000000" w:themeColor="text1"/>
        </w:rPr>
        <w:t xml:space="preserve">models conditional on the </w:t>
      </w:r>
      <w:r w:rsidR="00D77405" w:rsidRPr="001C11A0">
        <w:rPr>
          <w:i/>
          <w:iCs/>
          <w:color w:val="000000" w:themeColor="text1"/>
        </w:rPr>
        <w:t>type</w:t>
      </w:r>
      <w:r w:rsidR="00D77405">
        <w:rPr>
          <w:color w:val="000000" w:themeColor="text1"/>
        </w:rPr>
        <w:t xml:space="preserve"> of past TEE</w:t>
      </w:r>
      <w:r w:rsidR="00D63E26">
        <w:rPr>
          <w:color w:val="000000" w:themeColor="text1"/>
        </w:rPr>
        <w:t xml:space="preserve">, </w:t>
      </w:r>
      <w:r w:rsidR="00172710">
        <w:rPr>
          <w:color w:val="000000" w:themeColor="text1"/>
        </w:rPr>
        <w:t xml:space="preserve">arterial </w:t>
      </w:r>
      <w:r w:rsidR="00D77405">
        <w:rPr>
          <w:color w:val="000000" w:themeColor="text1"/>
        </w:rPr>
        <w:t>or</w:t>
      </w:r>
      <w:r w:rsidR="00172710">
        <w:rPr>
          <w:color w:val="000000" w:themeColor="text1"/>
        </w:rPr>
        <w:t xml:space="preserve"> venous</w:t>
      </w:r>
      <w:r w:rsidR="00616F37">
        <w:rPr>
          <w:color w:val="000000" w:themeColor="text1"/>
        </w:rPr>
        <w:t xml:space="preserve"> and </w:t>
      </w:r>
      <w:r w:rsidR="00616F37">
        <w:rPr>
          <w:i/>
          <w:iCs/>
          <w:color w:val="000000" w:themeColor="text1"/>
        </w:rPr>
        <w:t>type</w:t>
      </w:r>
      <w:r w:rsidR="00616F37">
        <w:rPr>
          <w:color w:val="000000" w:themeColor="text1"/>
        </w:rPr>
        <w:t xml:space="preserve"> of event, arterial or venous</w:t>
      </w:r>
      <w:r w:rsidR="00172710">
        <w:rPr>
          <w:color w:val="000000" w:themeColor="text1"/>
        </w:rPr>
        <w:t>.</w:t>
      </w:r>
      <w:r w:rsidR="00D77405">
        <w:rPr>
          <w:color w:val="000000" w:themeColor="text1"/>
        </w:rPr>
        <w:t xml:space="preserve"> However, these </w:t>
      </w:r>
      <w:r w:rsidR="00E64F17">
        <w:rPr>
          <w:color w:val="000000" w:themeColor="text1"/>
        </w:rPr>
        <w:t xml:space="preserve">very fine-grained </w:t>
      </w:r>
      <w:r w:rsidR="00D77405">
        <w:rPr>
          <w:color w:val="000000" w:themeColor="text1"/>
        </w:rPr>
        <w:t xml:space="preserve">models were of little </w:t>
      </w:r>
      <w:r w:rsidR="00241C39">
        <w:rPr>
          <w:color w:val="000000" w:themeColor="text1"/>
        </w:rPr>
        <w:t xml:space="preserve">use </w:t>
      </w:r>
      <w:r w:rsidR="00D77405">
        <w:rPr>
          <w:color w:val="000000" w:themeColor="text1"/>
        </w:rPr>
        <w:t>because</w:t>
      </w:r>
      <w:r w:rsidR="00F57242">
        <w:rPr>
          <w:color w:val="000000" w:themeColor="text1"/>
        </w:rPr>
        <w:t xml:space="preserve"> of</w:t>
      </w:r>
      <w:r w:rsidR="00D77405">
        <w:rPr>
          <w:color w:val="000000" w:themeColor="text1"/>
        </w:rPr>
        <w:t xml:space="preserve"> the </w:t>
      </w:r>
      <w:r w:rsidR="00286F39">
        <w:rPr>
          <w:color w:val="000000" w:themeColor="text1"/>
        </w:rPr>
        <w:t xml:space="preserve">small </w:t>
      </w:r>
      <w:r w:rsidR="0088149B">
        <w:rPr>
          <w:color w:val="000000" w:themeColor="text1"/>
        </w:rPr>
        <w:t>sample size</w:t>
      </w:r>
      <w:r w:rsidR="00975547">
        <w:rPr>
          <w:color w:val="000000" w:themeColor="text1"/>
        </w:rPr>
        <w:t xml:space="preserve"> for those</w:t>
      </w:r>
      <w:r w:rsidR="004F29A5">
        <w:rPr>
          <w:color w:val="000000" w:themeColor="text1"/>
        </w:rPr>
        <w:t xml:space="preserve"> with </w:t>
      </w:r>
      <w:proofErr w:type="spellStart"/>
      <w:r w:rsidR="004F29A5">
        <w:rPr>
          <w:color w:val="000000" w:themeColor="text1"/>
        </w:rPr>
        <w:t>IVIg</w:t>
      </w:r>
      <w:proofErr w:type="spellEnd"/>
      <w:r w:rsidR="004F29A5">
        <w:rPr>
          <w:color w:val="000000" w:themeColor="text1"/>
        </w:rPr>
        <w:t xml:space="preserve"> exposure.</w:t>
      </w:r>
    </w:p>
    <w:p w14:paraId="39C07269" w14:textId="77777777" w:rsidR="005E66BF" w:rsidRPr="00397C2B" w:rsidRDefault="005E66BF" w:rsidP="001C11A0">
      <w:pPr>
        <w:spacing w:line="360" w:lineRule="auto"/>
        <w:rPr>
          <w:b/>
          <w:bCs/>
          <w:color w:val="000000" w:themeColor="text1"/>
        </w:rPr>
      </w:pPr>
    </w:p>
    <w:p w14:paraId="56EA7732" w14:textId="7CA0A3FF" w:rsidR="004D4A3C" w:rsidRPr="00397C2B" w:rsidRDefault="004D4A3C" w:rsidP="001C11A0">
      <w:pPr>
        <w:spacing w:line="360" w:lineRule="auto"/>
        <w:rPr>
          <w:b/>
          <w:bCs/>
          <w:color w:val="000000" w:themeColor="text1"/>
        </w:rPr>
      </w:pPr>
      <w:r w:rsidRPr="00397C2B">
        <w:rPr>
          <w:b/>
          <w:bCs/>
          <w:color w:val="000000" w:themeColor="text1"/>
        </w:rPr>
        <w:t>Model Performance</w:t>
      </w:r>
    </w:p>
    <w:p w14:paraId="432597F8" w14:textId="391BFC89" w:rsidR="00016148" w:rsidRDefault="00FC6DED">
      <w:pPr>
        <w:shd w:val="clear" w:color="auto" w:fill="FFFFFF"/>
        <w:spacing w:line="360" w:lineRule="auto"/>
        <w:rPr>
          <w:color w:val="000000" w:themeColor="text1"/>
        </w:rPr>
      </w:pPr>
      <w:r>
        <w:rPr>
          <w:color w:val="000000" w:themeColor="text1"/>
        </w:rPr>
        <w:t>For Models 1-4</w:t>
      </w:r>
      <w:r w:rsidR="008D5BA7">
        <w:rPr>
          <w:color w:val="000000" w:themeColor="text1"/>
        </w:rPr>
        <w:t>,</w:t>
      </w:r>
      <w:r w:rsidRPr="00397C2B">
        <w:rPr>
          <w:color w:val="000000" w:themeColor="text1"/>
        </w:rPr>
        <w:t xml:space="preserve"> </w:t>
      </w:r>
      <w:r w:rsidR="004D4A3C" w:rsidRPr="00397C2B">
        <w:rPr>
          <w:color w:val="000000" w:themeColor="text1"/>
        </w:rPr>
        <w:t>performance was assessed by measuring discrimination and calibration</w:t>
      </w:r>
      <w:r w:rsidR="008D5BA7">
        <w:rPr>
          <w:color w:val="000000" w:themeColor="text1"/>
        </w:rPr>
        <w:t xml:space="preserve"> </w:t>
      </w:r>
      <w:r w:rsidR="00A10B51">
        <w:rPr>
          <w:color w:val="000000" w:themeColor="text1"/>
        </w:rPr>
        <w:t>(</w:t>
      </w:r>
      <w:r w:rsidR="007D75AC">
        <w:rPr>
          <w:color w:val="000000" w:themeColor="text1"/>
        </w:rPr>
        <w:t xml:space="preserve">see </w:t>
      </w:r>
      <w:r w:rsidR="00A10B51">
        <w:rPr>
          <w:color w:val="000000" w:themeColor="text1"/>
        </w:rPr>
        <w:t xml:space="preserve">Figure </w:t>
      </w:r>
      <w:r w:rsidR="00420C1E">
        <w:rPr>
          <w:color w:val="000000" w:themeColor="text1"/>
        </w:rPr>
        <w:t>2</w:t>
      </w:r>
      <w:r w:rsidR="007D75AC">
        <w:rPr>
          <w:color w:val="000000" w:themeColor="text1"/>
        </w:rPr>
        <w:t xml:space="preserve"> for the analysis of Model 2</w:t>
      </w:r>
      <w:r w:rsidR="00D13EA6">
        <w:rPr>
          <w:color w:val="000000" w:themeColor="text1"/>
        </w:rPr>
        <w:t>, for example</w:t>
      </w:r>
      <w:r w:rsidR="00A10B51">
        <w:rPr>
          <w:color w:val="000000" w:themeColor="text1"/>
        </w:rPr>
        <w:t>)</w:t>
      </w:r>
      <w:r w:rsidR="004D4A3C" w:rsidRPr="00397C2B">
        <w:rPr>
          <w:color w:val="000000" w:themeColor="text1"/>
        </w:rPr>
        <w:t xml:space="preserve">. Discrimination </w:t>
      </w:r>
      <w:r w:rsidR="00032424" w:rsidRPr="00397C2B">
        <w:rPr>
          <w:color w:val="000000" w:themeColor="text1"/>
        </w:rPr>
        <w:t>was</w:t>
      </w:r>
      <w:r w:rsidR="004D4A3C" w:rsidRPr="00397C2B">
        <w:rPr>
          <w:color w:val="000000" w:themeColor="text1"/>
        </w:rPr>
        <w:t xml:space="preserve"> assessed using the C-statistic/Area under the Receiver Operating Curve.</w:t>
      </w:r>
      <w:r w:rsidR="001C05E2">
        <w:rPr>
          <w:color w:val="000000" w:themeColor="text1"/>
        </w:rPr>
        <w:t>{</w:t>
      </w:r>
      <w:proofErr w:type="spellStart"/>
      <w:r w:rsidR="001C05E2">
        <w:rPr>
          <w:color w:val="000000" w:themeColor="text1"/>
        </w:rPr>
        <w:t>Steyerberg</w:t>
      </w:r>
      <w:proofErr w:type="spellEnd"/>
      <w:r w:rsidR="001C05E2">
        <w:rPr>
          <w:color w:val="000000" w:themeColor="text1"/>
        </w:rPr>
        <w:t>, 2001 #8864}</w:t>
      </w:r>
      <w:r w:rsidR="004D4A3C" w:rsidRPr="00397C2B">
        <w:rPr>
          <w:color w:val="000000" w:themeColor="text1"/>
        </w:rPr>
        <w:t xml:space="preserve"> </w:t>
      </w:r>
      <w:r w:rsidR="004F2DA3" w:rsidRPr="00397C2B">
        <w:rPr>
          <w:rFonts w:ascii="Calibri" w:hAnsi="Calibri" w:cs="Calibri"/>
          <w:color w:val="000000" w:themeColor="text1"/>
        </w:rPr>
        <w:t>﻿</w:t>
      </w:r>
      <w:r w:rsidR="004F2DA3" w:rsidRPr="00397C2B">
        <w:rPr>
          <w:color w:val="000000" w:themeColor="text1"/>
        </w:rPr>
        <w:t>We also calculated the Brier score (a measure of goodness of fit where lower values indicate better accuracy) for each model</w:t>
      </w:r>
      <w:r w:rsidR="00C03851" w:rsidRPr="00397C2B">
        <w:rPr>
          <w:color w:val="000000" w:themeColor="text1"/>
        </w:rPr>
        <w:fldChar w:fldCharType="begin" w:fldLock="1"/>
      </w:r>
      <w:r w:rsidR="00C03851" w:rsidRPr="00397C2B">
        <w:rPr>
          <w:color w:val="000000" w:themeColor="text1"/>
        </w:rPr>
        <w:instrText>ADDIN CSL_CITATION {"citationItems":[{"id":"ITEM-1","itemData":{"DOI":"10.1175/1520-0493(1950)078&lt;0001:vofeit&gt;2.0.co;2","ISSN":"0027-0644","abstract":"Two methods of solving the balance equation are outlined. Both methods have been used successfully on a daily operational basis at the Joint Numerical Weather Prediction Unit for a period of more than a year. Solutions were on the operational grid of 30 x 34 points spaced at 381-km. intervals.","author":[{"dropping-particle":"","family":"BRIER","given":"GLENN W.","non-dropping-particle":"","parse-names":false,"suffix":""}],"container-title":"Monthly Weather Review","id":"ITEM-1","issue":"1","issued":{"date-parts":[["1950","1"]]},"page":"1-3","title":"Verification of Forecasts Expressed in Terms of Probability","type":"article-journal","volume":"78"},"uris":["http://www.mendeley.com/documents/?uuid=d25bba32-edbf-4b08-856a-c486e6395ab4"]}],"mendeley":{"formattedCitation":"&lt;sup&gt;14&lt;/sup&gt;","plainTextFormattedCitation":"14","previouslyFormattedCitation":"&lt;sup&gt;14&lt;/sup&gt;"},"properties":{"noteIndex":0},"schema":"https://github.com/citation-style-language/schema/raw/master/csl-citation.json"}</w:instrText>
      </w:r>
      <w:r w:rsidR="00C03851" w:rsidRPr="00397C2B">
        <w:rPr>
          <w:color w:val="000000" w:themeColor="text1"/>
        </w:rPr>
        <w:fldChar w:fldCharType="end"/>
      </w:r>
      <w:r w:rsidR="004F2DA3" w:rsidRPr="00397C2B">
        <w:rPr>
          <w:color w:val="000000" w:themeColor="text1"/>
        </w:rPr>
        <w:t>.</w:t>
      </w:r>
      <w:r w:rsidR="001C05E2">
        <w:rPr>
          <w:color w:val="000000" w:themeColor="text1"/>
        </w:rPr>
        <w:t>{Brier, 1950 #8673}</w:t>
      </w:r>
      <w:r w:rsidR="004F2DA3" w:rsidRPr="00397C2B">
        <w:rPr>
          <w:color w:val="000000" w:themeColor="text1"/>
        </w:rPr>
        <w:t xml:space="preserve"> </w:t>
      </w:r>
      <w:r w:rsidR="00016148" w:rsidRPr="00397C2B">
        <w:t>Calibration was assessed by examining reliability diagrams</w:t>
      </w:r>
      <w:r w:rsidR="00C65BDF" w:rsidRPr="00397C2B">
        <w:t xml:space="preserve"> based on risk deciles</w:t>
      </w:r>
      <w:r w:rsidR="00016148" w:rsidRPr="00397C2B">
        <w:t>, and Hosmer-</w:t>
      </w:r>
      <w:proofErr w:type="spellStart"/>
      <w:r w:rsidR="00016148" w:rsidRPr="00397C2B">
        <w:t>Lemeshow</w:t>
      </w:r>
      <w:proofErr w:type="spellEnd"/>
      <w:r w:rsidR="00610B79" w:rsidRPr="00397C2B">
        <w:t xml:space="preserve"> (H-L</w:t>
      </w:r>
      <w:r w:rsidR="000F4F38" w:rsidRPr="00397C2B">
        <w:t xml:space="preserve">) </w:t>
      </w:r>
      <w:r w:rsidR="00016148" w:rsidRPr="00397C2B">
        <w:t>test</w:t>
      </w:r>
      <w:r w:rsidR="00174407">
        <w:t>s</w:t>
      </w:r>
      <w:r w:rsidR="00016148" w:rsidRPr="00397C2B">
        <w:t>.</w:t>
      </w:r>
      <w:r w:rsidR="001C05E2">
        <w:t>{Collins, 2016 #6767}</w:t>
      </w:r>
      <w:r w:rsidR="00016148" w:rsidRPr="00397C2B">
        <w:t xml:space="preserve"> </w:t>
      </w:r>
      <w:r w:rsidR="004D4A3C" w:rsidRPr="00397C2B">
        <w:rPr>
          <w:color w:val="000000" w:themeColor="text1"/>
        </w:rPr>
        <w:t>Analyses were performed on ‘R’</w:t>
      </w:r>
      <w:r w:rsidR="00BB30F9" w:rsidRPr="00397C2B">
        <w:rPr>
          <w:color w:val="000000" w:themeColor="text1"/>
        </w:rPr>
        <w:t xml:space="preserve"> (R Core Team, Vienna, Austria).</w:t>
      </w:r>
    </w:p>
    <w:p w14:paraId="57AB2AFB" w14:textId="77777777" w:rsidR="00E56EC2" w:rsidRDefault="00E56EC2" w:rsidP="000B2D37">
      <w:pPr>
        <w:shd w:val="clear" w:color="auto" w:fill="FFFFFF"/>
        <w:spacing w:line="360" w:lineRule="auto"/>
        <w:rPr>
          <w:color w:val="000000" w:themeColor="text1"/>
        </w:rPr>
      </w:pPr>
    </w:p>
    <w:p w14:paraId="40FBB7DE" w14:textId="6C7C83D6" w:rsidR="005652B4" w:rsidRDefault="005652B4" w:rsidP="000B2D37">
      <w:pPr>
        <w:shd w:val="clear" w:color="auto" w:fill="FFFFFF"/>
        <w:spacing w:line="360" w:lineRule="auto"/>
        <w:rPr>
          <w:b/>
          <w:bCs/>
          <w:color w:val="000000" w:themeColor="text1"/>
        </w:rPr>
      </w:pPr>
      <w:r>
        <w:rPr>
          <w:b/>
          <w:bCs/>
          <w:color w:val="000000" w:themeColor="text1"/>
        </w:rPr>
        <w:t>Role of the funding source</w:t>
      </w:r>
    </w:p>
    <w:p w14:paraId="256905E8" w14:textId="02095AC0" w:rsidR="00296770" w:rsidRPr="00296770" w:rsidRDefault="0082282E" w:rsidP="000B2D37">
      <w:pPr>
        <w:spacing w:line="360" w:lineRule="auto"/>
      </w:pPr>
      <w:r w:rsidRPr="00296770">
        <w:rPr>
          <w:sz w:val="23"/>
          <w:szCs w:val="23"/>
          <w:bdr w:val="none" w:sz="0" w:space="0" w:color="auto" w:frame="1"/>
          <w:shd w:val="clear" w:color="auto" w:fill="FFFFFF"/>
        </w:rPr>
        <w:t>The funder</w:t>
      </w:r>
      <w:r w:rsidR="00296770" w:rsidRPr="00296770">
        <w:rPr>
          <w:sz w:val="23"/>
          <w:szCs w:val="23"/>
          <w:bdr w:val="none" w:sz="0" w:space="0" w:color="auto" w:frame="1"/>
          <w:shd w:val="clear" w:color="auto" w:fill="FFFFFF"/>
        </w:rPr>
        <w:t xml:space="preserve"> of the study played no role in study design,</w:t>
      </w:r>
      <w:r w:rsidR="00B27E1F">
        <w:rPr>
          <w:sz w:val="23"/>
          <w:szCs w:val="23"/>
          <w:bdr w:val="none" w:sz="0" w:space="0" w:color="auto" w:frame="1"/>
          <w:shd w:val="clear" w:color="auto" w:fill="FFFFFF"/>
        </w:rPr>
        <w:t xml:space="preserve"> </w:t>
      </w:r>
      <w:r w:rsidR="00EC68F0" w:rsidRPr="00296770">
        <w:rPr>
          <w:sz w:val="23"/>
          <w:szCs w:val="23"/>
          <w:bdr w:val="none" w:sz="0" w:space="0" w:color="auto" w:frame="1"/>
          <w:shd w:val="clear" w:color="auto" w:fill="FFFFFF"/>
        </w:rPr>
        <w:t>data</w:t>
      </w:r>
      <w:r w:rsidR="00EC68F0">
        <w:rPr>
          <w:sz w:val="23"/>
          <w:szCs w:val="23"/>
          <w:bdr w:val="none" w:sz="0" w:space="0" w:color="auto" w:frame="1"/>
          <w:shd w:val="clear" w:color="auto" w:fill="FFFFFF"/>
        </w:rPr>
        <w:t xml:space="preserve"> </w:t>
      </w:r>
      <w:r w:rsidR="000B2D37" w:rsidRPr="00296770">
        <w:rPr>
          <w:sz w:val="23"/>
          <w:szCs w:val="23"/>
          <w:bdr w:val="none" w:sz="0" w:space="0" w:color="auto" w:frame="1"/>
          <w:shd w:val="clear" w:color="auto" w:fill="FFFFFF"/>
        </w:rPr>
        <w:t>collection,</w:t>
      </w:r>
      <w:r w:rsidR="000B2D37">
        <w:rPr>
          <w:sz w:val="23"/>
          <w:szCs w:val="23"/>
          <w:bdr w:val="none" w:sz="0" w:space="0" w:color="auto" w:frame="1"/>
          <w:shd w:val="clear" w:color="auto" w:fill="FFFFFF"/>
        </w:rPr>
        <w:t xml:space="preserve"> </w:t>
      </w:r>
      <w:r w:rsidR="000B2D37" w:rsidRPr="00296770">
        <w:rPr>
          <w:sz w:val="23"/>
          <w:szCs w:val="23"/>
          <w:bdr w:val="none" w:sz="0" w:space="0" w:color="auto" w:frame="1"/>
          <w:shd w:val="clear" w:color="auto" w:fill="FFFFFF"/>
        </w:rPr>
        <w:t>data</w:t>
      </w:r>
      <w:r w:rsidR="00296770" w:rsidRPr="00296770">
        <w:rPr>
          <w:sz w:val="23"/>
          <w:szCs w:val="23"/>
          <w:bdr w:val="none" w:sz="0" w:space="0" w:color="auto" w:frame="1"/>
          <w:shd w:val="clear" w:color="auto" w:fill="FFFFFF"/>
        </w:rPr>
        <w:t xml:space="preserve"> analysis, data</w:t>
      </w:r>
      <w:r w:rsidR="00B27E1F">
        <w:rPr>
          <w:sz w:val="23"/>
          <w:szCs w:val="23"/>
          <w:bdr w:val="none" w:sz="0" w:space="0" w:color="auto" w:frame="1"/>
          <w:shd w:val="clear" w:color="auto" w:fill="FFFFFF"/>
        </w:rPr>
        <w:t xml:space="preserve"> </w:t>
      </w:r>
      <w:r w:rsidR="00296770" w:rsidRPr="00296770">
        <w:rPr>
          <w:sz w:val="23"/>
          <w:szCs w:val="23"/>
          <w:bdr w:val="none" w:sz="0" w:space="0" w:color="auto" w:frame="1"/>
          <w:shd w:val="clear" w:color="auto" w:fill="FFFFFF"/>
        </w:rPr>
        <w:t>interpretation,</w:t>
      </w:r>
      <w:r w:rsidR="00B27E1F">
        <w:rPr>
          <w:sz w:val="23"/>
          <w:szCs w:val="23"/>
          <w:bdr w:val="none" w:sz="0" w:space="0" w:color="auto" w:frame="1"/>
          <w:shd w:val="clear" w:color="auto" w:fill="FFFFFF"/>
        </w:rPr>
        <w:t xml:space="preserve"> </w:t>
      </w:r>
      <w:r w:rsidR="00296770" w:rsidRPr="00296770">
        <w:rPr>
          <w:sz w:val="23"/>
          <w:szCs w:val="23"/>
          <w:bdr w:val="none" w:sz="0" w:space="0" w:color="auto" w:frame="1"/>
          <w:shd w:val="clear" w:color="auto" w:fill="FFFFFF"/>
        </w:rPr>
        <w:t>or</w:t>
      </w:r>
      <w:r w:rsidR="00B27E1F">
        <w:rPr>
          <w:sz w:val="23"/>
          <w:szCs w:val="23"/>
          <w:bdr w:val="none" w:sz="0" w:space="0" w:color="auto" w:frame="1"/>
          <w:shd w:val="clear" w:color="auto" w:fill="FFFFFF"/>
        </w:rPr>
        <w:t xml:space="preserve"> </w:t>
      </w:r>
      <w:r w:rsidR="00296770" w:rsidRPr="00296770">
        <w:rPr>
          <w:sz w:val="23"/>
          <w:szCs w:val="23"/>
          <w:bdr w:val="none" w:sz="0" w:space="0" w:color="auto" w:frame="1"/>
          <w:shd w:val="clear" w:color="auto" w:fill="FFFFFF"/>
        </w:rPr>
        <w:t>writing of the report. The corresponding author</w:t>
      </w:r>
      <w:r w:rsidR="00840876">
        <w:rPr>
          <w:sz w:val="23"/>
          <w:szCs w:val="23"/>
          <w:bdr w:val="none" w:sz="0" w:space="0" w:color="auto" w:frame="1"/>
          <w:shd w:val="clear" w:color="auto" w:fill="FFFFFF"/>
        </w:rPr>
        <w:t xml:space="preserve"> and A</w:t>
      </w:r>
      <w:r w:rsidR="00C719F5">
        <w:rPr>
          <w:sz w:val="23"/>
          <w:szCs w:val="23"/>
          <w:bdr w:val="none" w:sz="0" w:space="0" w:color="auto" w:frame="1"/>
          <w:shd w:val="clear" w:color="auto" w:fill="FFFFFF"/>
        </w:rPr>
        <w:t>S</w:t>
      </w:r>
      <w:r w:rsidR="00840876">
        <w:rPr>
          <w:sz w:val="23"/>
          <w:szCs w:val="23"/>
          <w:bdr w:val="none" w:sz="0" w:space="0" w:color="auto" w:frame="1"/>
          <w:shd w:val="clear" w:color="auto" w:fill="FFFFFF"/>
        </w:rPr>
        <w:t>C</w:t>
      </w:r>
      <w:r w:rsidR="00296770" w:rsidRPr="00296770">
        <w:rPr>
          <w:sz w:val="23"/>
          <w:szCs w:val="23"/>
          <w:bdr w:val="none" w:sz="0" w:space="0" w:color="auto" w:frame="1"/>
          <w:shd w:val="clear" w:color="auto" w:fill="FFFFFF"/>
        </w:rPr>
        <w:t xml:space="preserve"> had full access </w:t>
      </w:r>
      <w:r w:rsidRPr="00296770">
        <w:rPr>
          <w:sz w:val="23"/>
          <w:szCs w:val="23"/>
          <w:bdr w:val="none" w:sz="0" w:space="0" w:color="auto" w:frame="1"/>
          <w:shd w:val="clear" w:color="auto" w:fill="FFFFFF"/>
        </w:rPr>
        <w:t>to the</w:t>
      </w:r>
      <w:r w:rsidR="00B27E1F">
        <w:rPr>
          <w:sz w:val="23"/>
          <w:szCs w:val="23"/>
          <w:bdr w:val="none" w:sz="0" w:space="0" w:color="auto" w:frame="1"/>
          <w:shd w:val="clear" w:color="auto" w:fill="FFFFFF"/>
        </w:rPr>
        <w:t xml:space="preserve"> </w:t>
      </w:r>
      <w:r w:rsidR="00296770" w:rsidRPr="00296770">
        <w:rPr>
          <w:sz w:val="23"/>
          <w:szCs w:val="23"/>
          <w:bdr w:val="none" w:sz="0" w:space="0" w:color="auto" w:frame="1"/>
          <w:shd w:val="clear" w:color="auto" w:fill="FFFFFF"/>
        </w:rPr>
        <w:t>study</w:t>
      </w:r>
      <w:r w:rsidR="00B27E1F">
        <w:rPr>
          <w:sz w:val="23"/>
          <w:szCs w:val="23"/>
          <w:bdr w:val="none" w:sz="0" w:space="0" w:color="auto" w:frame="1"/>
          <w:shd w:val="clear" w:color="auto" w:fill="FFFFFF"/>
        </w:rPr>
        <w:t xml:space="preserve"> </w:t>
      </w:r>
      <w:r w:rsidR="00296770" w:rsidRPr="00296770">
        <w:rPr>
          <w:sz w:val="23"/>
          <w:szCs w:val="23"/>
          <w:bdr w:val="none" w:sz="0" w:space="0" w:color="auto" w:frame="1"/>
          <w:shd w:val="clear" w:color="auto" w:fill="FFFFFF"/>
        </w:rPr>
        <w:t>data</w:t>
      </w:r>
      <w:r w:rsidR="00840876">
        <w:rPr>
          <w:sz w:val="23"/>
          <w:szCs w:val="23"/>
          <w:bdr w:val="none" w:sz="0" w:space="0" w:color="auto" w:frame="1"/>
          <w:shd w:val="clear" w:color="auto" w:fill="FFFFFF"/>
        </w:rPr>
        <w:t xml:space="preserve"> and MPL and MMR had final </w:t>
      </w:r>
      <w:r w:rsidR="00251855">
        <w:rPr>
          <w:sz w:val="23"/>
          <w:szCs w:val="23"/>
          <w:bdr w:val="none" w:sz="0" w:space="0" w:color="auto" w:frame="1"/>
          <w:shd w:val="clear" w:color="auto" w:fill="FFFFFF"/>
        </w:rPr>
        <w:t>responsibility</w:t>
      </w:r>
      <w:r w:rsidR="00840876">
        <w:rPr>
          <w:sz w:val="23"/>
          <w:szCs w:val="23"/>
          <w:bdr w:val="none" w:sz="0" w:space="0" w:color="auto" w:frame="1"/>
          <w:shd w:val="clear" w:color="auto" w:fill="FFFFFF"/>
        </w:rPr>
        <w:t xml:space="preserve"> for the decision to submit for publication. </w:t>
      </w:r>
    </w:p>
    <w:p w14:paraId="658FA348" w14:textId="77777777" w:rsidR="00016148" w:rsidRPr="00397C2B" w:rsidRDefault="00016148" w:rsidP="001C11A0">
      <w:pPr>
        <w:spacing w:line="360" w:lineRule="auto"/>
        <w:rPr>
          <w:b/>
          <w:bCs/>
          <w:color w:val="000000" w:themeColor="text1"/>
        </w:rPr>
      </w:pPr>
    </w:p>
    <w:p w14:paraId="0C27A304" w14:textId="77777777" w:rsidR="0018244B" w:rsidRDefault="0018244B" w:rsidP="001C11A0">
      <w:pPr>
        <w:spacing w:line="360" w:lineRule="auto"/>
        <w:rPr>
          <w:b/>
          <w:bCs/>
          <w:color w:val="000000" w:themeColor="text1"/>
          <w:u w:val="single"/>
        </w:rPr>
      </w:pPr>
    </w:p>
    <w:p w14:paraId="5E9D6047" w14:textId="21B3DCBA" w:rsidR="00A5245D" w:rsidRPr="00DB005A" w:rsidRDefault="00A5245D" w:rsidP="001C11A0">
      <w:pPr>
        <w:spacing w:line="360" w:lineRule="auto"/>
        <w:rPr>
          <w:b/>
          <w:bCs/>
          <w:color w:val="000000" w:themeColor="text1"/>
          <w:u w:val="single"/>
        </w:rPr>
      </w:pPr>
      <w:r w:rsidRPr="00DB005A">
        <w:rPr>
          <w:b/>
          <w:bCs/>
          <w:color w:val="000000" w:themeColor="text1"/>
          <w:u w:val="single"/>
        </w:rPr>
        <w:t>Results</w:t>
      </w:r>
    </w:p>
    <w:p w14:paraId="08A4BE27" w14:textId="436ACC11" w:rsidR="00A5245D" w:rsidRDefault="005F6B07" w:rsidP="001C11A0">
      <w:pPr>
        <w:spacing w:line="360" w:lineRule="auto"/>
        <w:rPr>
          <w:color w:val="000000" w:themeColor="text1"/>
        </w:rPr>
      </w:pPr>
      <w:r>
        <w:rPr>
          <w:color w:val="000000" w:themeColor="text1"/>
        </w:rPr>
        <w:lastRenderedPageBreak/>
        <w:t>The c</w:t>
      </w:r>
      <w:r w:rsidR="00246A09" w:rsidRPr="00397C2B">
        <w:rPr>
          <w:color w:val="000000" w:themeColor="text1"/>
        </w:rPr>
        <w:t>haracteristics of the cohort</w:t>
      </w:r>
      <w:r w:rsidR="00630F73">
        <w:rPr>
          <w:color w:val="000000" w:themeColor="text1"/>
        </w:rPr>
        <w:t>s</w:t>
      </w:r>
      <w:r w:rsidR="00246A09" w:rsidRPr="00397C2B">
        <w:rPr>
          <w:color w:val="000000" w:themeColor="text1"/>
        </w:rPr>
        <w:t xml:space="preserve"> are shown in Table </w:t>
      </w:r>
      <w:r w:rsidR="003F68CF" w:rsidRPr="00397C2B">
        <w:rPr>
          <w:color w:val="000000" w:themeColor="text1"/>
        </w:rPr>
        <w:t>1</w:t>
      </w:r>
      <w:r w:rsidR="00246A09" w:rsidRPr="00397C2B">
        <w:rPr>
          <w:color w:val="000000" w:themeColor="text1"/>
        </w:rPr>
        <w:t xml:space="preserve"> and differences are summarised below. </w:t>
      </w:r>
      <w:r w:rsidR="0005063A">
        <w:rPr>
          <w:color w:val="000000" w:themeColor="text1"/>
        </w:rPr>
        <w:t xml:space="preserve">Supplementary appendix </w:t>
      </w:r>
      <w:r w:rsidR="0075393F">
        <w:rPr>
          <w:color w:val="000000" w:themeColor="text1"/>
        </w:rPr>
        <w:t>1</w:t>
      </w:r>
      <w:r w:rsidR="0005063A">
        <w:rPr>
          <w:color w:val="000000" w:themeColor="text1"/>
        </w:rPr>
        <w:t xml:space="preserve"> details </w:t>
      </w:r>
      <w:r w:rsidR="00FE7634">
        <w:rPr>
          <w:color w:val="000000" w:themeColor="text1"/>
        </w:rPr>
        <w:t>characteristics</w:t>
      </w:r>
      <w:r w:rsidR="0005063A">
        <w:rPr>
          <w:color w:val="000000" w:themeColor="text1"/>
        </w:rPr>
        <w:t xml:space="preserve"> of the </w:t>
      </w:r>
      <w:proofErr w:type="spellStart"/>
      <w:r w:rsidR="0005063A">
        <w:rPr>
          <w:color w:val="000000" w:themeColor="text1"/>
        </w:rPr>
        <w:t>IVIg</w:t>
      </w:r>
      <w:proofErr w:type="spellEnd"/>
      <w:r w:rsidR="0005063A">
        <w:rPr>
          <w:color w:val="000000" w:themeColor="text1"/>
        </w:rPr>
        <w:t xml:space="preserve"> group. </w:t>
      </w:r>
      <w:r w:rsidR="00190371" w:rsidRPr="00397C2B">
        <w:rPr>
          <w:color w:val="000000" w:themeColor="text1"/>
        </w:rPr>
        <w:t>We included</w:t>
      </w:r>
      <w:r w:rsidR="00246A09" w:rsidRPr="00397C2B">
        <w:rPr>
          <w:color w:val="000000" w:themeColor="text1"/>
        </w:rPr>
        <w:t xml:space="preserve"> 502</w:t>
      </w:r>
      <w:r w:rsidR="0075393F">
        <w:rPr>
          <w:color w:val="000000" w:themeColor="text1"/>
        </w:rPr>
        <w:t xml:space="preserve"> </w:t>
      </w:r>
      <w:r w:rsidR="00246A09" w:rsidRPr="00397C2B">
        <w:rPr>
          <w:color w:val="000000" w:themeColor="text1"/>
        </w:rPr>
        <w:t>492 participants</w:t>
      </w:r>
      <w:r w:rsidR="00284F49">
        <w:rPr>
          <w:color w:val="000000" w:themeColor="text1"/>
        </w:rPr>
        <w:t xml:space="preserve">. </w:t>
      </w:r>
      <w:r w:rsidR="00C74068">
        <w:rPr>
          <w:color w:val="000000" w:themeColor="text1"/>
        </w:rPr>
        <w:t>For Dataset 1</w:t>
      </w:r>
      <w:r w:rsidR="00284F49">
        <w:rPr>
          <w:color w:val="000000" w:themeColor="text1"/>
        </w:rPr>
        <w:t xml:space="preserve">, </w:t>
      </w:r>
      <w:r w:rsidR="00246A09" w:rsidRPr="00397C2B">
        <w:rPr>
          <w:color w:val="000000" w:themeColor="text1"/>
        </w:rPr>
        <w:t>422</w:t>
      </w:r>
      <w:r w:rsidR="00CF537E">
        <w:rPr>
          <w:color w:val="000000" w:themeColor="text1"/>
        </w:rPr>
        <w:t xml:space="preserve"> </w:t>
      </w:r>
      <w:r w:rsidR="00246A09" w:rsidRPr="00397C2B">
        <w:rPr>
          <w:color w:val="000000" w:themeColor="text1"/>
        </w:rPr>
        <w:t xml:space="preserve">266 </w:t>
      </w:r>
      <w:r w:rsidR="00284F49">
        <w:rPr>
          <w:color w:val="000000" w:themeColor="text1"/>
        </w:rPr>
        <w:t>did not have a</w:t>
      </w:r>
      <w:r w:rsidR="00D55E12" w:rsidRPr="00397C2B">
        <w:rPr>
          <w:color w:val="000000" w:themeColor="text1"/>
        </w:rPr>
        <w:t xml:space="preserve"> </w:t>
      </w:r>
      <w:proofErr w:type="spellStart"/>
      <w:r w:rsidR="00EC3A37" w:rsidRPr="00397C2B">
        <w:rPr>
          <w:color w:val="000000" w:themeColor="text1"/>
        </w:rPr>
        <w:t>Phx</w:t>
      </w:r>
      <w:proofErr w:type="spellEnd"/>
      <w:r w:rsidR="00246A09" w:rsidRPr="00397C2B">
        <w:rPr>
          <w:color w:val="000000" w:themeColor="text1"/>
        </w:rPr>
        <w:t xml:space="preserve"> of TEEs.</w:t>
      </w:r>
      <w:r w:rsidR="00F6559B" w:rsidRPr="00397C2B">
        <w:rPr>
          <w:color w:val="000000" w:themeColor="text1"/>
        </w:rPr>
        <w:t xml:space="preserve"> </w:t>
      </w:r>
      <w:r w:rsidR="00814197" w:rsidRPr="00397C2B">
        <w:rPr>
          <w:color w:val="000000" w:themeColor="text1"/>
        </w:rPr>
        <w:t>12</w:t>
      </w:r>
      <w:r w:rsidR="00CF537E">
        <w:rPr>
          <w:color w:val="000000" w:themeColor="text1"/>
        </w:rPr>
        <w:t xml:space="preserve"> </w:t>
      </w:r>
      <w:r w:rsidR="00814197" w:rsidRPr="00397C2B">
        <w:rPr>
          <w:color w:val="000000" w:themeColor="text1"/>
        </w:rPr>
        <w:t>799 (3</w:t>
      </w:r>
      <w:r w:rsidR="00CF537E">
        <w:rPr>
          <w:rFonts w:ascii="Times" w:eastAsiaTheme="minorHAnsi" w:hAnsi="Times" w:cs="Times"/>
          <w:color w:val="000000"/>
          <w:sz w:val="18"/>
          <w:szCs w:val="18"/>
          <w:lang w:val="en-GB" w:eastAsia="en-US"/>
        </w:rPr>
        <w:t>·</w:t>
      </w:r>
      <w:r w:rsidR="00814197" w:rsidRPr="00397C2B">
        <w:rPr>
          <w:color w:val="000000" w:themeColor="text1"/>
        </w:rPr>
        <w:t xml:space="preserve">0%) of those without </w:t>
      </w:r>
      <w:r w:rsidR="002F0B46" w:rsidRPr="00397C2B">
        <w:rPr>
          <w:color w:val="000000" w:themeColor="text1"/>
        </w:rPr>
        <w:t>TEE</w:t>
      </w:r>
      <w:r w:rsidR="00814197" w:rsidRPr="00397C2B">
        <w:rPr>
          <w:color w:val="000000" w:themeColor="text1"/>
        </w:rPr>
        <w:t xml:space="preserve"> history</w:t>
      </w:r>
      <w:r w:rsidR="00A06D72">
        <w:rPr>
          <w:color w:val="000000" w:themeColor="text1"/>
        </w:rPr>
        <w:t>,</w:t>
      </w:r>
      <w:r w:rsidR="00814197" w:rsidRPr="00397C2B">
        <w:rPr>
          <w:color w:val="000000" w:themeColor="text1"/>
        </w:rPr>
        <w:t xml:space="preserve"> </w:t>
      </w:r>
      <w:r w:rsidR="00A06D72" w:rsidRPr="00397C2B">
        <w:rPr>
          <w:color w:val="000000" w:themeColor="text1"/>
        </w:rPr>
        <w:t>and 1</w:t>
      </w:r>
      <w:r w:rsidR="00CF537E">
        <w:rPr>
          <w:color w:val="000000" w:themeColor="text1"/>
        </w:rPr>
        <w:t xml:space="preserve"> </w:t>
      </w:r>
      <w:r w:rsidR="00A06D72" w:rsidRPr="00397C2B">
        <w:rPr>
          <w:color w:val="000000" w:themeColor="text1"/>
        </w:rPr>
        <w:t>995 (8</w:t>
      </w:r>
      <w:r w:rsidR="00CF537E">
        <w:rPr>
          <w:rFonts w:ascii="Times" w:eastAsiaTheme="minorHAnsi" w:hAnsi="Times" w:cs="Times"/>
          <w:color w:val="000000"/>
          <w:sz w:val="18"/>
          <w:szCs w:val="18"/>
          <w:lang w:val="en-GB" w:eastAsia="en-US"/>
        </w:rPr>
        <w:t>·</w:t>
      </w:r>
      <w:r w:rsidR="00A06D72" w:rsidRPr="00397C2B">
        <w:rPr>
          <w:color w:val="000000" w:themeColor="text1"/>
        </w:rPr>
        <w:t>7%) of those with previous TEE</w:t>
      </w:r>
      <w:r w:rsidR="00A06D72">
        <w:rPr>
          <w:color w:val="000000" w:themeColor="text1"/>
        </w:rPr>
        <w:t>,</w:t>
      </w:r>
      <w:r w:rsidR="00A06D72" w:rsidRPr="00397C2B">
        <w:rPr>
          <w:color w:val="000000" w:themeColor="text1"/>
        </w:rPr>
        <w:t xml:space="preserve"> </w:t>
      </w:r>
      <w:r w:rsidR="00814197" w:rsidRPr="00397C2B">
        <w:rPr>
          <w:color w:val="000000" w:themeColor="text1"/>
        </w:rPr>
        <w:t xml:space="preserve">had an incident TEE </w:t>
      </w:r>
      <w:r w:rsidR="001B2464" w:rsidRPr="00397C2B">
        <w:rPr>
          <w:color w:val="000000" w:themeColor="text1"/>
        </w:rPr>
        <w:t>during follow up</w:t>
      </w:r>
      <w:r w:rsidR="00814197" w:rsidRPr="00397C2B">
        <w:rPr>
          <w:color w:val="000000" w:themeColor="text1"/>
        </w:rPr>
        <w:t xml:space="preserve">. </w:t>
      </w:r>
      <w:r w:rsidR="007965B5">
        <w:rPr>
          <w:color w:val="000000" w:themeColor="text1"/>
        </w:rPr>
        <w:t xml:space="preserve">For Dataset </w:t>
      </w:r>
      <w:r w:rsidR="00BA303D">
        <w:rPr>
          <w:color w:val="000000" w:themeColor="text1"/>
        </w:rPr>
        <w:t xml:space="preserve">2, </w:t>
      </w:r>
      <w:r w:rsidR="00284F49">
        <w:rPr>
          <w:color w:val="000000" w:themeColor="text1"/>
        </w:rPr>
        <w:t>412</w:t>
      </w:r>
      <w:r w:rsidR="00CF537E">
        <w:rPr>
          <w:color w:val="000000" w:themeColor="text1"/>
        </w:rPr>
        <w:t xml:space="preserve"> </w:t>
      </w:r>
      <w:r w:rsidR="00284F49">
        <w:rPr>
          <w:color w:val="000000" w:themeColor="text1"/>
        </w:rPr>
        <w:t xml:space="preserve">769 did not have a </w:t>
      </w:r>
      <w:proofErr w:type="spellStart"/>
      <w:r w:rsidR="00284F49">
        <w:rPr>
          <w:color w:val="000000" w:themeColor="text1"/>
        </w:rPr>
        <w:t>PHx</w:t>
      </w:r>
      <w:proofErr w:type="spellEnd"/>
      <w:r w:rsidR="00284F49">
        <w:rPr>
          <w:color w:val="000000" w:themeColor="text1"/>
        </w:rPr>
        <w:t xml:space="preserve"> of TEEs. </w:t>
      </w:r>
      <w:r w:rsidR="00284F49" w:rsidRPr="00284F49">
        <w:rPr>
          <w:color w:val="000000" w:themeColor="text1"/>
        </w:rPr>
        <w:t>12</w:t>
      </w:r>
      <w:r w:rsidR="00CF537E">
        <w:rPr>
          <w:color w:val="000000" w:themeColor="text1"/>
        </w:rPr>
        <w:t xml:space="preserve"> </w:t>
      </w:r>
      <w:r w:rsidR="00284F49" w:rsidRPr="00284F49">
        <w:rPr>
          <w:color w:val="000000" w:themeColor="text1"/>
        </w:rPr>
        <w:t xml:space="preserve">333 </w:t>
      </w:r>
      <w:r w:rsidR="00284F49" w:rsidRPr="00397C2B">
        <w:rPr>
          <w:color w:val="000000" w:themeColor="text1"/>
        </w:rPr>
        <w:t>(</w:t>
      </w:r>
      <w:r w:rsidR="00284F49">
        <w:rPr>
          <w:color w:val="000000" w:themeColor="text1"/>
        </w:rPr>
        <w:t>2</w:t>
      </w:r>
      <w:r w:rsidR="00CF537E">
        <w:rPr>
          <w:rFonts w:ascii="Times" w:eastAsiaTheme="minorHAnsi" w:hAnsi="Times" w:cs="Times"/>
          <w:color w:val="000000"/>
          <w:sz w:val="18"/>
          <w:szCs w:val="18"/>
          <w:lang w:val="en-GB" w:eastAsia="en-US"/>
        </w:rPr>
        <w:t>·</w:t>
      </w:r>
      <w:r w:rsidR="00284F49">
        <w:rPr>
          <w:color w:val="000000" w:themeColor="text1"/>
        </w:rPr>
        <w:t>3</w:t>
      </w:r>
      <w:r w:rsidR="00284F49" w:rsidRPr="00397C2B">
        <w:rPr>
          <w:color w:val="000000" w:themeColor="text1"/>
        </w:rPr>
        <w:t>%) of those without TEE history</w:t>
      </w:r>
      <w:r w:rsidR="00A06D72">
        <w:rPr>
          <w:color w:val="000000" w:themeColor="text1"/>
        </w:rPr>
        <w:t>,</w:t>
      </w:r>
      <w:r w:rsidR="00284F49" w:rsidRPr="00397C2B">
        <w:rPr>
          <w:color w:val="000000" w:themeColor="text1"/>
        </w:rPr>
        <w:t xml:space="preserve"> </w:t>
      </w:r>
      <w:r w:rsidR="00A06D72" w:rsidRPr="00397C2B">
        <w:rPr>
          <w:color w:val="000000" w:themeColor="text1"/>
        </w:rPr>
        <w:t xml:space="preserve">and </w:t>
      </w:r>
      <w:r w:rsidR="00A06D72">
        <w:rPr>
          <w:color w:val="000000" w:themeColor="text1"/>
        </w:rPr>
        <w:t>2</w:t>
      </w:r>
      <w:r w:rsidR="00CF537E">
        <w:rPr>
          <w:color w:val="000000" w:themeColor="text1"/>
        </w:rPr>
        <w:t xml:space="preserve"> </w:t>
      </w:r>
      <w:r w:rsidR="00A06D72">
        <w:rPr>
          <w:color w:val="000000" w:themeColor="text1"/>
        </w:rPr>
        <w:t>123</w:t>
      </w:r>
      <w:r w:rsidR="00A06D72" w:rsidRPr="00397C2B">
        <w:rPr>
          <w:color w:val="000000" w:themeColor="text1"/>
        </w:rPr>
        <w:t xml:space="preserve"> (</w:t>
      </w:r>
      <w:r w:rsidR="00A06D72">
        <w:rPr>
          <w:color w:val="000000" w:themeColor="text1"/>
        </w:rPr>
        <w:t>5</w:t>
      </w:r>
      <w:r w:rsidR="00CF537E">
        <w:rPr>
          <w:rFonts w:ascii="Times" w:eastAsiaTheme="minorHAnsi" w:hAnsi="Times" w:cs="Times"/>
          <w:color w:val="000000"/>
          <w:sz w:val="18"/>
          <w:szCs w:val="18"/>
          <w:lang w:val="en-GB" w:eastAsia="en-US"/>
        </w:rPr>
        <w:t>·</w:t>
      </w:r>
      <w:r w:rsidR="00A06D72">
        <w:rPr>
          <w:color w:val="000000" w:themeColor="text1"/>
        </w:rPr>
        <w:t>1</w:t>
      </w:r>
      <w:r w:rsidR="00A06D72" w:rsidRPr="00397C2B">
        <w:rPr>
          <w:color w:val="000000" w:themeColor="text1"/>
        </w:rPr>
        <w:t>%) of those with previous TEE</w:t>
      </w:r>
      <w:r w:rsidR="00A06D72">
        <w:rPr>
          <w:color w:val="000000" w:themeColor="text1"/>
        </w:rPr>
        <w:t>,</w:t>
      </w:r>
      <w:r w:rsidR="00A06D72" w:rsidRPr="00397C2B">
        <w:rPr>
          <w:color w:val="000000" w:themeColor="text1"/>
        </w:rPr>
        <w:t xml:space="preserve"> </w:t>
      </w:r>
      <w:r w:rsidR="00284F49" w:rsidRPr="00397C2B">
        <w:rPr>
          <w:color w:val="000000" w:themeColor="text1"/>
        </w:rPr>
        <w:t>had an incident TEE during follow up.</w:t>
      </w:r>
    </w:p>
    <w:p w14:paraId="732372F4" w14:textId="46CF5DA2" w:rsidR="003962A4" w:rsidRPr="00397C2B" w:rsidRDefault="003962A4" w:rsidP="001C11A0">
      <w:pPr>
        <w:spacing w:line="360" w:lineRule="auto"/>
        <w:rPr>
          <w:color w:val="000000" w:themeColor="text1"/>
        </w:rPr>
      </w:pPr>
      <w:r w:rsidRPr="003962A4">
        <w:rPr>
          <w:color w:val="000000" w:themeColor="text1"/>
        </w:rPr>
        <w:t>There is a difference between the total sizes of the datasets (table 1). In dataset 1, 57 970 participants were excluded from the ‘no past history’ group as they had no record of a relevant history but were on an antiplatelet agent (18 of these participants had exposure to intravenous Ig). In dataset 2, 47 921 participants were excluded from the ‘no past history’ group for the same reason (18 of these participants had exposure to intravenous Ig). The difference between the two datasets in the numbers of those on intravenous Ig in the ‘past history’ group is due to the method of collecting the information. There was one person on intravenous Ig in dataset 2 who had a history of a venous TEE, and another who reported a history of arterial TEE – both were not recorded in dataset 1. Only one extra post intravenous Ig TEE was recorded in dataset 2 compared with dataset 1.</w:t>
      </w:r>
    </w:p>
    <w:p w14:paraId="63EA6173" w14:textId="77777777" w:rsidR="00AB6180" w:rsidRPr="00397C2B" w:rsidRDefault="00AB6180" w:rsidP="00CE4D33">
      <w:pPr>
        <w:spacing w:line="360" w:lineRule="auto"/>
        <w:rPr>
          <w:color w:val="000000" w:themeColor="text1"/>
        </w:rPr>
      </w:pPr>
    </w:p>
    <w:p w14:paraId="17B34BE0" w14:textId="792266C0" w:rsidR="00C728A4" w:rsidRPr="00397C2B" w:rsidRDefault="00ED1C36" w:rsidP="001C11A0">
      <w:pPr>
        <w:spacing w:line="360" w:lineRule="auto"/>
        <w:rPr>
          <w:b/>
          <w:bCs/>
          <w:color w:val="000000" w:themeColor="text1"/>
        </w:rPr>
      </w:pPr>
      <w:r w:rsidRPr="00397C2B">
        <w:rPr>
          <w:b/>
          <w:bCs/>
          <w:color w:val="000000" w:themeColor="text1"/>
        </w:rPr>
        <w:t>Univariate analysis</w:t>
      </w:r>
    </w:p>
    <w:p w14:paraId="2AA611E0" w14:textId="40D78A39" w:rsidR="00FE7634" w:rsidRDefault="004A65D3" w:rsidP="001C11A0">
      <w:pPr>
        <w:spacing w:line="360" w:lineRule="auto"/>
        <w:rPr>
          <w:color w:val="000000" w:themeColor="text1"/>
        </w:rPr>
      </w:pPr>
      <w:r>
        <w:rPr>
          <w:color w:val="000000" w:themeColor="text1"/>
        </w:rPr>
        <w:t xml:space="preserve">In both </w:t>
      </w:r>
      <w:r w:rsidR="00BC18F4">
        <w:rPr>
          <w:color w:val="000000" w:themeColor="text1"/>
        </w:rPr>
        <w:t>datasets</w:t>
      </w:r>
      <w:r>
        <w:rPr>
          <w:color w:val="000000" w:themeColor="text1"/>
        </w:rPr>
        <w:t>, i</w:t>
      </w:r>
      <w:r w:rsidR="00ED1C36" w:rsidRPr="00397C2B">
        <w:rPr>
          <w:color w:val="000000" w:themeColor="text1"/>
        </w:rPr>
        <w:t xml:space="preserve">ncreasing age, male sex, current or previous smoking, </w:t>
      </w:r>
      <w:r w:rsidR="004D0AE6" w:rsidRPr="00397C2B">
        <w:rPr>
          <w:color w:val="000000" w:themeColor="text1"/>
        </w:rPr>
        <w:t xml:space="preserve">diabetes, hypertension, hypercholesterolemia, cancer, and being on treatment for the above risk factors </w:t>
      </w:r>
      <w:r w:rsidR="00ED1C36" w:rsidRPr="00397C2B">
        <w:rPr>
          <w:color w:val="000000" w:themeColor="text1"/>
        </w:rPr>
        <w:t xml:space="preserve">were associated with increased risk of </w:t>
      </w:r>
      <w:r w:rsidR="009252D6" w:rsidRPr="00397C2B">
        <w:rPr>
          <w:color w:val="000000" w:themeColor="text1"/>
        </w:rPr>
        <w:t xml:space="preserve">TEEs </w:t>
      </w:r>
      <w:r w:rsidR="00127932">
        <w:rPr>
          <w:color w:val="000000" w:themeColor="text1"/>
        </w:rPr>
        <w:t>in</w:t>
      </w:r>
      <w:r w:rsidR="009252D6" w:rsidRPr="00397C2B">
        <w:rPr>
          <w:color w:val="000000" w:themeColor="text1"/>
        </w:rPr>
        <w:t xml:space="preserve"> univariate analys</w:t>
      </w:r>
      <w:r w:rsidR="00127932">
        <w:rPr>
          <w:color w:val="000000" w:themeColor="text1"/>
        </w:rPr>
        <w:t>e</w:t>
      </w:r>
      <w:r w:rsidR="009252D6" w:rsidRPr="00397C2B">
        <w:rPr>
          <w:color w:val="000000" w:themeColor="text1"/>
        </w:rPr>
        <w:t>s</w:t>
      </w:r>
      <w:r w:rsidR="00453105" w:rsidRPr="00397C2B">
        <w:rPr>
          <w:color w:val="000000" w:themeColor="text1"/>
        </w:rPr>
        <w:t xml:space="preserve"> (Table </w:t>
      </w:r>
      <w:r w:rsidR="00387A91">
        <w:rPr>
          <w:color w:val="000000" w:themeColor="text1"/>
        </w:rPr>
        <w:t>2</w:t>
      </w:r>
      <w:r w:rsidR="00FE7634">
        <w:rPr>
          <w:color w:val="000000" w:themeColor="text1"/>
        </w:rPr>
        <w:t>)</w:t>
      </w:r>
      <w:r w:rsidR="0075393F">
        <w:rPr>
          <w:color w:val="000000" w:themeColor="text1"/>
        </w:rPr>
        <w:t>.</w:t>
      </w:r>
    </w:p>
    <w:p w14:paraId="310EC8EC" w14:textId="77777777" w:rsidR="00055BFB" w:rsidRDefault="00055BFB" w:rsidP="001C11A0">
      <w:pPr>
        <w:spacing w:line="360" w:lineRule="auto"/>
        <w:rPr>
          <w:b/>
          <w:bCs/>
          <w:color w:val="000000" w:themeColor="text1"/>
        </w:rPr>
      </w:pPr>
    </w:p>
    <w:p w14:paraId="4AF67450" w14:textId="1B6D30C6" w:rsidR="00C728A4" w:rsidRPr="00397C2B" w:rsidRDefault="004D0AE6" w:rsidP="001C11A0">
      <w:pPr>
        <w:spacing w:line="360" w:lineRule="auto"/>
        <w:rPr>
          <w:b/>
          <w:bCs/>
          <w:color w:val="000000" w:themeColor="text1"/>
        </w:rPr>
      </w:pPr>
      <w:r w:rsidRPr="00397C2B">
        <w:rPr>
          <w:b/>
          <w:bCs/>
          <w:color w:val="000000" w:themeColor="text1"/>
        </w:rPr>
        <w:t>Multivariate model</w:t>
      </w:r>
      <w:r w:rsidR="004F3AB6">
        <w:rPr>
          <w:b/>
          <w:bCs/>
          <w:color w:val="000000" w:themeColor="text1"/>
        </w:rPr>
        <w:t>s</w:t>
      </w:r>
    </w:p>
    <w:p w14:paraId="76259F5D" w14:textId="1174C402" w:rsidR="00E241EE" w:rsidRDefault="00E241EE">
      <w:pPr>
        <w:spacing w:line="360" w:lineRule="auto"/>
        <w:rPr>
          <w:color w:val="000000" w:themeColor="text1"/>
        </w:rPr>
      </w:pPr>
      <w:r w:rsidRPr="00CE4D33">
        <w:rPr>
          <w:color w:val="000000" w:themeColor="text1"/>
        </w:rPr>
        <w:t xml:space="preserve">Table </w:t>
      </w:r>
      <w:r w:rsidR="009E6054" w:rsidRPr="00CE4D33">
        <w:rPr>
          <w:color w:val="000000" w:themeColor="text1"/>
        </w:rPr>
        <w:t>2</w:t>
      </w:r>
      <w:r w:rsidRPr="00CE4D33">
        <w:rPr>
          <w:color w:val="000000" w:themeColor="text1"/>
        </w:rPr>
        <w:t xml:space="preserve"> in the supplementary files presents </w:t>
      </w:r>
      <w:r w:rsidR="001C11A0" w:rsidRPr="00CE4D33">
        <w:rPr>
          <w:color w:val="000000" w:themeColor="text1"/>
        </w:rPr>
        <w:t>details for</w:t>
      </w:r>
      <w:r w:rsidRPr="00CE4D33">
        <w:rPr>
          <w:color w:val="000000" w:themeColor="text1"/>
        </w:rPr>
        <w:t xml:space="preserve"> Model 1 and Model </w:t>
      </w:r>
      <w:r w:rsidR="0075393F">
        <w:rPr>
          <w:color w:val="000000" w:themeColor="text1"/>
        </w:rPr>
        <w:t>3</w:t>
      </w:r>
      <w:r w:rsidRPr="00CE4D33">
        <w:rPr>
          <w:color w:val="000000" w:themeColor="text1"/>
        </w:rPr>
        <w:t xml:space="preserve">.  These show that </w:t>
      </w:r>
      <w:proofErr w:type="spellStart"/>
      <w:r w:rsidRPr="00CE4D33">
        <w:rPr>
          <w:color w:val="000000" w:themeColor="text1"/>
        </w:rPr>
        <w:t>IVIg</w:t>
      </w:r>
      <w:proofErr w:type="spellEnd"/>
      <w:r w:rsidRPr="00CE4D33">
        <w:rPr>
          <w:color w:val="000000" w:themeColor="text1"/>
        </w:rPr>
        <w:t xml:space="preserve"> was not associated with increased risk of TEE in those without a </w:t>
      </w:r>
      <w:proofErr w:type="spellStart"/>
      <w:r w:rsidRPr="00CE4D33">
        <w:rPr>
          <w:color w:val="000000" w:themeColor="text1"/>
        </w:rPr>
        <w:t>Phx</w:t>
      </w:r>
      <w:proofErr w:type="spellEnd"/>
      <w:r w:rsidRPr="00CE4D33">
        <w:rPr>
          <w:color w:val="000000" w:themeColor="text1"/>
        </w:rPr>
        <w:t xml:space="preserve"> of TEE.</w:t>
      </w:r>
      <w:r>
        <w:rPr>
          <w:color w:val="000000" w:themeColor="text1"/>
        </w:rPr>
        <w:t xml:space="preserve">  </w:t>
      </w:r>
    </w:p>
    <w:p w14:paraId="0540E90F" w14:textId="77777777" w:rsidR="00E241EE" w:rsidRDefault="00E241EE">
      <w:pPr>
        <w:spacing w:line="360" w:lineRule="auto"/>
        <w:rPr>
          <w:color w:val="000000" w:themeColor="text1"/>
        </w:rPr>
      </w:pPr>
    </w:p>
    <w:p w14:paraId="2A2D6DDB" w14:textId="4FDB74A0" w:rsidR="004D0AE6" w:rsidRPr="00397C2B" w:rsidRDefault="004D0AE6" w:rsidP="001C11A0">
      <w:pPr>
        <w:spacing w:line="360" w:lineRule="auto"/>
        <w:rPr>
          <w:color w:val="000000" w:themeColor="text1"/>
        </w:rPr>
      </w:pPr>
      <w:r w:rsidRPr="00397C2B">
        <w:rPr>
          <w:color w:val="000000" w:themeColor="text1"/>
        </w:rPr>
        <w:t xml:space="preserve">Table </w:t>
      </w:r>
      <w:r w:rsidR="000E2886">
        <w:rPr>
          <w:color w:val="000000" w:themeColor="text1"/>
        </w:rPr>
        <w:t>3</w:t>
      </w:r>
      <w:r w:rsidR="008501E6">
        <w:rPr>
          <w:color w:val="000000" w:themeColor="text1"/>
        </w:rPr>
        <w:t xml:space="preserve"> </w:t>
      </w:r>
      <w:r w:rsidRPr="00397C2B">
        <w:rPr>
          <w:color w:val="000000" w:themeColor="text1"/>
        </w:rPr>
        <w:t xml:space="preserve">shows the ORs for predictors in </w:t>
      </w:r>
      <w:r w:rsidR="00F578A4">
        <w:rPr>
          <w:color w:val="000000" w:themeColor="text1"/>
        </w:rPr>
        <w:t>Model 2 and Model 4</w:t>
      </w:r>
      <w:r w:rsidR="00E241EE">
        <w:rPr>
          <w:color w:val="000000" w:themeColor="text1"/>
        </w:rPr>
        <w:t>, which are the models conditional on</w:t>
      </w:r>
      <w:r w:rsidR="00BF31A6">
        <w:rPr>
          <w:color w:val="000000" w:themeColor="text1"/>
        </w:rPr>
        <w:t xml:space="preserve"> hav</w:t>
      </w:r>
      <w:r w:rsidR="001C11A0">
        <w:rPr>
          <w:color w:val="000000" w:themeColor="text1"/>
        </w:rPr>
        <w:t>ing</w:t>
      </w:r>
      <w:r w:rsidR="00BF31A6">
        <w:rPr>
          <w:color w:val="000000" w:themeColor="text1"/>
        </w:rPr>
        <w:t xml:space="preserve"> a </w:t>
      </w:r>
      <w:proofErr w:type="spellStart"/>
      <w:r w:rsidR="00BF31A6" w:rsidRPr="00397C2B">
        <w:rPr>
          <w:color w:val="000000" w:themeColor="text1"/>
        </w:rPr>
        <w:t>Phx</w:t>
      </w:r>
      <w:proofErr w:type="spellEnd"/>
      <w:r w:rsidR="00BF31A6" w:rsidRPr="00397C2B">
        <w:rPr>
          <w:color w:val="000000" w:themeColor="text1"/>
        </w:rPr>
        <w:t xml:space="preserve"> of TEE</w:t>
      </w:r>
      <w:r w:rsidR="00BF31A6">
        <w:rPr>
          <w:color w:val="000000" w:themeColor="text1"/>
        </w:rPr>
        <w:t xml:space="preserve">. </w:t>
      </w:r>
      <w:r w:rsidR="00DD0DF4">
        <w:rPr>
          <w:color w:val="000000" w:themeColor="text1"/>
        </w:rPr>
        <w:t xml:space="preserve">The salient feature of these models is that </w:t>
      </w:r>
      <w:proofErr w:type="spellStart"/>
      <w:r w:rsidR="00BF31A6">
        <w:rPr>
          <w:color w:val="000000" w:themeColor="text1"/>
        </w:rPr>
        <w:t>IVIg</w:t>
      </w:r>
      <w:proofErr w:type="spellEnd"/>
      <w:r w:rsidR="00BF31A6">
        <w:rPr>
          <w:color w:val="000000" w:themeColor="text1"/>
        </w:rPr>
        <w:t xml:space="preserve"> </w:t>
      </w:r>
      <w:r w:rsidR="00DD0DF4">
        <w:rPr>
          <w:color w:val="000000" w:themeColor="text1"/>
        </w:rPr>
        <w:t xml:space="preserve">is </w:t>
      </w:r>
      <w:r w:rsidR="00BA7E46">
        <w:rPr>
          <w:color w:val="000000" w:themeColor="text1"/>
        </w:rPr>
        <w:t>a very significant</w:t>
      </w:r>
      <w:r w:rsidRPr="00397C2B">
        <w:rPr>
          <w:color w:val="000000" w:themeColor="text1"/>
        </w:rPr>
        <w:t xml:space="preserve"> risk </w:t>
      </w:r>
      <w:r w:rsidR="00BA7E46">
        <w:rPr>
          <w:color w:val="000000" w:themeColor="text1"/>
        </w:rPr>
        <w:t xml:space="preserve">factor for recurrent </w:t>
      </w:r>
      <w:r w:rsidRPr="00397C2B">
        <w:rPr>
          <w:color w:val="000000" w:themeColor="text1"/>
        </w:rPr>
        <w:t>TEEs</w:t>
      </w:r>
      <w:r w:rsidR="00075F96">
        <w:rPr>
          <w:color w:val="000000" w:themeColor="text1"/>
        </w:rPr>
        <w:t>, with ORs of 3</w:t>
      </w:r>
      <w:r w:rsidR="0075393F">
        <w:rPr>
          <w:rFonts w:ascii="Times" w:eastAsiaTheme="minorHAnsi" w:hAnsi="Times" w:cs="Times"/>
          <w:color w:val="000000"/>
          <w:sz w:val="18"/>
          <w:szCs w:val="18"/>
          <w:lang w:val="en-GB" w:eastAsia="en-US"/>
        </w:rPr>
        <w:t>·</w:t>
      </w:r>
      <w:r w:rsidR="00075F96">
        <w:rPr>
          <w:color w:val="000000" w:themeColor="text1"/>
        </w:rPr>
        <w:t>69 and 5</w:t>
      </w:r>
      <w:r w:rsidR="0075393F">
        <w:rPr>
          <w:rFonts w:ascii="Times" w:eastAsiaTheme="minorHAnsi" w:hAnsi="Times" w:cs="Times"/>
          <w:color w:val="000000"/>
          <w:sz w:val="18"/>
          <w:szCs w:val="18"/>
          <w:lang w:val="en-GB" w:eastAsia="en-US"/>
        </w:rPr>
        <w:t>·</w:t>
      </w:r>
      <w:r w:rsidR="00075F96">
        <w:rPr>
          <w:color w:val="000000" w:themeColor="text1"/>
        </w:rPr>
        <w:t xml:space="preserve">14 in </w:t>
      </w:r>
      <w:r w:rsidR="009D37ED">
        <w:rPr>
          <w:color w:val="000000" w:themeColor="text1"/>
        </w:rPr>
        <w:t>Model</w:t>
      </w:r>
      <w:r w:rsidR="00515093">
        <w:rPr>
          <w:color w:val="000000" w:themeColor="text1"/>
        </w:rPr>
        <w:t xml:space="preserve"> </w:t>
      </w:r>
      <w:r w:rsidR="00CE3958">
        <w:rPr>
          <w:color w:val="000000" w:themeColor="text1"/>
        </w:rPr>
        <w:t>2</w:t>
      </w:r>
      <w:r w:rsidR="00075F96">
        <w:rPr>
          <w:color w:val="000000" w:themeColor="text1"/>
        </w:rPr>
        <w:t xml:space="preserve"> and Model 4</w:t>
      </w:r>
      <w:r w:rsidR="001C11A0">
        <w:rPr>
          <w:color w:val="000000" w:themeColor="text1"/>
        </w:rPr>
        <w:t>,</w:t>
      </w:r>
      <w:r w:rsidR="00075F96">
        <w:rPr>
          <w:color w:val="000000" w:themeColor="text1"/>
        </w:rPr>
        <w:t xml:space="preserve"> respectively.</w:t>
      </w:r>
      <w:r w:rsidR="00420C1E">
        <w:rPr>
          <w:color w:val="000000" w:themeColor="text1"/>
        </w:rPr>
        <w:t xml:space="preserve"> </w:t>
      </w:r>
      <w:r w:rsidR="00E74105">
        <w:rPr>
          <w:color w:val="000000" w:themeColor="text1"/>
        </w:rPr>
        <w:t>Overall, most of other k</w:t>
      </w:r>
      <w:r w:rsidR="00E74105" w:rsidRPr="00397C2B">
        <w:rPr>
          <w:color w:val="000000" w:themeColor="text1"/>
        </w:rPr>
        <w:t>nown risk factors for TEE (increasing age, male sex, smoking history</w:t>
      </w:r>
      <w:r w:rsidR="00E74105">
        <w:rPr>
          <w:color w:val="000000" w:themeColor="text1"/>
        </w:rPr>
        <w:t xml:space="preserve">, </w:t>
      </w:r>
      <w:r w:rsidR="00E74105" w:rsidRPr="00397C2B">
        <w:rPr>
          <w:color w:val="000000" w:themeColor="text1"/>
        </w:rPr>
        <w:t>diabetes</w:t>
      </w:r>
      <w:r w:rsidR="00E74105">
        <w:rPr>
          <w:color w:val="000000" w:themeColor="text1"/>
        </w:rPr>
        <w:t xml:space="preserve"> and hypertension</w:t>
      </w:r>
      <w:r w:rsidR="00E74105" w:rsidRPr="00397C2B">
        <w:rPr>
          <w:color w:val="000000" w:themeColor="text1"/>
        </w:rPr>
        <w:t>) had statistically significant OR</w:t>
      </w:r>
      <w:r w:rsidR="00E74105">
        <w:rPr>
          <w:color w:val="000000" w:themeColor="text1"/>
        </w:rPr>
        <w:t>s</w:t>
      </w:r>
      <w:r w:rsidR="00E74105" w:rsidRPr="00397C2B">
        <w:rPr>
          <w:color w:val="000000" w:themeColor="text1"/>
        </w:rPr>
        <w:t xml:space="preserve"> in those with </w:t>
      </w:r>
      <w:proofErr w:type="spellStart"/>
      <w:r w:rsidR="00E74105" w:rsidRPr="00397C2B">
        <w:rPr>
          <w:color w:val="000000" w:themeColor="text1"/>
        </w:rPr>
        <w:t>Phx</w:t>
      </w:r>
      <w:proofErr w:type="spellEnd"/>
      <w:r w:rsidR="00E74105" w:rsidRPr="00397C2B">
        <w:rPr>
          <w:color w:val="000000" w:themeColor="text1"/>
        </w:rPr>
        <w:t xml:space="preserve"> of TEE.</w:t>
      </w:r>
      <w:r w:rsidR="003962A4" w:rsidRPr="003962A4">
        <w:t xml:space="preserve"> </w:t>
      </w:r>
      <w:r w:rsidR="003962A4" w:rsidRPr="003962A4">
        <w:rPr>
          <w:color w:val="000000" w:themeColor="text1"/>
        </w:rPr>
        <w:t xml:space="preserve">Treatments for these risk factors (antiplatelet and antihypertensive medications, and insulin) also had statistically significant ORs in all models. This likely represents the </w:t>
      </w:r>
      <w:r w:rsidR="003962A4" w:rsidRPr="003962A4">
        <w:rPr>
          <w:color w:val="000000" w:themeColor="text1"/>
        </w:rPr>
        <w:lastRenderedPageBreak/>
        <w:t>overall greater risk of events in those participants with these risk factors, rather than suggesting these treatments are not protective.</w:t>
      </w:r>
    </w:p>
    <w:p w14:paraId="1F3DA225" w14:textId="3E3A92C7" w:rsidR="00614B1D" w:rsidRDefault="00513AFF">
      <w:pPr>
        <w:spacing w:line="360" w:lineRule="auto"/>
      </w:pPr>
      <w:r w:rsidRPr="00397C2B">
        <w:t xml:space="preserve">We assessed model performance using the H-L test </w:t>
      </w:r>
      <w:r w:rsidR="00930FD8" w:rsidRPr="00397C2B">
        <w:t>statistic, and</w:t>
      </w:r>
      <w:r w:rsidRPr="00397C2B">
        <w:t xml:space="preserve"> reliability diagrams</w:t>
      </w:r>
      <w:r w:rsidR="00774324">
        <w:t xml:space="preserve"> for both models</w:t>
      </w:r>
      <w:r w:rsidR="00A7643E">
        <w:t xml:space="preserve">. </w:t>
      </w:r>
      <w:r w:rsidR="00D177D9">
        <w:t xml:space="preserve">We focus our discussion on Model 2, for participants with a </w:t>
      </w:r>
      <w:proofErr w:type="spellStart"/>
      <w:r w:rsidR="00D177D9">
        <w:t>Phx</w:t>
      </w:r>
      <w:proofErr w:type="spellEnd"/>
      <w:r w:rsidR="00D177D9">
        <w:t xml:space="preserve"> </w:t>
      </w:r>
      <w:r w:rsidR="00D177D9" w:rsidRPr="00397C2B">
        <w:t xml:space="preserve">of </w:t>
      </w:r>
      <w:r w:rsidR="00D177D9">
        <w:t>TEE from Dataset 1, because it is the most important model in our paper.</w:t>
      </w:r>
      <w:r w:rsidR="00A008A0">
        <w:t xml:space="preserve"> We</w:t>
      </w:r>
      <w:r w:rsidR="00A7643E">
        <w:t xml:space="preserve"> display the </w:t>
      </w:r>
      <w:r w:rsidR="002D79E8" w:rsidRPr="00397C2B">
        <w:t>reliability diagram</w:t>
      </w:r>
      <w:r w:rsidR="002D79E8">
        <w:t xml:space="preserve"> </w:t>
      </w:r>
      <w:r w:rsidR="00A7643E">
        <w:t xml:space="preserve">for </w:t>
      </w:r>
      <w:r w:rsidR="00CB5474">
        <w:t>Model</w:t>
      </w:r>
      <w:r w:rsidR="00774324">
        <w:t xml:space="preserve"> </w:t>
      </w:r>
      <w:r w:rsidR="00CE682E">
        <w:t>2</w:t>
      </w:r>
      <w:r w:rsidR="00A7643E">
        <w:t xml:space="preserve">, which </w:t>
      </w:r>
      <w:r w:rsidR="00E5282E">
        <w:t xml:space="preserve">is </w:t>
      </w:r>
      <w:r w:rsidR="00A7643E">
        <w:t>indicative of the others,</w:t>
      </w:r>
      <w:r w:rsidR="00774324">
        <w:t xml:space="preserve"> </w:t>
      </w:r>
      <w:r w:rsidR="00A7643E">
        <w:t>in Figure 2</w:t>
      </w:r>
      <w:r w:rsidR="00C03851" w:rsidRPr="00397C2B">
        <w:fldChar w:fldCharType="begin" w:fldLock="1"/>
      </w:r>
      <w:r w:rsidR="00246AA1" w:rsidRPr="00397C2B">
        <w:instrText>ADDIN CSL_CITATION {"citationItems":[{"id":"ITEM-1","itemData":{"DOI":"10.1093/JAMIA/OCZ228","ISSN":"1527974X","PMID":"32106284","abstract":"Our primary objective is to provide the clinical informatics community with an introductory tutorial on calibration measurements and calibration models for predictive models using existing R packages and custom implemented code in R on real and simulated data. Clinical predictive model performance is commonly published based on discrimination measures, but use of models for individualized predictions requires adequate model calibration. This tutorial is intended for clinical researchers who want to evaluate predictive models in terms of their applicability to a particular population. It is also for informaticians and for software engineers who want to understand the role that calibration plays in the evaluation of a clinical predictive model, and to provide them with a solid starting point to consider incorporating calibration evaluation and calibration models in their work. Covered topics include (1) an introduction to the importance of calibration in the clinical setting, (2) an illustration of the distinct roles that discrimination and calibration play in the assessment of clinical predictive models, (3) a tutorial and demonstration of selected calibration measurements, (4) a tutorial and demonstration of selected calibration models, and (5) a brief discussion of limitations of these methods and practical suggestions on how to use them in practice.","author":[{"dropping-particle":"","family":"Huang","given":"Yingxiang","non-dropping-particle":"","parse-names":false,"suffix":""},{"dropping-particle":"","family":"Li","given":"Wentao","non-dropping-particle":"","parse-names":false,"suffix":""},{"dropping-particle":"","family":"Macheret","given":"Fima","non-dropping-particle":"","parse-names":false,"suffix":""},{"dropping-particle":"","family":"Gabriel","given":"Rodney A.","non-dropping-particle":"","parse-names":false,"suffix":""},{"dropping-particle":"","family":"Ohno-Machado","given":"Lucila","non-dropping-particle":"","parse-names":false,"suffix":""}],"container-title":"Journal of the American Medical Informatics Association","id":"ITEM-1","issue":"4","issued":{"date-parts":[["2021","4","1"]]},"page":"621-633","title":"A tutorial on calibration measurements and calibration models for clinical prediction models","type":"article-journal","volume":"27"},"uris":["http://www.mendeley.com/documents/?uuid=19d95991-f376-4104-9cf3-07f517188c9c"]}],"mendeley":{"formattedCitation":"&lt;sup&gt;15&lt;/sup&gt;","plainTextFormattedCitation":"15","previouslyFormattedCitation":"&lt;sup&gt;15&lt;/sup&gt;"},"properties":{"noteIndex":0},"schema":"https://github.com/citation-style-language/schema/raw/master/csl-citation.json"}</w:instrText>
      </w:r>
      <w:r w:rsidR="00C03851" w:rsidRPr="00397C2B">
        <w:fldChar w:fldCharType="end"/>
      </w:r>
      <w:r w:rsidRPr="00397C2B">
        <w:t>.</w:t>
      </w:r>
      <w:r w:rsidR="001C05E2">
        <w:t>{Huang, 2020 #9072}</w:t>
      </w:r>
      <w:r w:rsidRPr="00397C2B">
        <w:t xml:space="preserve"> </w:t>
      </w:r>
    </w:p>
    <w:p w14:paraId="0EC5E13B" w14:textId="77777777" w:rsidR="00614B1D" w:rsidRDefault="00614B1D">
      <w:pPr>
        <w:spacing w:line="360" w:lineRule="auto"/>
      </w:pPr>
    </w:p>
    <w:p w14:paraId="44B9E1D8" w14:textId="589034A0" w:rsidR="0000507E" w:rsidRPr="0000507E" w:rsidRDefault="00614B1D" w:rsidP="00A008A0">
      <w:pPr>
        <w:spacing w:line="360" w:lineRule="auto"/>
      </w:pPr>
      <w:r>
        <w:t xml:space="preserve">Model </w:t>
      </w:r>
      <w:r w:rsidR="00A008A0">
        <w:t xml:space="preserve">2 </w:t>
      </w:r>
      <w:r>
        <w:t>h</w:t>
      </w:r>
      <w:r w:rsidR="00003D49">
        <w:t xml:space="preserve">as </w:t>
      </w:r>
      <w:r w:rsidR="00513AFF" w:rsidRPr="00397C2B">
        <w:t>good calibration</w:t>
      </w:r>
      <w:r w:rsidR="00087941">
        <w:t xml:space="preserve"> (Figure 2)</w:t>
      </w:r>
      <w:r w:rsidR="00513AFF" w:rsidRPr="00397C2B">
        <w:t>,</w:t>
      </w:r>
      <w:r w:rsidR="002F7D52" w:rsidRPr="00397C2B">
        <w:t xml:space="preserve"> </w:t>
      </w:r>
      <w:r w:rsidR="00087941">
        <w:t xml:space="preserve">and </w:t>
      </w:r>
      <w:r w:rsidR="00D44ADA">
        <w:t>a</w:t>
      </w:r>
      <w:r w:rsidR="00087941">
        <w:t xml:space="preserve">n </w:t>
      </w:r>
      <w:r w:rsidR="002F7D52" w:rsidRPr="00397C2B">
        <w:t>H-L test statistic and p-value of 9</w:t>
      </w:r>
      <w:r w:rsidR="00CF537E">
        <w:rPr>
          <w:rFonts w:ascii="Times" w:eastAsiaTheme="minorHAnsi" w:hAnsi="Times" w:cs="Times"/>
          <w:color w:val="000000"/>
          <w:sz w:val="18"/>
          <w:szCs w:val="18"/>
          <w:lang w:val="en-GB" w:eastAsia="en-US"/>
        </w:rPr>
        <w:t>·</w:t>
      </w:r>
      <w:r w:rsidR="002F7D52" w:rsidRPr="00397C2B">
        <w:t>18 and 0</w:t>
      </w:r>
      <w:r w:rsidR="00CF537E">
        <w:rPr>
          <w:rFonts w:ascii="Times" w:eastAsiaTheme="minorHAnsi" w:hAnsi="Times" w:cs="Times"/>
          <w:color w:val="000000"/>
          <w:sz w:val="18"/>
          <w:szCs w:val="18"/>
          <w:lang w:val="en-GB" w:eastAsia="en-US"/>
        </w:rPr>
        <w:t>·</w:t>
      </w:r>
      <w:r w:rsidR="002F7D52" w:rsidRPr="00397C2B">
        <w:t>33, respectively (</w:t>
      </w:r>
      <w:r w:rsidR="00306848">
        <w:t>the H-L statistic</w:t>
      </w:r>
      <w:r w:rsidR="00E5736E">
        <w:t xml:space="preserve"> </w:t>
      </w:r>
      <w:r w:rsidR="00306848">
        <w:t xml:space="preserve">is </w:t>
      </w:r>
      <w:r w:rsidR="002F7D52" w:rsidRPr="00397C2B">
        <w:t>based on ten bins of ordered probability predictions</w:t>
      </w:r>
      <w:r w:rsidR="00E5736E">
        <w:t xml:space="preserve"> and Figure 2 presents results for both </w:t>
      </w:r>
      <w:r w:rsidR="00174407">
        <w:t xml:space="preserve">five </w:t>
      </w:r>
      <w:r w:rsidR="00E5736E">
        <w:t xml:space="preserve">and </w:t>
      </w:r>
      <w:r w:rsidR="00174407">
        <w:t>ten</w:t>
      </w:r>
      <w:r w:rsidR="00B6069D">
        <w:t xml:space="preserve"> </w:t>
      </w:r>
      <w:r w:rsidR="00E5736E">
        <w:t>bins</w:t>
      </w:r>
      <w:r w:rsidR="002F7D52" w:rsidRPr="00397C2B">
        <w:t xml:space="preserve">). </w:t>
      </w:r>
      <w:r w:rsidR="0073362B">
        <w:t>S</w:t>
      </w:r>
      <w:r w:rsidR="00513AFF" w:rsidRPr="00397C2B">
        <w:t xml:space="preserve">trong correlation and tight clustering on </w:t>
      </w:r>
      <w:r w:rsidR="00B5257B">
        <w:t xml:space="preserve">the </w:t>
      </w:r>
      <w:r w:rsidR="00513AFF" w:rsidRPr="00397C2B">
        <w:t>reliability diagram</w:t>
      </w:r>
      <w:r w:rsidR="00BA4AC7">
        <w:t>s</w:t>
      </w:r>
      <w:r w:rsidR="00513AFF" w:rsidRPr="00397C2B">
        <w:t xml:space="preserve"> </w:t>
      </w:r>
      <w:r w:rsidR="002F7D52" w:rsidRPr="00397C2B">
        <w:t xml:space="preserve">suggest that </w:t>
      </w:r>
      <w:r w:rsidR="00E91230">
        <w:t xml:space="preserve">Model 2 makes </w:t>
      </w:r>
      <w:r w:rsidR="00A971C7">
        <w:t xml:space="preserve">reasonable </w:t>
      </w:r>
      <w:r w:rsidR="002F7D52" w:rsidRPr="00397C2B">
        <w:t xml:space="preserve">probability predictions </w:t>
      </w:r>
      <w:r w:rsidR="00201824">
        <w:t xml:space="preserve">for </w:t>
      </w:r>
      <w:r w:rsidR="00263515">
        <w:t>a recurrent TEE</w:t>
      </w:r>
      <w:r w:rsidR="00292B4A">
        <w:t>, given the sample data</w:t>
      </w:r>
      <w:r w:rsidR="002F7D52" w:rsidRPr="00397C2B">
        <w:t>.</w:t>
      </w:r>
      <w:r w:rsidR="00513AFF" w:rsidRPr="00397C2B">
        <w:t xml:space="preserve"> </w:t>
      </w:r>
      <w:r w:rsidR="002856E7">
        <w:t xml:space="preserve">For Model </w:t>
      </w:r>
      <w:r w:rsidR="00CE682E">
        <w:t>2</w:t>
      </w:r>
      <w:r w:rsidR="00603A94">
        <w:t xml:space="preserve">, </w:t>
      </w:r>
      <w:r w:rsidR="005D2E68">
        <w:t xml:space="preserve">the </w:t>
      </w:r>
      <w:r w:rsidR="002F7D52" w:rsidRPr="00397C2B">
        <w:t xml:space="preserve">Brier score </w:t>
      </w:r>
      <w:r w:rsidR="005D2E68">
        <w:t>i</w:t>
      </w:r>
      <w:r w:rsidR="002F7D52" w:rsidRPr="00397C2B">
        <w:t>s 0</w:t>
      </w:r>
      <w:r w:rsidR="00CF537E">
        <w:rPr>
          <w:rFonts w:ascii="Times" w:eastAsiaTheme="minorHAnsi" w:hAnsi="Times" w:cs="Times"/>
          <w:color w:val="000000"/>
          <w:sz w:val="18"/>
          <w:szCs w:val="18"/>
          <w:lang w:val="en-GB" w:eastAsia="en-US"/>
        </w:rPr>
        <w:t>·</w:t>
      </w:r>
      <w:r w:rsidR="002F7D52" w:rsidRPr="00397C2B">
        <w:t>08</w:t>
      </w:r>
      <w:r w:rsidR="00513AFF" w:rsidRPr="00397C2B">
        <w:t xml:space="preserve"> </w:t>
      </w:r>
      <w:r w:rsidR="00BF659F">
        <w:t>(Model</w:t>
      </w:r>
      <w:r w:rsidR="00556A50">
        <w:t xml:space="preserve"> </w:t>
      </w:r>
      <w:r w:rsidR="00CE682E">
        <w:t>4</w:t>
      </w:r>
      <w:r w:rsidR="00BF659F">
        <w:t xml:space="preserve"> Brier score= 0</w:t>
      </w:r>
      <w:r w:rsidR="00CF537E">
        <w:rPr>
          <w:rFonts w:ascii="Times" w:eastAsiaTheme="minorHAnsi" w:hAnsi="Times" w:cs="Times"/>
          <w:color w:val="000000"/>
          <w:sz w:val="18"/>
          <w:szCs w:val="18"/>
          <w:lang w:val="en-GB" w:eastAsia="en-US"/>
        </w:rPr>
        <w:t>·</w:t>
      </w:r>
      <w:r w:rsidR="00BF659F">
        <w:t xml:space="preserve">05) </w:t>
      </w:r>
      <w:r w:rsidR="00513AFF" w:rsidRPr="00397C2B">
        <w:t>and</w:t>
      </w:r>
      <w:r w:rsidR="002F7D52" w:rsidRPr="00397C2B">
        <w:t xml:space="preserve"> C-statistic is 0</w:t>
      </w:r>
      <w:r w:rsidR="00CF537E">
        <w:rPr>
          <w:rFonts w:ascii="Times" w:eastAsiaTheme="minorHAnsi" w:hAnsi="Times" w:cs="Times"/>
          <w:color w:val="000000"/>
          <w:sz w:val="18"/>
          <w:szCs w:val="18"/>
          <w:lang w:val="en-GB" w:eastAsia="en-US"/>
        </w:rPr>
        <w:t>·</w:t>
      </w:r>
      <w:r w:rsidR="002F7D52" w:rsidRPr="00397C2B">
        <w:t>61</w:t>
      </w:r>
      <w:r w:rsidR="00BF659F">
        <w:t xml:space="preserve"> (for </w:t>
      </w:r>
      <w:r w:rsidR="00A40028">
        <w:t xml:space="preserve">Model </w:t>
      </w:r>
      <w:r w:rsidR="00CE682E">
        <w:t>2 and 4</w:t>
      </w:r>
      <w:r w:rsidR="00941B31">
        <w:t>)</w:t>
      </w:r>
      <w:r w:rsidR="000C652A">
        <w:t xml:space="preserve">, further </w:t>
      </w:r>
      <w:r w:rsidR="0061650C" w:rsidRPr="00397C2B">
        <w:t xml:space="preserve">suggesting </w:t>
      </w:r>
      <w:r w:rsidR="00331BA4">
        <w:t xml:space="preserve">that the model is </w:t>
      </w:r>
      <w:r w:rsidR="00E74E50" w:rsidRPr="00397C2B">
        <w:t>useful</w:t>
      </w:r>
      <w:r w:rsidR="002F7D52" w:rsidRPr="00397C2B">
        <w:t xml:space="preserve"> at predicting the chances of a further </w:t>
      </w:r>
      <w:r w:rsidR="001D29CA">
        <w:t xml:space="preserve">TEE </w:t>
      </w:r>
      <w:r w:rsidR="002F7D52" w:rsidRPr="00397C2B">
        <w:t>event</w:t>
      </w:r>
      <w:r w:rsidR="00034D1D">
        <w:t>.</w:t>
      </w:r>
      <w:r w:rsidR="006D4B4E">
        <w:t xml:space="preserve"> </w:t>
      </w:r>
      <w:r w:rsidR="00E72087">
        <w:t xml:space="preserve"> </w:t>
      </w:r>
      <w:r w:rsidR="005D2E68">
        <w:t xml:space="preserve"> </w:t>
      </w:r>
    </w:p>
    <w:p w14:paraId="7C019582" w14:textId="77777777" w:rsidR="004405BE" w:rsidRPr="00397C2B" w:rsidRDefault="004405BE" w:rsidP="00CE4D33">
      <w:pPr>
        <w:spacing w:line="360" w:lineRule="auto"/>
        <w:rPr>
          <w:color w:val="000000" w:themeColor="text1"/>
        </w:rPr>
      </w:pPr>
    </w:p>
    <w:p w14:paraId="45772405" w14:textId="251F2867" w:rsidR="00536103" w:rsidRPr="00397C2B" w:rsidRDefault="00554B45" w:rsidP="00A008A0">
      <w:pPr>
        <w:spacing w:line="360" w:lineRule="auto"/>
        <w:rPr>
          <w:b/>
          <w:bCs/>
          <w:color w:val="000000" w:themeColor="text1"/>
        </w:rPr>
      </w:pPr>
      <w:r w:rsidRPr="00397C2B">
        <w:rPr>
          <w:b/>
          <w:bCs/>
          <w:color w:val="000000" w:themeColor="text1"/>
        </w:rPr>
        <w:t xml:space="preserve">Impact of </w:t>
      </w:r>
      <w:proofErr w:type="spellStart"/>
      <w:r w:rsidRPr="00397C2B">
        <w:rPr>
          <w:b/>
          <w:bCs/>
          <w:color w:val="000000" w:themeColor="text1"/>
        </w:rPr>
        <w:t>IVIg</w:t>
      </w:r>
      <w:proofErr w:type="spellEnd"/>
      <w:r w:rsidRPr="00397C2B">
        <w:rPr>
          <w:b/>
          <w:bCs/>
          <w:color w:val="000000" w:themeColor="text1"/>
        </w:rPr>
        <w:t xml:space="preserve"> on Overall Risk of </w:t>
      </w:r>
      <w:r w:rsidR="00C1505E" w:rsidRPr="00397C2B">
        <w:rPr>
          <w:b/>
          <w:bCs/>
          <w:color w:val="000000" w:themeColor="text1"/>
        </w:rPr>
        <w:t xml:space="preserve">Recurrent TEE in Patients </w:t>
      </w:r>
    </w:p>
    <w:p w14:paraId="03519146" w14:textId="7C5BDFCD" w:rsidR="00554B45" w:rsidRDefault="00F101F2">
      <w:pPr>
        <w:spacing w:line="360" w:lineRule="auto"/>
        <w:rPr>
          <w:color w:val="000000" w:themeColor="text1"/>
        </w:rPr>
      </w:pPr>
      <w:r>
        <w:rPr>
          <w:color w:val="000000" w:themeColor="text1"/>
        </w:rPr>
        <w:t xml:space="preserve">Our </w:t>
      </w:r>
      <w:r w:rsidR="00392342">
        <w:rPr>
          <w:color w:val="000000" w:themeColor="text1"/>
        </w:rPr>
        <w:t xml:space="preserve">analysis </w:t>
      </w:r>
      <w:r>
        <w:rPr>
          <w:color w:val="000000" w:themeColor="text1"/>
        </w:rPr>
        <w:t xml:space="preserve">focuses on </w:t>
      </w:r>
      <w:r w:rsidR="00392342">
        <w:rPr>
          <w:color w:val="000000" w:themeColor="text1"/>
        </w:rPr>
        <w:t xml:space="preserve">Model </w:t>
      </w:r>
      <w:r>
        <w:rPr>
          <w:color w:val="000000" w:themeColor="text1"/>
        </w:rPr>
        <w:t>2</w:t>
      </w:r>
      <w:r w:rsidR="00392342">
        <w:rPr>
          <w:color w:val="000000" w:themeColor="text1"/>
        </w:rPr>
        <w:t xml:space="preserve"> </w:t>
      </w:r>
      <w:r w:rsidR="0012185B">
        <w:rPr>
          <w:color w:val="000000" w:themeColor="text1"/>
        </w:rPr>
        <w:t xml:space="preserve">rather than Model 4, </w:t>
      </w:r>
      <w:r w:rsidR="00DB5260">
        <w:rPr>
          <w:color w:val="000000" w:themeColor="text1"/>
        </w:rPr>
        <w:t xml:space="preserve">because </w:t>
      </w:r>
      <w:r w:rsidR="006C7DDD">
        <w:rPr>
          <w:color w:val="000000" w:themeColor="text1"/>
        </w:rPr>
        <w:t xml:space="preserve">Dataset 1 </w:t>
      </w:r>
      <w:r w:rsidR="00AD5E62">
        <w:rPr>
          <w:color w:val="000000" w:themeColor="text1"/>
        </w:rPr>
        <w:t xml:space="preserve">is </w:t>
      </w:r>
      <w:r w:rsidR="00327E7C">
        <w:rPr>
          <w:color w:val="000000" w:themeColor="text1"/>
        </w:rPr>
        <w:t>a</w:t>
      </w:r>
      <w:r w:rsidR="00392342">
        <w:rPr>
          <w:color w:val="000000" w:themeColor="text1"/>
        </w:rPr>
        <w:t xml:space="preserve"> more conservative </w:t>
      </w:r>
      <w:r w:rsidR="00B52FC4">
        <w:rPr>
          <w:color w:val="000000" w:themeColor="text1"/>
        </w:rPr>
        <w:t xml:space="preserve">data set </w:t>
      </w:r>
      <w:r w:rsidR="00373E07">
        <w:rPr>
          <w:color w:val="000000" w:themeColor="text1"/>
        </w:rPr>
        <w:t xml:space="preserve">(or </w:t>
      </w:r>
      <w:r w:rsidR="00494751">
        <w:rPr>
          <w:color w:val="000000" w:themeColor="text1"/>
        </w:rPr>
        <w:t xml:space="preserve">more </w:t>
      </w:r>
      <w:r w:rsidR="003B51BF">
        <w:rPr>
          <w:color w:val="000000" w:themeColor="text1"/>
        </w:rPr>
        <w:t>“</w:t>
      </w:r>
      <w:r w:rsidR="00373E07">
        <w:rPr>
          <w:color w:val="000000" w:themeColor="text1"/>
        </w:rPr>
        <w:t>objective</w:t>
      </w:r>
      <w:r w:rsidR="003B51BF">
        <w:rPr>
          <w:color w:val="000000" w:themeColor="text1"/>
        </w:rPr>
        <w:t>”</w:t>
      </w:r>
      <w:r w:rsidR="00494751">
        <w:rPr>
          <w:color w:val="000000" w:themeColor="text1"/>
        </w:rPr>
        <w:t xml:space="preserve"> </w:t>
      </w:r>
      <w:r w:rsidR="006C7DDD">
        <w:rPr>
          <w:color w:val="000000" w:themeColor="text1"/>
        </w:rPr>
        <w:t>because Dataset 2 includes patient-reported events</w:t>
      </w:r>
      <w:r w:rsidR="00373E07">
        <w:rPr>
          <w:color w:val="000000" w:themeColor="text1"/>
        </w:rPr>
        <w:t>)</w:t>
      </w:r>
      <w:r w:rsidR="00392342">
        <w:rPr>
          <w:color w:val="000000" w:themeColor="text1"/>
        </w:rPr>
        <w:t xml:space="preserve">. </w:t>
      </w:r>
      <w:r w:rsidR="00B37792" w:rsidRPr="00397C2B">
        <w:rPr>
          <w:color w:val="000000" w:themeColor="text1"/>
        </w:rPr>
        <w:t>In this community</w:t>
      </w:r>
      <w:r w:rsidR="002F7D52" w:rsidRPr="00397C2B">
        <w:rPr>
          <w:color w:val="000000" w:themeColor="text1"/>
        </w:rPr>
        <w:t>-</w:t>
      </w:r>
      <w:r w:rsidR="00B37792" w:rsidRPr="00397C2B">
        <w:rPr>
          <w:color w:val="000000" w:themeColor="text1"/>
        </w:rPr>
        <w:t>based cohort</w:t>
      </w:r>
      <w:r w:rsidR="00327E7C">
        <w:rPr>
          <w:color w:val="000000" w:themeColor="text1"/>
        </w:rPr>
        <w:t>,</w:t>
      </w:r>
      <w:r w:rsidR="00B37792" w:rsidRPr="00397C2B">
        <w:rPr>
          <w:color w:val="000000" w:themeColor="text1"/>
        </w:rPr>
        <w:t xml:space="preserve"> there was a broad variation in individual risk</w:t>
      </w:r>
      <w:r w:rsidR="00C1505E" w:rsidRPr="00397C2B">
        <w:rPr>
          <w:color w:val="000000" w:themeColor="text1"/>
        </w:rPr>
        <w:t xml:space="preserve"> from 2</w:t>
      </w:r>
      <w:r w:rsidR="00884E0E" w:rsidRPr="00397C2B">
        <w:rPr>
          <w:color w:val="000000" w:themeColor="text1"/>
        </w:rPr>
        <w:t xml:space="preserve"> to &gt;</w:t>
      </w:r>
      <w:r w:rsidR="00C1505E" w:rsidRPr="00397C2B">
        <w:rPr>
          <w:color w:val="000000" w:themeColor="text1"/>
        </w:rPr>
        <w:t>40% (median estimated risk, 8%). In fact, 72</w:t>
      </w:r>
      <w:r w:rsidR="00CF537E">
        <w:rPr>
          <w:rFonts w:ascii="Times" w:eastAsiaTheme="minorHAnsi" w:hAnsi="Times" w:cs="Times"/>
          <w:color w:val="000000"/>
          <w:sz w:val="18"/>
          <w:szCs w:val="18"/>
          <w:lang w:val="en-GB" w:eastAsia="en-US"/>
        </w:rPr>
        <w:t>·</w:t>
      </w:r>
      <w:r w:rsidR="00C1505E" w:rsidRPr="00397C2B">
        <w:rPr>
          <w:color w:val="000000" w:themeColor="text1"/>
        </w:rPr>
        <w:t xml:space="preserve">8% of participants </w:t>
      </w:r>
      <w:r w:rsidR="005D2E68">
        <w:rPr>
          <w:color w:val="000000" w:themeColor="text1"/>
        </w:rPr>
        <w:t>we</w:t>
      </w:r>
      <w:r w:rsidR="00C1505E" w:rsidRPr="00397C2B">
        <w:rPr>
          <w:color w:val="000000" w:themeColor="text1"/>
        </w:rPr>
        <w:t xml:space="preserve">re at </w:t>
      </w:r>
      <w:r w:rsidR="005730B3" w:rsidRPr="00397C2B">
        <w:rPr>
          <w:color w:val="000000" w:themeColor="text1"/>
        </w:rPr>
        <w:t>relatively</w:t>
      </w:r>
      <w:r w:rsidR="00C1505E" w:rsidRPr="00397C2B">
        <w:rPr>
          <w:color w:val="000000" w:themeColor="text1"/>
        </w:rPr>
        <w:t xml:space="preserve"> low</w:t>
      </w:r>
      <w:r w:rsidR="005730B3" w:rsidRPr="00397C2B">
        <w:rPr>
          <w:color w:val="000000" w:themeColor="text1"/>
        </w:rPr>
        <w:t xml:space="preserve"> risk (</w:t>
      </w:r>
      <w:r w:rsidR="00C1505E" w:rsidRPr="00397C2B">
        <w:rPr>
          <w:color w:val="000000" w:themeColor="text1"/>
        </w:rPr>
        <w:t>&lt;10%</w:t>
      </w:r>
      <w:r w:rsidR="005730B3" w:rsidRPr="00397C2B">
        <w:rPr>
          <w:color w:val="000000" w:themeColor="text1"/>
        </w:rPr>
        <w:t xml:space="preserve">) whereas only </w:t>
      </w:r>
      <w:r w:rsidR="004E4BB3">
        <w:rPr>
          <w:color w:val="000000" w:themeColor="text1"/>
        </w:rPr>
        <w:t>0</w:t>
      </w:r>
      <w:r w:rsidR="00873FB2">
        <w:rPr>
          <w:rFonts w:ascii="Times" w:eastAsiaTheme="minorHAnsi" w:hAnsi="Times" w:cs="Times"/>
          <w:color w:val="000000"/>
          <w:sz w:val="18"/>
          <w:szCs w:val="18"/>
          <w:lang w:val="en-GB" w:eastAsia="en-US"/>
        </w:rPr>
        <w:t>·</w:t>
      </w:r>
      <w:r w:rsidR="004E4BB3">
        <w:rPr>
          <w:color w:val="000000" w:themeColor="text1"/>
        </w:rPr>
        <w:t>02</w:t>
      </w:r>
      <w:r w:rsidR="005730B3" w:rsidRPr="00397C2B">
        <w:rPr>
          <w:color w:val="000000" w:themeColor="text1"/>
        </w:rPr>
        <w:t xml:space="preserve">% were in </w:t>
      </w:r>
      <w:r w:rsidR="007524F1">
        <w:rPr>
          <w:color w:val="000000" w:themeColor="text1"/>
        </w:rPr>
        <w:t xml:space="preserve">the </w:t>
      </w:r>
      <w:r w:rsidR="0076453E">
        <w:rPr>
          <w:color w:val="000000" w:themeColor="text1"/>
        </w:rPr>
        <w:t>highest</w:t>
      </w:r>
      <w:r w:rsidR="005730B3" w:rsidRPr="00397C2B">
        <w:rPr>
          <w:color w:val="000000" w:themeColor="text1"/>
        </w:rPr>
        <w:t xml:space="preserve"> risk group </w:t>
      </w:r>
      <w:r w:rsidR="0076453E">
        <w:rPr>
          <w:color w:val="000000" w:themeColor="text1"/>
        </w:rPr>
        <w:t>in primary prevention</w:t>
      </w:r>
      <w:r w:rsidR="007524F1">
        <w:rPr>
          <w:color w:val="000000" w:themeColor="text1"/>
        </w:rPr>
        <w:t xml:space="preserve">, </w:t>
      </w:r>
      <w:r w:rsidR="005730B3" w:rsidRPr="00397C2B">
        <w:rPr>
          <w:color w:val="000000" w:themeColor="text1"/>
        </w:rPr>
        <w:t>(&gt; 30%</w:t>
      </w:r>
      <w:proofErr w:type="gramStart"/>
      <w:r w:rsidR="005730B3" w:rsidRPr="00397C2B">
        <w:rPr>
          <w:color w:val="000000" w:themeColor="text1"/>
        </w:rPr>
        <w:t>).</w:t>
      </w:r>
      <w:r w:rsidR="001C05E2">
        <w:rPr>
          <w:color w:val="000000" w:themeColor="text1"/>
        </w:rPr>
        <w:t>{</w:t>
      </w:r>
      <w:proofErr w:type="spellStart"/>
      <w:proofErr w:type="gramEnd"/>
      <w:r w:rsidR="001C05E2">
        <w:rPr>
          <w:color w:val="000000" w:themeColor="text1"/>
        </w:rPr>
        <w:t>Hippisley</w:t>
      </w:r>
      <w:proofErr w:type="spellEnd"/>
      <w:r w:rsidR="001C05E2">
        <w:rPr>
          <w:color w:val="000000" w:themeColor="text1"/>
        </w:rPr>
        <w:t>-Cox, 2008 #9035}</w:t>
      </w:r>
      <w:r w:rsidR="005730B3" w:rsidRPr="00397C2B">
        <w:rPr>
          <w:color w:val="000000" w:themeColor="text1"/>
        </w:rPr>
        <w:t xml:space="preserve"> </w:t>
      </w:r>
      <w:commentRangeStart w:id="0"/>
      <w:commentRangeEnd w:id="0"/>
    </w:p>
    <w:p w14:paraId="6EE6AE97" w14:textId="6EBC1FF5" w:rsidR="00B87382" w:rsidRDefault="00B87382">
      <w:pPr>
        <w:spacing w:line="360" w:lineRule="auto"/>
        <w:rPr>
          <w:color w:val="000000" w:themeColor="text1"/>
        </w:rPr>
      </w:pPr>
    </w:p>
    <w:p w14:paraId="4ED6EC90" w14:textId="10B49A36" w:rsidR="00CF0C7D" w:rsidRDefault="002F7D52">
      <w:pPr>
        <w:spacing w:line="360" w:lineRule="auto"/>
        <w:rPr>
          <w:color w:val="000000" w:themeColor="text1"/>
        </w:rPr>
      </w:pPr>
      <w:r w:rsidRPr="00397C2B">
        <w:rPr>
          <w:color w:val="000000" w:themeColor="text1"/>
        </w:rPr>
        <w:t xml:space="preserve">According to </w:t>
      </w:r>
      <w:r w:rsidR="005B689B">
        <w:rPr>
          <w:color w:val="000000" w:themeColor="text1"/>
        </w:rPr>
        <w:t>M</w:t>
      </w:r>
      <w:r w:rsidR="0061650C" w:rsidRPr="00397C2B">
        <w:rPr>
          <w:color w:val="000000" w:themeColor="text1"/>
        </w:rPr>
        <w:t>odel</w:t>
      </w:r>
      <w:r w:rsidR="005B689B">
        <w:rPr>
          <w:color w:val="000000" w:themeColor="text1"/>
        </w:rPr>
        <w:t xml:space="preserve"> 2</w:t>
      </w:r>
      <w:r w:rsidR="0061650C" w:rsidRPr="00397C2B">
        <w:rPr>
          <w:color w:val="000000" w:themeColor="text1"/>
        </w:rPr>
        <w:t>,</w:t>
      </w:r>
      <w:r w:rsidRPr="00397C2B">
        <w:rPr>
          <w:color w:val="000000" w:themeColor="text1"/>
        </w:rPr>
        <w:t xml:space="preserve"> </w:t>
      </w:r>
      <w:proofErr w:type="spellStart"/>
      <w:r w:rsidR="005730B3" w:rsidRPr="00397C2B">
        <w:rPr>
          <w:color w:val="000000" w:themeColor="text1"/>
        </w:rPr>
        <w:t>IVIg</w:t>
      </w:r>
      <w:proofErr w:type="spellEnd"/>
      <w:r w:rsidR="005730B3" w:rsidRPr="00397C2B">
        <w:rPr>
          <w:color w:val="000000" w:themeColor="text1"/>
        </w:rPr>
        <w:t xml:space="preserve"> </w:t>
      </w:r>
      <w:r w:rsidRPr="00397C2B">
        <w:rPr>
          <w:color w:val="000000" w:themeColor="text1"/>
        </w:rPr>
        <w:t xml:space="preserve">exposure </w:t>
      </w:r>
      <w:r w:rsidR="005730B3" w:rsidRPr="00397C2B">
        <w:rPr>
          <w:color w:val="000000" w:themeColor="text1"/>
        </w:rPr>
        <w:t xml:space="preserve">would have a substantial impact on the proportion of </w:t>
      </w:r>
      <w:r w:rsidR="00823116" w:rsidRPr="00397C2B">
        <w:rPr>
          <w:color w:val="000000" w:themeColor="text1"/>
        </w:rPr>
        <w:t xml:space="preserve">participants </w:t>
      </w:r>
      <w:r w:rsidR="005730B3" w:rsidRPr="00397C2B">
        <w:rPr>
          <w:color w:val="000000" w:themeColor="text1"/>
        </w:rPr>
        <w:t>at high risk</w:t>
      </w:r>
      <w:r w:rsidR="00C75619" w:rsidRPr="00397C2B">
        <w:rPr>
          <w:color w:val="000000" w:themeColor="text1"/>
        </w:rPr>
        <w:t>.</w:t>
      </w:r>
      <w:r w:rsidR="00823116" w:rsidRPr="00397C2B">
        <w:rPr>
          <w:color w:val="000000" w:themeColor="text1"/>
        </w:rPr>
        <w:t xml:space="preserve"> </w:t>
      </w:r>
      <w:r w:rsidR="003F033B">
        <w:rPr>
          <w:color w:val="000000" w:themeColor="text1"/>
        </w:rPr>
        <w:t xml:space="preserve">If we assume that the OR for </w:t>
      </w:r>
      <w:proofErr w:type="spellStart"/>
      <w:r w:rsidR="003F033B">
        <w:rPr>
          <w:color w:val="000000" w:themeColor="text1"/>
        </w:rPr>
        <w:t>IVIg</w:t>
      </w:r>
      <w:proofErr w:type="spellEnd"/>
      <w:r w:rsidR="003F033B">
        <w:rPr>
          <w:color w:val="000000" w:themeColor="text1"/>
        </w:rPr>
        <w:t xml:space="preserve"> in Model 2 applies, then t</w:t>
      </w:r>
      <w:r w:rsidR="00823116" w:rsidRPr="00397C2B">
        <w:rPr>
          <w:color w:val="000000" w:themeColor="text1"/>
        </w:rPr>
        <w:t>he median risk of recurrent event in those under 60 years of age increase</w:t>
      </w:r>
      <w:r w:rsidR="005D2E68">
        <w:rPr>
          <w:color w:val="000000" w:themeColor="text1"/>
        </w:rPr>
        <w:t>s</w:t>
      </w:r>
      <w:r w:rsidR="00823116" w:rsidRPr="00397C2B">
        <w:rPr>
          <w:color w:val="000000" w:themeColor="text1"/>
        </w:rPr>
        <w:t xml:space="preserve"> from 6</w:t>
      </w:r>
      <w:r w:rsidR="00CF537E">
        <w:rPr>
          <w:rFonts w:ascii="Times" w:eastAsiaTheme="minorHAnsi" w:hAnsi="Times" w:cs="Times"/>
          <w:color w:val="000000"/>
          <w:sz w:val="18"/>
          <w:szCs w:val="18"/>
          <w:lang w:val="en-GB" w:eastAsia="en-US"/>
        </w:rPr>
        <w:t>·</w:t>
      </w:r>
      <w:r w:rsidR="00E27301">
        <w:rPr>
          <w:color w:val="000000" w:themeColor="text1"/>
        </w:rPr>
        <w:t>1</w:t>
      </w:r>
      <w:r w:rsidR="00823116" w:rsidRPr="00397C2B">
        <w:rPr>
          <w:color w:val="000000" w:themeColor="text1"/>
        </w:rPr>
        <w:t xml:space="preserve">% to </w:t>
      </w:r>
      <w:r w:rsidR="00E27301">
        <w:rPr>
          <w:color w:val="000000" w:themeColor="text1"/>
        </w:rPr>
        <w:t>19</w:t>
      </w:r>
      <w:r w:rsidR="00823116" w:rsidRPr="00397C2B">
        <w:rPr>
          <w:color w:val="000000" w:themeColor="text1"/>
        </w:rPr>
        <w:t xml:space="preserve">% and in those over 60 from </w:t>
      </w:r>
      <w:r w:rsidR="00E27301">
        <w:rPr>
          <w:color w:val="000000" w:themeColor="text1"/>
        </w:rPr>
        <w:t>9</w:t>
      </w:r>
      <w:r w:rsidR="00CF537E">
        <w:rPr>
          <w:rFonts w:ascii="Times" w:eastAsiaTheme="minorHAnsi" w:hAnsi="Times" w:cs="Times"/>
          <w:color w:val="000000"/>
          <w:sz w:val="18"/>
          <w:szCs w:val="18"/>
          <w:lang w:val="en-GB" w:eastAsia="en-US"/>
        </w:rPr>
        <w:t>·</w:t>
      </w:r>
      <w:r w:rsidR="00E27301">
        <w:rPr>
          <w:rFonts w:ascii="Times" w:eastAsiaTheme="minorHAnsi" w:hAnsi="Times" w:cs="Times"/>
          <w:color w:val="000000"/>
          <w:sz w:val="18"/>
          <w:szCs w:val="18"/>
          <w:lang w:val="en-GB" w:eastAsia="en-US"/>
        </w:rPr>
        <w:t>1</w:t>
      </w:r>
      <w:r w:rsidR="00823116" w:rsidRPr="00397C2B">
        <w:rPr>
          <w:color w:val="000000" w:themeColor="text1"/>
        </w:rPr>
        <w:t>% to 26</w:t>
      </w:r>
      <w:r w:rsidR="00E27301">
        <w:rPr>
          <w:color w:val="000000" w:themeColor="text1"/>
        </w:rPr>
        <w:t>.9</w:t>
      </w:r>
      <w:r w:rsidR="00823116" w:rsidRPr="00397C2B">
        <w:rPr>
          <w:color w:val="000000" w:themeColor="text1"/>
        </w:rPr>
        <w:t>% (</w:t>
      </w:r>
      <w:r w:rsidRPr="00397C2B">
        <w:rPr>
          <w:color w:val="000000" w:themeColor="text1"/>
        </w:rPr>
        <w:t>moving</w:t>
      </w:r>
      <w:r w:rsidR="00823116" w:rsidRPr="00397C2B">
        <w:rPr>
          <w:color w:val="000000" w:themeColor="text1"/>
        </w:rPr>
        <w:t xml:space="preserve"> nearly 50% of </w:t>
      </w:r>
      <w:r w:rsidRPr="00397C2B">
        <w:rPr>
          <w:color w:val="000000" w:themeColor="text1"/>
        </w:rPr>
        <w:t>individuals into</w:t>
      </w:r>
      <w:r w:rsidR="00823116" w:rsidRPr="00397C2B">
        <w:rPr>
          <w:color w:val="000000" w:themeColor="text1"/>
        </w:rPr>
        <w:t xml:space="preserve"> the </w:t>
      </w:r>
      <w:r w:rsidR="00D16F73" w:rsidRPr="00397C2B">
        <w:rPr>
          <w:color w:val="000000" w:themeColor="text1"/>
        </w:rPr>
        <w:t>high-risk</w:t>
      </w:r>
      <w:r w:rsidR="00823116" w:rsidRPr="00397C2B">
        <w:rPr>
          <w:color w:val="000000" w:themeColor="text1"/>
        </w:rPr>
        <w:t xml:space="preserve"> category). </w:t>
      </w:r>
      <w:r w:rsidR="00880C3E">
        <w:rPr>
          <w:color w:val="000000" w:themeColor="text1"/>
        </w:rPr>
        <w:t>A s</w:t>
      </w:r>
      <w:r w:rsidR="00823116" w:rsidRPr="00397C2B">
        <w:rPr>
          <w:color w:val="000000" w:themeColor="text1"/>
        </w:rPr>
        <w:t xml:space="preserve">imilar change in risk </w:t>
      </w:r>
      <w:r w:rsidR="005D2E68">
        <w:rPr>
          <w:color w:val="000000" w:themeColor="text1"/>
        </w:rPr>
        <w:t>wa</w:t>
      </w:r>
      <w:r w:rsidR="00823116" w:rsidRPr="00397C2B">
        <w:rPr>
          <w:color w:val="000000" w:themeColor="text1"/>
        </w:rPr>
        <w:t xml:space="preserve">s seen if the cohort </w:t>
      </w:r>
      <w:r w:rsidR="005D2E68">
        <w:rPr>
          <w:color w:val="000000" w:themeColor="text1"/>
        </w:rPr>
        <w:t>wa</w:t>
      </w:r>
      <w:r w:rsidR="00823116" w:rsidRPr="00397C2B">
        <w:rPr>
          <w:color w:val="000000" w:themeColor="text1"/>
        </w:rPr>
        <w:t>s divided by gender</w:t>
      </w:r>
      <w:r w:rsidR="00FA4021">
        <w:rPr>
          <w:color w:val="000000" w:themeColor="text1"/>
        </w:rPr>
        <w:t xml:space="preserve"> (Figure </w:t>
      </w:r>
      <w:r w:rsidR="00042588">
        <w:rPr>
          <w:color w:val="000000" w:themeColor="text1"/>
        </w:rPr>
        <w:t>3</w:t>
      </w:r>
      <w:r w:rsidR="00FA4021">
        <w:rPr>
          <w:color w:val="000000" w:themeColor="text1"/>
        </w:rPr>
        <w:t>)</w:t>
      </w:r>
      <w:r w:rsidR="00823116" w:rsidRPr="00397C2B">
        <w:rPr>
          <w:color w:val="000000" w:themeColor="text1"/>
        </w:rPr>
        <w:t xml:space="preserve">. </w:t>
      </w:r>
    </w:p>
    <w:p w14:paraId="40B4EE7D" w14:textId="77777777" w:rsidR="00C4230A" w:rsidRPr="00397C2B" w:rsidRDefault="00C4230A" w:rsidP="00CE4D33">
      <w:pPr>
        <w:spacing w:line="360" w:lineRule="auto"/>
        <w:rPr>
          <w:color w:val="000000" w:themeColor="text1"/>
        </w:rPr>
      </w:pPr>
    </w:p>
    <w:p w14:paraId="11811C28" w14:textId="009D36AA" w:rsidR="00E44926" w:rsidRDefault="00C44C6D">
      <w:pPr>
        <w:spacing w:line="360" w:lineRule="auto"/>
        <w:rPr>
          <w:color w:val="000000" w:themeColor="text1"/>
        </w:rPr>
      </w:pPr>
      <w:r>
        <w:rPr>
          <w:color w:val="000000" w:themeColor="text1"/>
        </w:rPr>
        <w:t>For Model 2, t</w:t>
      </w:r>
      <w:r w:rsidR="00C02AAC" w:rsidRPr="00397C2B">
        <w:rPr>
          <w:color w:val="000000" w:themeColor="text1"/>
        </w:rPr>
        <w:t>he number needed to harm</w:t>
      </w:r>
      <w:r w:rsidR="00B478B3">
        <w:rPr>
          <w:color w:val="000000" w:themeColor="text1"/>
        </w:rPr>
        <w:t xml:space="preserve"> (NNH)</w:t>
      </w:r>
      <w:r w:rsidR="00C02AAC" w:rsidRPr="00397C2B">
        <w:rPr>
          <w:color w:val="000000" w:themeColor="text1"/>
        </w:rPr>
        <w:t xml:space="preserve"> was calculated at </w:t>
      </w:r>
      <w:r w:rsidR="0061650C" w:rsidRPr="00397C2B">
        <w:rPr>
          <w:color w:val="000000" w:themeColor="text1"/>
        </w:rPr>
        <w:t>5</w:t>
      </w:r>
      <w:r w:rsidR="00CF537E">
        <w:rPr>
          <w:rFonts w:ascii="Times" w:eastAsiaTheme="minorHAnsi" w:hAnsi="Times" w:cs="Times"/>
          <w:color w:val="000000"/>
          <w:sz w:val="18"/>
          <w:szCs w:val="18"/>
          <w:lang w:val="en-GB" w:eastAsia="en-US"/>
        </w:rPr>
        <w:t>·</w:t>
      </w:r>
      <w:r w:rsidR="0061650C" w:rsidRPr="00397C2B">
        <w:rPr>
          <w:color w:val="000000" w:themeColor="text1"/>
        </w:rPr>
        <w:t>8</w:t>
      </w:r>
      <w:r w:rsidR="00C02AAC" w:rsidRPr="00397C2B">
        <w:rPr>
          <w:color w:val="000000" w:themeColor="text1"/>
        </w:rPr>
        <w:t xml:space="preserve"> (95% CI, 2-88)</w:t>
      </w:r>
      <w:r w:rsidR="0061650C" w:rsidRPr="00397C2B">
        <w:rPr>
          <w:color w:val="000000" w:themeColor="text1"/>
        </w:rPr>
        <w:t xml:space="preserve">, or one further TEE for every 6 individuals with previous history of TEE </w:t>
      </w:r>
      <w:r w:rsidR="0036048A">
        <w:rPr>
          <w:color w:val="000000" w:themeColor="text1"/>
        </w:rPr>
        <w:t>on</w:t>
      </w:r>
      <w:r w:rsidR="0036048A" w:rsidRPr="00397C2B">
        <w:rPr>
          <w:color w:val="000000" w:themeColor="text1"/>
        </w:rPr>
        <w:t xml:space="preserve"> expo</w:t>
      </w:r>
      <w:r w:rsidR="0036048A">
        <w:rPr>
          <w:color w:val="000000" w:themeColor="text1"/>
        </w:rPr>
        <w:t>sure</w:t>
      </w:r>
      <w:r w:rsidR="0061650C" w:rsidRPr="00397C2B">
        <w:rPr>
          <w:color w:val="000000" w:themeColor="text1"/>
        </w:rPr>
        <w:t xml:space="preserve"> to </w:t>
      </w:r>
      <w:proofErr w:type="spellStart"/>
      <w:r w:rsidR="0061650C" w:rsidRPr="00397C2B">
        <w:rPr>
          <w:color w:val="000000" w:themeColor="text1"/>
        </w:rPr>
        <w:t>IVIg</w:t>
      </w:r>
      <w:proofErr w:type="spellEnd"/>
      <w:r w:rsidR="0061650C" w:rsidRPr="00397C2B">
        <w:rPr>
          <w:color w:val="000000" w:themeColor="text1"/>
        </w:rPr>
        <w:t>.</w:t>
      </w:r>
    </w:p>
    <w:p w14:paraId="6EB1340B" w14:textId="77777777" w:rsidR="00C44C6D" w:rsidRPr="00397C2B" w:rsidRDefault="00C44C6D" w:rsidP="00CE4D33">
      <w:pPr>
        <w:spacing w:line="360" w:lineRule="auto"/>
        <w:rPr>
          <w:color w:val="000000" w:themeColor="text1"/>
        </w:rPr>
      </w:pPr>
    </w:p>
    <w:p w14:paraId="51278479" w14:textId="63A9BC0B" w:rsidR="00513AFF" w:rsidRPr="00397C2B" w:rsidRDefault="00513AFF" w:rsidP="00CE4D33">
      <w:pPr>
        <w:spacing w:line="360" w:lineRule="auto"/>
        <w:rPr>
          <w:color w:val="000000" w:themeColor="text1"/>
          <w:shd w:val="clear" w:color="auto" w:fill="FFFFFF"/>
        </w:rPr>
      </w:pPr>
      <w:r w:rsidRPr="00397C2B">
        <w:rPr>
          <w:color w:val="000000" w:themeColor="text1"/>
        </w:rPr>
        <w:t xml:space="preserve">We explored the impact of </w:t>
      </w:r>
      <w:proofErr w:type="spellStart"/>
      <w:r w:rsidRPr="00397C2B">
        <w:rPr>
          <w:color w:val="000000" w:themeColor="text1"/>
        </w:rPr>
        <w:t>IVIg</w:t>
      </w:r>
      <w:proofErr w:type="spellEnd"/>
      <w:r w:rsidRPr="00397C2B">
        <w:rPr>
          <w:color w:val="000000" w:themeColor="text1"/>
        </w:rPr>
        <w:t xml:space="preserve"> exposure plus one, two or three risk factors (combinations of hypertension, hypercholesterolemia, and diabetes) to stratify those at highest risk. However, </w:t>
      </w:r>
      <w:r w:rsidRPr="00397C2B">
        <w:rPr>
          <w:color w:val="000000" w:themeColor="text1"/>
        </w:rPr>
        <w:lastRenderedPageBreak/>
        <w:t>statistical significance was not reached,</w:t>
      </w:r>
      <w:r w:rsidR="00D45942">
        <w:rPr>
          <w:color w:val="000000" w:themeColor="text1"/>
        </w:rPr>
        <w:t xml:space="preserve"> probably</w:t>
      </w:r>
      <w:r w:rsidRPr="00397C2B">
        <w:rPr>
          <w:color w:val="000000" w:themeColor="text1"/>
        </w:rPr>
        <w:t xml:space="preserve"> limited by small number of participants in these subgroups. </w:t>
      </w:r>
      <w:r w:rsidRPr="00397C2B">
        <w:rPr>
          <w:color w:val="000000" w:themeColor="text1"/>
          <w:shd w:val="clear" w:color="auto" w:fill="FFFFFF"/>
        </w:rPr>
        <w:t xml:space="preserve">Similarly, small numbers limited secondary analyses of the impact of risk factor modification (anti-hypertensive, anti-platelet, oral hypoglycaemic, statin treatment) on TEE risk with </w:t>
      </w:r>
      <w:proofErr w:type="spellStart"/>
      <w:r w:rsidRPr="00397C2B">
        <w:rPr>
          <w:color w:val="000000" w:themeColor="text1"/>
          <w:shd w:val="clear" w:color="auto" w:fill="FFFFFF"/>
        </w:rPr>
        <w:t>IVIg</w:t>
      </w:r>
      <w:proofErr w:type="spellEnd"/>
      <w:r w:rsidRPr="00397C2B">
        <w:rPr>
          <w:color w:val="000000" w:themeColor="text1"/>
          <w:shd w:val="clear" w:color="auto" w:fill="FFFFFF"/>
        </w:rPr>
        <w:t xml:space="preserve"> exposure. </w:t>
      </w:r>
    </w:p>
    <w:p w14:paraId="76799630" w14:textId="77777777" w:rsidR="0082282E" w:rsidRDefault="0082282E" w:rsidP="0018480B">
      <w:pPr>
        <w:spacing w:line="360" w:lineRule="auto"/>
        <w:rPr>
          <w:rFonts w:eastAsiaTheme="minorHAnsi"/>
          <w:b/>
          <w:bCs/>
          <w:color w:val="000000" w:themeColor="text1"/>
          <w:lang w:val="en-GB" w:eastAsia="en-US"/>
        </w:rPr>
      </w:pPr>
    </w:p>
    <w:p w14:paraId="45B873EE" w14:textId="016E1072" w:rsidR="00E40CE3" w:rsidRPr="00397C2B" w:rsidRDefault="00E40CE3" w:rsidP="00CE4D33">
      <w:pPr>
        <w:spacing w:line="360" w:lineRule="auto"/>
        <w:rPr>
          <w:rFonts w:eastAsiaTheme="minorHAnsi"/>
          <w:b/>
          <w:bCs/>
          <w:color w:val="000000" w:themeColor="text1"/>
          <w:lang w:val="en-GB" w:eastAsia="en-US"/>
        </w:rPr>
      </w:pPr>
      <w:r w:rsidRPr="00397C2B">
        <w:rPr>
          <w:rFonts w:eastAsiaTheme="minorHAnsi"/>
          <w:b/>
          <w:bCs/>
          <w:color w:val="000000" w:themeColor="text1"/>
          <w:lang w:val="en-GB" w:eastAsia="en-US"/>
        </w:rPr>
        <w:t>Discussion</w:t>
      </w:r>
    </w:p>
    <w:p w14:paraId="2DD49091" w14:textId="5C8B3669" w:rsidR="0000507E" w:rsidRDefault="005E3D85" w:rsidP="00CE4D33">
      <w:pPr>
        <w:autoSpaceDE w:val="0"/>
        <w:autoSpaceDN w:val="0"/>
        <w:adjustRightInd w:val="0"/>
        <w:spacing w:line="360" w:lineRule="auto"/>
        <w:rPr>
          <w:rFonts w:eastAsiaTheme="minorHAnsi"/>
          <w:color w:val="000000" w:themeColor="text1"/>
          <w:lang w:val="en-GB" w:eastAsia="en-US"/>
        </w:rPr>
      </w:pPr>
      <w:r w:rsidRPr="00397C2B">
        <w:rPr>
          <w:rFonts w:eastAsiaTheme="minorHAnsi"/>
          <w:color w:val="000000" w:themeColor="text1"/>
          <w:lang w:val="en-GB" w:eastAsia="en-US"/>
        </w:rPr>
        <w:t>In this cohort study, e</w:t>
      </w:r>
      <w:r w:rsidR="00E40CE3" w:rsidRPr="00397C2B">
        <w:rPr>
          <w:rFonts w:eastAsiaTheme="minorHAnsi"/>
          <w:color w:val="000000" w:themeColor="text1"/>
          <w:lang w:val="en-GB" w:eastAsia="en-US"/>
        </w:rPr>
        <w:t xml:space="preserve">xposure to </w:t>
      </w:r>
      <w:proofErr w:type="spellStart"/>
      <w:r w:rsidR="00E40CE3" w:rsidRPr="00397C2B">
        <w:rPr>
          <w:rFonts w:eastAsiaTheme="minorHAnsi"/>
          <w:color w:val="000000" w:themeColor="text1"/>
          <w:lang w:val="en-GB" w:eastAsia="en-US"/>
        </w:rPr>
        <w:t>IVIg</w:t>
      </w:r>
      <w:proofErr w:type="spellEnd"/>
      <w:r w:rsidR="00E40CE3" w:rsidRPr="00397C2B">
        <w:rPr>
          <w:rFonts w:eastAsiaTheme="minorHAnsi"/>
          <w:color w:val="000000" w:themeColor="text1"/>
          <w:lang w:val="en-GB" w:eastAsia="en-US"/>
        </w:rPr>
        <w:t xml:space="preserve"> in individuals</w:t>
      </w:r>
      <w:r w:rsidR="0061650C" w:rsidRPr="00397C2B">
        <w:rPr>
          <w:rFonts w:eastAsiaTheme="minorHAnsi"/>
          <w:color w:val="000000" w:themeColor="text1"/>
          <w:lang w:val="en-GB" w:eastAsia="en-US"/>
        </w:rPr>
        <w:t xml:space="preserve"> </w:t>
      </w:r>
      <w:r w:rsidR="00CF0C7D">
        <w:rPr>
          <w:rFonts w:eastAsiaTheme="minorHAnsi"/>
          <w:color w:val="000000" w:themeColor="text1"/>
          <w:lang w:val="en-GB" w:eastAsia="en-US"/>
        </w:rPr>
        <w:t xml:space="preserve">with </w:t>
      </w:r>
      <w:r w:rsidR="00E40CE3" w:rsidRPr="00397C2B">
        <w:rPr>
          <w:rFonts w:eastAsiaTheme="minorHAnsi"/>
          <w:color w:val="000000" w:themeColor="text1"/>
          <w:lang w:val="en-GB" w:eastAsia="en-US"/>
        </w:rPr>
        <w:t xml:space="preserve">a previous TEE conferred an increased risk of TEEs. The </w:t>
      </w:r>
      <w:r w:rsidR="00200E79" w:rsidRPr="00397C2B">
        <w:rPr>
          <w:rFonts w:eastAsiaTheme="minorHAnsi"/>
          <w:color w:val="000000" w:themeColor="text1"/>
          <w:lang w:val="en-GB" w:eastAsia="en-US"/>
        </w:rPr>
        <w:t>multivariate</w:t>
      </w:r>
      <w:r w:rsidR="00BC631E" w:rsidRPr="00397C2B">
        <w:rPr>
          <w:rFonts w:eastAsiaTheme="minorHAnsi"/>
          <w:color w:val="000000" w:themeColor="text1"/>
          <w:lang w:val="en-GB" w:eastAsia="en-US"/>
        </w:rPr>
        <w:t xml:space="preserve"> </w:t>
      </w:r>
      <w:r w:rsidR="00200E79" w:rsidRPr="00397C2B">
        <w:rPr>
          <w:rFonts w:eastAsiaTheme="minorHAnsi"/>
          <w:color w:val="000000" w:themeColor="text1"/>
          <w:lang w:val="en-GB" w:eastAsia="en-US"/>
        </w:rPr>
        <w:t>analysis</w:t>
      </w:r>
      <w:r w:rsidR="00E40CE3" w:rsidRPr="00397C2B">
        <w:rPr>
          <w:rFonts w:eastAsiaTheme="minorHAnsi"/>
          <w:color w:val="000000" w:themeColor="text1"/>
          <w:lang w:val="en-GB" w:eastAsia="en-US"/>
        </w:rPr>
        <w:t xml:space="preserve"> adjusted for the relevant variables showed an added risk </w:t>
      </w:r>
      <w:r w:rsidR="00E7608C" w:rsidRPr="00397C2B">
        <w:rPr>
          <w:rFonts w:eastAsiaTheme="minorHAnsi"/>
          <w:color w:val="000000" w:themeColor="text1"/>
          <w:lang w:val="en-GB" w:eastAsia="en-US"/>
        </w:rPr>
        <w:t xml:space="preserve">from </w:t>
      </w:r>
      <w:proofErr w:type="spellStart"/>
      <w:r w:rsidR="00E7608C" w:rsidRPr="00397C2B">
        <w:rPr>
          <w:rFonts w:eastAsiaTheme="minorHAnsi"/>
          <w:color w:val="000000" w:themeColor="text1"/>
          <w:lang w:val="en-GB" w:eastAsia="en-US"/>
        </w:rPr>
        <w:t>IVIg</w:t>
      </w:r>
      <w:proofErr w:type="spellEnd"/>
      <w:r w:rsidR="008E7358">
        <w:rPr>
          <w:rFonts w:eastAsiaTheme="minorHAnsi"/>
          <w:color w:val="000000" w:themeColor="text1"/>
          <w:lang w:val="en-GB" w:eastAsia="en-US"/>
        </w:rPr>
        <w:t xml:space="preserve"> that was</w:t>
      </w:r>
      <w:r w:rsidR="00E7608C" w:rsidRPr="00397C2B">
        <w:rPr>
          <w:rFonts w:eastAsiaTheme="minorHAnsi"/>
          <w:color w:val="000000" w:themeColor="text1"/>
          <w:lang w:val="en-GB" w:eastAsia="en-US"/>
        </w:rPr>
        <w:t xml:space="preserve"> </w:t>
      </w:r>
      <w:r w:rsidR="00E40CE3" w:rsidRPr="00397C2B">
        <w:rPr>
          <w:rFonts w:eastAsiaTheme="minorHAnsi"/>
          <w:color w:val="000000" w:themeColor="text1"/>
          <w:lang w:val="en-GB" w:eastAsia="en-US"/>
        </w:rPr>
        <w:t>not explained</w:t>
      </w:r>
      <w:r w:rsidR="00571F44" w:rsidRPr="00397C2B">
        <w:rPr>
          <w:rFonts w:eastAsiaTheme="minorHAnsi"/>
          <w:color w:val="000000" w:themeColor="text1"/>
          <w:lang w:val="en-GB" w:eastAsia="en-US"/>
        </w:rPr>
        <w:t xml:space="preserve"> </w:t>
      </w:r>
      <w:r w:rsidR="00E40CE3" w:rsidRPr="00397C2B">
        <w:rPr>
          <w:rFonts w:eastAsiaTheme="minorHAnsi"/>
          <w:color w:val="000000" w:themeColor="text1"/>
          <w:lang w:val="en-GB" w:eastAsia="en-US"/>
        </w:rPr>
        <w:t xml:space="preserve">by the </w:t>
      </w:r>
      <w:r w:rsidRPr="00397C2B">
        <w:rPr>
          <w:rFonts w:eastAsiaTheme="minorHAnsi"/>
          <w:color w:val="000000" w:themeColor="text1"/>
          <w:lang w:val="en-GB" w:eastAsia="en-US"/>
        </w:rPr>
        <w:t xml:space="preserve">other </w:t>
      </w:r>
      <w:r w:rsidR="007D1E00" w:rsidRPr="00397C2B">
        <w:rPr>
          <w:rFonts w:eastAsiaTheme="minorHAnsi"/>
          <w:color w:val="000000" w:themeColor="text1"/>
          <w:lang w:val="en-GB" w:eastAsia="en-US"/>
        </w:rPr>
        <w:t xml:space="preserve">CVD risk </w:t>
      </w:r>
      <w:r w:rsidR="00D02BCB" w:rsidRPr="00397C2B">
        <w:rPr>
          <w:rFonts w:eastAsiaTheme="minorHAnsi"/>
          <w:color w:val="000000" w:themeColor="text1"/>
          <w:lang w:val="en-GB" w:eastAsia="en-US"/>
        </w:rPr>
        <w:t>factors</w:t>
      </w:r>
      <w:r w:rsidR="00E40CE3" w:rsidRPr="00397C2B">
        <w:rPr>
          <w:rFonts w:eastAsiaTheme="minorHAnsi"/>
          <w:color w:val="000000" w:themeColor="text1"/>
          <w:lang w:val="en-GB" w:eastAsia="en-US"/>
        </w:rPr>
        <w:t>, or cancer</w:t>
      </w:r>
      <w:r w:rsidR="0061650C" w:rsidRPr="00397C2B">
        <w:rPr>
          <w:rFonts w:eastAsiaTheme="minorHAnsi"/>
          <w:color w:val="000000" w:themeColor="text1"/>
          <w:lang w:val="en-GB" w:eastAsia="en-US"/>
        </w:rPr>
        <w:t xml:space="preserve">. </w:t>
      </w:r>
      <w:proofErr w:type="spellStart"/>
      <w:r w:rsidR="0061650C" w:rsidRPr="00397C2B">
        <w:rPr>
          <w:rFonts w:eastAsiaTheme="minorHAnsi"/>
          <w:color w:val="000000" w:themeColor="text1"/>
          <w:lang w:val="en-GB" w:eastAsia="en-US"/>
        </w:rPr>
        <w:t>IVIg</w:t>
      </w:r>
      <w:proofErr w:type="spellEnd"/>
      <w:r w:rsidR="0061650C" w:rsidRPr="00397C2B">
        <w:rPr>
          <w:rFonts w:eastAsiaTheme="minorHAnsi"/>
          <w:color w:val="000000" w:themeColor="text1"/>
          <w:lang w:val="en-GB" w:eastAsia="en-US"/>
        </w:rPr>
        <w:t xml:space="preserve"> exposure in those without </w:t>
      </w:r>
      <w:proofErr w:type="spellStart"/>
      <w:r w:rsidR="00204101">
        <w:rPr>
          <w:color w:val="000000" w:themeColor="text1"/>
        </w:rPr>
        <w:t>Phx</w:t>
      </w:r>
      <w:proofErr w:type="spellEnd"/>
      <w:r w:rsidR="00204101" w:rsidRPr="00397C2B">
        <w:rPr>
          <w:rFonts w:eastAsiaTheme="minorHAnsi"/>
          <w:color w:val="000000" w:themeColor="text1"/>
          <w:lang w:val="en-GB" w:eastAsia="en-US"/>
        </w:rPr>
        <w:t xml:space="preserve"> </w:t>
      </w:r>
      <w:r w:rsidR="0061650C" w:rsidRPr="00397C2B">
        <w:rPr>
          <w:rFonts w:eastAsiaTheme="minorHAnsi"/>
          <w:color w:val="000000" w:themeColor="text1"/>
          <w:lang w:val="en-GB" w:eastAsia="en-US"/>
        </w:rPr>
        <w:t>of TEE was not associated with increased risk of incident TEE.</w:t>
      </w:r>
    </w:p>
    <w:p w14:paraId="206655EF" w14:textId="77777777" w:rsidR="007B3AE5" w:rsidRPr="00397C2B" w:rsidRDefault="007B3AE5" w:rsidP="00CE4D33">
      <w:pPr>
        <w:autoSpaceDE w:val="0"/>
        <w:autoSpaceDN w:val="0"/>
        <w:adjustRightInd w:val="0"/>
        <w:spacing w:line="360" w:lineRule="auto"/>
        <w:rPr>
          <w:rFonts w:eastAsiaTheme="minorHAnsi"/>
          <w:color w:val="000000" w:themeColor="text1"/>
          <w:lang w:val="en-GB" w:eastAsia="en-US"/>
        </w:rPr>
      </w:pPr>
    </w:p>
    <w:p w14:paraId="2F5E4E5F" w14:textId="5E57E850" w:rsidR="0000507E" w:rsidRDefault="00E27301" w:rsidP="00CE4D33">
      <w:pPr>
        <w:autoSpaceDE w:val="0"/>
        <w:autoSpaceDN w:val="0"/>
        <w:adjustRightInd w:val="0"/>
        <w:spacing w:line="360" w:lineRule="auto"/>
        <w:rPr>
          <w:rFonts w:eastAsiaTheme="minorHAnsi"/>
          <w:color w:val="000000" w:themeColor="text1"/>
          <w:lang w:val="en-GB" w:eastAsia="en-US"/>
        </w:rPr>
      </w:pPr>
      <w:r>
        <w:rPr>
          <w:rFonts w:eastAsiaTheme="minorHAnsi"/>
          <w:color w:val="000000" w:themeColor="text1"/>
          <w:lang w:val="en-GB" w:eastAsia="en-US"/>
        </w:rPr>
        <w:t>Both dataset 1 and 2</w:t>
      </w:r>
      <w:r w:rsidR="00CD7367">
        <w:rPr>
          <w:rFonts w:eastAsiaTheme="minorHAnsi"/>
          <w:color w:val="000000" w:themeColor="text1"/>
          <w:lang w:val="en-GB" w:eastAsia="en-US"/>
        </w:rPr>
        <w:t xml:space="preserve"> were</w:t>
      </w:r>
      <w:r w:rsidR="003B4DB1">
        <w:rPr>
          <w:rFonts w:eastAsiaTheme="minorHAnsi"/>
          <w:color w:val="000000" w:themeColor="text1"/>
          <w:lang w:val="en-GB" w:eastAsia="en-US"/>
        </w:rPr>
        <w:t xml:space="preserve"> necessary </w:t>
      </w:r>
      <w:r w:rsidR="00CD7367">
        <w:rPr>
          <w:rFonts w:eastAsiaTheme="minorHAnsi"/>
          <w:color w:val="000000" w:themeColor="text1"/>
          <w:lang w:val="en-GB" w:eastAsia="en-US"/>
        </w:rPr>
        <w:t>because of</w:t>
      </w:r>
      <w:r w:rsidR="003B4DB1">
        <w:rPr>
          <w:rFonts w:eastAsiaTheme="minorHAnsi"/>
          <w:color w:val="000000" w:themeColor="text1"/>
          <w:lang w:val="en-GB" w:eastAsia="en-US"/>
        </w:rPr>
        <w:t xml:space="preserve"> the likely under-representation of deep-vein thrombosis</w:t>
      </w:r>
      <w:r w:rsidR="00574643">
        <w:rPr>
          <w:rFonts w:eastAsiaTheme="minorHAnsi"/>
          <w:color w:val="000000" w:themeColor="text1"/>
          <w:lang w:val="en-GB" w:eastAsia="en-US"/>
        </w:rPr>
        <w:t xml:space="preserve"> (DVT) in hospital and death registry data</w:t>
      </w:r>
      <w:r w:rsidR="00A575A6">
        <w:rPr>
          <w:rFonts w:eastAsiaTheme="minorHAnsi"/>
          <w:color w:val="000000" w:themeColor="text1"/>
          <w:lang w:val="en-GB" w:eastAsia="en-US"/>
        </w:rPr>
        <w:t xml:space="preserve">. </w:t>
      </w:r>
      <w:r w:rsidR="007B3AE5">
        <w:rPr>
          <w:rFonts w:eastAsiaTheme="minorHAnsi"/>
          <w:color w:val="000000" w:themeColor="text1"/>
          <w:lang w:val="en-GB" w:eastAsia="en-US"/>
        </w:rPr>
        <w:t xml:space="preserve">VTE (including DVT and </w:t>
      </w:r>
      <w:r w:rsidR="00CC7B80">
        <w:rPr>
          <w:rFonts w:eastAsiaTheme="minorHAnsi"/>
          <w:color w:val="000000" w:themeColor="text1"/>
          <w:lang w:val="en-GB" w:eastAsia="en-US"/>
        </w:rPr>
        <w:t>pulmonary embolism</w:t>
      </w:r>
      <w:r w:rsidR="007B3AE5">
        <w:rPr>
          <w:rFonts w:eastAsiaTheme="minorHAnsi"/>
          <w:color w:val="000000" w:themeColor="text1"/>
          <w:lang w:val="en-GB" w:eastAsia="en-US"/>
        </w:rPr>
        <w:t xml:space="preserve">) is the third commonest </w:t>
      </w:r>
      <w:proofErr w:type="gramStart"/>
      <w:r w:rsidR="007B3AE5">
        <w:rPr>
          <w:rFonts w:eastAsiaTheme="minorHAnsi"/>
          <w:color w:val="000000" w:themeColor="text1"/>
          <w:lang w:val="en-GB" w:eastAsia="en-US"/>
        </w:rPr>
        <w:t>CVD</w:t>
      </w:r>
      <w:r w:rsidR="00574643">
        <w:rPr>
          <w:rFonts w:eastAsiaTheme="minorHAnsi"/>
          <w:color w:val="000000" w:themeColor="text1"/>
          <w:lang w:val="en-GB" w:eastAsia="en-US"/>
        </w:rPr>
        <w:t>.</w:t>
      </w:r>
      <w:r w:rsidR="001C05E2">
        <w:rPr>
          <w:rFonts w:eastAsiaTheme="minorHAnsi"/>
          <w:color w:val="000000" w:themeColor="text1"/>
          <w:lang w:val="en-GB" w:eastAsia="en-US"/>
        </w:rPr>
        <w:t>{</w:t>
      </w:r>
      <w:proofErr w:type="gramEnd"/>
      <w:r w:rsidR="001C05E2">
        <w:rPr>
          <w:rFonts w:eastAsiaTheme="minorHAnsi"/>
          <w:color w:val="000000" w:themeColor="text1"/>
          <w:lang w:val="en-GB" w:eastAsia="en-US"/>
        </w:rPr>
        <w:t>Tran, 2019 #12841}</w:t>
      </w:r>
      <w:r w:rsidR="003B4DB1">
        <w:rPr>
          <w:rFonts w:eastAsiaTheme="minorHAnsi"/>
          <w:color w:val="000000" w:themeColor="text1"/>
          <w:lang w:val="en-GB" w:eastAsia="en-US"/>
        </w:rPr>
        <w:t xml:space="preserve"> </w:t>
      </w:r>
      <w:r w:rsidR="00574643">
        <w:rPr>
          <w:rFonts w:eastAsiaTheme="minorHAnsi"/>
          <w:color w:val="000000" w:themeColor="text1"/>
          <w:lang w:val="en-GB" w:eastAsia="en-US"/>
        </w:rPr>
        <w:t>DVT</w:t>
      </w:r>
      <w:r w:rsidR="003B4DB1">
        <w:rPr>
          <w:rFonts w:eastAsiaTheme="minorHAnsi"/>
          <w:color w:val="000000" w:themeColor="text1"/>
          <w:lang w:val="en-GB" w:eastAsia="en-US"/>
        </w:rPr>
        <w:t xml:space="preserve"> is frequently treated in the outpatient setting </w:t>
      </w:r>
      <w:r w:rsidR="004B3B45">
        <w:rPr>
          <w:rFonts w:eastAsiaTheme="minorHAnsi"/>
          <w:color w:val="000000" w:themeColor="text1"/>
          <w:lang w:val="en-GB" w:eastAsia="en-US"/>
        </w:rPr>
        <w:t>or</w:t>
      </w:r>
      <w:r w:rsidR="003B4DB1">
        <w:rPr>
          <w:rFonts w:eastAsiaTheme="minorHAnsi"/>
          <w:color w:val="000000" w:themeColor="text1"/>
          <w:lang w:val="en-GB" w:eastAsia="en-US"/>
        </w:rPr>
        <w:t xml:space="preserve"> presents initially to primary care physicians. </w:t>
      </w:r>
      <w:proofErr w:type="spellStart"/>
      <w:r w:rsidR="007B3AE5">
        <w:rPr>
          <w:rFonts w:eastAsiaTheme="minorHAnsi"/>
          <w:color w:val="000000" w:themeColor="text1"/>
          <w:lang w:val="en-GB" w:eastAsia="en-US"/>
        </w:rPr>
        <w:t>IVIg</w:t>
      </w:r>
      <w:proofErr w:type="spellEnd"/>
      <w:r w:rsidR="007B3AE5">
        <w:rPr>
          <w:rFonts w:eastAsiaTheme="minorHAnsi"/>
          <w:color w:val="000000" w:themeColor="text1"/>
          <w:lang w:val="en-GB" w:eastAsia="en-US"/>
        </w:rPr>
        <w:t xml:space="preserve"> increases risk of future event with any history of venous TEEs, uncomplicated o</w:t>
      </w:r>
      <w:r w:rsidR="00A77632">
        <w:rPr>
          <w:rFonts w:eastAsiaTheme="minorHAnsi"/>
          <w:color w:val="000000" w:themeColor="text1"/>
          <w:lang w:val="en-GB" w:eastAsia="en-US"/>
        </w:rPr>
        <w:t xml:space="preserve">r </w:t>
      </w:r>
      <w:r w:rsidR="00F1480F">
        <w:rPr>
          <w:rFonts w:eastAsiaTheme="minorHAnsi"/>
          <w:color w:val="000000" w:themeColor="text1"/>
          <w:lang w:val="en-GB" w:eastAsia="en-US"/>
        </w:rPr>
        <w:t>associated with hospital admission and higher morbidity and mortality</w:t>
      </w:r>
      <w:r w:rsidR="007B3AE5">
        <w:rPr>
          <w:rFonts w:eastAsiaTheme="minorHAnsi"/>
          <w:color w:val="000000" w:themeColor="text1"/>
          <w:lang w:val="en-GB" w:eastAsia="en-US"/>
        </w:rPr>
        <w:t xml:space="preserve">. </w:t>
      </w:r>
      <w:r w:rsidR="003B4DB1">
        <w:rPr>
          <w:rFonts w:eastAsiaTheme="minorHAnsi"/>
          <w:color w:val="000000" w:themeColor="text1"/>
          <w:lang w:val="en-GB" w:eastAsia="en-US"/>
        </w:rPr>
        <w:t>Clinically, this distinction highlights th</w:t>
      </w:r>
      <w:r w:rsidR="004B3B45">
        <w:rPr>
          <w:rFonts w:eastAsiaTheme="minorHAnsi"/>
          <w:color w:val="000000" w:themeColor="text1"/>
          <w:lang w:val="en-GB" w:eastAsia="en-US"/>
        </w:rPr>
        <w:t xml:space="preserve">e importance of a complete medical history and the potential number of patients who may be at an increased risk of recurrent TEE if exposed to </w:t>
      </w:r>
      <w:proofErr w:type="spellStart"/>
      <w:r w:rsidR="004B3B45">
        <w:rPr>
          <w:rFonts w:eastAsiaTheme="minorHAnsi"/>
          <w:color w:val="000000" w:themeColor="text1"/>
          <w:lang w:val="en-GB" w:eastAsia="en-US"/>
        </w:rPr>
        <w:t>IVIg</w:t>
      </w:r>
      <w:proofErr w:type="spellEnd"/>
      <w:r w:rsidR="004B3B45">
        <w:rPr>
          <w:rFonts w:eastAsiaTheme="minorHAnsi"/>
          <w:color w:val="000000" w:themeColor="text1"/>
          <w:lang w:val="en-GB" w:eastAsia="en-US"/>
        </w:rPr>
        <w:t xml:space="preserve">. </w:t>
      </w:r>
    </w:p>
    <w:p w14:paraId="63C14242" w14:textId="77777777" w:rsidR="007B3AE5" w:rsidRDefault="007B3AE5" w:rsidP="00CE4D33">
      <w:pPr>
        <w:autoSpaceDE w:val="0"/>
        <w:autoSpaceDN w:val="0"/>
        <w:adjustRightInd w:val="0"/>
        <w:spacing w:line="360" w:lineRule="auto"/>
        <w:rPr>
          <w:rFonts w:eastAsiaTheme="minorHAnsi"/>
          <w:color w:val="000000" w:themeColor="text1"/>
          <w:lang w:val="en-GB" w:eastAsia="en-US"/>
        </w:rPr>
      </w:pPr>
    </w:p>
    <w:p w14:paraId="33B7DB01" w14:textId="31434A52" w:rsidR="00E40CE3" w:rsidRPr="00397C2B" w:rsidRDefault="008E7358" w:rsidP="00CE4D33">
      <w:pPr>
        <w:pStyle w:val="NormalWeb"/>
        <w:spacing w:before="0" w:beforeAutospacing="0" w:after="0" w:afterAutospacing="0" w:line="360" w:lineRule="auto"/>
        <w:rPr>
          <w:color w:val="000000" w:themeColor="text1"/>
        </w:rPr>
      </w:pPr>
      <w:r>
        <w:rPr>
          <w:rFonts w:eastAsiaTheme="minorHAnsi"/>
          <w:color w:val="000000" w:themeColor="text1"/>
          <w:lang w:val="en-GB" w:eastAsia="en-US"/>
        </w:rPr>
        <w:t>Many c</w:t>
      </w:r>
      <w:r w:rsidR="005E3D85" w:rsidRPr="00397C2B">
        <w:rPr>
          <w:rFonts w:eastAsiaTheme="minorHAnsi"/>
          <w:color w:val="000000" w:themeColor="text1"/>
          <w:lang w:val="en-GB" w:eastAsia="en-US"/>
        </w:rPr>
        <w:t xml:space="preserve">onflicting </w:t>
      </w:r>
      <w:r>
        <w:rPr>
          <w:rFonts w:eastAsiaTheme="minorHAnsi"/>
          <w:color w:val="000000" w:themeColor="text1"/>
          <w:lang w:val="en-GB" w:eastAsia="en-US"/>
        </w:rPr>
        <w:t xml:space="preserve">small </w:t>
      </w:r>
      <w:r w:rsidR="00E40CE3" w:rsidRPr="00397C2B">
        <w:rPr>
          <w:rFonts w:eastAsiaTheme="minorHAnsi"/>
          <w:color w:val="000000" w:themeColor="text1"/>
          <w:lang w:val="en-GB" w:eastAsia="en-US"/>
        </w:rPr>
        <w:t xml:space="preserve">observational and case-control studies of patients treated with </w:t>
      </w:r>
      <w:proofErr w:type="spellStart"/>
      <w:r w:rsidR="00E40CE3" w:rsidRPr="00397C2B">
        <w:rPr>
          <w:rFonts w:eastAsiaTheme="minorHAnsi"/>
          <w:color w:val="000000" w:themeColor="text1"/>
          <w:lang w:val="en-GB" w:eastAsia="en-US"/>
        </w:rPr>
        <w:t>IVIg</w:t>
      </w:r>
      <w:proofErr w:type="spellEnd"/>
      <w:r w:rsidR="00E40CE3" w:rsidRPr="00397C2B">
        <w:rPr>
          <w:rFonts w:eastAsiaTheme="minorHAnsi"/>
          <w:color w:val="000000" w:themeColor="text1"/>
          <w:lang w:val="en-GB" w:eastAsia="en-US"/>
        </w:rPr>
        <w:t xml:space="preserve"> have been conducted aiming to identify factors associated with increased risk of </w:t>
      </w:r>
      <w:r w:rsidR="005E3D85" w:rsidRPr="00397C2B">
        <w:rPr>
          <w:rFonts w:eastAsiaTheme="minorHAnsi"/>
          <w:color w:val="000000" w:themeColor="text1"/>
          <w:lang w:val="en-GB" w:eastAsia="en-US"/>
        </w:rPr>
        <w:t>TEEs</w:t>
      </w:r>
      <w:r w:rsidR="00E40CE3" w:rsidRPr="00397C2B">
        <w:rPr>
          <w:rFonts w:eastAsiaTheme="minorHAnsi"/>
          <w:color w:val="000000" w:themeColor="text1"/>
          <w:lang w:val="en-GB" w:eastAsia="en-US"/>
        </w:rPr>
        <w:t>.</w:t>
      </w:r>
      <w:r w:rsidR="001C05E2">
        <w:rPr>
          <w:rFonts w:eastAsiaTheme="minorHAnsi"/>
          <w:color w:val="000000" w:themeColor="text1"/>
          <w:lang w:val="en-GB" w:eastAsia="en-US"/>
        </w:rPr>
        <w:t>{Guo, 2018 #8776}</w:t>
      </w:r>
      <w:r w:rsidR="00E40CE3" w:rsidRPr="00397C2B">
        <w:rPr>
          <w:rFonts w:eastAsiaTheme="minorHAnsi"/>
          <w:color w:val="000000" w:themeColor="text1"/>
          <w:lang w:val="en-GB" w:eastAsia="en-US"/>
        </w:rPr>
        <w:t xml:space="preserve"> </w:t>
      </w:r>
      <w:r w:rsidR="0028659A">
        <w:rPr>
          <w:rFonts w:eastAsiaTheme="minorHAnsi"/>
          <w:color w:val="000000" w:themeColor="text1"/>
          <w:lang w:val="en-GB" w:eastAsia="en-US"/>
        </w:rPr>
        <w:t>A</w:t>
      </w:r>
      <w:r w:rsidRPr="00397C2B">
        <w:rPr>
          <w:rFonts w:eastAsiaTheme="minorHAnsi"/>
          <w:color w:val="000000" w:themeColor="text1"/>
          <w:lang w:val="en-GB" w:eastAsia="en-US"/>
        </w:rPr>
        <w:t xml:space="preserve"> </w:t>
      </w:r>
      <w:r w:rsidR="00554B45" w:rsidRPr="00397C2B">
        <w:rPr>
          <w:color w:val="000000" w:themeColor="text1"/>
        </w:rPr>
        <w:t>systematic review and meta-analysis</w:t>
      </w:r>
      <w:r w:rsidR="00A77632">
        <w:rPr>
          <w:color w:val="000000" w:themeColor="text1"/>
        </w:rPr>
        <w:t xml:space="preserve"> (n= 4</w:t>
      </w:r>
      <w:r w:rsidR="00CF537E">
        <w:rPr>
          <w:color w:val="000000" w:themeColor="text1"/>
        </w:rPr>
        <w:t xml:space="preserve"> </w:t>
      </w:r>
      <w:r w:rsidR="00A77632">
        <w:rPr>
          <w:color w:val="000000" w:themeColor="text1"/>
        </w:rPr>
        <w:t>129 participants)</w:t>
      </w:r>
      <w:r w:rsidR="00F1480F">
        <w:rPr>
          <w:color w:val="000000" w:themeColor="text1"/>
        </w:rPr>
        <w:t xml:space="preserve"> of</w:t>
      </w:r>
      <w:r w:rsidR="00E40CE3" w:rsidRPr="00397C2B">
        <w:rPr>
          <w:color w:val="000000" w:themeColor="text1"/>
        </w:rPr>
        <w:t xml:space="preserve"> 28 RCTs in which </w:t>
      </w:r>
      <w:proofErr w:type="spellStart"/>
      <w:r w:rsidR="00E40CE3" w:rsidRPr="00397C2B">
        <w:rPr>
          <w:color w:val="000000" w:themeColor="text1"/>
        </w:rPr>
        <w:t>IVIg</w:t>
      </w:r>
      <w:proofErr w:type="spellEnd"/>
      <w:r w:rsidR="00E40CE3" w:rsidRPr="00397C2B">
        <w:rPr>
          <w:color w:val="000000" w:themeColor="text1"/>
        </w:rPr>
        <w:t xml:space="preserve"> was compared with placebo or no treatment</w:t>
      </w:r>
      <w:r w:rsidR="0028659A">
        <w:rPr>
          <w:color w:val="000000" w:themeColor="text1"/>
        </w:rPr>
        <w:t xml:space="preserve"> found n</w:t>
      </w:r>
      <w:r w:rsidR="00E40CE3" w:rsidRPr="00397C2B">
        <w:rPr>
          <w:color w:val="000000" w:themeColor="text1"/>
        </w:rPr>
        <w:t xml:space="preserve">o evidence of increased TEE risk among patients who received </w:t>
      </w:r>
      <w:proofErr w:type="spellStart"/>
      <w:r w:rsidR="00E40CE3" w:rsidRPr="00397C2B">
        <w:rPr>
          <w:color w:val="000000" w:themeColor="text1"/>
        </w:rPr>
        <w:t>IVIg</w:t>
      </w:r>
      <w:proofErr w:type="spellEnd"/>
      <w:r w:rsidR="00E40CE3" w:rsidRPr="00397C2B">
        <w:rPr>
          <w:color w:val="000000" w:themeColor="text1"/>
        </w:rPr>
        <w:t xml:space="preserve"> (12 e</w:t>
      </w:r>
      <w:r w:rsidR="006454AC" w:rsidRPr="00397C2B">
        <w:rPr>
          <w:color w:val="000000" w:themeColor="text1"/>
        </w:rPr>
        <w:t>v</w:t>
      </w:r>
      <w:r w:rsidR="00E40CE3" w:rsidRPr="00397C2B">
        <w:rPr>
          <w:color w:val="000000" w:themeColor="text1"/>
        </w:rPr>
        <w:t xml:space="preserve">ents) compared with </w:t>
      </w:r>
      <w:r w:rsidR="004E47D8" w:rsidRPr="00397C2B">
        <w:rPr>
          <w:color w:val="000000" w:themeColor="text1"/>
        </w:rPr>
        <w:t>placebo,</w:t>
      </w:r>
      <w:r w:rsidR="00E40CE3" w:rsidRPr="00397C2B">
        <w:rPr>
          <w:color w:val="000000" w:themeColor="text1"/>
        </w:rPr>
        <w:t xml:space="preserve"> or no treatment (8 events).</w:t>
      </w:r>
      <w:r w:rsidR="001C05E2">
        <w:rPr>
          <w:color w:val="000000" w:themeColor="text1"/>
        </w:rPr>
        <w:t>{Ammann, 2016 #9149}</w:t>
      </w:r>
      <w:r w:rsidR="00E40CE3" w:rsidRPr="00397C2B">
        <w:rPr>
          <w:color w:val="000000" w:themeColor="text1"/>
        </w:rPr>
        <w:t xml:space="preserve"> However, </w:t>
      </w:r>
      <w:r w:rsidR="00C02AAC" w:rsidRPr="00397C2B">
        <w:rPr>
          <w:color w:val="000000" w:themeColor="text1"/>
        </w:rPr>
        <w:t xml:space="preserve">the trials reviewed </w:t>
      </w:r>
      <w:r w:rsidR="00E40CE3" w:rsidRPr="00397C2B">
        <w:rPr>
          <w:color w:val="000000" w:themeColor="text1"/>
        </w:rPr>
        <w:t>excluded patients with a history of</w:t>
      </w:r>
      <w:r w:rsidR="00F26664" w:rsidRPr="00397C2B">
        <w:rPr>
          <w:color w:val="000000" w:themeColor="text1"/>
        </w:rPr>
        <w:t xml:space="preserve"> TEE </w:t>
      </w:r>
      <w:r w:rsidR="00C02AAC" w:rsidRPr="00397C2B">
        <w:rPr>
          <w:color w:val="000000" w:themeColor="text1"/>
        </w:rPr>
        <w:t xml:space="preserve">and did not collect </w:t>
      </w:r>
      <w:r w:rsidR="00E40CE3" w:rsidRPr="00397C2B">
        <w:rPr>
          <w:color w:val="000000" w:themeColor="text1"/>
        </w:rPr>
        <w:t xml:space="preserve">details of </w:t>
      </w:r>
      <w:r w:rsidR="007A519C" w:rsidRPr="00397C2B">
        <w:rPr>
          <w:color w:val="000000" w:themeColor="text1"/>
        </w:rPr>
        <w:t>traditional</w:t>
      </w:r>
      <w:r w:rsidR="00E40CE3" w:rsidRPr="00397C2B">
        <w:rPr>
          <w:color w:val="000000" w:themeColor="text1"/>
        </w:rPr>
        <w:t xml:space="preserve"> CVD risk factors, which </w:t>
      </w:r>
      <w:r>
        <w:rPr>
          <w:color w:val="000000" w:themeColor="text1"/>
        </w:rPr>
        <w:t xml:space="preserve">we have shown </w:t>
      </w:r>
      <w:r w:rsidR="00E40CE3" w:rsidRPr="00397C2B">
        <w:rPr>
          <w:color w:val="000000" w:themeColor="text1"/>
        </w:rPr>
        <w:t xml:space="preserve">greatly impact a </w:t>
      </w:r>
      <w:r w:rsidR="007A519C" w:rsidRPr="00397C2B">
        <w:rPr>
          <w:color w:val="000000" w:themeColor="text1"/>
        </w:rPr>
        <w:t>patient’s</w:t>
      </w:r>
      <w:r w:rsidR="00E40CE3" w:rsidRPr="00397C2B">
        <w:rPr>
          <w:color w:val="000000" w:themeColor="text1"/>
        </w:rPr>
        <w:t xml:space="preserve"> overall risk of </w:t>
      </w:r>
      <w:r w:rsidR="007A519C" w:rsidRPr="00397C2B">
        <w:rPr>
          <w:color w:val="000000" w:themeColor="text1"/>
        </w:rPr>
        <w:t>future</w:t>
      </w:r>
      <w:r w:rsidR="00E40CE3" w:rsidRPr="00397C2B">
        <w:rPr>
          <w:color w:val="000000" w:themeColor="text1"/>
        </w:rPr>
        <w:t xml:space="preserve"> TEEs. </w:t>
      </w:r>
    </w:p>
    <w:p w14:paraId="06F7D713" w14:textId="77777777" w:rsidR="00D34102" w:rsidRPr="00397C2B" w:rsidRDefault="00D34102" w:rsidP="00CE4D33">
      <w:pPr>
        <w:pStyle w:val="NormalWeb"/>
        <w:spacing w:before="0" w:beforeAutospacing="0" w:after="0" w:afterAutospacing="0" w:line="360" w:lineRule="auto"/>
        <w:rPr>
          <w:color w:val="000000" w:themeColor="text1"/>
        </w:rPr>
      </w:pPr>
    </w:p>
    <w:p w14:paraId="2F597DBF" w14:textId="6D782604" w:rsidR="00E40CE3" w:rsidRDefault="00E40CE3" w:rsidP="00CE4D33">
      <w:pPr>
        <w:pStyle w:val="NormalWeb"/>
        <w:spacing w:before="0" w:beforeAutospacing="0" w:after="0" w:afterAutospacing="0" w:line="360" w:lineRule="auto"/>
        <w:rPr>
          <w:color w:val="000000" w:themeColor="text1"/>
        </w:rPr>
      </w:pPr>
      <w:r w:rsidRPr="00397C2B">
        <w:rPr>
          <w:color w:val="000000" w:themeColor="text1"/>
        </w:rPr>
        <w:t xml:space="preserve">In studies with only </w:t>
      </w:r>
      <w:proofErr w:type="spellStart"/>
      <w:r w:rsidRPr="00397C2B">
        <w:rPr>
          <w:color w:val="000000" w:themeColor="text1"/>
        </w:rPr>
        <w:t>IVIg</w:t>
      </w:r>
      <w:proofErr w:type="spellEnd"/>
      <w:r w:rsidRPr="00397C2B">
        <w:rPr>
          <w:color w:val="000000" w:themeColor="text1"/>
        </w:rPr>
        <w:t xml:space="preserve">-exposed patients, </w:t>
      </w:r>
      <w:r w:rsidR="00F26664" w:rsidRPr="00397C2B">
        <w:rPr>
          <w:color w:val="000000" w:themeColor="text1"/>
        </w:rPr>
        <w:t xml:space="preserve">there are </w:t>
      </w:r>
      <w:r w:rsidR="0072229F" w:rsidRPr="00397C2B">
        <w:rPr>
          <w:color w:val="000000" w:themeColor="text1"/>
        </w:rPr>
        <w:t>c</w:t>
      </w:r>
      <w:r w:rsidRPr="00397C2B">
        <w:rPr>
          <w:color w:val="000000" w:themeColor="text1"/>
        </w:rPr>
        <w:t xml:space="preserve">onflicting results </w:t>
      </w:r>
      <w:r w:rsidR="008C2483" w:rsidRPr="00397C2B">
        <w:rPr>
          <w:color w:val="000000" w:themeColor="text1"/>
        </w:rPr>
        <w:t>of</w:t>
      </w:r>
      <w:r w:rsidRPr="00397C2B">
        <w:rPr>
          <w:color w:val="000000" w:themeColor="text1"/>
        </w:rPr>
        <w:t xml:space="preserve"> whether age, gender and presence of other risk factors correlates with </w:t>
      </w:r>
      <w:r w:rsidR="0010035E" w:rsidRPr="00397C2B">
        <w:rPr>
          <w:color w:val="000000" w:themeColor="text1"/>
        </w:rPr>
        <w:t>occurrence</w:t>
      </w:r>
      <w:r w:rsidRPr="00397C2B">
        <w:rPr>
          <w:color w:val="000000" w:themeColor="text1"/>
        </w:rPr>
        <w:t xml:space="preserve"> of TEEs. </w:t>
      </w:r>
      <w:r w:rsidR="0061650C" w:rsidRPr="00397C2B">
        <w:rPr>
          <w:color w:val="000000" w:themeColor="text1"/>
        </w:rPr>
        <w:t>Th</w:t>
      </w:r>
      <w:r w:rsidRPr="00397C2B">
        <w:rPr>
          <w:color w:val="000000" w:themeColor="text1"/>
        </w:rPr>
        <w:t xml:space="preserve">e independent risk conferred by </w:t>
      </w:r>
      <w:proofErr w:type="spellStart"/>
      <w:r w:rsidRPr="00397C2B">
        <w:rPr>
          <w:color w:val="000000" w:themeColor="text1"/>
        </w:rPr>
        <w:t>IVIg</w:t>
      </w:r>
      <w:proofErr w:type="spellEnd"/>
      <w:r w:rsidRPr="00397C2B">
        <w:rPr>
          <w:color w:val="000000" w:themeColor="text1"/>
        </w:rPr>
        <w:t xml:space="preserve"> exposure has </w:t>
      </w:r>
      <w:r w:rsidR="0010035E" w:rsidRPr="00397C2B">
        <w:rPr>
          <w:color w:val="000000" w:themeColor="text1"/>
        </w:rPr>
        <w:t>not</w:t>
      </w:r>
      <w:r w:rsidRPr="00397C2B">
        <w:rPr>
          <w:color w:val="000000" w:themeColor="text1"/>
        </w:rPr>
        <w:t xml:space="preserve"> been </w:t>
      </w:r>
      <w:r w:rsidR="0061650C" w:rsidRPr="00397C2B">
        <w:rPr>
          <w:color w:val="000000" w:themeColor="text1"/>
        </w:rPr>
        <w:t>well examined</w:t>
      </w:r>
      <w:r w:rsidRPr="00397C2B">
        <w:rPr>
          <w:color w:val="000000" w:themeColor="text1"/>
        </w:rPr>
        <w:t xml:space="preserve">. Other studies have </w:t>
      </w:r>
      <w:r w:rsidR="0010035E" w:rsidRPr="00397C2B">
        <w:rPr>
          <w:color w:val="000000" w:themeColor="text1"/>
        </w:rPr>
        <w:t>suggested</w:t>
      </w:r>
      <w:r w:rsidRPr="00397C2B">
        <w:rPr>
          <w:color w:val="000000" w:themeColor="text1"/>
        </w:rPr>
        <w:t xml:space="preserve"> a temporal association between </w:t>
      </w:r>
      <w:proofErr w:type="spellStart"/>
      <w:r w:rsidRPr="00397C2B">
        <w:rPr>
          <w:color w:val="000000" w:themeColor="text1"/>
        </w:rPr>
        <w:t>IVIg</w:t>
      </w:r>
      <w:proofErr w:type="spellEnd"/>
      <w:r w:rsidRPr="00397C2B">
        <w:rPr>
          <w:color w:val="000000" w:themeColor="text1"/>
        </w:rPr>
        <w:t xml:space="preserve"> infusion and </w:t>
      </w:r>
      <w:r w:rsidR="008E7358">
        <w:rPr>
          <w:color w:val="000000" w:themeColor="text1"/>
        </w:rPr>
        <w:t xml:space="preserve">the TEE </w:t>
      </w:r>
      <w:r w:rsidRPr="00397C2B">
        <w:rPr>
          <w:color w:val="000000" w:themeColor="text1"/>
        </w:rPr>
        <w:t>event</w:t>
      </w:r>
      <w:r w:rsidR="0061650C" w:rsidRPr="00397C2B">
        <w:rPr>
          <w:color w:val="000000" w:themeColor="text1"/>
        </w:rPr>
        <w:t>. I</w:t>
      </w:r>
      <w:r w:rsidRPr="00397C2B">
        <w:rPr>
          <w:color w:val="000000" w:themeColor="text1"/>
        </w:rPr>
        <w:t>n one case s</w:t>
      </w:r>
      <w:r w:rsidR="0061650C" w:rsidRPr="00397C2B">
        <w:rPr>
          <w:color w:val="000000" w:themeColor="text1"/>
        </w:rPr>
        <w:t>eries</w:t>
      </w:r>
      <w:r w:rsidRPr="00397C2B">
        <w:rPr>
          <w:color w:val="000000" w:themeColor="text1"/>
        </w:rPr>
        <w:t xml:space="preserve">, all </w:t>
      </w:r>
      <w:r w:rsidR="008E7358">
        <w:rPr>
          <w:color w:val="000000" w:themeColor="text1"/>
        </w:rPr>
        <w:t>seven</w:t>
      </w:r>
      <w:r w:rsidR="008E7358" w:rsidRPr="00397C2B">
        <w:rPr>
          <w:color w:val="000000" w:themeColor="text1"/>
        </w:rPr>
        <w:t xml:space="preserve"> </w:t>
      </w:r>
      <w:r w:rsidRPr="00397C2B">
        <w:rPr>
          <w:color w:val="000000" w:themeColor="text1"/>
        </w:rPr>
        <w:t xml:space="preserve">patients </w:t>
      </w:r>
      <w:r w:rsidR="00A00DCB" w:rsidRPr="00397C2B">
        <w:rPr>
          <w:color w:val="000000" w:themeColor="text1"/>
        </w:rPr>
        <w:t xml:space="preserve">who </w:t>
      </w:r>
      <w:r w:rsidR="00554B45" w:rsidRPr="00397C2B">
        <w:rPr>
          <w:color w:val="000000" w:themeColor="text1"/>
        </w:rPr>
        <w:t xml:space="preserve">had </w:t>
      </w:r>
      <w:r w:rsidRPr="00397C2B">
        <w:rPr>
          <w:color w:val="000000" w:themeColor="text1"/>
        </w:rPr>
        <w:t xml:space="preserve">a stroke or </w:t>
      </w:r>
      <w:r w:rsidR="0052112E">
        <w:rPr>
          <w:color w:val="000000" w:themeColor="text1"/>
        </w:rPr>
        <w:t xml:space="preserve">transient ischaemic attack </w:t>
      </w:r>
      <w:r w:rsidR="00554B45" w:rsidRPr="00397C2B">
        <w:rPr>
          <w:color w:val="000000" w:themeColor="text1"/>
        </w:rPr>
        <w:t>did so</w:t>
      </w:r>
      <w:r w:rsidRPr="00397C2B">
        <w:rPr>
          <w:color w:val="000000" w:themeColor="text1"/>
        </w:rPr>
        <w:t xml:space="preserve"> within 24 hours </w:t>
      </w:r>
      <w:r w:rsidRPr="00397C2B">
        <w:rPr>
          <w:color w:val="000000" w:themeColor="text1"/>
        </w:rPr>
        <w:lastRenderedPageBreak/>
        <w:t xml:space="preserve">of </w:t>
      </w:r>
      <w:proofErr w:type="spellStart"/>
      <w:r w:rsidR="00C02AAC" w:rsidRPr="00397C2B">
        <w:rPr>
          <w:color w:val="000000" w:themeColor="text1"/>
        </w:rPr>
        <w:t>IVIg</w:t>
      </w:r>
      <w:proofErr w:type="spellEnd"/>
      <w:r w:rsidR="00C02AAC" w:rsidRPr="00397C2B">
        <w:rPr>
          <w:color w:val="000000" w:themeColor="text1"/>
        </w:rPr>
        <w:t xml:space="preserve"> </w:t>
      </w:r>
      <w:r w:rsidRPr="00397C2B">
        <w:rPr>
          <w:color w:val="000000" w:themeColor="text1"/>
        </w:rPr>
        <w:t>infusion</w:t>
      </w:r>
      <w:r w:rsidR="007939D0" w:rsidRPr="00397C2B">
        <w:rPr>
          <w:color w:val="000000" w:themeColor="text1"/>
        </w:rPr>
        <w:fldChar w:fldCharType="begin" w:fldLock="1"/>
      </w:r>
      <w:r w:rsidR="00246AA1" w:rsidRPr="00397C2B">
        <w:rPr>
          <w:color w:val="000000" w:themeColor="text1"/>
        </w:rPr>
        <w:instrText>ADDIN CSL_CITATION {"citationItems":[{"id":"ITEM-1","itemData":{"DOI":"10.1159/000081465","ISSN":"00143022","PMID":"15479982","abstract":"Intravenous immunoglobulin (IVIg) preparations are increasingly being used in the treatment of neuroautoimmune diseases. Although for most part this treatment is safe, serious side effects such as thromboembolic events have been reported. We report on 7 patients who suffered a thromboembolic event while being treated with IVIg. Four patients suffered a stroke or transient ischemic attack, 1 an inferior wall myocardial infarction, 1 a deep venous thrombosis, and 1 a retinal artery infarct. The age range of the patients was 57-81 and most had underlying risk factors, such as hypertension, hypercholesterolemia, atrial fi brillation, history of vascular disease and stroke, and deep venous thrombosis. Three patients received multiple IVIg infusions before suffering a thromboembolic complication. Therefore, the clinicians should be vigilant about the possibility of thromboembolic complications with each IVIg infusion and be especially judicious with the use of IVIg in patients with underlying risk factors. Copyright © 2004 S. Karger AG, Basel.","author":[{"dropping-particle":"","family":"Vucic","given":"S.","non-dropping-particle":"","parse-names":false,"suffix":""},{"dropping-particle":"","family":"Siao","given":"P.","non-dropping-particle":"","parse-names":false,"suffix":""},{"dropping-particle":"","family":"Chong","given":"Tick","non-dropping-particle":"","parse-names":false,"suffix":""},{"dropping-particle":"","family":"Dawson","given":"K. T.","non-dropping-particle":"","parse-names":false,"suffix":""},{"dropping-particle":"","family":"Cudkowicz","given":"M.","non-dropping-particle":"","parse-names":false,"suffix":""},{"dropping-particle":"","family":"Cros","given":"D.","non-dropping-particle":"","parse-names":false,"suffix":""}],"container-title":"European Neurology","id":"ITEM-1","issue":"3","issued":{"date-parts":[["2004"]]},"page":"141-144","title":"Thromboembolic complications of intravenous immunoglobulin treatment","type":"article-journal","volume":"52"},"uris":["http://www.mendeley.com/documents/?uuid=e7ff4d68-814d-44b3-ba19-32694138a844"]}],"mendeley":{"formattedCitation":"&lt;sup&gt;18&lt;/sup&gt;","plainTextFormattedCitation":"18","previouslyFormattedCitation":"&lt;sup&gt;18&lt;/sup&gt;"},"properties":{"noteIndex":0},"schema":"https://github.com/citation-style-language/schema/raw/master/csl-citation.json"}</w:instrText>
      </w:r>
      <w:r w:rsidR="007939D0" w:rsidRPr="00397C2B">
        <w:rPr>
          <w:color w:val="000000" w:themeColor="text1"/>
        </w:rPr>
        <w:fldChar w:fldCharType="end"/>
      </w:r>
      <w:r w:rsidR="00A00DCB" w:rsidRPr="00397C2B">
        <w:rPr>
          <w:color w:val="000000" w:themeColor="text1"/>
        </w:rPr>
        <w:t>.</w:t>
      </w:r>
      <w:r w:rsidR="001C05E2">
        <w:rPr>
          <w:color w:val="000000" w:themeColor="text1"/>
        </w:rPr>
        <w:t>{Vucic, 2004 #8832}</w:t>
      </w:r>
      <w:r w:rsidR="00A00DCB" w:rsidRPr="00397C2B">
        <w:rPr>
          <w:color w:val="000000" w:themeColor="text1"/>
        </w:rPr>
        <w:t xml:space="preserve"> I</w:t>
      </w:r>
      <w:r w:rsidRPr="00397C2B">
        <w:rPr>
          <w:color w:val="000000" w:themeColor="text1"/>
        </w:rPr>
        <w:t xml:space="preserve">n </w:t>
      </w:r>
      <w:r w:rsidR="00685E1A">
        <w:rPr>
          <w:color w:val="000000" w:themeColor="text1"/>
        </w:rPr>
        <w:t xml:space="preserve">a further study, </w:t>
      </w:r>
      <w:r w:rsidR="006F7971">
        <w:rPr>
          <w:color w:val="000000" w:themeColor="text1"/>
        </w:rPr>
        <w:t>two</w:t>
      </w:r>
      <w:r w:rsidR="00685E1A">
        <w:rPr>
          <w:color w:val="000000" w:themeColor="text1"/>
        </w:rPr>
        <w:t xml:space="preserve"> of </w:t>
      </w:r>
      <w:r w:rsidRPr="00397C2B">
        <w:rPr>
          <w:color w:val="000000" w:themeColor="text1"/>
        </w:rPr>
        <w:t xml:space="preserve">117 developed a </w:t>
      </w:r>
      <w:r w:rsidR="00C30211" w:rsidRPr="00397C2B">
        <w:rPr>
          <w:color w:val="000000" w:themeColor="text1"/>
        </w:rPr>
        <w:t>DVT within</w:t>
      </w:r>
      <w:r w:rsidRPr="00397C2B">
        <w:rPr>
          <w:color w:val="000000" w:themeColor="text1"/>
        </w:rPr>
        <w:t xml:space="preserve"> </w:t>
      </w:r>
      <w:r w:rsidR="006F7971">
        <w:rPr>
          <w:color w:val="000000" w:themeColor="text1"/>
        </w:rPr>
        <w:t>three</w:t>
      </w:r>
      <w:r w:rsidRPr="00397C2B">
        <w:rPr>
          <w:color w:val="000000" w:themeColor="text1"/>
        </w:rPr>
        <w:t xml:space="preserve"> days of their infusion</w:t>
      </w:r>
      <w:r w:rsidR="00685E1A">
        <w:rPr>
          <w:color w:val="000000" w:themeColor="text1"/>
        </w:rPr>
        <w:t>,</w:t>
      </w:r>
      <w:r w:rsidRPr="00397C2B">
        <w:rPr>
          <w:color w:val="000000" w:themeColor="text1"/>
        </w:rPr>
        <w:t xml:space="preserve"> and in a large series </w:t>
      </w:r>
      <w:r w:rsidR="00554B45" w:rsidRPr="00397C2B">
        <w:rPr>
          <w:color w:val="000000" w:themeColor="text1"/>
        </w:rPr>
        <w:t>o</w:t>
      </w:r>
      <w:r w:rsidRPr="00397C2B">
        <w:rPr>
          <w:color w:val="000000" w:themeColor="text1"/>
        </w:rPr>
        <w:t xml:space="preserve">f 498 hospitalised patients receiving </w:t>
      </w:r>
      <w:proofErr w:type="spellStart"/>
      <w:r w:rsidRPr="00397C2B">
        <w:rPr>
          <w:color w:val="000000" w:themeColor="text1"/>
        </w:rPr>
        <w:t>IVIg</w:t>
      </w:r>
      <w:proofErr w:type="spellEnd"/>
      <w:r w:rsidRPr="00397C2B">
        <w:rPr>
          <w:color w:val="000000" w:themeColor="text1"/>
        </w:rPr>
        <w:t xml:space="preserve">, 16 patients </w:t>
      </w:r>
      <w:r w:rsidR="00A00DCB" w:rsidRPr="00397C2B">
        <w:rPr>
          <w:color w:val="000000" w:themeColor="text1"/>
        </w:rPr>
        <w:t xml:space="preserve">had </w:t>
      </w:r>
      <w:r w:rsidRPr="00397C2B">
        <w:rPr>
          <w:color w:val="000000" w:themeColor="text1"/>
        </w:rPr>
        <w:t xml:space="preserve">a stroke, 14 (88%) </w:t>
      </w:r>
      <w:r w:rsidR="00685E1A">
        <w:rPr>
          <w:color w:val="000000" w:themeColor="text1"/>
        </w:rPr>
        <w:t xml:space="preserve">of these </w:t>
      </w:r>
      <w:r w:rsidRPr="00397C2B">
        <w:rPr>
          <w:color w:val="000000" w:themeColor="text1"/>
        </w:rPr>
        <w:t>during</w:t>
      </w:r>
      <w:r w:rsidR="00685E1A">
        <w:rPr>
          <w:color w:val="000000" w:themeColor="text1"/>
        </w:rPr>
        <w:t>,</w:t>
      </w:r>
      <w:r w:rsidRPr="00397C2B">
        <w:rPr>
          <w:color w:val="000000" w:themeColor="text1"/>
        </w:rPr>
        <w:t xml:space="preserve"> or within 24 hours</w:t>
      </w:r>
      <w:r w:rsidR="00685E1A">
        <w:rPr>
          <w:color w:val="000000" w:themeColor="text1"/>
        </w:rPr>
        <w:t>,</w:t>
      </w:r>
      <w:r w:rsidRPr="00397C2B">
        <w:rPr>
          <w:color w:val="000000" w:themeColor="text1"/>
        </w:rPr>
        <w:t xml:space="preserve"> of </w:t>
      </w:r>
      <w:proofErr w:type="spellStart"/>
      <w:r w:rsidRPr="00397C2B">
        <w:rPr>
          <w:color w:val="000000" w:themeColor="text1"/>
        </w:rPr>
        <w:t>IVIg</w:t>
      </w:r>
      <w:proofErr w:type="spellEnd"/>
      <w:r w:rsidRPr="00397C2B">
        <w:rPr>
          <w:color w:val="000000" w:themeColor="text1"/>
        </w:rPr>
        <w:t xml:space="preserve"> infusion</w:t>
      </w:r>
      <w:r w:rsidR="00C30211" w:rsidRPr="00397C2B">
        <w:rPr>
          <w:color w:val="000000" w:themeColor="text1"/>
        </w:rPr>
        <w:fldChar w:fldCharType="begin" w:fldLock="1"/>
      </w:r>
      <w:r w:rsidR="00246AA1" w:rsidRPr="00397C2B">
        <w:rPr>
          <w:color w:val="000000" w:themeColor="text1"/>
        </w:rPr>
        <w:instrText>ADDIN CSL_CITATION {"citationItems":[{"id":"ITEM-1","itemData":{"DOI":"10.1212/01.WNL.0000068335.01620.9D","ISSN":"00283878","PMID":"12796539","abstract":"This report characterizes the clinical features of 16 cases of stroke associated with IV immunoglobulin infusions. Fourteen of the strokes occurred within 24 hours of an infusion and 50% of the patients were receiving IV immunoglobulin for the first time. Nine patients had multifocal infarctions. All but one of the patients had stroke risk factors.","author":[{"dropping-particle":"","family":"Caress","given":"James B.","non-dropping-particle":"","parse-names":false,"suffix":""},{"dropping-particle":"","family":"Cartwright","given":"Michael S.","non-dropping-particle":"","parse-names":false,"suffix":""},{"dropping-particle":"","family":"Donofrio","given":"Peter D.","non-dropping-particle":"","parse-names":false,"suffix":""},{"dropping-particle":"","family":"Peacock","given":"James E.","non-dropping-particle":"","parse-names":false,"suffix":""}],"container-title":"Neurology","id":"ITEM-1","issue":"11","issued":{"date-parts":[["2003","6","10"]]},"page":"1822-1824","title":"The clinical features of 16 cases of stroke associated with administration of IVIg","type":"article-journal","volume":"60"},"uris":["http://www.mendeley.com/documents/?uuid=f71bd862-31ef-473f-a75a-56297718b146"]}],"mendeley":{"formattedCitation":"&lt;sup&gt;19&lt;/sup&gt;","plainTextFormattedCitation":"19","previouslyFormattedCitation":"&lt;sup&gt;19&lt;/sup&gt;"},"properties":{"noteIndex":0},"schema":"https://github.com/citation-style-language/schema/raw/master/csl-citation.json"}</w:instrText>
      </w:r>
      <w:r w:rsidR="00C30211" w:rsidRPr="00397C2B">
        <w:rPr>
          <w:color w:val="000000" w:themeColor="text1"/>
        </w:rPr>
        <w:fldChar w:fldCharType="end"/>
      </w:r>
      <w:r w:rsidR="00C30211" w:rsidRPr="00397C2B">
        <w:rPr>
          <w:color w:val="000000" w:themeColor="text1"/>
        </w:rPr>
        <w:t>.</w:t>
      </w:r>
      <w:r w:rsidR="001C05E2">
        <w:rPr>
          <w:color w:val="000000" w:themeColor="text1"/>
        </w:rPr>
        <w:t>{Caress, 2003 #5714}</w:t>
      </w:r>
    </w:p>
    <w:p w14:paraId="3557694E" w14:textId="618790DF" w:rsidR="00E27301" w:rsidRPr="00397C2B" w:rsidRDefault="00E27301" w:rsidP="00CE4D33">
      <w:pPr>
        <w:pStyle w:val="NormalWeb"/>
        <w:spacing w:before="0" w:beforeAutospacing="0" w:after="0" w:afterAutospacing="0" w:line="360" w:lineRule="auto"/>
        <w:rPr>
          <w:color w:val="000000" w:themeColor="text1"/>
        </w:rPr>
      </w:pPr>
      <w:r w:rsidRPr="00E27301">
        <w:rPr>
          <w:color w:val="000000" w:themeColor="text1"/>
        </w:rPr>
        <w:t>In 2010, activated factor XI was identified as the cause for higher-than-normal rates of TEEs with one brand of intravenous Ig. Since then, the European Pharmacopoeia and the FDA require immunoglobulin manufacturers to specifically report on the mechanisms they have undertaken to mitigate the TEE risk and reduce or remove thrombosis-generating agents in their products</w:t>
      </w:r>
    </w:p>
    <w:p w14:paraId="7C359596" w14:textId="57E61E25" w:rsidR="00E40CE3" w:rsidRPr="00397C2B" w:rsidRDefault="00D34102" w:rsidP="00CE4D33">
      <w:pPr>
        <w:pStyle w:val="PhDNormal"/>
        <w:spacing w:after="0"/>
        <w:ind w:firstLine="0"/>
        <w:jc w:val="left"/>
        <w:rPr>
          <w:color w:val="000000" w:themeColor="text1"/>
          <w:szCs w:val="24"/>
        </w:rPr>
      </w:pPr>
      <w:proofErr w:type="spellStart"/>
      <w:r w:rsidRPr="00397C2B">
        <w:rPr>
          <w:color w:val="000000" w:themeColor="text1"/>
          <w:szCs w:val="24"/>
        </w:rPr>
        <w:t>IVIg</w:t>
      </w:r>
      <w:proofErr w:type="spellEnd"/>
      <w:r w:rsidRPr="00397C2B">
        <w:rPr>
          <w:color w:val="000000" w:themeColor="text1"/>
          <w:szCs w:val="24"/>
        </w:rPr>
        <w:t xml:space="preserve"> may affect risk of TEEs by increasing plasma viscosity</w:t>
      </w:r>
      <w:r w:rsidR="00914060">
        <w:rPr>
          <w:color w:val="000000" w:themeColor="text1"/>
          <w:szCs w:val="24"/>
        </w:rPr>
        <w:t>, although this remains unproven</w:t>
      </w:r>
      <w:r w:rsidRPr="00397C2B">
        <w:rPr>
          <w:color w:val="000000" w:themeColor="text1"/>
          <w:szCs w:val="24"/>
        </w:rPr>
        <w:t xml:space="preserve">. One study measured </w:t>
      </w:r>
      <w:r w:rsidR="00914060">
        <w:rPr>
          <w:color w:val="000000" w:themeColor="text1"/>
          <w:szCs w:val="24"/>
        </w:rPr>
        <w:t>plasma viscosity</w:t>
      </w:r>
      <w:r w:rsidR="00914060" w:rsidRPr="00397C2B">
        <w:rPr>
          <w:color w:val="000000" w:themeColor="text1"/>
          <w:szCs w:val="24"/>
        </w:rPr>
        <w:t xml:space="preserve"> </w:t>
      </w:r>
      <w:r w:rsidR="00032424" w:rsidRPr="00397C2B">
        <w:rPr>
          <w:color w:val="000000" w:themeColor="text1"/>
          <w:szCs w:val="24"/>
        </w:rPr>
        <w:t>in</w:t>
      </w:r>
      <w:r w:rsidRPr="00397C2B">
        <w:rPr>
          <w:color w:val="000000" w:themeColor="text1"/>
          <w:szCs w:val="24"/>
        </w:rPr>
        <w:t xml:space="preserve"> 15 patients who received 2g/kg </w:t>
      </w:r>
      <w:proofErr w:type="spellStart"/>
      <w:r w:rsidR="00032424" w:rsidRPr="00397C2B">
        <w:rPr>
          <w:color w:val="000000" w:themeColor="text1"/>
          <w:szCs w:val="24"/>
        </w:rPr>
        <w:t>IVIg</w:t>
      </w:r>
      <w:proofErr w:type="spellEnd"/>
      <w:r w:rsidR="00032424" w:rsidRPr="00397C2B">
        <w:rPr>
          <w:color w:val="000000" w:themeColor="text1"/>
          <w:szCs w:val="24"/>
        </w:rPr>
        <w:t xml:space="preserve"> </w:t>
      </w:r>
      <w:r w:rsidRPr="00397C2B">
        <w:rPr>
          <w:color w:val="000000" w:themeColor="text1"/>
          <w:szCs w:val="24"/>
        </w:rPr>
        <w:t>over 2-5 days</w:t>
      </w:r>
      <w:r w:rsidR="00D02BCB" w:rsidRPr="00397C2B">
        <w:rPr>
          <w:color w:val="000000" w:themeColor="text1"/>
          <w:szCs w:val="24"/>
        </w:rPr>
        <w:t xml:space="preserve"> and </w:t>
      </w:r>
      <w:r w:rsidRPr="00397C2B">
        <w:rPr>
          <w:color w:val="000000" w:themeColor="text1"/>
          <w:szCs w:val="24"/>
        </w:rPr>
        <w:t>showed a</w:t>
      </w:r>
      <w:r w:rsidR="0061650C" w:rsidRPr="00397C2B">
        <w:rPr>
          <w:color w:val="000000" w:themeColor="text1"/>
          <w:szCs w:val="24"/>
        </w:rPr>
        <w:t xml:space="preserve">n 11% </w:t>
      </w:r>
      <w:r w:rsidRPr="00397C2B">
        <w:rPr>
          <w:color w:val="000000" w:themeColor="text1"/>
          <w:szCs w:val="24"/>
        </w:rPr>
        <w:t xml:space="preserve">increase in serum viscosity at 24 </w:t>
      </w:r>
      <w:proofErr w:type="gramStart"/>
      <w:r w:rsidRPr="00397C2B">
        <w:rPr>
          <w:color w:val="000000" w:themeColor="text1"/>
          <w:szCs w:val="24"/>
        </w:rPr>
        <w:t>hours</w:t>
      </w:r>
      <w:r w:rsidR="00914060">
        <w:rPr>
          <w:color w:val="000000" w:themeColor="text1"/>
          <w:szCs w:val="24"/>
        </w:rPr>
        <w:t>.</w:t>
      </w:r>
      <w:r w:rsidR="001C05E2">
        <w:rPr>
          <w:color w:val="000000" w:themeColor="text1"/>
          <w:szCs w:val="24"/>
        </w:rPr>
        <w:t>{</w:t>
      </w:r>
      <w:proofErr w:type="gramEnd"/>
      <w:r w:rsidR="001C05E2">
        <w:rPr>
          <w:color w:val="000000" w:themeColor="text1"/>
          <w:szCs w:val="24"/>
        </w:rPr>
        <w:t>Steinberger, 2003 #6576}</w:t>
      </w:r>
      <w:r w:rsidR="00914060" w:rsidRPr="00397C2B">
        <w:rPr>
          <w:color w:val="000000" w:themeColor="text1"/>
          <w:szCs w:val="24"/>
        </w:rPr>
        <w:t xml:space="preserve"> </w:t>
      </w:r>
      <w:r w:rsidR="00914060">
        <w:rPr>
          <w:color w:val="000000" w:themeColor="text1"/>
          <w:szCs w:val="24"/>
        </w:rPr>
        <w:t xml:space="preserve"> </w:t>
      </w:r>
      <w:r w:rsidR="00A77632">
        <w:rPr>
          <w:color w:val="000000" w:themeColor="text1"/>
          <w:szCs w:val="24"/>
        </w:rPr>
        <w:t xml:space="preserve">Another study showed </w:t>
      </w:r>
      <w:r w:rsidR="00914060" w:rsidRPr="00397C2B">
        <w:rPr>
          <w:color w:val="000000" w:themeColor="text1"/>
          <w:szCs w:val="24"/>
        </w:rPr>
        <w:t xml:space="preserve">up </w:t>
      </w:r>
      <w:r w:rsidR="00A77632">
        <w:rPr>
          <w:color w:val="000000" w:themeColor="text1"/>
          <w:szCs w:val="24"/>
        </w:rPr>
        <w:t xml:space="preserve">to </w:t>
      </w:r>
      <w:r w:rsidR="00914060" w:rsidRPr="00397C2B">
        <w:rPr>
          <w:color w:val="000000" w:themeColor="text1"/>
          <w:szCs w:val="24"/>
        </w:rPr>
        <w:t xml:space="preserve">a four-fold increase in erythrocyte sedimentation rate post </w:t>
      </w:r>
      <w:proofErr w:type="spellStart"/>
      <w:r w:rsidR="00914060" w:rsidRPr="00397C2B">
        <w:rPr>
          <w:color w:val="000000" w:themeColor="text1"/>
          <w:szCs w:val="24"/>
        </w:rPr>
        <w:t>IVIg</w:t>
      </w:r>
      <w:proofErr w:type="spellEnd"/>
      <w:r w:rsidR="00914060" w:rsidRPr="00397C2B">
        <w:rPr>
          <w:color w:val="000000" w:themeColor="text1"/>
          <w:szCs w:val="24"/>
        </w:rPr>
        <w:t>.</w:t>
      </w:r>
      <w:r w:rsidR="001C05E2">
        <w:rPr>
          <w:color w:val="000000" w:themeColor="text1"/>
          <w:szCs w:val="24"/>
        </w:rPr>
        <w:t>{Bentley, 2012 #6571}</w:t>
      </w:r>
      <w:r w:rsidRPr="00397C2B">
        <w:rPr>
          <w:color w:val="000000" w:themeColor="text1"/>
          <w:szCs w:val="24"/>
        </w:rPr>
        <w:t xml:space="preserve">. While </w:t>
      </w:r>
      <w:r w:rsidR="00914060">
        <w:rPr>
          <w:color w:val="000000" w:themeColor="text1"/>
          <w:szCs w:val="24"/>
        </w:rPr>
        <w:t xml:space="preserve">the rise in </w:t>
      </w:r>
      <w:r w:rsidR="00995BBE">
        <w:rPr>
          <w:color w:val="000000" w:themeColor="text1"/>
          <w:szCs w:val="24"/>
        </w:rPr>
        <w:t xml:space="preserve">viscosity </w:t>
      </w:r>
      <w:r w:rsidR="00995BBE" w:rsidRPr="00397C2B">
        <w:rPr>
          <w:color w:val="000000" w:themeColor="text1"/>
          <w:szCs w:val="24"/>
        </w:rPr>
        <w:t>is</w:t>
      </w:r>
      <w:r w:rsidRPr="00397C2B">
        <w:rPr>
          <w:color w:val="000000" w:themeColor="text1"/>
          <w:szCs w:val="24"/>
        </w:rPr>
        <w:t xml:space="preserve"> not a large absolute change, an acute change in these parameters in patients with other risk factors </w:t>
      </w:r>
      <w:r w:rsidR="00914060">
        <w:rPr>
          <w:color w:val="000000" w:themeColor="text1"/>
          <w:szCs w:val="24"/>
        </w:rPr>
        <w:t>might</w:t>
      </w:r>
      <w:r w:rsidR="00914060" w:rsidRPr="00397C2B">
        <w:rPr>
          <w:color w:val="000000" w:themeColor="text1"/>
          <w:szCs w:val="24"/>
        </w:rPr>
        <w:t xml:space="preserve"> </w:t>
      </w:r>
      <w:r w:rsidR="00914060">
        <w:rPr>
          <w:color w:val="000000" w:themeColor="text1"/>
          <w:szCs w:val="24"/>
        </w:rPr>
        <w:t>contribute to</w:t>
      </w:r>
      <w:r w:rsidR="00707EFA" w:rsidRPr="00397C2B">
        <w:rPr>
          <w:color w:val="000000" w:themeColor="text1"/>
          <w:szCs w:val="24"/>
        </w:rPr>
        <w:t xml:space="preserve"> </w:t>
      </w:r>
      <w:r w:rsidR="004F0E21">
        <w:rPr>
          <w:color w:val="000000" w:themeColor="text1"/>
          <w:szCs w:val="24"/>
        </w:rPr>
        <w:t>the risk of clotting. O</w:t>
      </w:r>
      <w:r w:rsidR="00E40CE3" w:rsidRPr="00397C2B">
        <w:rPr>
          <w:color w:val="000000" w:themeColor="text1"/>
          <w:szCs w:val="24"/>
        </w:rPr>
        <w:t>ther potential mechanism</w:t>
      </w:r>
      <w:r w:rsidR="003026EB">
        <w:rPr>
          <w:color w:val="000000" w:themeColor="text1"/>
          <w:szCs w:val="24"/>
        </w:rPr>
        <w:t>s</w:t>
      </w:r>
      <w:r w:rsidR="00E40CE3" w:rsidRPr="00397C2B">
        <w:rPr>
          <w:color w:val="000000" w:themeColor="text1"/>
          <w:szCs w:val="24"/>
        </w:rPr>
        <w:t xml:space="preserve"> </w:t>
      </w:r>
      <w:r w:rsidR="00914060">
        <w:rPr>
          <w:color w:val="000000" w:themeColor="text1"/>
          <w:szCs w:val="24"/>
        </w:rPr>
        <w:t>might be the effect of</w:t>
      </w:r>
      <w:r w:rsidR="00E40CE3" w:rsidRPr="00397C2B">
        <w:rPr>
          <w:color w:val="000000" w:themeColor="text1"/>
          <w:szCs w:val="24"/>
        </w:rPr>
        <w:t xml:space="preserve"> </w:t>
      </w:r>
      <w:proofErr w:type="spellStart"/>
      <w:r w:rsidR="00E40CE3" w:rsidRPr="00397C2B">
        <w:rPr>
          <w:color w:val="000000" w:themeColor="text1"/>
          <w:szCs w:val="24"/>
        </w:rPr>
        <w:t>IVIg</w:t>
      </w:r>
      <w:proofErr w:type="spellEnd"/>
      <w:r w:rsidR="00E40CE3" w:rsidRPr="00397C2B">
        <w:rPr>
          <w:color w:val="000000" w:themeColor="text1"/>
          <w:szCs w:val="24"/>
        </w:rPr>
        <w:t xml:space="preserve"> on platelets, cytokines and other naturally occurring pro-thrombotic factors. In </w:t>
      </w:r>
      <w:r w:rsidR="00707EFA" w:rsidRPr="00397C2B">
        <w:rPr>
          <w:color w:val="000000" w:themeColor="text1"/>
          <w:szCs w:val="24"/>
        </w:rPr>
        <w:t>a</w:t>
      </w:r>
      <w:r w:rsidR="00E40CE3" w:rsidRPr="00397C2B">
        <w:rPr>
          <w:color w:val="000000" w:themeColor="text1"/>
          <w:szCs w:val="24"/>
        </w:rPr>
        <w:t xml:space="preserve"> </w:t>
      </w:r>
      <w:r w:rsidR="00914060" w:rsidRPr="00397C2B">
        <w:rPr>
          <w:color w:val="000000" w:themeColor="text1"/>
          <w:szCs w:val="24"/>
        </w:rPr>
        <w:t xml:space="preserve">mouse </w:t>
      </w:r>
      <w:r w:rsidR="00E40CE3" w:rsidRPr="00397C2B">
        <w:rPr>
          <w:color w:val="000000" w:themeColor="text1"/>
          <w:szCs w:val="24"/>
        </w:rPr>
        <w:t xml:space="preserve">brain </w:t>
      </w:r>
      <w:proofErr w:type="spellStart"/>
      <w:r w:rsidR="00E40CE3" w:rsidRPr="00397C2B">
        <w:rPr>
          <w:color w:val="000000" w:themeColor="text1"/>
          <w:szCs w:val="24"/>
        </w:rPr>
        <w:t>ischaemia</w:t>
      </w:r>
      <w:proofErr w:type="spellEnd"/>
      <w:r w:rsidR="00E40CE3" w:rsidRPr="00397C2B">
        <w:rPr>
          <w:color w:val="000000" w:themeColor="text1"/>
          <w:szCs w:val="24"/>
        </w:rPr>
        <w:t xml:space="preserve"> model, intravital microscopy was used to record cell trafficking in </w:t>
      </w:r>
      <w:proofErr w:type="spellStart"/>
      <w:r w:rsidR="00E40CE3" w:rsidRPr="00397C2B">
        <w:rPr>
          <w:color w:val="000000" w:themeColor="text1"/>
          <w:szCs w:val="24"/>
        </w:rPr>
        <w:t>pial</w:t>
      </w:r>
      <w:proofErr w:type="spellEnd"/>
      <w:r w:rsidR="00E40CE3" w:rsidRPr="00397C2B">
        <w:rPr>
          <w:color w:val="000000" w:themeColor="text1"/>
          <w:szCs w:val="24"/>
        </w:rPr>
        <w:t xml:space="preserve"> vessels before and after </w:t>
      </w:r>
      <w:proofErr w:type="spellStart"/>
      <w:r w:rsidR="00E40CE3" w:rsidRPr="00397C2B">
        <w:rPr>
          <w:color w:val="000000" w:themeColor="text1"/>
          <w:szCs w:val="24"/>
        </w:rPr>
        <w:t>IVIg</w:t>
      </w:r>
      <w:proofErr w:type="spellEnd"/>
      <w:r w:rsidR="00E40CE3" w:rsidRPr="00397C2B">
        <w:rPr>
          <w:color w:val="000000" w:themeColor="text1"/>
          <w:szCs w:val="24"/>
        </w:rPr>
        <w:t xml:space="preserve"> (0</w:t>
      </w:r>
      <w:r w:rsidR="00CF537E">
        <w:rPr>
          <w:rFonts w:ascii="Times" w:eastAsiaTheme="minorHAnsi" w:hAnsi="Times" w:cs="Times"/>
          <w:color w:val="000000"/>
          <w:sz w:val="18"/>
          <w:szCs w:val="18"/>
          <w:lang w:val="en-GB"/>
        </w:rPr>
        <w:t>·</w:t>
      </w:r>
      <w:r w:rsidR="00E40CE3" w:rsidRPr="00397C2B">
        <w:rPr>
          <w:color w:val="000000" w:themeColor="text1"/>
          <w:szCs w:val="24"/>
        </w:rPr>
        <w:t xml:space="preserve">4g/kg) injection. An hour </w:t>
      </w:r>
      <w:r w:rsidR="00914060">
        <w:rPr>
          <w:color w:val="000000" w:themeColor="text1"/>
          <w:szCs w:val="24"/>
        </w:rPr>
        <w:t xml:space="preserve">after </w:t>
      </w:r>
      <w:proofErr w:type="spellStart"/>
      <w:r w:rsidR="00A77632" w:rsidRPr="00397C2B">
        <w:rPr>
          <w:color w:val="000000" w:themeColor="text1"/>
          <w:szCs w:val="24"/>
        </w:rPr>
        <w:t>IVIg</w:t>
      </w:r>
      <w:proofErr w:type="spellEnd"/>
      <w:r w:rsidR="00E40CE3" w:rsidRPr="00397C2B">
        <w:rPr>
          <w:color w:val="000000" w:themeColor="text1"/>
          <w:szCs w:val="24"/>
        </w:rPr>
        <w:t xml:space="preserve">, the increase in leucocyte and platelet trafficking and aggregation was so great in the </w:t>
      </w:r>
      <w:proofErr w:type="spellStart"/>
      <w:r w:rsidR="00E40CE3" w:rsidRPr="00397C2B">
        <w:rPr>
          <w:color w:val="000000" w:themeColor="text1"/>
          <w:szCs w:val="24"/>
        </w:rPr>
        <w:t>IVIg</w:t>
      </w:r>
      <w:proofErr w:type="spellEnd"/>
      <w:r w:rsidR="00E40CE3" w:rsidRPr="00397C2B">
        <w:rPr>
          <w:color w:val="000000" w:themeColor="text1"/>
          <w:szCs w:val="24"/>
        </w:rPr>
        <w:t xml:space="preserve"> group that counting was not possible. </w:t>
      </w:r>
      <w:r w:rsidR="00914060">
        <w:rPr>
          <w:color w:val="000000" w:themeColor="text1"/>
          <w:szCs w:val="24"/>
        </w:rPr>
        <w:t>Some of the</w:t>
      </w:r>
      <w:r w:rsidR="00E40CE3" w:rsidRPr="00397C2B">
        <w:rPr>
          <w:color w:val="000000" w:themeColor="text1"/>
          <w:szCs w:val="24"/>
        </w:rPr>
        <w:t xml:space="preserve"> immunomodulatory mechanism </w:t>
      </w:r>
      <w:r w:rsidR="00914060">
        <w:rPr>
          <w:color w:val="000000" w:themeColor="text1"/>
          <w:szCs w:val="24"/>
        </w:rPr>
        <w:t xml:space="preserve">of </w:t>
      </w:r>
      <w:proofErr w:type="spellStart"/>
      <w:r w:rsidR="00A77632" w:rsidRPr="00397C2B">
        <w:rPr>
          <w:color w:val="000000" w:themeColor="text1"/>
          <w:szCs w:val="24"/>
        </w:rPr>
        <w:t>IVIg</w:t>
      </w:r>
      <w:proofErr w:type="spellEnd"/>
      <w:r w:rsidR="00A77632" w:rsidRPr="00397C2B">
        <w:rPr>
          <w:color w:val="000000" w:themeColor="text1"/>
          <w:szCs w:val="24"/>
        </w:rPr>
        <w:t xml:space="preserve"> </w:t>
      </w:r>
      <w:r w:rsidR="00914060">
        <w:rPr>
          <w:color w:val="000000" w:themeColor="text1"/>
          <w:szCs w:val="24"/>
        </w:rPr>
        <w:t xml:space="preserve">might involve </w:t>
      </w:r>
      <w:r w:rsidR="00712FAA" w:rsidRPr="00397C2B">
        <w:rPr>
          <w:color w:val="000000" w:themeColor="text1"/>
          <w:szCs w:val="24"/>
        </w:rPr>
        <w:t>increasing</w:t>
      </w:r>
      <w:r w:rsidR="00E40CE3" w:rsidRPr="00397C2B">
        <w:rPr>
          <w:color w:val="000000" w:themeColor="text1"/>
          <w:szCs w:val="24"/>
        </w:rPr>
        <w:t xml:space="preserve"> interleukin-11 levels which stimulate </w:t>
      </w:r>
      <w:r w:rsidR="0010035E" w:rsidRPr="00397C2B">
        <w:rPr>
          <w:color w:val="000000" w:themeColor="text1"/>
          <w:szCs w:val="24"/>
        </w:rPr>
        <w:t>platelets</w:t>
      </w:r>
      <w:r w:rsidR="00E40CE3" w:rsidRPr="00397C2B">
        <w:rPr>
          <w:color w:val="000000" w:themeColor="text1"/>
          <w:szCs w:val="24"/>
        </w:rPr>
        <w:t xml:space="preserve"> </w:t>
      </w:r>
      <w:r w:rsidR="0010035E" w:rsidRPr="00397C2B">
        <w:rPr>
          <w:color w:val="000000" w:themeColor="text1"/>
          <w:szCs w:val="24"/>
        </w:rPr>
        <w:t>a</w:t>
      </w:r>
      <w:r w:rsidR="00E40CE3" w:rsidRPr="00397C2B">
        <w:rPr>
          <w:color w:val="000000" w:themeColor="text1"/>
          <w:szCs w:val="24"/>
        </w:rPr>
        <w:t xml:space="preserve">nd other </w:t>
      </w:r>
      <w:r w:rsidR="0010035E" w:rsidRPr="00397C2B">
        <w:rPr>
          <w:color w:val="000000" w:themeColor="text1"/>
          <w:szCs w:val="24"/>
        </w:rPr>
        <w:t>haemostatic</w:t>
      </w:r>
      <w:r w:rsidR="00E40CE3" w:rsidRPr="00397C2B">
        <w:rPr>
          <w:color w:val="000000" w:themeColor="text1"/>
          <w:szCs w:val="24"/>
        </w:rPr>
        <w:t xml:space="preserve"> </w:t>
      </w:r>
      <w:proofErr w:type="gramStart"/>
      <w:r w:rsidR="00E40CE3" w:rsidRPr="00397C2B">
        <w:rPr>
          <w:color w:val="000000" w:themeColor="text1"/>
          <w:szCs w:val="24"/>
        </w:rPr>
        <w:t>factors</w:t>
      </w:r>
      <w:r w:rsidR="0010035E" w:rsidRPr="00397C2B">
        <w:rPr>
          <w:color w:val="000000" w:themeColor="text1"/>
          <w:szCs w:val="24"/>
        </w:rPr>
        <w:t>.</w:t>
      </w:r>
      <w:r w:rsidR="001C05E2">
        <w:rPr>
          <w:color w:val="000000" w:themeColor="text1"/>
          <w:szCs w:val="24"/>
        </w:rPr>
        <w:t>{</w:t>
      </w:r>
      <w:proofErr w:type="gramEnd"/>
      <w:r w:rsidR="001C05E2">
        <w:rPr>
          <w:color w:val="000000" w:themeColor="text1"/>
          <w:szCs w:val="24"/>
        </w:rPr>
        <w:t>Nguyen, 2021 #13071}</w:t>
      </w:r>
      <w:r w:rsidR="0010035E" w:rsidRPr="00397C2B">
        <w:rPr>
          <w:color w:val="000000" w:themeColor="text1"/>
          <w:szCs w:val="24"/>
        </w:rPr>
        <w:t xml:space="preserve"> </w:t>
      </w:r>
      <w:r w:rsidR="00914060">
        <w:rPr>
          <w:color w:val="000000" w:themeColor="text1"/>
          <w:szCs w:val="24"/>
        </w:rPr>
        <w:t>I</w:t>
      </w:r>
      <w:r w:rsidR="00E40CE3" w:rsidRPr="00397C2B">
        <w:rPr>
          <w:color w:val="000000" w:themeColor="text1"/>
          <w:szCs w:val="24"/>
        </w:rPr>
        <w:t xml:space="preserve">n already diseased vessels, </w:t>
      </w:r>
      <w:proofErr w:type="spellStart"/>
      <w:r w:rsidR="00E40CE3" w:rsidRPr="00397C2B">
        <w:rPr>
          <w:color w:val="000000" w:themeColor="text1"/>
          <w:szCs w:val="24"/>
        </w:rPr>
        <w:t>IVIg</w:t>
      </w:r>
      <w:proofErr w:type="spellEnd"/>
      <w:r w:rsidR="00E40CE3" w:rsidRPr="00397C2B">
        <w:rPr>
          <w:color w:val="000000" w:themeColor="text1"/>
          <w:szCs w:val="24"/>
        </w:rPr>
        <w:t xml:space="preserve"> may bind to Fc receptors on platelets, triggering platelet-leucocyte </w:t>
      </w:r>
      <w:r w:rsidR="0010035E" w:rsidRPr="00397C2B">
        <w:rPr>
          <w:color w:val="000000" w:themeColor="text1"/>
          <w:szCs w:val="24"/>
        </w:rPr>
        <w:t>interactions</w:t>
      </w:r>
      <w:r w:rsidR="00E40CE3" w:rsidRPr="00397C2B">
        <w:rPr>
          <w:color w:val="000000" w:themeColor="text1"/>
          <w:szCs w:val="24"/>
        </w:rPr>
        <w:t xml:space="preserve"> </w:t>
      </w:r>
      <w:r w:rsidR="00914060">
        <w:rPr>
          <w:color w:val="000000" w:themeColor="text1"/>
          <w:szCs w:val="24"/>
        </w:rPr>
        <w:t>and</w:t>
      </w:r>
      <w:r w:rsidR="00914060" w:rsidRPr="00397C2B">
        <w:rPr>
          <w:color w:val="000000" w:themeColor="text1"/>
          <w:szCs w:val="24"/>
        </w:rPr>
        <w:t xml:space="preserve"> </w:t>
      </w:r>
      <w:r w:rsidR="00E40CE3" w:rsidRPr="00397C2B">
        <w:rPr>
          <w:color w:val="000000" w:themeColor="text1"/>
          <w:szCs w:val="24"/>
        </w:rPr>
        <w:t>potentiat</w:t>
      </w:r>
      <w:r w:rsidR="00914060">
        <w:rPr>
          <w:color w:val="000000" w:themeColor="text1"/>
          <w:szCs w:val="24"/>
        </w:rPr>
        <w:t>e</w:t>
      </w:r>
      <w:r w:rsidR="00E40CE3" w:rsidRPr="00397C2B">
        <w:rPr>
          <w:color w:val="000000" w:themeColor="text1"/>
          <w:szCs w:val="24"/>
        </w:rPr>
        <w:t xml:space="preserve"> </w:t>
      </w:r>
      <w:r w:rsidR="00706074" w:rsidRPr="00397C2B">
        <w:rPr>
          <w:color w:val="000000" w:themeColor="text1"/>
          <w:szCs w:val="24"/>
        </w:rPr>
        <w:t>haemostasis</w:t>
      </w:r>
      <w:r w:rsidR="00E40CE3" w:rsidRPr="00397C2B">
        <w:rPr>
          <w:color w:val="000000" w:themeColor="text1"/>
          <w:szCs w:val="24"/>
        </w:rPr>
        <w:t>.</w:t>
      </w:r>
      <w:r w:rsidR="001C05E2">
        <w:rPr>
          <w:color w:val="000000" w:themeColor="text1"/>
          <w:szCs w:val="24"/>
        </w:rPr>
        <w:t>{Lapointe, 2004 #9050}</w:t>
      </w:r>
      <w:r w:rsidR="00E40CE3" w:rsidRPr="00397C2B">
        <w:rPr>
          <w:color w:val="000000" w:themeColor="text1"/>
          <w:szCs w:val="24"/>
        </w:rPr>
        <w:t xml:space="preserve"> </w:t>
      </w:r>
      <w:r w:rsidR="0010035E" w:rsidRPr="00397C2B">
        <w:rPr>
          <w:color w:val="000000" w:themeColor="text1"/>
          <w:szCs w:val="24"/>
        </w:rPr>
        <w:t>Theoretically,</w:t>
      </w:r>
      <w:r w:rsidR="00783D48" w:rsidRPr="00397C2B">
        <w:rPr>
          <w:color w:val="000000" w:themeColor="text1"/>
          <w:szCs w:val="24"/>
        </w:rPr>
        <w:t xml:space="preserve"> antiplatelet therapy </w:t>
      </w:r>
      <w:r w:rsidR="00707EFA" w:rsidRPr="00397C2B">
        <w:rPr>
          <w:color w:val="000000" w:themeColor="text1"/>
          <w:szCs w:val="24"/>
        </w:rPr>
        <w:t>could</w:t>
      </w:r>
      <w:r w:rsidR="00783D48" w:rsidRPr="00397C2B">
        <w:rPr>
          <w:color w:val="000000" w:themeColor="text1"/>
          <w:szCs w:val="24"/>
        </w:rPr>
        <w:t xml:space="preserve"> mitigate some of the risk, however, </w:t>
      </w:r>
      <w:r w:rsidR="00707EFA" w:rsidRPr="00397C2B">
        <w:rPr>
          <w:color w:val="000000" w:themeColor="text1"/>
          <w:szCs w:val="24"/>
        </w:rPr>
        <w:t xml:space="preserve">we could not demonstrate this here </w:t>
      </w:r>
      <w:r w:rsidR="00914060">
        <w:rPr>
          <w:color w:val="000000" w:themeColor="text1"/>
          <w:szCs w:val="24"/>
        </w:rPr>
        <w:t>because of the relatively small event number</w:t>
      </w:r>
      <w:r w:rsidR="00783D48" w:rsidRPr="00397C2B">
        <w:rPr>
          <w:color w:val="000000" w:themeColor="text1"/>
          <w:szCs w:val="24"/>
        </w:rPr>
        <w:t xml:space="preserve">. </w:t>
      </w:r>
    </w:p>
    <w:p w14:paraId="21746DB7" w14:textId="77777777" w:rsidR="004924BA" w:rsidRPr="00397C2B" w:rsidRDefault="004924BA" w:rsidP="00CE4D33">
      <w:pPr>
        <w:pStyle w:val="PhDNormal"/>
        <w:spacing w:after="0"/>
        <w:ind w:firstLine="0"/>
        <w:jc w:val="left"/>
        <w:rPr>
          <w:color w:val="000000" w:themeColor="text1"/>
          <w:szCs w:val="24"/>
        </w:rPr>
      </w:pPr>
    </w:p>
    <w:p w14:paraId="3CC85B7A" w14:textId="234F127F" w:rsidR="002F19DB" w:rsidRPr="00397C2B" w:rsidRDefault="002F19DB" w:rsidP="00CE4D33">
      <w:pPr>
        <w:spacing w:line="360" w:lineRule="auto"/>
        <w:rPr>
          <w:color w:val="000000" w:themeColor="text1"/>
          <w:u w:val="single"/>
        </w:rPr>
      </w:pPr>
      <w:r w:rsidRPr="000308C9">
        <w:rPr>
          <w:color w:val="000000" w:themeColor="text1"/>
          <w:u w:val="single"/>
        </w:rPr>
        <w:t>Clinical Implications</w:t>
      </w:r>
      <w:r w:rsidRPr="00397C2B">
        <w:rPr>
          <w:color w:val="000000" w:themeColor="text1"/>
          <w:u w:val="single"/>
        </w:rPr>
        <w:t xml:space="preserve"> </w:t>
      </w:r>
    </w:p>
    <w:p w14:paraId="30FC1232" w14:textId="7B3F7C7B" w:rsidR="00696A65" w:rsidRPr="006B520B" w:rsidRDefault="00707EFA" w:rsidP="00CE4D33">
      <w:pPr>
        <w:pStyle w:val="PhDNormal"/>
        <w:spacing w:after="0"/>
        <w:ind w:firstLine="0"/>
        <w:jc w:val="left"/>
        <w:rPr>
          <w:color w:val="000000" w:themeColor="text1"/>
          <w:szCs w:val="24"/>
        </w:rPr>
      </w:pPr>
      <w:r w:rsidRPr="00397C2B">
        <w:rPr>
          <w:color w:val="000000" w:themeColor="text1"/>
          <w:szCs w:val="24"/>
        </w:rPr>
        <w:t xml:space="preserve">Here we have shown that </w:t>
      </w:r>
      <w:proofErr w:type="spellStart"/>
      <w:r w:rsidR="00456E27" w:rsidRPr="00397C2B">
        <w:rPr>
          <w:color w:val="000000" w:themeColor="text1"/>
          <w:szCs w:val="24"/>
        </w:rPr>
        <w:t>IVIg</w:t>
      </w:r>
      <w:proofErr w:type="spellEnd"/>
      <w:r w:rsidRPr="00397C2B">
        <w:rPr>
          <w:color w:val="000000" w:themeColor="text1"/>
          <w:szCs w:val="24"/>
        </w:rPr>
        <w:t xml:space="preserve"> exposure</w:t>
      </w:r>
      <w:r w:rsidR="00456E27" w:rsidRPr="00397C2B">
        <w:rPr>
          <w:color w:val="000000" w:themeColor="text1"/>
          <w:szCs w:val="24"/>
        </w:rPr>
        <w:t xml:space="preserve"> has a substantial impact on a</w:t>
      </w:r>
      <w:r w:rsidRPr="00397C2B">
        <w:rPr>
          <w:color w:val="000000" w:themeColor="text1"/>
          <w:szCs w:val="24"/>
        </w:rPr>
        <w:t xml:space="preserve">n </w:t>
      </w:r>
      <w:r w:rsidR="00A315B9" w:rsidRPr="00397C2B">
        <w:rPr>
          <w:color w:val="000000" w:themeColor="text1"/>
          <w:szCs w:val="24"/>
        </w:rPr>
        <w:t>individual’s</w:t>
      </w:r>
      <w:r w:rsidR="00456E27" w:rsidRPr="00397C2B">
        <w:rPr>
          <w:color w:val="000000" w:themeColor="text1"/>
          <w:szCs w:val="24"/>
        </w:rPr>
        <w:t xml:space="preserve"> risk of recurrent TEE</w:t>
      </w:r>
      <w:r w:rsidRPr="00397C2B">
        <w:rPr>
          <w:color w:val="000000" w:themeColor="text1"/>
          <w:szCs w:val="24"/>
        </w:rPr>
        <w:t>, with a NNH of 6</w:t>
      </w:r>
      <w:r w:rsidR="00EF6D8D">
        <w:rPr>
          <w:color w:val="000000" w:themeColor="text1"/>
          <w:szCs w:val="24"/>
        </w:rPr>
        <w:t xml:space="preserve">, however, in some patients, </w:t>
      </w:r>
      <w:proofErr w:type="spellStart"/>
      <w:r w:rsidR="00EF6D8D">
        <w:rPr>
          <w:color w:val="000000" w:themeColor="text1"/>
          <w:szCs w:val="24"/>
        </w:rPr>
        <w:t>IVIg</w:t>
      </w:r>
      <w:proofErr w:type="spellEnd"/>
      <w:r w:rsidR="00EF6D8D">
        <w:rPr>
          <w:color w:val="000000" w:themeColor="text1"/>
          <w:szCs w:val="24"/>
        </w:rPr>
        <w:t xml:space="preserve"> remains the </w:t>
      </w:r>
      <w:r w:rsidR="00131F1D">
        <w:rPr>
          <w:color w:val="000000" w:themeColor="text1"/>
          <w:szCs w:val="24"/>
        </w:rPr>
        <w:t xml:space="preserve">preferred </w:t>
      </w:r>
      <w:r w:rsidR="00EF6D8D">
        <w:rPr>
          <w:color w:val="000000" w:themeColor="text1"/>
          <w:szCs w:val="24"/>
        </w:rPr>
        <w:t>first-line</w:t>
      </w:r>
      <w:r w:rsidR="006F7971">
        <w:rPr>
          <w:color w:val="000000" w:themeColor="text1"/>
          <w:szCs w:val="24"/>
        </w:rPr>
        <w:t xml:space="preserve"> </w:t>
      </w:r>
      <w:r w:rsidR="00EF6D8D">
        <w:rPr>
          <w:color w:val="000000" w:themeColor="text1"/>
          <w:szCs w:val="24"/>
        </w:rPr>
        <w:t xml:space="preserve">treatment </w:t>
      </w:r>
      <w:proofErr w:type="gramStart"/>
      <w:r w:rsidR="00EF6D8D">
        <w:rPr>
          <w:color w:val="000000" w:themeColor="text1"/>
          <w:szCs w:val="24"/>
        </w:rPr>
        <w:t>option</w:t>
      </w:r>
      <w:r w:rsidR="00A00DCB" w:rsidRPr="00397C2B">
        <w:rPr>
          <w:color w:val="000000" w:themeColor="text1"/>
          <w:szCs w:val="24"/>
        </w:rPr>
        <w:t>.</w:t>
      </w:r>
      <w:r w:rsidR="001C05E2">
        <w:rPr>
          <w:color w:val="000000" w:themeColor="text1"/>
          <w:szCs w:val="24"/>
        </w:rPr>
        <w:t>{</w:t>
      </w:r>
      <w:proofErr w:type="spellStart"/>
      <w:proofErr w:type="gramEnd"/>
      <w:r w:rsidR="001C05E2">
        <w:rPr>
          <w:color w:val="000000" w:themeColor="text1"/>
          <w:szCs w:val="24"/>
        </w:rPr>
        <w:t>Vitiello</w:t>
      </w:r>
      <w:proofErr w:type="spellEnd"/>
      <w:r w:rsidR="001C05E2">
        <w:rPr>
          <w:color w:val="000000" w:themeColor="text1"/>
          <w:szCs w:val="24"/>
        </w:rPr>
        <w:t>, 2019 #12836}</w:t>
      </w:r>
      <w:r w:rsidR="00A00DCB" w:rsidRPr="00397C2B">
        <w:rPr>
          <w:color w:val="000000" w:themeColor="text1"/>
          <w:szCs w:val="24"/>
        </w:rPr>
        <w:t xml:space="preserve"> </w:t>
      </w:r>
      <w:r w:rsidR="006B520B">
        <w:rPr>
          <w:color w:val="000000" w:themeColor="text1"/>
          <w:szCs w:val="24"/>
        </w:rPr>
        <w:t>In</w:t>
      </w:r>
      <w:r w:rsidR="00BA4548">
        <w:rPr>
          <w:color w:val="000000" w:themeColor="text1"/>
          <w:szCs w:val="24"/>
        </w:rPr>
        <w:t xml:space="preserve"> </w:t>
      </w:r>
      <w:r w:rsidR="00131F1D">
        <w:rPr>
          <w:color w:val="000000" w:themeColor="text1"/>
          <w:szCs w:val="24"/>
        </w:rPr>
        <w:t xml:space="preserve">specific neuromuscular conditions such as </w:t>
      </w:r>
      <w:r w:rsidR="00AF2ED9">
        <w:rPr>
          <w:color w:val="000000" w:themeColor="text1"/>
          <w:szCs w:val="24"/>
        </w:rPr>
        <w:t>c</w:t>
      </w:r>
      <w:r w:rsidR="00AF2ED9" w:rsidRPr="00AF2ED9">
        <w:rPr>
          <w:color w:val="000000" w:themeColor="text1"/>
          <w:szCs w:val="24"/>
        </w:rPr>
        <w:t>hronic inflammatory demyelinating polyradiculoneuropathy</w:t>
      </w:r>
      <w:r w:rsidR="00AF2ED9">
        <w:rPr>
          <w:color w:val="000000" w:themeColor="text1"/>
          <w:szCs w:val="24"/>
        </w:rPr>
        <w:t xml:space="preserve">, </w:t>
      </w:r>
      <w:r w:rsidR="00AF2ED9" w:rsidRPr="00AF2ED9">
        <w:rPr>
          <w:color w:val="000000" w:themeColor="text1"/>
          <w:szCs w:val="24"/>
        </w:rPr>
        <w:t xml:space="preserve">Guillain-Barré syndrome </w:t>
      </w:r>
      <w:r w:rsidR="00131F1D">
        <w:rPr>
          <w:color w:val="000000" w:themeColor="text1"/>
          <w:szCs w:val="24"/>
        </w:rPr>
        <w:t>and</w:t>
      </w:r>
      <w:r w:rsidR="00AF2ED9">
        <w:rPr>
          <w:color w:val="000000" w:themeColor="text1"/>
          <w:szCs w:val="24"/>
        </w:rPr>
        <w:t xml:space="preserve"> </w:t>
      </w:r>
      <w:r w:rsidR="00AF2ED9" w:rsidRPr="00AF2ED9">
        <w:rPr>
          <w:color w:val="000000" w:themeColor="text1"/>
          <w:szCs w:val="24"/>
        </w:rPr>
        <w:t>multifocal motor neuropathy</w:t>
      </w:r>
      <w:r w:rsidR="006B520B">
        <w:rPr>
          <w:color w:val="000000" w:themeColor="text1"/>
          <w:szCs w:val="24"/>
        </w:rPr>
        <w:t xml:space="preserve">, </w:t>
      </w:r>
      <w:proofErr w:type="spellStart"/>
      <w:r w:rsidR="006B520B">
        <w:rPr>
          <w:color w:val="000000" w:themeColor="text1"/>
          <w:szCs w:val="24"/>
        </w:rPr>
        <w:t>IVIg</w:t>
      </w:r>
      <w:proofErr w:type="spellEnd"/>
      <w:r w:rsidR="006B520B">
        <w:rPr>
          <w:color w:val="000000" w:themeColor="text1"/>
          <w:szCs w:val="24"/>
        </w:rPr>
        <w:t xml:space="preserve"> </w:t>
      </w:r>
      <w:r w:rsidR="00BA4548">
        <w:rPr>
          <w:color w:val="000000" w:themeColor="text1"/>
          <w:szCs w:val="24"/>
        </w:rPr>
        <w:t xml:space="preserve">can lead </w:t>
      </w:r>
      <w:r w:rsidR="006B520B">
        <w:rPr>
          <w:color w:val="000000" w:themeColor="text1"/>
          <w:szCs w:val="24"/>
        </w:rPr>
        <w:t>to significant improvement in strength and function</w:t>
      </w:r>
      <w:r w:rsidR="001C05E2">
        <w:rPr>
          <w:color w:val="000000" w:themeColor="text1"/>
          <w:szCs w:val="24"/>
        </w:rPr>
        <w:t>{</w:t>
      </w:r>
      <w:proofErr w:type="spellStart"/>
      <w:r w:rsidR="001C05E2">
        <w:rPr>
          <w:color w:val="000000" w:themeColor="text1"/>
          <w:szCs w:val="24"/>
        </w:rPr>
        <w:t>Lunemann</w:t>
      </w:r>
      <w:proofErr w:type="spellEnd"/>
      <w:r w:rsidR="001C05E2">
        <w:rPr>
          <w:color w:val="000000" w:themeColor="text1"/>
          <w:szCs w:val="24"/>
        </w:rPr>
        <w:t>, 2015 #12835}</w:t>
      </w:r>
    </w:p>
    <w:p w14:paraId="4905753A" w14:textId="4EDE3FFB" w:rsidR="00601332" w:rsidRDefault="00601332" w:rsidP="00CE4D33">
      <w:pPr>
        <w:pStyle w:val="PhDNormal"/>
        <w:spacing w:after="0"/>
        <w:ind w:firstLine="0"/>
        <w:jc w:val="left"/>
        <w:rPr>
          <w:color w:val="000000" w:themeColor="text1"/>
          <w:szCs w:val="24"/>
        </w:rPr>
      </w:pPr>
    </w:p>
    <w:p w14:paraId="6F0ABFA8" w14:textId="31A86CA8" w:rsidR="00995BBE" w:rsidRDefault="00995BBE" w:rsidP="00CE4D33">
      <w:pPr>
        <w:pStyle w:val="PhDNormal"/>
        <w:spacing w:after="0"/>
        <w:ind w:firstLine="0"/>
        <w:jc w:val="left"/>
        <w:rPr>
          <w:color w:val="000000" w:themeColor="text1"/>
          <w:szCs w:val="24"/>
        </w:rPr>
      </w:pPr>
      <w:r>
        <w:rPr>
          <w:color w:val="000000" w:themeColor="text1"/>
          <w:szCs w:val="24"/>
        </w:rPr>
        <w:t xml:space="preserve">Our </w:t>
      </w:r>
      <w:r w:rsidR="00131F1D">
        <w:rPr>
          <w:color w:val="000000" w:themeColor="text1"/>
          <w:szCs w:val="24"/>
        </w:rPr>
        <w:t>current study</w:t>
      </w:r>
      <w:r>
        <w:rPr>
          <w:color w:val="000000" w:themeColor="text1"/>
          <w:szCs w:val="24"/>
        </w:rPr>
        <w:t xml:space="preserve"> demonstrate</w:t>
      </w:r>
      <w:r w:rsidR="00131F1D">
        <w:rPr>
          <w:color w:val="000000" w:themeColor="text1"/>
          <w:szCs w:val="24"/>
        </w:rPr>
        <w:t>s</w:t>
      </w:r>
      <w:r>
        <w:rPr>
          <w:color w:val="000000" w:themeColor="text1"/>
          <w:szCs w:val="24"/>
        </w:rPr>
        <w:t xml:space="preserve"> that </w:t>
      </w:r>
      <w:proofErr w:type="spellStart"/>
      <w:r>
        <w:rPr>
          <w:color w:val="000000" w:themeColor="text1"/>
          <w:szCs w:val="24"/>
        </w:rPr>
        <w:t>IVIg</w:t>
      </w:r>
      <w:proofErr w:type="spellEnd"/>
      <w:r>
        <w:rPr>
          <w:color w:val="000000" w:themeColor="text1"/>
          <w:szCs w:val="24"/>
        </w:rPr>
        <w:t xml:space="preserve"> in those with a history of arterial </w:t>
      </w:r>
      <w:r w:rsidR="00AF2ED9">
        <w:rPr>
          <w:color w:val="000000" w:themeColor="text1"/>
          <w:szCs w:val="24"/>
        </w:rPr>
        <w:t>and/</w:t>
      </w:r>
      <w:r>
        <w:rPr>
          <w:color w:val="000000" w:themeColor="text1"/>
          <w:szCs w:val="24"/>
        </w:rPr>
        <w:t xml:space="preserve">or venous TEE increased the risk of recurrent arterial </w:t>
      </w:r>
      <w:r w:rsidR="00E71C52">
        <w:rPr>
          <w:color w:val="000000" w:themeColor="text1"/>
          <w:szCs w:val="24"/>
        </w:rPr>
        <w:t>TEEs but</w:t>
      </w:r>
      <w:r>
        <w:rPr>
          <w:color w:val="000000" w:themeColor="text1"/>
          <w:szCs w:val="24"/>
        </w:rPr>
        <w:t xml:space="preserve"> did not show </w:t>
      </w:r>
      <w:r w:rsidR="008D6F38">
        <w:rPr>
          <w:color w:val="000000" w:themeColor="text1"/>
          <w:szCs w:val="24"/>
        </w:rPr>
        <w:t>a specific</w:t>
      </w:r>
      <w:r>
        <w:rPr>
          <w:color w:val="000000" w:themeColor="text1"/>
          <w:szCs w:val="24"/>
        </w:rPr>
        <w:t xml:space="preserve"> increased risk of recurrent venous TEEs, </w:t>
      </w:r>
      <w:r w:rsidR="00CD7367">
        <w:rPr>
          <w:color w:val="000000" w:themeColor="text1"/>
          <w:szCs w:val="24"/>
        </w:rPr>
        <w:t>the latter possibly</w:t>
      </w:r>
      <w:r>
        <w:rPr>
          <w:color w:val="000000" w:themeColor="text1"/>
          <w:szCs w:val="24"/>
        </w:rPr>
        <w:t xml:space="preserve"> limited by small numbers. Hence, we cannot justify a change in routine clinical practice to prevent future venous events. </w:t>
      </w:r>
    </w:p>
    <w:p w14:paraId="255D43B2" w14:textId="05FAD544" w:rsidR="00FA38FB" w:rsidRDefault="00FA38FB" w:rsidP="00CE4D33">
      <w:pPr>
        <w:pStyle w:val="PhDNormal"/>
        <w:spacing w:after="0"/>
        <w:ind w:firstLine="0"/>
        <w:jc w:val="left"/>
        <w:rPr>
          <w:color w:val="000000" w:themeColor="text1"/>
          <w:szCs w:val="24"/>
        </w:rPr>
      </w:pPr>
    </w:p>
    <w:p w14:paraId="490EA952" w14:textId="5E430E71" w:rsidR="00FA38FB" w:rsidRPr="00FA38FB" w:rsidRDefault="00FA38FB" w:rsidP="00FA38FB">
      <w:pPr>
        <w:pStyle w:val="PhDNormal"/>
        <w:ind w:firstLine="0"/>
        <w:rPr>
          <w:color w:val="000000" w:themeColor="text1"/>
          <w:szCs w:val="24"/>
        </w:rPr>
      </w:pPr>
      <w:r w:rsidRPr="00FA38FB">
        <w:rPr>
          <w:color w:val="000000" w:themeColor="text1"/>
          <w:szCs w:val="24"/>
        </w:rPr>
        <w:t>This area needs further investigation and a method for risk stratification as recent data has demonstrated that patients with a history of unprovoked VTE, or VTE associated with a minor transient risk factor have a risk of recurrent VTE approximating 10% and 4%, respectively.</w:t>
      </w:r>
      <w:r w:rsidR="00EB03C5">
        <w:rPr>
          <w:color w:val="000000" w:themeColor="text1"/>
          <w:szCs w:val="24"/>
        </w:rPr>
        <w:t xml:space="preserve"> </w:t>
      </w:r>
      <w:r w:rsidRPr="00FA38FB">
        <w:rPr>
          <w:color w:val="000000" w:themeColor="text1"/>
          <w:szCs w:val="24"/>
        </w:rPr>
        <w:t>Therefore, the use of short term VTE prophylaxis in this high-risk group could be considered to minimise the risk of TEE after intravenous Ig exposure. However, this approach would need to consider the potential bleeding risk associated with VTE prophylaxis since a significant subset of patients in our cohort received intravenous Ig for thrombocytopaenia and haematological malignancies.</w:t>
      </w:r>
    </w:p>
    <w:p w14:paraId="5B2A6EC5" w14:textId="05E85629" w:rsidR="00EB03C5" w:rsidRDefault="00EB03C5" w:rsidP="00EB03C5">
      <w:pPr>
        <w:pStyle w:val="PhDNormal"/>
        <w:spacing w:after="0"/>
        <w:ind w:firstLine="0"/>
        <w:jc w:val="left"/>
        <w:rPr>
          <w:color w:val="000000" w:themeColor="text1"/>
          <w:szCs w:val="24"/>
          <w:lang w:eastAsia="en-GB"/>
        </w:rPr>
      </w:pPr>
      <w:r>
        <w:rPr>
          <w:color w:val="000000" w:themeColor="text1"/>
          <w:szCs w:val="24"/>
        </w:rPr>
        <w:t xml:space="preserve">Regarding, recurrent arterial events, our study suggests that optimising management of other CVD risk factors is the most sensible approach in patients with previous TEEs who need </w:t>
      </w:r>
      <w:proofErr w:type="spellStart"/>
      <w:r>
        <w:rPr>
          <w:color w:val="000000" w:themeColor="text1"/>
          <w:szCs w:val="24"/>
        </w:rPr>
        <w:t>IVIg</w:t>
      </w:r>
      <w:proofErr w:type="spellEnd"/>
      <w:r>
        <w:rPr>
          <w:color w:val="000000" w:themeColor="text1"/>
          <w:szCs w:val="24"/>
        </w:rPr>
        <w:t xml:space="preserve">. </w:t>
      </w:r>
      <w:r>
        <w:rPr>
          <w:color w:val="000000" w:themeColor="text1"/>
          <w:szCs w:val="24"/>
          <w:lang w:eastAsia="en-GB"/>
        </w:rPr>
        <w:t>Fu</w:t>
      </w:r>
      <w:r w:rsidRPr="00397C2B">
        <w:rPr>
          <w:color w:val="000000" w:themeColor="text1"/>
          <w:szCs w:val="24"/>
          <w:lang w:eastAsia="en-GB"/>
        </w:rPr>
        <w:t xml:space="preserve">rther research into the mechanisms of </w:t>
      </w:r>
      <w:proofErr w:type="spellStart"/>
      <w:r w:rsidRPr="00397C2B">
        <w:rPr>
          <w:color w:val="000000" w:themeColor="text1"/>
          <w:szCs w:val="24"/>
          <w:lang w:eastAsia="en-GB"/>
        </w:rPr>
        <w:t>IVIg</w:t>
      </w:r>
      <w:proofErr w:type="spellEnd"/>
      <w:r w:rsidRPr="00397C2B">
        <w:rPr>
          <w:color w:val="000000" w:themeColor="text1"/>
          <w:szCs w:val="24"/>
          <w:lang w:eastAsia="en-GB"/>
        </w:rPr>
        <w:t xml:space="preserve"> related</w:t>
      </w:r>
      <w:r>
        <w:rPr>
          <w:color w:val="000000" w:themeColor="text1"/>
          <w:szCs w:val="24"/>
          <w:lang w:eastAsia="en-GB"/>
        </w:rPr>
        <w:t xml:space="preserve"> exacerbations in already high-risk patients </w:t>
      </w:r>
      <w:r w:rsidRPr="00397C2B">
        <w:rPr>
          <w:color w:val="000000" w:themeColor="text1"/>
          <w:szCs w:val="24"/>
          <w:lang w:eastAsia="en-GB"/>
        </w:rPr>
        <w:t xml:space="preserve">will </w:t>
      </w:r>
      <w:r>
        <w:rPr>
          <w:color w:val="000000" w:themeColor="text1"/>
          <w:szCs w:val="24"/>
          <w:lang w:eastAsia="en-GB"/>
        </w:rPr>
        <w:t xml:space="preserve">further </w:t>
      </w:r>
      <w:r w:rsidRPr="00397C2B">
        <w:rPr>
          <w:color w:val="000000" w:themeColor="text1"/>
          <w:szCs w:val="24"/>
          <w:lang w:eastAsia="en-GB"/>
        </w:rPr>
        <w:t xml:space="preserve">guide the best monitoring and management. </w:t>
      </w:r>
      <w:r>
        <w:rPr>
          <w:color w:val="000000" w:themeColor="text1"/>
          <w:szCs w:val="24"/>
          <w:lang w:eastAsia="en-GB"/>
        </w:rPr>
        <w:t xml:space="preserve">Recurrence rates for any other CVD event in the year after a </w:t>
      </w:r>
      <w:r w:rsidRPr="00397C2B">
        <w:rPr>
          <w:color w:val="000000" w:themeColor="text1"/>
        </w:rPr>
        <w:t>myocardial infarction</w:t>
      </w:r>
      <w:r>
        <w:rPr>
          <w:color w:val="000000" w:themeColor="text1"/>
        </w:rPr>
        <w:t xml:space="preserve"> is near 50%, and up to 75% of patients have a recurrent event within three </w:t>
      </w:r>
      <w:proofErr w:type="gramStart"/>
      <w:r>
        <w:rPr>
          <w:color w:val="000000" w:themeColor="text1"/>
        </w:rPr>
        <w:t>years.{</w:t>
      </w:r>
      <w:proofErr w:type="spellStart"/>
      <w:proofErr w:type="gramEnd"/>
      <w:r>
        <w:rPr>
          <w:color w:val="000000" w:themeColor="text1"/>
        </w:rPr>
        <w:t>Bansilal</w:t>
      </w:r>
      <w:proofErr w:type="spellEnd"/>
      <w:r>
        <w:rPr>
          <w:color w:val="000000" w:themeColor="text1"/>
        </w:rPr>
        <w:t xml:space="preserve">, 2015 #12829} These patients should therefore be on appropriate arterial TEE secondary prevention after the primary events, which many are not (Table 1). When this is the case in clinical practice, and </w:t>
      </w:r>
      <w:proofErr w:type="spellStart"/>
      <w:r w:rsidRPr="00397C2B">
        <w:rPr>
          <w:color w:val="000000" w:themeColor="text1"/>
          <w:szCs w:val="24"/>
          <w:lang w:eastAsia="en-GB"/>
        </w:rPr>
        <w:t>IVIg</w:t>
      </w:r>
      <w:proofErr w:type="spellEnd"/>
      <w:r w:rsidRPr="00397C2B">
        <w:rPr>
          <w:color w:val="000000" w:themeColor="text1"/>
          <w:szCs w:val="24"/>
          <w:lang w:eastAsia="en-GB"/>
        </w:rPr>
        <w:t xml:space="preserve"> </w:t>
      </w:r>
      <w:r>
        <w:rPr>
          <w:color w:val="000000" w:themeColor="text1"/>
        </w:rPr>
        <w:t xml:space="preserve">is considered, medications and non-pharmacological measures as per local guidelines for the secondary prevention of CVD should be optimised. As some indications for </w:t>
      </w:r>
      <w:proofErr w:type="spellStart"/>
      <w:r>
        <w:rPr>
          <w:color w:val="000000" w:themeColor="text1"/>
        </w:rPr>
        <w:t>IVIg</w:t>
      </w:r>
      <w:proofErr w:type="spellEnd"/>
      <w:r>
        <w:rPr>
          <w:color w:val="000000" w:themeColor="text1"/>
        </w:rPr>
        <w:t xml:space="preserve"> are for chronic conditions, this group will need treatment monitoring for </w:t>
      </w:r>
      <w:proofErr w:type="gramStart"/>
      <w:r>
        <w:rPr>
          <w:color w:val="000000" w:themeColor="text1"/>
        </w:rPr>
        <w:t>life.</w:t>
      </w:r>
      <w:r>
        <w:rPr>
          <w:color w:val="000000" w:themeColor="text1"/>
          <w:szCs w:val="24"/>
          <w:lang w:eastAsia="en-GB"/>
        </w:rPr>
        <w:t>{</w:t>
      </w:r>
      <w:proofErr w:type="spellStart"/>
      <w:proofErr w:type="gramEnd"/>
      <w:r>
        <w:rPr>
          <w:color w:val="000000" w:themeColor="text1"/>
          <w:szCs w:val="24"/>
          <w:lang w:eastAsia="en-GB"/>
        </w:rPr>
        <w:t>Bansilal</w:t>
      </w:r>
      <w:proofErr w:type="spellEnd"/>
      <w:r>
        <w:rPr>
          <w:color w:val="000000" w:themeColor="text1"/>
          <w:szCs w:val="24"/>
          <w:lang w:eastAsia="en-GB"/>
        </w:rPr>
        <w:t xml:space="preserve">, 2015 #12829} As there is convincing evidence for intensive risk-reduction therapies for secondary prevention, </w:t>
      </w:r>
      <w:r w:rsidRPr="00397C2B">
        <w:rPr>
          <w:color w:val="000000" w:themeColor="text1"/>
          <w:szCs w:val="24"/>
          <w:lang w:eastAsia="en-GB"/>
        </w:rPr>
        <w:t>reinforcing adherence with secondary prevention guidelines will be beneficial in managing overall CVD risk</w:t>
      </w:r>
      <w:r>
        <w:rPr>
          <w:color w:val="000000" w:themeColor="text1"/>
          <w:szCs w:val="24"/>
          <w:lang w:eastAsia="en-GB"/>
        </w:rPr>
        <w:t xml:space="preserve"> when </w:t>
      </w:r>
      <w:proofErr w:type="spellStart"/>
      <w:r>
        <w:rPr>
          <w:color w:val="000000" w:themeColor="text1"/>
          <w:szCs w:val="24"/>
          <w:lang w:eastAsia="en-GB"/>
        </w:rPr>
        <w:t>IVIg</w:t>
      </w:r>
      <w:proofErr w:type="spellEnd"/>
      <w:r>
        <w:rPr>
          <w:color w:val="000000" w:themeColor="text1"/>
          <w:szCs w:val="24"/>
          <w:lang w:eastAsia="en-GB"/>
        </w:rPr>
        <w:t xml:space="preserve"> is considered in this group of adults.{</w:t>
      </w:r>
      <w:proofErr w:type="spellStart"/>
      <w:r>
        <w:rPr>
          <w:color w:val="000000" w:themeColor="text1"/>
          <w:szCs w:val="24"/>
          <w:lang w:eastAsia="en-GB"/>
        </w:rPr>
        <w:t>Kleindorfer</w:t>
      </w:r>
      <w:proofErr w:type="spellEnd"/>
      <w:r>
        <w:rPr>
          <w:color w:val="000000" w:themeColor="text1"/>
          <w:szCs w:val="24"/>
          <w:lang w:eastAsia="en-GB"/>
        </w:rPr>
        <w:t>, 2021 #12876}</w:t>
      </w:r>
      <w:r>
        <w:rPr>
          <w:vertAlign w:val="superscript"/>
        </w:rPr>
        <w:t>,</w:t>
      </w:r>
      <w:r>
        <w:rPr>
          <w:color w:val="000000" w:themeColor="text1"/>
          <w:szCs w:val="24"/>
          <w:lang w:eastAsia="en-GB"/>
        </w:rPr>
        <w:t>{</w:t>
      </w:r>
      <w:proofErr w:type="spellStart"/>
      <w:r>
        <w:rPr>
          <w:color w:val="000000" w:themeColor="text1"/>
          <w:szCs w:val="24"/>
          <w:lang w:eastAsia="en-GB"/>
        </w:rPr>
        <w:t>Roshandel</w:t>
      </w:r>
      <w:proofErr w:type="spellEnd"/>
      <w:r>
        <w:rPr>
          <w:color w:val="000000" w:themeColor="text1"/>
          <w:szCs w:val="24"/>
          <w:lang w:eastAsia="en-GB"/>
        </w:rPr>
        <w:t>, 2019 #13072}</w:t>
      </w:r>
    </w:p>
    <w:p w14:paraId="3D3E0729" w14:textId="77777777" w:rsidR="00EB03C5" w:rsidRPr="00397C2B" w:rsidRDefault="00EB03C5" w:rsidP="00EB03C5">
      <w:pPr>
        <w:pStyle w:val="PhDNormal"/>
        <w:spacing w:after="0"/>
        <w:ind w:firstLine="0"/>
        <w:jc w:val="left"/>
        <w:rPr>
          <w:color w:val="000000" w:themeColor="text1"/>
          <w:szCs w:val="24"/>
          <w:lang w:eastAsia="en-GB"/>
        </w:rPr>
      </w:pPr>
    </w:p>
    <w:p w14:paraId="02D43DC4" w14:textId="4B53C536" w:rsidR="00FA38FB" w:rsidRDefault="00FA38FB" w:rsidP="00FA38FB">
      <w:pPr>
        <w:pStyle w:val="PhDNormal"/>
        <w:spacing w:after="0"/>
        <w:ind w:firstLine="0"/>
        <w:jc w:val="left"/>
        <w:rPr>
          <w:color w:val="000000" w:themeColor="text1"/>
          <w:szCs w:val="24"/>
        </w:rPr>
      </w:pPr>
      <w:r w:rsidRPr="00FA38FB">
        <w:rPr>
          <w:color w:val="000000" w:themeColor="text1"/>
          <w:szCs w:val="24"/>
        </w:rPr>
        <w:t xml:space="preserve">The European Medical Agency, since at least 2004, has advised that ‘in patients at risk for… thromboembolic adverse reactions, intravenous Ig products should be administered at the minimum rate of infusion and dose practicable’ as an approach to mitigating the risk of TEEs. </w:t>
      </w:r>
      <w:r w:rsidRPr="00FA38FB">
        <w:rPr>
          <w:color w:val="000000" w:themeColor="text1"/>
          <w:szCs w:val="24"/>
        </w:rPr>
        <w:lastRenderedPageBreak/>
        <w:t>Our previous work did not identify intravenous Ig infusion factors that contributed to the risk. Other case–control studies have found that patients who developed a TEE were on higher doses (g/kg/day) than those who did not (mean 0.39 g/kg/day vs 0.59 g/kg/day) and another group found a significant (but small) correlation between daily intravenous Ig doses greater than 35 g with occurrence of TEE within 14 days of infusion. Both studies also found individual CVD risk factors and the number of CVD risk factors an individual had contributed to the risk of developing TEEs. Therefore, consideration to managing both patient and infusion related factors may minimise TEE risk.</w:t>
      </w:r>
    </w:p>
    <w:p w14:paraId="610D3D6C" w14:textId="77777777" w:rsidR="00132526" w:rsidRDefault="00132526" w:rsidP="00CE4D33">
      <w:pPr>
        <w:pStyle w:val="PhDNormal"/>
        <w:spacing w:after="0"/>
        <w:ind w:firstLine="0"/>
        <w:jc w:val="left"/>
        <w:rPr>
          <w:color w:val="000000" w:themeColor="text1"/>
          <w:szCs w:val="24"/>
        </w:rPr>
      </w:pPr>
    </w:p>
    <w:p w14:paraId="0148F9FB" w14:textId="791E5128" w:rsidR="004E7198" w:rsidRPr="00397C2B" w:rsidRDefault="004E7198" w:rsidP="00CE4D33">
      <w:pPr>
        <w:autoSpaceDE w:val="0"/>
        <w:autoSpaceDN w:val="0"/>
        <w:adjustRightInd w:val="0"/>
        <w:spacing w:line="360" w:lineRule="auto"/>
        <w:rPr>
          <w:rFonts w:eastAsiaTheme="minorHAnsi"/>
          <w:b/>
          <w:bCs/>
          <w:color w:val="000000" w:themeColor="text1"/>
          <w:lang w:val="en-GB" w:eastAsia="en-US"/>
        </w:rPr>
      </w:pPr>
      <w:r w:rsidRPr="00397C2B">
        <w:rPr>
          <w:rFonts w:eastAsiaTheme="minorHAnsi"/>
          <w:b/>
          <w:bCs/>
          <w:color w:val="000000" w:themeColor="text1"/>
          <w:lang w:val="en-GB" w:eastAsia="en-US"/>
        </w:rPr>
        <w:t>Strengths and limitations</w:t>
      </w:r>
    </w:p>
    <w:p w14:paraId="0CCF20A2" w14:textId="5E8A0FFF" w:rsidR="004E7198" w:rsidRDefault="004E7198">
      <w:pPr>
        <w:autoSpaceDE w:val="0"/>
        <w:autoSpaceDN w:val="0"/>
        <w:adjustRightInd w:val="0"/>
        <w:spacing w:line="360" w:lineRule="auto"/>
        <w:rPr>
          <w:rFonts w:eastAsiaTheme="minorHAnsi"/>
          <w:color w:val="000000" w:themeColor="text1"/>
          <w:lang w:val="en-GB" w:eastAsia="en-US"/>
        </w:rPr>
      </w:pPr>
      <w:r w:rsidRPr="00397C2B">
        <w:rPr>
          <w:rFonts w:eastAsiaTheme="minorHAnsi"/>
          <w:color w:val="000000" w:themeColor="text1"/>
          <w:lang w:val="en-GB" w:eastAsia="en-US"/>
        </w:rPr>
        <w:t xml:space="preserve">Our study </w:t>
      </w:r>
      <w:r w:rsidR="00732EC9" w:rsidRPr="00397C2B">
        <w:rPr>
          <w:rFonts w:eastAsiaTheme="minorHAnsi"/>
          <w:color w:val="000000" w:themeColor="text1"/>
          <w:lang w:val="en-GB" w:eastAsia="en-US"/>
        </w:rPr>
        <w:t>is a</w:t>
      </w:r>
      <w:r w:rsidRPr="00397C2B">
        <w:rPr>
          <w:rFonts w:eastAsiaTheme="minorHAnsi"/>
          <w:color w:val="000000" w:themeColor="text1"/>
          <w:lang w:val="en-GB" w:eastAsia="en-US"/>
        </w:rPr>
        <w:t xml:space="preserve"> population-based </w:t>
      </w:r>
      <w:r w:rsidR="00BD633B" w:rsidRPr="00397C2B">
        <w:rPr>
          <w:rFonts w:eastAsiaTheme="minorHAnsi"/>
          <w:color w:val="000000" w:themeColor="text1"/>
          <w:lang w:val="en-GB" w:eastAsia="en-US"/>
        </w:rPr>
        <w:t>cohort and</w:t>
      </w:r>
      <w:r w:rsidR="008E7358">
        <w:rPr>
          <w:rFonts w:eastAsiaTheme="minorHAnsi"/>
          <w:color w:val="000000" w:themeColor="text1"/>
          <w:lang w:val="en-GB" w:eastAsia="en-US"/>
        </w:rPr>
        <w:t xml:space="preserve"> </w:t>
      </w:r>
      <w:r w:rsidR="00FD002D">
        <w:rPr>
          <w:rFonts w:eastAsiaTheme="minorHAnsi"/>
          <w:color w:val="000000" w:themeColor="text1"/>
          <w:lang w:val="en-GB" w:eastAsia="en-US"/>
        </w:rPr>
        <w:t xml:space="preserve">demonstrates </w:t>
      </w:r>
      <w:r w:rsidR="00FD002D" w:rsidRPr="00397C2B">
        <w:rPr>
          <w:rFonts w:eastAsiaTheme="minorHAnsi"/>
          <w:color w:val="000000" w:themeColor="text1"/>
          <w:lang w:val="en-GB" w:eastAsia="en-US"/>
        </w:rPr>
        <w:t>the</w:t>
      </w:r>
      <w:r w:rsidRPr="00397C2B">
        <w:rPr>
          <w:rFonts w:eastAsiaTheme="minorHAnsi"/>
          <w:color w:val="000000" w:themeColor="text1"/>
          <w:lang w:val="en-GB" w:eastAsia="en-US"/>
        </w:rPr>
        <w:t xml:space="preserve"> impact of </w:t>
      </w:r>
      <w:proofErr w:type="spellStart"/>
      <w:r w:rsidRPr="00397C2B">
        <w:rPr>
          <w:rFonts w:eastAsiaTheme="minorHAnsi"/>
          <w:color w:val="000000" w:themeColor="text1"/>
          <w:lang w:val="en-GB" w:eastAsia="en-US"/>
        </w:rPr>
        <w:t>IVIg</w:t>
      </w:r>
      <w:proofErr w:type="spellEnd"/>
      <w:r w:rsidRPr="00397C2B">
        <w:rPr>
          <w:rFonts w:eastAsiaTheme="minorHAnsi"/>
          <w:color w:val="000000" w:themeColor="text1"/>
          <w:lang w:val="en-GB" w:eastAsia="en-US"/>
        </w:rPr>
        <w:t xml:space="preserve"> in a real-life setting. </w:t>
      </w:r>
      <w:r w:rsidR="00732EC9" w:rsidRPr="00397C2B">
        <w:rPr>
          <w:rFonts w:eastAsiaTheme="minorHAnsi"/>
          <w:color w:val="000000" w:themeColor="text1"/>
          <w:lang w:val="en-GB" w:eastAsia="en-US"/>
        </w:rPr>
        <w:t xml:space="preserve">It </w:t>
      </w:r>
      <w:r w:rsidRPr="00397C2B">
        <w:rPr>
          <w:rFonts w:eastAsiaTheme="minorHAnsi"/>
          <w:color w:val="000000" w:themeColor="text1"/>
          <w:lang w:val="en-GB" w:eastAsia="en-US"/>
        </w:rPr>
        <w:t>include</w:t>
      </w:r>
      <w:r w:rsidR="00732EC9" w:rsidRPr="00397C2B">
        <w:rPr>
          <w:rFonts w:eastAsiaTheme="minorHAnsi"/>
          <w:color w:val="000000" w:themeColor="text1"/>
          <w:lang w:val="en-GB" w:eastAsia="en-US"/>
        </w:rPr>
        <w:t>s</w:t>
      </w:r>
      <w:r w:rsidRPr="00397C2B">
        <w:rPr>
          <w:rFonts w:eastAsiaTheme="minorHAnsi"/>
          <w:color w:val="000000" w:themeColor="text1"/>
          <w:lang w:val="en-GB" w:eastAsia="en-US"/>
        </w:rPr>
        <w:t xml:space="preserve"> over half a million participants, provid</w:t>
      </w:r>
      <w:r w:rsidR="00732EC9" w:rsidRPr="00397C2B">
        <w:rPr>
          <w:rFonts w:eastAsiaTheme="minorHAnsi"/>
          <w:color w:val="000000" w:themeColor="text1"/>
          <w:lang w:val="en-GB" w:eastAsia="en-US"/>
        </w:rPr>
        <w:t>ing</w:t>
      </w:r>
      <w:r w:rsidRPr="00397C2B">
        <w:rPr>
          <w:rFonts w:eastAsiaTheme="minorHAnsi"/>
          <w:color w:val="000000" w:themeColor="text1"/>
          <w:lang w:val="en-GB" w:eastAsia="en-US"/>
        </w:rPr>
        <w:t xml:space="preserve"> </w:t>
      </w:r>
      <w:r w:rsidR="00C906DF">
        <w:rPr>
          <w:rFonts w:eastAsiaTheme="minorHAnsi"/>
          <w:color w:val="000000" w:themeColor="text1"/>
          <w:lang w:val="en-GB" w:eastAsia="en-US"/>
        </w:rPr>
        <w:t xml:space="preserve">at least </w:t>
      </w:r>
      <w:r w:rsidR="00732EC9" w:rsidRPr="00397C2B">
        <w:rPr>
          <w:rFonts w:eastAsiaTheme="minorHAnsi"/>
          <w:color w:val="000000" w:themeColor="text1"/>
          <w:lang w:val="en-GB" w:eastAsia="en-US"/>
        </w:rPr>
        <w:t xml:space="preserve">enough </w:t>
      </w:r>
      <w:r w:rsidR="00C906DF">
        <w:rPr>
          <w:rFonts w:eastAsiaTheme="minorHAnsi"/>
          <w:color w:val="000000" w:themeColor="text1"/>
          <w:lang w:val="en-GB" w:eastAsia="en-US"/>
        </w:rPr>
        <w:t xml:space="preserve">arterial </w:t>
      </w:r>
      <w:r w:rsidRPr="00397C2B">
        <w:rPr>
          <w:rFonts w:eastAsiaTheme="minorHAnsi"/>
          <w:color w:val="000000" w:themeColor="text1"/>
          <w:lang w:val="en-GB" w:eastAsia="en-US"/>
        </w:rPr>
        <w:t xml:space="preserve">outcome events and adequate statistical power to explore important outcomes, potential </w:t>
      </w:r>
      <w:r w:rsidR="00757431" w:rsidRPr="00397C2B">
        <w:rPr>
          <w:rFonts w:eastAsiaTheme="minorHAnsi"/>
          <w:color w:val="000000" w:themeColor="text1"/>
          <w:lang w:val="en-GB" w:eastAsia="en-US"/>
        </w:rPr>
        <w:t>predictors,</w:t>
      </w:r>
      <w:r w:rsidRPr="00397C2B">
        <w:rPr>
          <w:rFonts w:eastAsiaTheme="minorHAnsi"/>
          <w:color w:val="000000" w:themeColor="text1"/>
          <w:lang w:val="en-GB" w:eastAsia="en-US"/>
        </w:rPr>
        <w:t xml:space="preserve"> and interactions. </w:t>
      </w:r>
    </w:p>
    <w:p w14:paraId="47B75DE9" w14:textId="77777777" w:rsidR="00867B99" w:rsidRPr="00397C2B" w:rsidRDefault="00867B99" w:rsidP="00CE4D33">
      <w:pPr>
        <w:autoSpaceDE w:val="0"/>
        <w:autoSpaceDN w:val="0"/>
        <w:adjustRightInd w:val="0"/>
        <w:spacing w:line="360" w:lineRule="auto"/>
        <w:rPr>
          <w:rFonts w:eastAsiaTheme="minorHAnsi"/>
          <w:color w:val="000000" w:themeColor="text1"/>
          <w:lang w:val="en-GB" w:eastAsia="en-US"/>
        </w:rPr>
      </w:pPr>
    </w:p>
    <w:p w14:paraId="55D51D1B" w14:textId="609A7CB3" w:rsidR="00E71C52" w:rsidRDefault="004E7198">
      <w:pPr>
        <w:autoSpaceDE w:val="0"/>
        <w:autoSpaceDN w:val="0"/>
        <w:adjustRightInd w:val="0"/>
        <w:spacing w:line="360" w:lineRule="auto"/>
        <w:rPr>
          <w:rFonts w:eastAsiaTheme="minorHAnsi"/>
          <w:color w:val="000000" w:themeColor="text1"/>
          <w:lang w:val="en-GB" w:eastAsia="en-US"/>
        </w:rPr>
      </w:pPr>
      <w:r w:rsidRPr="00397C2B">
        <w:rPr>
          <w:rFonts w:eastAsiaTheme="minorHAnsi"/>
          <w:color w:val="000000" w:themeColor="text1"/>
          <w:lang w:val="en-GB" w:eastAsia="en-US"/>
        </w:rPr>
        <w:t xml:space="preserve">Several potential limitations should also be considered. </w:t>
      </w:r>
      <w:r w:rsidR="008E7358">
        <w:rPr>
          <w:rFonts w:eastAsiaTheme="minorHAnsi"/>
          <w:color w:val="000000" w:themeColor="text1"/>
          <w:lang w:val="en-GB" w:eastAsia="en-US"/>
        </w:rPr>
        <w:t>H</w:t>
      </w:r>
      <w:r w:rsidR="008E7358" w:rsidRPr="00397C2B">
        <w:rPr>
          <w:rFonts w:eastAsiaTheme="minorHAnsi"/>
          <w:color w:val="000000" w:themeColor="text1"/>
          <w:lang w:val="en-GB" w:eastAsia="en-US"/>
        </w:rPr>
        <w:t xml:space="preserve">ospital discharge records and death certificates </w:t>
      </w:r>
      <w:r w:rsidR="008E7358">
        <w:rPr>
          <w:rFonts w:eastAsiaTheme="minorHAnsi"/>
          <w:color w:val="000000" w:themeColor="text1"/>
          <w:lang w:val="en-GB" w:eastAsia="en-US"/>
        </w:rPr>
        <w:t>can contain inaccuracies and misclassify</w:t>
      </w:r>
      <w:r w:rsidR="00A9150F" w:rsidRPr="00397C2B">
        <w:rPr>
          <w:rFonts w:eastAsiaTheme="minorHAnsi"/>
          <w:color w:val="000000" w:themeColor="text1"/>
          <w:lang w:val="en-GB" w:eastAsia="en-US"/>
        </w:rPr>
        <w:t xml:space="preserve"> disease outcomes, diluting the strength of the observed associations. </w:t>
      </w:r>
    </w:p>
    <w:p w14:paraId="21AEBCB1" w14:textId="77777777" w:rsidR="00867B99" w:rsidRDefault="00867B99" w:rsidP="00CE4D33">
      <w:pPr>
        <w:autoSpaceDE w:val="0"/>
        <w:autoSpaceDN w:val="0"/>
        <w:adjustRightInd w:val="0"/>
        <w:spacing w:line="360" w:lineRule="auto"/>
        <w:rPr>
          <w:rFonts w:eastAsiaTheme="minorHAnsi"/>
          <w:color w:val="000000" w:themeColor="text1"/>
          <w:lang w:val="en-GB" w:eastAsia="en-US"/>
        </w:rPr>
      </w:pPr>
    </w:p>
    <w:p w14:paraId="274E38A4" w14:textId="3BD6770C" w:rsidR="00E71C52" w:rsidRDefault="00757330" w:rsidP="00CE4D33">
      <w:pPr>
        <w:autoSpaceDE w:val="0"/>
        <w:autoSpaceDN w:val="0"/>
        <w:adjustRightInd w:val="0"/>
        <w:spacing w:line="360" w:lineRule="auto"/>
        <w:rPr>
          <w:rFonts w:eastAsiaTheme="minorHAnsi"/>
          <w:color w:val="000000" w:themeColor="text1"/>
          <w:lang w:val="en-GB" w:eastAsia="en-US"/>
        </w:rPr>
      </w:pPr>
      <w:r>
        <w:rPr>
          <w:rFonts w:eastAsiaTheme="minorHAnsi"/>
          <w:color w:val="000000" w:themeColor="text1"/>
          <w:lang w:val="en-GB" w:eastAsia="en-US"/>
        </w:rPr>
        <w:t xml:space="preserve">Using patient-reported health conditions has advantages but the validity of these reports has been questioned. The agreement between patient reports, clinician report and medical records vary depending on type of </w:t>
      </w:r>
      <w:r w:rsidR="00F666BD">
        <w:rPr>
          <w:rFonts w:eastAsiaTheme="minorHAnsi"/>
          <w:color w:val="000000" w:themeColor="text1"/>
          <w:lang w:val="en-GB" w:eastAsia="en-US"/>
        </w:rPr>
        <w:t>disease</w:t>
      </w:r>
      <w:r>
        <w:rPr>
          <w:rFonts w:eastAsiaTheme="minorHAnsi"/>
          <w:color w:val="000000" w:themeColor="text1"/>
          <w:lang w:val="en-GB" w:eastAsia="en-US"/>
        </w:rPr>
        <w:t xml:space="preserve"> and patient </w:t>
      </w:r>
      <w:proofErr w:type="gramStart"/>
      <w:r w:rsidR="00F666BD">
        <w:rPr>
          <w:rFonts w:eastAsiaTheme="minorHAnsi"/>
          <w:color w:val="000000" w:themeColor="text1"/>
          <w:lang w:val="en-GB" w:eastAsia="en-US"/>
        </w:rPr>
        <w:t>characteristics</w:t>
      </w:r>
      <w:r>
        <w:rPr>
          <w:rFonts w:eastAsiaTheme="minorHAnsi"/>
          <w:color w:val="000000" w:themeColor="text1"/>
          <w:lang w:val="en-GB" w:eastAsia="en-US"/>
        </w:rPr>
        <w:t>.</w:t>
      </w:r>
      <w:r w:rsidR="001C05E2">
        <w:rPr>
          <w:rFonts w:eastAsiaTheme="minorHAnsi"/>
          <w:color w:val="000000" w:themeColor="text1"/>
          <w:lang w:val="en-GB" w:eastAsia="en-US"/>
        </w:rPr>
        <w:t>{</w:t>
      </w:r>
      <w:proofErr w:type="spellStart"/>
      <w:proofErr w:type="gramEnd"/>
      <w:r w:rsidR="001C05E2">
        <w:rPr>
          <w:rFonts w:eastAsiaTheme="minorHAnsi"/>
          <w:color w:val="000000" w:themeColor="text1"/>
          <w:lang w:val="en-GB" w:eastAsia="en-US"/>
        </w:rPr>
        <w:t>Iecovich</w:t>
      </w:r>
      <w:proofErr w:type="spellEnd"/>
      <w:r w:rsidR="001C05E2">
        <w:rPr>
          <w:rFonts w:eastAsiaTheme="minorHAnsi"/>
          <w:color w:val="000000" w:themeColor="text1"/>
          <w:lang w:val="en-GB" w:eastAsia="en-US"/>
        </w:rPr>
        <w:t>, 2013 #13068}</w:t>
      </w:r>
      <w:r>
        <w:rPr>
          <w:rFonts w:eastAsiaTheme="minorHAnsi"/>
          <w:color w:val="000000" w:themeColor="text1"/>
          <w:lang w:val="en-GB" w:eastAsia="en-US"/>
        </w:rPr>
        <w:t xml:space="preserve"> </w:t>
      </w:r>
      <w:r w:rsidR="00726F5D">
        <w:rPr>
          <w:rFonts w:eastAsiaTheme="minorHAnsi"/>
          <w:color w:val="000000" w:themeColor="text1"/>
          <w:lang w:val="en-GB" w:eastAsia="en-US"/>
        </w:rPr>
        <w:t xml:space="preserve">The comprehensive data collected in the UK Biobank and the linkages with formal registries are a strength of the dataset, and the concordance between our results within the two models are reassuring. </w:t>
      </w:r>
    </w:p>
    <w:p w14:paraId="5847E312" w14:textId="6F902C71" w:rsidR="004E7198" w:rsidRPr="00397C2B" w:rsidRDefault="008E7358" w:rsidP="00CE4D33">
      <w:pPr>
        <w:autoSpaceDE w:val="0"/>
        <w:autoSpaceDN w:val="0"/>
        <w:adjustRightInd w:val="0"/>
        <w:spacing w:line="360" w:lineRule="auto"/>
        <w:rPr>
          <w:rFonts w:eastAsiaTheme="minorHAnsi"/>
          <w:color w:val="000000" w:themeColor="text1"/>
          <w:lang w:val="en-GB" w:eastAsia="en-US"/>
        </w:rPr>
      </w:pPr>
      <w:r>
        <w:rPr>
          <w:rFonts w:eastAsiaTheme="minorHAnsi"/>
          <w:color w:val="000000" w:themeColor="text1"/>
          <w:lang w:val="en-GB" w:eastAsia="en-US"/>
        </w:rPr>
        <w:t>T</w:t>
      </w:r>
      <w:r w:rsidR="004E7198" w:rsidRPr="00397C2B">
        <w:rPr>
          <w:rFonts w:eastAsiaTheme="minorHAnsi"/>
          <w:color w:val="000000" w:themeColor="text1"/>
          <w:lang w:val="en-GB" w:eastAsia="en-US"/>
        </w:rPr>
        <w:t xml:space="preserve">he study did not record </w:t>
      </w:r>
      <w:proofErr w:type="spellStart"/>
      <w:r w:rsidR="00EA7F98">
        <w:rPr>
          <w:rFonts w:eastAsiaTheme="minorHAnsi"/>
          <w:color w:val="000000" w:themeColor="text1"/>
          <w:lang w:val="en-GB" w:eastAsia="en-US"/>
        </w:rPr>
        <w:t>IVIg</w:t>
      </w:r>
      <w:proofErr w:type="spellEnd"/>
      <w:r>
        <w:rPr>
          <w:rFonts w:eastAsiaTheme="minorHAnsi"/>
          <w:color w:val="000000" w:themeColor="text1"/>
          <w:lang w:val="en-GB" w:eastAsia="en-US"/>
        </w:rPr>
        <w:t xml:space="preserve"> </w:t>
      </w:r>
      <w:r w:rsidRPr="00397C2B">
        <w:rPr>
          <w:rFonts w:eastAsiaTheme="minorHAnsi"/>
          <w:color w:val="000000" w:themeColor="text1"/>
          <w:lang w:val="en-GB" w:eastAsia="en-US"/>
        </w:rPr>
        <w:t xml:space="preserve">dose, formulation, and duration of use </w:t>
      </w:r>
      <w:r w:rsidR="00FD002D" w:rsidRPr="00397C2B">
        <w:rPr>
          <w:rFonts w:eastAsiaTheme="minorHAnsi"/>
          <w:color w:val="000000" w:themeColor="text1"/>
          <w:lang w:val="en-GB" w:eastAsia="en-US"/>
        </w:rPr>
        <w:t>information.</w:t>
      </w:r>
      <w:r w:rsidR="004E7198" w:rsidRPr="00397C2B">
        <w:rPr>
          <w:rFonts w:eastAsiaTheme="minorHAnsi"/>
          <w:color w:val="000000" w:themeColor="text1"/>
          <w:lang w:val="en-GB" w:eastAsia="en-US"/>
        </w:rPr>
        <w:t xml:space="preserve"> The lack of </w:t>
      </w:r>
      <w:r>
        <w:rPr>
          <w:rFonts w:eastAsiaTheme="minorHAnsi"/>
          <w:color w:val="000000" w:themeColor="text1"/>
          <w:lang w:val="en-GB" w:eastAsia="en-US"/>
        </w:rPr>
        <w:t>th</w:t>
      </w:r>
      <w:r w:rsidR="00C906DF">
        <w:rPr>
          <w:rFonts w:eastAsiaTheme="minorHAnsi"/>
          <w:color w:val="000000" w:themeColor="text1"/>
          <w:lang w:val="en-GB" w:eastAsia="en-US"/>
        </w:rPr>
        <w:t>o</w:t>
      </w:r>
      <w:r>
        <w:rPr>
          <w:rFonts w:eastAsiaTheme="minorHAnsi"/>
          <w:color w:val="000000" w:themeColor="text1"/>
          <w:lang w:val="en-GB" w:eastAsia="en-US"/>
        </w:rPr>
        <w:t>se data</w:t>
      </w:r>
      <w:r w:rsidR="004E7198" w:rsidRPr="00397C2B">
        <w:rPr>
          <w:rFonts w:eastAsiaTheme="minorHAnsi"/>
          <w:color w:val="000000" w:themeColor="text1"/>
          <w:lang w:val="en-GB" w:eastAsia="en-US"/>
        </w:rPr>
        <w:t xml:space="preserve"> </w:t>
      </w:r>
      <w:r>
        <w:rPr>
          <w:rFonts w:eastAsiaTheme="minorHAnsi"/>
          <w:color w:val="000000" w:themeColor="text1"/>
          <w:lang w:val="en-GB" w:eastAsia="en-US"/>
        </w:rPr>
        <w:t>prevented an</w:t>
      </w:r>
      <w:r w:rsidR="004E7198" w:rsidRPr="00397C2B">
        <w:rPr>
          <w:rFonts w:eastAsiaTheme="minorHAnsi"/>
          <w:color w:val="000000" w:themeColor="text1"/>
          <w:lang w:val="en-GB" w:eastAsia="en-US"/>
        </w:rPr>
        <w:t xml:space="preserve"> </w:t>
      </w:r>
      <w:r>
        <w:rPr>
          <w:rFonts w:eastAsiaTheme="minorHAnsi"/>
          <w:color w:val="000000" w:themeColor="text1"/>
          <w:lang w:val="en-GB" w:eastAsia="en-US"/>
        </w:rPr>
        <w:t>evaluation of</w:t>
      </w:r>
      <w:r w:rsidRPr="00397C2B">
        <w:rPr>
          <w:rFonts w:eastAsiaTheme="minorHAnsi"/>
          <w:color w:val="000000" w:themeColor="text1"/>
          <w:lang w:val="en-GB" w:eastAsia="en-US"/>
        </w:rPr>
        <w:t xml:space="preserve"> </w:t>
      </w:r>
      <w:r w:rsidR="004E7198" w:rsidRPr="00397C2B">
        <w:rPr>
          <w:rFonts w:eastAsiaTheme="minorHAnsi"/>
          <w:color w:val="000000" w:themeColor="text1"/>
          <w:lang w:val="en-GB" w:eastAsia="en-US"/>
        </w:rPr>
        <w:t xml:space="preserve">dose-response associations. </w:t>
      </w:r>
      <w:r>
        <w:rPr>
          <w:rFonts w:eastAsiaTheme="minorHAnsi"/>
          <w:color w:val="000000" w:themeColor="text1"/>
          <w:lang w:val="en-GB" w:eastAsia="en-US"/>
        </w:rPr>
        <w:t>Finally,</w:t>
      </w:r>
      <w:r w:rsidR="004E7198" w:rsidRPr="00397C2B">
        <w:rPr>
          <w:rFonts w:eastAsiaTheme="minorHAnsi"/>
          <w:color w:val="000000" w:themeColor="text1"/>
          <w:lang w:val="en-GB" w:eastAsia="en-US"/>
        </w:rPr>
        <w:t xml:space="preserve"> the small number of </w:t>
      </w:r>
      <w:r w:rsidR="005730B3" w:rsidRPr="00397C2B">
        <w:rPr>
          <w:rFonts w:eastAsiaTheme="minorHAnsi"/>
          <w:color w:val="000000" w:themeColor="text1"/>
          <w:lang w:val="en-GB" w:eastAsia="en-US"/>
        </w:rPr>
        <w:t xml:space="preserve">participants </w:t>
      </w:r>
      <w:r w:rsidR="004E7198" w:rsidRPr="00397C2B">
        <w:rPr>
          <w:rFonts w:eastAsiaTheme="minorHAnsi"/>
          <w:color w:val="000000" w:themeColor="text1"/>
          <w:lang w:val="en-GB" w:eastAsia="en-US"/>
        </w:rPr>
        <w:t xml:space="preserve">exposed to </w:t>
      </w:r>
      <w:proofErr w:type="spellStart"/>
      <w:r w:rsidR="004E7198" w:rsidRPr="00397C2B">
        <w:rPr>
          <w:rFonts w:eastAsiaTheme="minorHAnsi"/>
          <w:color w:val="000000" w:themeColor="text1"/>
          <w:lang w:val="en-GB" w:eastAsia="en-US"/>
        </w:rPr>
        <w:t>IVIg</w:t>
      </w:r>
      <w:proofErr w:type="spellEnd"/>
      <w:r w:rsidR="004E7198" w:rsidRPr="00397C2B">
        <w:rPr>
          <w:rFonts w:eastAsiaTheme="minorHAnsi"/>
          <w:color w:val="000000" w:themeColor="text1"/>
          <w:lang w:val="en-GB" w:eastAsia="en-US"/>
        </w:rPr>
        <w:t xml:space="preserve"> did not allow sensitivity analysis of the impact of the indication for </w:t>
      </w:r>
      <w:proofErr w:type="spellStart"/>
      <w:r w:rsidR="004E7198" w:rsidRPr="00397C2B">
        <w:rPr>
          <w:rFonts w:eastAsiaTheme="minorHAnsi"/>
          <w:color w:val="000000" w:themeColor="text1"/>
          <w:lang w:val="en-GB" w:eastAsia="en-US"/>
        </w:rPr>
        <w:t>IVIg</w:t>
      </w:r>
      <w:proofErr w:type="spellEnd"/>
      <w:r w:rsidR="004E7198" w:rsidRPr="00397C2B">
        <w:rPr>
          <w:rFonts w:eastAsiaTheme="minorHAnsi"/>
          <w:color w:val="000000" w:themeColor="text1"/>
          <w:lang w:val="en-GB" w:eastAsia="en-US"/>
        </w:rPr>
        <w:t xml:space="preserve"> on TEE risk. </w:t>
      </w:r>
    </w:p>
    <w:p w14:paraId="509B2E3A" w14:textId="58DF174F" w:rsidR="004E7198" w:rsidRPr="00397C2B" w:rsidRDefault="004E7198" w:rsidP="00CE4D33">
      <w:pPr>
        <w:autoSpaceDE w:val="0"/>
        <w:autoSpaceDN w:val="0"/>
        <w:adjustRightInd w:val="0"/>
        <w:spacing w:line="360" w:lineRule="auto"/>
        <w:rPr>
          <w:rFonts w:eastAsiaTheme="minorHAnsi"/>
          <w:color w:val="000000" w:themeColor="text1"/>
          <w:lang w:val="en-GB" w:eastAsia="en-US"/>
        </w:rPr>
      </w:pPr>
    </w:p>
    <w:p w14:paraId="42952509" w14:textId="57B0EDFD" w:rsidR="00E40CE3" w:rsidRPr="00397C2B" w:rsidRDefault="00712FAA" w:rsidP="00CE4D33">
      <w:pPr>
        <w:spacing w:line="360" w:lineRule="auto"/>
        <w:rPr>
          <w:rFonts w:eastAsiaTheme="minorHAnsi"/>
          <w:b/>
          <w:bCs/>
          <w:color w:val="000000" w:themeColor="text1"/>
          <w:lang w:val="en-GB" w:eastAsia="en-US"/>
        </w:rPr>
      </w:pPr>
      <w:r w:rsidRPr="00397C2B">
        <w:rPr>
          <w:rFonts w:eastAsiaTheme="minorHAnsi"/>
          <w:b/>
          <w:bCs/>
          <w:color w:val="000000" w:themeColor="text1"/>
          <w:lang w:val="en-GB" w:eastAsia="en-US"/>
        </w:rPr>
        <w:t>C</w:t>
      </w:r>
      <w:r w:rsidR="003C0A73" w:rsidRPr="00397C2B">
        <w:rPr>
          <w:rFonts w:eastAsiaTheme="minorHAnsi"/>
          <w:b/>
          <w:bCs/>
          <w:color w:val="000000" w:themeColor="text1"/>
          <w:lang w:val="en-GB" w:eastAsia="en-US"/>
        </w:rPr>
        <w:t>o</w:t>
      </w:r>
      <w:r w:rsidRPr="00397C2B">
        <w:rPr>
          <w:rFonts w:eastAsiaTheme="minorHAnsi"/>
          <w:b/>
          <w:bCs/>
          <w:color w:val="000000" w:themeColor="text1"/>
          <w:lang w:val="en-GB" w:eastAsia="en-US"/>
        </w:rPr>
        <w:t>nclusion</w:t>
      </w:r>
      <w:r w:rsidR="003C0A73" w:rsidRPr="00397C2B">
        <w:rPr>
          <w:rFonts w:eastAsiaTheme="minorHAnsi"/>
          <w:b/>
          <w:bCs/>
          <w:color w:val="000000" w:themeColor="text1"/>
          <w:lang w:val="en-GB" w:eastAsia="en-US"/>
        </w:rPr>
        <w:t xml:space="preserve"> </w:t>
      </w:r>
    </w:p>
    <w:p w14:paraId="1EB83F0F" w14:textId="590615BB" w:rsidR="009E6040" w:rsidRDefault="00A651EF" w:rsidP="00CE4D33">
      <w:pPr>
        <w:spacing w:line="360" w:lineRule="auto"/>
        <w:rPr>
          <w:color w:val="000000" w:themeColor="text1"/>
        </w:rPr>
      </w:pPr>
      <w:r w:rsidRPr="00397C2B">
        <w:rPr>
          <w:color w:val="000000" w:themeColor="text1"/>
        </w:rPr>
        <w:t xml:space="preserve">We found an association of </w:t>
      </w:r>
      <w:proofErr w:type="spellStart"/>
      <w:r w:rsidRPr="00397C2B">
        <w:rPr>
          <w:color w:val="000000" w:themeColor="text1"/>
        </w:rPr>
        <w:t>IVIg</w:t>
      </w:r>
      <w:proofErr w:type="spellEnd"/>
      <w:r w:rsidRPr="00397C2B">
        <w:rPr>
          <w:color w:val="000000" w:themeColor="text1"/>
        </w:rPr>
        <w:t xml:space="preserve"> with TEE recurrence, independent of traditional CVD risk factors. </w:t>
      </w:r>
      <w:proofErr w:type="spellStart"/>
      <w:r w:rsidRPr="00397C2B">
        <w:rPr>
          <w:color w:val="000000" w:themeColor="text1"/>
        </w:rPr>
        <w:t>IVIg</w:t>
      </w:r>
      <w:proofErr w:type="spellEnd"/>
      <w:r w:rsidRPr="00397C2B">
        <w:rPr>
          <w:color w:val="000000" w:themeColor="text1"/>
        </w:rPr>
        <w:t xml:space="preserve"> also has a significant impact on the patients’ overall </w:t>
      </w:r>
      <w:r w:rsidR="00B4267E">
        <w:rPr>
          <w:color w:val="000000" w:themeColor="text1"/>
        </w:rPr>
        <w:t>CVD</w:t>
      </w:r>
      <w:r w:rsidRPr="00397C2B">
        <w:rPr>
          <w:color w:val="000000" w:themeColor="text1"/>
        </w:rPr>
        <w:t xml:space="preserve"> </w:t>
      </w:r>
      <w:r w:rsidR="00F01D9D" w:rsidRPr="00397C2B">
        <w:rPr>
          <w:color w:val="000000" w:themeColor="text1"/>
        </w:rPr>
        <w:t>risk</w:t>
      </w:r>
      <w:r w:rsidR="004E47D8" w:rsidRPr="00397C2B">
        <w:rPr>
          <w:color w:val="000000" w:themeColor="text1"/>
        </w:rPr>
        <w:t>,</w:t>
      </w:r>
      <w:r w:rsidRPr="00397C2B">
        <w:rPr>
          <w:color w:val="000000" w:themeColor="text1"/>
        </w:rPr>
        <w:t xml:space="preserve"> transitioning some </w:t>
      </w:r>
      <w:r w:rsidR="004E47D8" w:rsidRPr="00397C2B">
        <w:rPr>
          <w:color w:val="000000" w:themeColor="text1"/>
        </w:rPr>
        <w:t>patients</w:t>
      </w:r>
      <w:r w:rsidRPr="00397C2B">
        <w:rPr>
          <w:color w:val="000000" w:themeColor="text1"/>
        </w:rPr>
        <w:t xml:space="preserve"> to the highest risk group. </w:t>
      </w:r>
      <w:r w:rsidR="00461D22" w:rsidRPr="00397C2B">
        <w:rPr>
          <w:color w:val="000000" w:themeColor="text1"/>
        </w:rPr>
        <w:t xml:space="preserve">This work </w:t>
      </w:r>
      <w:r w:rsidR="00461D22">
        <w:rPr>
          <w:color w:val="000000" w:themeColor="text1"/>
        </w:rPr>
        <w:t xml:space="preserve">provides a quantifiable risk to facilitate </w:t>
      </w:r>
      <w:r w:rsidR="00461D22">
        <w:rPr>
          <w:color w:val="000000" w:themeColor="text1"/>
        </w:rPr>
        <w:lastRenderedPageBreak/>
        <w:t xml:space="preserve">informed consent in an identifiable </w:t>
      </w:r>
      <w:r w:rsidR="001751B9">
        <w:rPr>
          <w:color w:val="000000" w:themeColor="text1"/>
        </w:rPr>
        <w:t>high-risk</w:t>
      </w:r>
      <w:r w:rsidR="00461D22">
        <w:rPr>
          <w:color w:val="000000" w:themeColor="text1"/>
        </w:rPr>
        <w:t xml:space="preserve"> cohort. It suggests that proactive management of modifiable cardiovascular risk factors is sensible in all those exposed to </w:t>
      </w:r>
      <w:proofErr w:type="spellStart"/>
      <w:r w:rsidR="00461D22">
        <w:rPr>
          <w:color w:val="000000" w:themeColor="text1"/>
        </w:rPr>
        <w:t>IVIg</w:t>
      </w:r>
      <w:proofErr w:type="spellEnd"/>
      <w:r w:rsidR="00D529E1">
        <w:rPr>
          <w:color w:val="000000" w:themeColor="text1"/>
        </w:rPr>
        <w:t>.</w:t>
      </w:r>
      <w:r w:rsidRPr="00397C2B">
        <w:rPr>
          <w:color w:val="000000" w:themeColor="text1"/>
        </w:rPr>
        <w:t xml:space="preserve"> </w:t>
      </w:r>
    </w:p>
    <w:p w14:paraId="597C86D7" w14:textId="77777777" w:rsidR="009E6040" w:rsidRDefault="009E6040" w:rsidP="00CE4D33">
      <w:pPr>
        <w:spacing w:line="360" w:lineRule="auto"/>
        <w:rPr>
          <w:color w:val="000000" w:themeColor="text1"/>
        </w:rPr>
      </w:pPr>
      <w:r>
        <w:rPr>
          <w:color w:val="000000" w:themeColor="text1"/>
        </w:rPr>
        <w:br w:type="page"/>
      </w:r>
    </w:p>
    <w:p w14:paraId="3235B31D" w14:textId="77777777" w:rsidR="00251855" w:rsidRDefault="00251855" w:rsidP="0018480B">
      <w:pPr>
        <w:spacing w:line="360" w:lineRule="auto"/>
        <w:jc w:val="both"/>
        <w:rPr>
          <w:b/>
          <w:bCs/>
          <w:sz w:val="20"/>
          <w:szCs w:val="20"/>
        </w:rPr>
      </w:pPr>
      <w:r w:rsidRPr="00251855">
        <w:rPr>
          <w:b/>
          <w:bCs/>
          <w:sz w:val="20"/>
          <w:szCs w:val="20"/>
        </w:rPr>
        <w:lastRenderedPageBreak/>
        <w:t>Contributors</w:t>
      </w:r>
    </w:p>
    <w:p w14:paraId="6F8A5C78" w14:textId="4F8E1064" w:rsidR="00251855" w:rsidRPr="001B5940" w:rsidRDefault="00251855" w:rsidP="0018480B">
      <w:pPr>
        <w:spacing w:line="360" w:lineRule="auto"/>
        <w:jc w:val="both"/>
        <w:rPr>
          <w:sz w:val="20"/>
          <w:szCs w:val="20"/>
        </w:rPr>
      </w:pPr>
      <w:r w:rsidRPr="001B5940">
        <w:rPr>
          <w:sz w:val="20"/>
          <w:szCs w:val="20"/>
        </w:rPr>
        <w:t>AC, MPL and MMR designed the original hypothesis and MK ran all the analyses in collaboration with IH and LJB. MK wrote the first draft of the report, apart from the model performance section and corresponding figure, which was written by IH. All authors interpreted the results, revised the text, and approved the final draft of the report.</w:t>
      </w:r>
    </w:p>
    <w:p w14:paraId="4CF05994" w14:textId="77777777" w:rsidR="00251855" w:rsidRDefault="00251855" w:rsidP="0018480B">
      <w:pPr>
        <w:spacing w:line="360" w:lineRule="auto"/>
        <w:jc w:val="both"/>
        <w:rPr>
          <w:b/>
          <w:bCs/>
          <w:sz w:val="20"/>
          <w:szCs w:val="20"/>
        </w:rPr>
      </w:pPr>
    </w:p>
    <w:p w14:paraId="41A87062" w14:textId="32E9C326" w:rsidR="0055256A" w:rsidRPr="00C15F04" w:rsidRDefault="0055256A" w:rsidP="0018480B">
      <w:pPr>
        <w:spacing w:line="360" w:lineRule="auto"/>
        <w:jc w:val="both"/>
        <w:rPr>
          <w:b/>
          <w:bCs/>
          <w:sz w:val="20"/>
          <w:szCs w:val="20"/>
        </w:rPr>
      </w:pPr>
      <w:r w:rsidRPr="00C15F04">
        <w:rPr>
          <w:b/>
          <w:bCs/>
          <w:sz w:val="20"/>
          <w:szCs w:val="20"/>
        </w:rPr>
        <w:t>Acknowledgements:</w:t>
      </w:r>
    </w:p>
    <w:p w14:paraId="7A5EE3C9" w14:textId="5CADEC67" w:rsidR="00296770" w:rsidRPr="00296770" w:rsidRDefault="00296770" w:rsidP="0018480B">
      <w:pPr>
        <w:spacing w:line="360" w:lineRule="auto"/>
        <w:jc w:val="both"/>
        <w:rPr>
          <w:sz w:val="20"/>
          <w:szCs w:val="20"/>
        </w:rPr>
      </w:pPr>
      <w:r w:rsidRPr="00296770">
        <w:rPr>
          <w:sz w:val="20"/>
          <w:szCs w:val="20"/>
        </w:rPr>
        <w:t xml:space="preserve">This research was conducted with the UK Biobank resource, under application </w:t>
      </w:r>
      <w:r w:rsidRPr="00EC68F0">
        <w:rPr>
          <w:color w:val="000000" w:themeColor="text1"/>
          <w:sz w:val="20"/>
          <w:szCs w:val="20"/>
        </w:rPr>
        <w:t>45291 and 43383)</w:t>
      </w:r>
      <w:r w:rsidRPr="00296770">
        <w:rPr>
          <w:sz w:val="20"/>
          <w:szCs w:val="20"/>
        </w:rPr>
        <w:t xml:space="preserve">. UK Biobank was established by the </w:t>
      </w:r>
      <w:proofErr w:type="spellStart"/>
      <w:r w:rsidRPr="00296770">
        <w:rPr>
          <w:sz w:val="20"/>
          <w:szCs w:val="20"/>
        </w:rPr>
        <w:t>Wellcome</w:t>
      </w:r>
      <w:proofErr w:type="spellEnd"/>
      <w:r w:rsidRPr="00296770">
        <w:rPr>
          <w:sz w:val="20"/>
          <w:szCs w:val="20"/>
        </w:rPr>
        <w:t xml:space="preserve"> Trust, Medical Research Council, Department of Health, Scottish Government, and Northwest Regional Development Agency. UK Biobank has also had funding from the Welsh Assembly Government and the British Heart Foundation. Data collection was funded by UK Biobank.</w:t>
      </w:r>
    </w:p>
    <w:p w14:paraId="75EC334B" w14:textId="02768B26" w:rsidR="0055256A" w:rsidRPr="00296770" w:rsidRDefault="0055256A" w:rsidP="0018480B">
      <w:pPr>
        <w:spacing w:line="360" w:lineRule="auto"/>
        <w:jc w:val="both"/>
        <w:rPr>
          <w:sz w:val="20"/>
          <w:szCs w:val="20"/>
        </w:rPr>
      </w:pPr>
      <w:r w:rsidRPr="00296770">
        <w:rPr>
          <w:sz w:val="20"/>
          <w:szCs w:val="20"/>
        </w:rPr>
        <w:t xml:space="preserve">MK gratefully received funding from a patient’s bequest. </w:t>
      </w:r>
      <w:r w:rsidRPr="00296770">
        <w:rPr>
          <w:rStyle w:val="None"/>
          <w:rFonts w:eastAsia="Arial Unicode MS"/>
          <w:sz w:val="20"/>
          <w:szCs w:val="20"/>
        </w:rPr>
        <w:t>MPL</w:t>
      </w:r>
      <w:r w:rsidR="00372649" w:rsidRPr="00296770">
        <w:rPr>
          <w:rStyle w:val="None"/>
          <w:rFonts w:eastAsia="Arial Unicode MS"/>
          <w:sz w:val="20"/>
          <w:szCs w:val="20"/>
        </w:rPr>
        <w:t>, MMR</w:t>
      </w:r>
      <w:r w:rsidRPr="00296770">
        <w:rPr>
          <w:rStyle w:val="None"/>
          <w:rFonts w:eastAsia="Arial Unicode MS"/>
          <w:sz w:val="20"/>
          <w:szCs w:val="20"/>
        </w:rPr>
        <w:t xml:space="preserve"> and ASC are also supported by the National Institute for Health Research University College London Hospitals Biomedical Research. </w:t>
      </w:r>
      <w:r w:rsidR="00372649" w:rsidRPr="00296770">
        <w:rPr>
          <w:sz w:val="20"/>
          <w:szCs w:val="20"/>
        </w:rPr>
        <w:t xml:space="preserve"> MMR is grateful to the Medical Research Council (MRC MR/S005021/1), the National Institutes of Neurological Diseases and Stroke and office of Rare Diseases (U54NS065712 and 1UOINS109403-01 and R21TROO3034), Muscular Dystrophy Association (MDA510281) and the Charcot Marie Tooth Association (CMTA) for their support.</w:t>
      </w:r>
      <w:r w:rsidR="00EC68F0">
        <w:rPr>
          <w:sz w:val="20"/>
          <w:szCs w:val="20"/>
        </w:rPr>
        <w:t xml:space="preserve"> </w:t>
      </w:r>
      <w:r w:rsidR="00EC68F0" w:rsidRPr="00EC68F0">
        <w:rPr>
          <w:sz w:val="20"/>
          <w:szCs w:val="20"/>
        </w:rPr>
        <w:t>JDM is supported by a National Health and Medical Research Council (NHMRC) Early Career Fellowship (APP1161499)</w:t>
      </w:r>
    </w:p>
    <w:p w14:paraId="10772891" w14:textId="77777777" w:rsidR="0055256A" w:rsidRPr="00C15F04" w:rsidRDefault="0055256A" w:rsidP="0018480B">
      <w:pPr>
        <w:spacing w:line="360" w:lineRule="auto"/>
        <w:jc w:val="both"/>
        <w:rPr>
          <w:sz w:val="20"/>
          <w:szCs w:val="20"/>
        </w:rPr>
      </w:pPr>
    </w:p>
    <w:p w14:paraId="465BF22E" w14:textId="77777777" w:rsidR="0055256A" w:rsidRPr="00C15F04" w:rsidRDefault="0055256A" w:rsidP="0018480B">
      <w:pPr>
        <w:spacing w:line="360" w:lineRule="auto"/>
        <w:jc w:val="both"/>
        <w:rPr>
          <w:b/>
          <w:bCs/>
          <w:sz w:val="20"/>
          <w:szCs w:val="20"/>
        </w:rPr>
      </w:pPr>
      <w:r w:rsidRPr="00C15F04">
        <w:rPr>
          <w:b/>
          <w:bCs/>
          <w:sz w:val="20"/>
          <w:szCs w:val="20"/>
        </w:rPr>
        <w:t xml:space="preserve">Competing interests: </w:t>
      </w:r>
    </w:p>
    <w:p w14:paraId="5066BA32" w14:textId="12D78A9C" w:rsidR="0055256A" w:rsidRPr="00C15F04" w:rsidRDefault="0055256A" w:rsidP="0018480B">
      <w:pPr>
        <w:tabs>
          <w:tab w:val="left" w:pos="2368"/>
        </w:tabs>
        <w:spacing w:line="360" w:lineRule="auto"/>
        <w:rPr>
          <w:sz w:val="20"/>
          <w:szCs w:val="20"/>
        </w:rPr>
      </w:pPr>
      <w:r w:rsidRPr="00C15F04">
        <w:rPr>
          <w:rStyle w:val="None"/>
          <w:rFonts w:eastAsia="Arial Unicode MS"/>
          <w:sz w:val="20"/>
          <w:szCs w:val="20"/>
        </w:rPr>
        <w:t xml:space="preserve">MK reports Grifols sponsorship for attendance at meeting. ASC reports Grifols sponsorship for attendance at meeting and honorarium from CSL and Lupin for an advisory role. MPL was a Primary Investigator in studies for CSL Behring, UCB Pharma, Novartis, </w:t>
      </w:r>
      <w:proofErr w:type="spellStart"/>
      <w:r w:rsidRPr="00C15F04">
        <w:rPr>
          <w:rStyle w:val="None"/>
          <w:rFonts w:eastAsia="Arial Unicode MS"/>
          <w:sz w:val="20"/>
          <w:szCs w:val="20"/>
        </w:rPr>
        <w:t>Octapharma</w:t>
      </w:r>
      <w:proofErr w:type="spellEnd"/>
      <w:r w:rsidRPr="00C15F04">
        <w:rPr>
          <w:rStyle w:val="None"/>
          <w:rFonts w:eastAsia="Arial Unicode MS"/>
          <w:sz w:val="20"/>
          <w:szCs w:val="20"/>
        </w:rPr>
        <w:t xml:space="preserve">. He has also received ad hoc consulting fees from CSL Behring, UCB and an honorarium from Terumo BCT. </w:t>
      </w:r>
    </w:p>
    <w:p w14:paraId="1001EC7B" w14:textId="7BB376E1" w:rsidR="0055256A" w:rsidRPr="00C15F04" w:rsidRDefault="0055256A" w:rsidP="0018480B">
      <w:pPr>
        <w:spacing w:line="360" w:lineRule="auto"/>
        <w:rPr>
          <w:sz w:val="20"/>
          <w:szCs w:val="20"/>
        </w:rPr>
      </w:pPr>
      <w:r w:rsidRPr="00C15F04">
        <w:rPr>
          <w:sz w:val="20"/>
          <w:szCs w:val="20"/>
        </w:rPr>
        <w:t>The remaining authors declare that the research was conducted in the absence of any commercial or financial relationships that could be construed as a potential conflict of interest.</w:t>
      </w:r>
    </w:p>
    <w:p w14:paraId="1D50C296" w14:textId="77777777" w:rsidR="009E6040" w:rsidRDefault="009E6040" w:rsidP="00EC68F0">
      <w:pPr>
        <w:spacing w:line="360" w:lineRule="auto"/>
        <w:rPr>
          <w:color w:val="000000" w:themeColor="text1"/>
          <w:sz w:val="20"/>
          <w:szCs w:val="20"/>
        </w:rPr>
      </w:pPr>
      <w:r>
        <w:rPr>
          <w:color w:val="000000" w:themeColor="text1"/>
          <w:sz w:val="20"/>
          <w:szCs w:val="20"/>
        </w:rPr>
        <w:br w:type="page"/>
      </w:r>
    </w:p>
    <w:p w14:paraId="231B879A" w14:textId="01F8740E" w:rsidR="00751F15" w:rsidRPr="004E780E" w:rsidRDefault="00751F15" w:rsidP="0003260F">
      <w:pPr>
        <w:spacing w:line="360" w:lineRule="auto"/>
        <w:rPr>
          <w:color w:val="000000" w:themeColor="text1"/>
          <w:sz w:val="20"/>
          <w:szCs w:val="20"/>
        </w:rPr>
      </w:pPr>
      <w:r w:rsidRPr="004E780E">
        <w:rPr>
          <w:color w:val="000000" w:themeColor="text1"/>
          <w:sz w:val="20"/>
          <w:szCs w:val="20"/>
        </w:rPr>
        <w:lastRenderedPageBreak/>
        <w:t xml:space="preserve">Table 1: Baseline clinical characteristics for participants with and without a past history of cardiovascular disease </w:t>
      </w:r>
      <w:r w:rsidR="00DC06E2">
        <w:rPr>
          <w:color w:val="000000" w:themeColor="text1"/>
          <w:sz w:val="20"/>
          <w:szCs w:val="20"/>
        </w:rPr>
        <w:t xml:space="preserve">Dataset 1 and </w:t>
      </w:r>
      <w:r w:rsidR="00DC06E2" w:rsidRPr="0003260F">
        <w:rPr>
          <w:color w:val="000000" w:themeColor="text1"/>
          <w:sz w:val="20"/>
          <w:szCs w:val="20"/>
        </w:rPr>
        <w:t>Dataset 2</w:t>
      </w:r>
    </w:p>
    <w:tbl>
      <w:tblPr>
        <w:tblStyle w:val="TableGrid"/>
        <w:tblW w:w="8500" w:type="dxa"/>
        <w:tblLayout w:type="fixed"/>
        <w:tblCellMar>
          <w:top w:w="57" w:type="dxa"/>
          <w:left w:w="57" w:type="dxa"/>
          <w:bottom w:w="57" w:type="dxa"/>
          <w:right w:w="57" w:type="dxa"/>
        </w:tblCellMar>
        <w:tblLook w:val="04A0" w:firstRow="1" w:lastRow="0" w:firstColumn="1" w:lastColumn="0" w:noHBand="0" w:noVBand="1"/>
      </w:tblPr>
      <w:tblGrid>
        <w:gridCol w:w="1980"/>
        <w:gridCol w:w="1610"/>
        <w:gridCol w:w="1508"/>
        <w:gridCol w:w="1701"/>
        <w:gridCol w:w="1701"/>
      </w:tblGrid>
      <w:tr w:rsidR="000919C0" w:rsidRPr="004E780E" w14:paraId="66C07B7F" w14:textId="77777777" w:rsidTr="004E780E">
        <w:trPr>
          <w:trHeight w:val="20"/>
        </w:trPr>
        <w:tc>
          <w:tcPr>
            <w:tcW w:w="1980" w:type="dxa"/>
          </w:tcPr>
          <w:p w14:paraId="30726D23" w14:textId="77777777" w:rsidR="00876B06" w:rsidRPr="004E780E" w:rsidRDefault="00876B06" w:rsidP="0003260F">
            <w:pPr>
              <w:spacing w:line="360" w:lineRule="auto"/>
              <w:rPr>
                <w:b/>
                <w:bCs/>
                <w:color w:val="000000" w:themeColor="text1"/>
                <w:sz w:val="20"/>
                <w:szCs w:val="20"/>
              </w:rPr>
            </w:pPr>
          </w:p>
        </w:tc>
        <w:tc>
          <w:tcPr>
            <w:tcW w:w="3118" w:type="dxa"/>
            <w:gridSpan w:val="2"/>
          </w:tcPr>
          <w:p w14:paraId="76703372" w14:textId="50F88CF3" w:rsidR="00876B06" w:rsidRPr="004E780E" w:rsidRDefault="001E59C0" w:rsidP="0003260F">
            <w:pPr>
              <w:spacing w:line="360" w:lineRule="auto"/>
              <w:rPr>
                <w:b/>
                <w:bCs/>
                <w:color w:val="000000" w:themeColor="text1"/>
                <w:sz w:val="20"/>
                <w:szCs w:val="20"/>
              </w:rPr>
            </w:pPr>
            <w:r>
              <w:rPr>
                <w:b/>
                <w:bCs/>
                <w:color w:val="000000" w:themeColor="text1"/>
                <w:sz w:val="20"/>
                <w:szCs w:val="20"/>
              </w:rPr>
              <w:t>Dataset 1</w:t>
            </w:r>
            <w:r w:rsidR="00876B06" w:rsidRPr="004E780E">
              <w:rPr>
                <w:b/>
                <w:bCs/>
                <w:color w:val="000000" w:themeColor="text1"/>
                <w:sz w:val="20"/>
                <w:szCs w:val="20"/>
              </w:rPr>
              <w:t>: Hospital and death registry data for past history and incident events</w:t>
            </w:r>
          </w:p>
        </w:tc>
        <w:tc>
          <w:tcPr>
            <w:tcW w:w="3402" w:type="dxa"/>
            <w:gridSpan w:val="2"/>
          </w:tcPr>
          <w:p w14:paraId="4C9EAEC4" w14:textId="7194A245" w:rsidR="00876B06" w:rsidRPr="004E780E" w:rsidRDefault="001E59C0" w:rsidP="0003260F">
            <w:pPr>
              <w:spacing w:line="360" w:lineRule="auto"/>
              <w:ind w:right="505"/>
              <w:rPr>
                <w:b/>
                <w:bCs/>
                <w:color w:val="000000" w:themeColor="text1"/>
                <w:sz w:val="20"/>
                <w:szCs w:val="20"/>
              </w:rPr>
            </w:pPr>
            <w:r>
              <w:rPr>
                <w:b/>
                <w:bCs/>
                <w:color w:val="000000" w:themeColor="text1"/>
                <w:sz w:val="20"/>
                <w:szCs w:val="20"/>
              </w:rPr>
              <w:t xml:space="preserve">Dataset </w:t>
            </w:r>
            <w:r w:rsidR="005940C1">
              <w:rPr>
                <w:b/>
                <w:bCs/>
                <w:color w:val="000000" w:themeColor="text1"/>
                <w:sz w:val="20"/>
                <w:szCs w:val="20"/>
              </w:rPr>
              <w:t>2</w:t>
            </w:r>
            <w:r w:rsidR="00504F12" w:rsidRPr="004E780E">
              <w:rPr>
                <w:b/>
                <w:bCs/>
                <w:color w:val="000000" w:themeColor="text1"/>
                <w:sz w:val="20"/>
                <w:szCs w:val="20"/>
              </w:rPr>
              <w:t xml:space="preserve">: Hospital and death registry data plus patient-reported </w:t>
            </w:r>
            <w:r w:rsidR="00284C29" w:rsidRPr="004E780E">
              <w:rPr>
                <w:b/>
                <w:bCs/>
                <w:color w:val="000000" w:themeColor="text1"/>
                <w:sz w:val="20"/>
                <w:szCs w:val="20"/>
              </w:rPr>
              <w:t>illnesses</w:t>
            </w:r>
            <w:r w:rsidR="00504F12" w:rsidRPr="004E780E">
              <w:rPr>
                <w:b/>
                <w:bCs/>
                <w:color w:val="000000" w:themeColor="text1"/>
                <w:sz w:val="20"/>
                <w:szCs w:val="20"/>
              </w:rPr>
              <w:t xml:space="preserve"> for past history and incident events</w:t>
            </w:r>
          </w:p>
        </w:tc>
      </w:tr>
      <w:tr w:rsidR="00FC019F" w:rsidRPr="004E780E" w14:paraId="5E3306A4" w14:textId="11165410" w:rsidTr="004E780E">
        <w:trPr>
          <w:trHeight w:val="20"/>
        </w:trPr>
        <w:tc>
          <w:tcPr>
            <w:tcW w:w="1980" w:type="dxa"/>
          </w:tcPr>
          <w:p w14:paraId="722DE9B9" w14:textId="77777777" w:rsidR="001850F2" w:rsidRPr="004E780E" w:rsidRDefault="001850F2" w:rsidP="0003260F">
            <w:pPr>
              <w:spacing w:line="360" w:lineRule="auto"/>
              <w:rPr>
                <w:b/>
                <w:bCs/>
                <w:color w:val="000000" w:themeColor="text1"/>
                <w:sz w:val="20"/>
                <w:szCs w:val="20"/>
              </w:rPr>
            </w:pPr>
            <w:r w:rsidRPr="004E780E">
              <w:rPr>
                <w:b/>
                <w:bCs/>
                <w:color w:val="000000" w:themeColor="text1"/>
                <w:sz w:val="20"/>
                <w:szCs w:val="20"/>
              </w:rPr>
              <w:t>Characteristics</w:t>
            </w:r>
          </w:p>
        </w:tc>
        <w:tc>
          <w:tcPr>
            <w:tcW w:w="1610" w:type="dxa"/>
          </w:tcPr>
          <w:p w14:paraId="0FB92069" w14:textId="77777777" w:rsidR="001850F2" w:rsidRPr="004E780E" w:rsidRDefault="001850F2" w:rsidP="0003260F">
            <w:pPr>
              <w:spacing w:line="360" w:lineRule="auto"/>
              <w:rPr>
                <w:b/>
                <w:bCs/>
                <w:color w:val="000000" w:themeColor="text1"/>
                <w:sz w:val="20"/>
                <w:szCs w:val="20"/>
              </w:rPr>
            </w:pPr>
            <w:r w:rsidRPr="004E780E">
              <w:rPr>
                <w:b/>
                <w:bCs/>
                <w:color w:val="000000" w:themeColor="text1"/>
                <w:sz w:val="20"/>
                <w:szCs w:val="20"/>
              </w:rPr>
              <w:t xml:space="preserve">No Past History </w:t>
            </w:r>
          </w:p>
          <w:p w14:paraId="666C42AF" w14:textId="2F1D3CFA" w:rsidR="001850F2" w:rsidRPr="004E780E" w:rsidRDefault="001850F2" w:rsidP="0003260F">
            <w:pPr>
              <w:spacing w:line="360" w:lineRule="auto"/>
              <w:rPr>
                <w:b/>
                <w:bCs/>
                <w:color w:val="000000" w:themeColor="text1"/>
                <w:sz w:val="20"/>
                <w:szCs w:val="20"/>
              </w:rPr>
            </w:pPr>
            <w:r w:rsidRPr="004E780E">
              <w:rPr>
                <w:b/>
                <w:bCs/>
                <w:color w:val="000000" w:themeColor="text1"/>
                <w:sz w:val="20"/>
                <w:szCs w:val="20"/>
              </w:rPr>
              <w:t>(n= 421,475)</w:t>
            </w:r>
          </w:p>
        </w:tc>
        <w:tc>
          <w:tcPr>
            <w:tcW w:w="1508" w:type="dxa"/>
          </w:tcPr>
          <w:p w14:paraId="57228F03" w14:textId="77777777" w:rsidR="001850F2" w:rsidRPr="004E780E" w:rsidRDefault="001850F2" w:rsidP="0003260F">
            <w:pPr>
              <w:spacing w:line="360" w:lineRule="auto"/>
              <w:rPr>
                <w:b/>
                <w:bCs/>
                <w:color w:val="000000" w:themeColor="text1"/>
                <w:sz w:val="20"/>
                <w:szCs w:val="20"/>
              </w:rPr>
            </w:pPr>
            <w:r w:rsidRPr="004E780E">
              <w:rPr>
                <w:b/>
                <w:bCs/>
                <w:color w:val="000000" w:themeColor="text1"/>
                <w:sz w:val="20"/>
                <w:szCs w:val="20"/>
              </w:rPr>
              <w:t xml:space="preserve">Past History </w:t>
            </w:r>
          </w:p>
          <w:p w14:paraId="624723BD" w14:textId="08559ADC" w:rsidR="001850F2" w:rsidRPr="004E780E" w:rsidRDefault="001850F2" w:rsidP="0003260F">
            <w:pPr>
              <w:spacing w:line="360" w:lineRule="auto"/>
              <w:rPr>
                <w:b/>
                <w:bCs/>
                <w:color w:val="000000" w:themeColor="text1"/>
                <w:sz w:val="20"/>
                <w:szCs w:val="20"/>
              </w:rPr>
            </w:pPr>
            <w:r w:rsidRPr="004E780E">
              <w:rPr>
                <w:b/>
                <w:bCs/>
                <w:color w:val="000000" w:themeColor="text1"/>
                <w:sz w:val="20"/>
                <w:szCs w:val="20"/>
              </w:rPr>
              <w:t>(n= 23,047)</w:t>
            </w:r>
          </w:p>
        </w:tc>
        <w:tc>
          <w:tcPr>
            <w:tcW w:w="1701" w:type="dxa"/>
          </w:tcPr>
          <w:p w14:paraId="2EE1CAD2" w14:textId="77777777" w:rsidR="001850F2" w:rsidRPr="004E780E" w:rsidRDefault="001850F2" w:rsidP="0003260F">
            <w:pPr>
              <w:spacing w:line="360" w:lineRule="auto"/>
              <w:rPr>
                <w:b/>
                <w:bCs/>
                <w:color w:val="000000" w:themeColor="text1"/>
                <w:sz w:val="20"/>
                <w:szCs w:val="20"/>
              </w:rPr>
            </w:pPr>
            <w:r w:rsidRPr="004E780E">
              <w:rPr>
                <w:b/>
                <w:bCs/>
                <w:color w:val="000000" w:themeColor="text1"/>
                <w:sz w:val="20"/>
                <w:szCs w:val="20"/>
              </w:rPr>
              <w:t xml:space="preserve">No Past History </w:t>
            </w:r>
          </w:p>
          <w:p w14:paraId="40530831" w14:textId="61E183B4" w:rsidR="001850F2" w:rsidRPr="004E780E" w:rsidRDefault="001850F2" w:rsidP="0003260F">
            <w:pPr>
              <w:spacing w:line="360" w:lineRule="auto"/>
              <w:rPr>
                <w:b/>
                <w:bCs/>
                <w:color w:val="000000" w:themeColor="text1"/>
                <w:sz w:val="20"/>
                <w:szCs w:val="20"/>
              </w:rPr>
            </w:pPr>
            <w:r w:rsidRPr="004E780E">
              <w:rPr>
                <w:b/>
                <w:bCs/>
                <w:color w:val="000000" w:themeColor="text1"/>
                <w:sz w:val="20"/>
                <w:szCs w:val="20"/>
              </w:rPr>
              <w:t xml:space="preserve">(n= </w:t>
            </w:r>
            <w:r w:rsidR="00573164" w:rsidRPr="004E780E">
              <w:rPr>
                <w:b/>
                <w:bCs/>
                <w:color w:val="000000" w:themeColor="text1"/>
                <w:sz w:val="20"/>
                <w:szCs w:val="20"/>
              </w:rPr>
              <w:t>412,769</w:t>
            </w:r>
            <w:r w:rsidRPr="004E780E">
              <w:rPr>
                <w:b/>
                <w:bCs/>
                <w:color w:val="000000" w:themeColor="text1"/>
                <w:sz w:val="20"/>
                <w:szCs w:val="20"/>
              </w:rPr>
              <w:t>)</w:t>
            </w:r>
          </w:p>
        </w:tc>
        <w:tc>
          <w:tcPr>
            <w:tcW w:w="1701" w:type="dxa"/>
          </w:tcPr>
          <w:p w14:paraId="1681A189" w14:textId="77777777" w:rsidR="001850F2" w:rsidRPr="004E780E" w:rsidRDefault="001850F2" w:rsidP="0003260F">
            <w:pPr>
              <w:spacing w:line="360" w:lineRule="auto"/>
              <w:rPr>
                <w:b/>
                <w:bCs/>
                <w:color w:val="000000" w:themeColor="text1"/>
                <w:sz w:val="20"/>
                <w:szCs w:val="20"/>
              </w:rPr>
            </w:pPr>
            <w:r w:rsidRPr="004E780E">
              <w:rPr>
                <w:b/>
                <w:bCs/>
                <w:color w:val="000000" w:themeColor="text1"/>
                <w:sz w:val="20"/>
                <w:szCs w:val="20"/>
              </w:rPr>
              <w:t xml:space="preserve">Past History </w:t>
            </w:r>
          </w:p>
          <w:p w14:paraId="20A39486" w14:textId="21EEB650" w:rsidR="001850F2" w:rsidRPr="004E780E" w:rsidRDefault="001850F2" w:rsidP="0003260F">
            <w:pPr>
              <w:spacing w:line="360" w:lineRule="auto"/>
              <w:rPr>
                <w:b/>
                <w:bCs/>
                <w:color w:val="000000" w:themeColor="text1"/>
                <w:sz w:val="20"/>
                <w:szCs w:val="20"/>
              </w:rPr>
            </w:pPr>
            <w:r w:rsidRPr="004E780E">
              <w:rPr>
                <w:b/>
                <w:bCs/>
                <w:color w:val="000000" w:themeColor="text1"/>
                <w:sz w:val="20"/>
                <w:szCs w:val="20"/>
              </w:rPr>
              <w:t xml:space="preserve">(n= </w:t>
            </w:r>
            <w:r w:rsidR="004678DF" w:rsidRPr="004E780E">
              <w:rPr>
                <w:b/>
                <w:bCs/>
                <w:color w:val="000000" w:themeColor="text1"/>
                <w:sz w:val="20"/>
                <w:szCs w:val="20"/>
              </w:rPr>
              <w:t>41,802</w:t>
            </w:r>
            <w:r w:rsidRPr="004E780E">
              <w:rPr>
                <w:b/>
                <w:bCs/>
                <w:color w:val="000000" w:themeColor="text1"/>
                <w:sz w:val="20"/>
                <w:szCs w:val="20"/>
              </w:rPr>
              <w:t>)</w:t>
            </w:r>
          </w:p>
        </w:tc>
      </w:tr>
      <w:tr w:rsidR="00FC019F" w:rsidRPr="004E780E" w14:paraId="56131A41" w14:textId="3E85A0B0" w:rsidTr="004E780E">
        <w:trPr>
          <w:trHeight w:val="20"/>
        </w:trPr>
        <w:tc>
          <w:tcPr>
            <w:tcW w:w="1980" w:type="dxa"/>
          </w:tcPr>
          <w:p w14:paraId="2875A423" w14:textId="77777777" w:rsidR="001850F2" w:rsidRPr="004E780E" w:rsidRDefault="001850F2" w:rsidP="0003260F">
            <w:pPr>
              <w:spacing w:line="360" w:lineRule="auto"/>
              <w:rPr>
                <w:color w:val="000000" w:themeColor="text1"/>
                <w:sz w:val="20"/>
                <w:szCs w:val="20"/>
              </w:rPr>
            </w:pPr>
            <w:r w:rsidRPr="004E780E">
              <w:rPr>
                <w:color w:val="000000" w:themeColor="text1"/>
                <w:sz w:val="20"/>
                <w:szCs w:val="20"/>
              </w:rPr>
              <w:t xml:space="preserve">Median (IQR range) </w:t>
            </w:r>
          </w:p>
          <w:p w14:paraId="66929A84" w14:textId="51F7BF60" w:rsidR="001850F2" w:rsidRPr="004E780E" w:rsidRDefault="001850F2" w:rsidP="0003260F">
            <w:pPr>
              <w:spacing w:line="360" w:lineRule="auto"/>
              <w:rPr>
                <w:color w:val="000000" w:themeColor="text1"/>
                <w:sz w:val="20"/>
                <w:szCs w:val="20"/>
              </w:rPr>
            </w:pPr>
            <w:r w:rsidRPr="004E780E">
              <w:rPr>
                <w:color w:val="000000" w:themeColor="text1"/>
                <w:sz w:val="20"/>
                <w:szCs w:val="20"/>
              </w:rPr>
              <w:t>age (years)</w:t>
            </w:r>
          </w:p>
        </w:tc>
        <w:tc>
          <w:tcPr>
            <w:tcW w:w="1610" w:type="dxa"/>
          </w:tcPr>
          <w:p w14:paraId="213EAB19" w14:textId="77777777" w:rsidR="001850F2" w:rsidRPr="004E780E" w:rsidRDefault="001850F2" w:rsidP="0003260F">
            <w:pPr>
              <w:spacing w:line="360" w:lineRule="auto"/>
              <w:rPr>
                <w:color w:val="000000" w:themeColor="text1"/>
                <w:sz w:val="20"/>
                <w:szCs w:val="20"/>
              </w:rPr>
            </w:pPr>
            <w:r w:rsidRPr="004E780E">
              <w:rPr>
                <w:color w:val="000000" w:themeColor="text1"/>
                <w:sz w:val="20"/>
                <w:szCs w:val="20"/>
              </w:rPr>
              <w:t>57.6 (13.3)</w:t>
            </w:r>
          </w:p>
        </w:tc>
        <w:tc>
          <w:tcPr>
            <w:tcW w:w="1508" w:type="dxa"/>
          </w:tcPr>
          <w:p w14:paraId="7C369C32" w14:textId="77777777" w:rsidR="001850F2" w:rsidRPr="004E780E" w:rsidRDefault="001850F2" w:rsidP="0003260F">
            <w:pPr>
              <w:spacing w:line="360" w:lineRule="auto"/>
              <w:rPr>
                <w:color w:val="000000" w:themeColor="text1"/>
                <w:sz w:val="20"/>
                <w:szCs w:val="20"/>
              </w:rPr>
            </w:pPr>
            <w:r w:rsidRPr="004E780E">
              <w:rPr>
                <w:color w:val="000000" w:themeColor="text1"/>
                <w:sz w:val="20"/>
                <w:szCs w:val="20"/>
              </w:rPr>
              <w:t xml:space="preserve">63.4 (8.9) </w:t>
            </w:r>
          </w:p>
        </w:tc>
        <w:tc>
          <w:tcPr>
            <w:tcW w:w="1701" w:type="dxa"/>
          </w:tcPr>
          <w:p w14:paraId="34A71399" w14:textId="107732DF" w:rsidR="001850F2" w:rsidRPr="004E780E" w:rsidRDefault="00573164" w:rsidP="0003260F">
            <w:pPr>
              <w:spacing w:line="360" w:lineRule="auto"/>
              <w:rPr>
                <w:color w:val="000000" w:themeColor="text1"/>
                <w:sz w:val="20"/>
                <w:szCs w:val="20"/>
              </w:rPr>
            </w:pPr>
            <w:r w:rsidRPr="004E780E">
              <w:rPr>
                <w:color w:val="000000" w:themeColor="text1"/>
                <w:sz w:val="20"/>
                <w:szCs w:val="20"/>
              </w:rPr>
              <w:t>57.1</w:t>
            </w:r>
            <w:r w:rsidR="001850F2" w:rsidRPr="004E780E">
              <w:rPr>
                <w:color w:val="000000" w:themeColor="text1"/>
                <w:sz w:val="20"/>
                <w:szCs w:val="20"/>
              </w:rPr>
              <w:t xml:space="preserve"> (13.</w:t>
            </w:r>
            <w:r w:rsidR="00BC3A2F" w:rsidRPr="004E780E">
              <w:rPr>
                <w:color w:val="000000" w:themeColor="text1"/>
                <w:sz w:val="20"/>
                <w:szCs w:val="20"/>
              </w:rPr>
              <w:t>3</w:t>
            </w:r>
            <w:r w:rsidR="001850F2" w:rsidRPr="004E780E">
              <w:rPr>
                <w:color w:val="000000" w:themeColor="text1"/>
                <w:sz w:val="20"/>
                <w:szCs w:val="20"/>
              </w:rPr>
              <w:t>)</w:t>
            </w:r>
          </w:p>
        </w:tc>
        <w:tc>
          <w:tcPr>
            <w:tcW w:w="1701" w:type="dxa"/>
          </w:tcPr>
          <w:p w14:paraId="277248C5" w14:textId="55424004" w:rsidR="001850F2" w:rsidRPr="004E780E" w:rsidRDefault="001850F2" w:rsidP="0003260F">
            <w:pPr>
              <w:spacing w:line="360" w:lineRule="auto"/>
              <w:rPr>
                <w:color w:val="000000" w:themeColor="text1"/>
                <w:sz w:val="20"/>
                <w:szCs w:val="20"/>
              </w:rPr>
            </w:pPr>
            <w:r w:rsidRPr="004E780E">
              <w:rPr>
                <w:color w:val="000000" w:themeColor="text1"/>
                <w:sz w:val="20"/>
                <w:szCs w:val="20"/>
              </w:rPr>
              <w:t>63.4 (8.</w:t>
            </w:r>
            <w:r w:rsidR="0017358D" w:rsidRPr="004E780E">
              <w:rPr>
                <w:color w:val="000000" w:themeColor="text1"/>
                <w:sz w:val="20"/>
                <w:szCs w:val="20"/>
              </w:rPr>
              <w:t>8</w:t>
            </w:r>
            <w:r w:rsidRPr="004E780E">
              <w:rPr>
                <w:color w:val="000000" w:themeColor="text1"/>
                <w:sz w:val="20"/>
                <w:szCs w:val="20"/>
              </w:rPr>
              <w:t xml:space="preserve">) </w:t>
            </w:r>
          </w:p>
        </w:tc>
      </w:tr>
      <w:tr w:rsidR="00FC019F" w:rsidRPr="004E780E" w14:paraId="55B0D71B" w14:textId="665E7652" w:rsidTr="004E780E">
        <w:trPr>
          <w:trHeight w:val="20"/>
        </w:trPr>
        <w:tc>
          <w:tcPr>
            <w:tcW w:w="1980" w:type="dxa"/>
          </w:tcPr>
          <w:p w14:paraId="35E325A0" w14:textId="77777777" w:rsidR="001850F2" w:rsidRPr="004E780E" w:rsidRDefault="001850F2" w:rsidP="0003260F">
            <w:pPr>
              <w:spacing w:line="360" w:lineRule="auto"/>
              <w:rPr>
                <w:color w:val="000000" w:themeColor="text1"/>
                <w:sz w:val="20"/>
                <w:szCs w:val="20"/>
              </w:rPr>
            </w:pPr>
            <w:r w:rsidRPr="004E780E">
              <w:rPr>
                <w:color w:val="000000" w:themeColor="text1"/>
                <w:sz w:val="20"/>
                <w:szCs w:val="20"/>
              </w:rPr>
              <w:t>Sex (Male)</w:t>
            </w:r>
          </w:p>
        </w:tc>
        <w:tc>
          <w:tcPr>
            <w:tcW w:w="1610" w:type="dxa"/>
          </w:tcPr>
          <w:p w14:paraId="6627482F" w14:textId="77777777" w:rsidR="001850F2" w:rsidRPr="004E780E" w:rsidRDefault="001850F2" w:rsidP="0003260F">
            <w:pPr>
              <w:spacing w:line="360" w:lineRule="auto"/>
              <w:rPr>
                <w:color w:val="000000" w:themeColor="text1"/>
                <w:sz w:val="20"/>
                <w:szCs w:val="20"/>
              </w:rPr>
            </w:pPr>
            <w:r w:rsidRPr="004E780E">
              <w:rPr>
                <w:color w:val="000000" w:themeColor="text1"/>
                <w:sz w:val="20"/>
                <w:szCs w:val="20"/>
              </w:rPr>
              <w:t>179,921 (42.8%)</w:t>
            </w:r>
          </w:p>
        </w:tc>
        <w:tc>
          <w:tcPr>
            <w:tcW w:w="1508" w:type="dxa"/>
          </w:tcPr>
          <w:p w14:paraId="0C0923D8" w14:textId="77777777" w:rsidR="001850F2" w:rsidRPr="004E780E" w:rsidRDefault="001850F2" w:rsidP="0003260F">
            <w:pPr>
              <w:spacing w:line="360" w:lineRule="auto"/>
              <w:rPr>
                <w:color w:val="000000" w:themeColor="text1"/>
                <w:sz w:val="20"/>
                <w:szCs w:val="20"/>
              </w:rPr>
            </w:pPr>
            <w:r w:rsidRPr="004E780E">
              <w:rPr>
                <w:color w:val="000000" w:themeColor="text1"/>
                <w:sz w:val="20"/>
                <w:szCs w:val="20"/>
              </w:rPr>
              <w:t>15,314 (66.4%)</w:t>
            </w:r>
          </w:p>
        </w:tc>
        <w:tc>
          <w:tcPr>
            <w:tcW w:w="1701" w:type="dxa"/>
          </w:tcPr>
          <w:p w14:paraId="241A7410" w14:textId="3D7A9335" w:rsidR="001850F2" w:rsidRPr="004E780E" w:rsidRDefault="003E748C" w:rsidP="0003260F">
            <w:pPr>
              <w:spacing w:line="360" w:lineRule="auto"/>
              <w:rPr>
                <w:color w:val="000000" w:themeColor="text1"/>
                <w:sz w:val="20"/>
                <w:szCs w:val="20"/>
              </w:rPr>
            </w:pPr>
            <w:r w:rsidRPr="004E780E">
              <w:rPr>
                <w:color w:val="000000" w:themeColor="text1"/>
                <w:sz w:val="20"/>
                <w:szCs w:val="20"/>
              </w:rPr>
              <w:t>176</w:t>
            </w:r>
            <w:r w:rsidR="006B43F8" w:rsidRPr="004E780E">
              <w:rPr>
                <w:color w:val="000000" w:themeColor="text1"/>
                <w:sz w:val="20"/>
                <w:szCs w:val="20"/>
              </w:rPr>
              <w:t>,</w:t>
            </w:r>
            <w:r w:rsidRPr="004E780E">
              <w:rPr>
                <w:color w:val="000000" w:themeColor="text1"/>
                <w:sz w:val="20"/>
                <w:szCs w:val="20"/>
              </w:rPr>
              <w:t xml:space="preserve">653 </w:t>
            </w:r>
            <w:r w:rsidR="00D929EC" w:rsidRPr="004E780E">
              <w:rPr>
                <w:color w:val="000000" w:themeColor="text1"/>
                <w:sz w:val="20"/>
                <w:szCs w:val="20"/>
              </w:rPr>
              <w:t>(44.3%)</w:t>
            </w:r>
          </w:p>
        </w:tc>
        <w:tc>
          <w:tcPr>
            <w:tcW w:w="1701" w:type="dxa"/>
          </w:tcPr>
          <w:p w14:paraId="50EE0FF0" w14:textId="66843BAA" w:rsidR="001850F2" w:rsidRPr="004E780E" w:rsidRDefault="004678DF" w:rsidP="0003260F">
            <w:pPr>
              <w:spacing w:line="360" w:lineRule="auto"/>
              <w:rPr>
                <w:color w:val="000000" w:themeColor="text1"/>
                <w:sz w:val="20"/>
                <w:szCs w:val="20"/>
              </w:rPr>
            </w:pPr>
            <w:r w:rsidRPr="004E780E">
              <w:rPr>
                <w:color w:val="000000" w:themeColor="text1"/>
                <w:sz w:val="20"/>
                <w:szCs w:val="20"/>
              </w:rPr>
              <w:t xml:space="preserve">24,810 </w:t>
            </w:r>
            <w:r w:rsidR="001850F2" w:rsidRPr="004E780E">
              <w:rPr>
                <w:color w:val="000000" w:themeColor="text1"/>
                <w:sz w:val="20"/>
                <w:szCs w:val="20"/>
              </w:rPr>
              <w:t>(</w:t>
            </w:r>
            <w:r w:rsidR="003F73A6" w:rsidRPr="004E780E">
              <w:rPr>
                <w:color w:val="000000" w:themeColor="text1"/>
                <w:sz w:val="20"/>
                <w:szCs w:val="20"/>
              </w:rPr>
              <w:t>59.4</w:t>
            </w:r>
            <w:r w:rsidR="001850F2" w:rsidRPr="004E780E">
              <w:rPr>
                <w:color w:val="000000" w:themeColor="text1"/>
                <w:sz w:val="20"/>
                <w:szCs w:val="20"/>
              </w:rPr>
              <w:t>%)</w:t>
            </w:r>
          </w:p>
        </w:tc>
      </w:tr>
      <w:tr w:rsidR="00FC019F" w:rsidRPr="004E780E" w14:paraId="62867ABF" w14:textId="57E65675" w:rsidTr="004E780E">
        <w:trPr>
          <w:trHeight w:val="20"/>
        </w:trPr>
        <w:tc>
          <w:tcPr>
            <w:tcW w:w="1980" w:type="dxa"/>
          </w:tcPr>
          <w:p w14:paraId="7C390524" w14:textId="77777777" w:rsidR="001850F2" w:rsidRPr="004E780E" w:rsidRDefault="001850F2" w:rsidP="0003260F">
            <w:pPr>
              <w:spacing w:line="360" w:lineRule="auto"/>
              <w:rPr>
                <w:color w:val="000000" w:themeColor="text1"/>
                <w:sz w:val="20"/>
                <w:szCs w:val="20"/>
              </w:rPr>
            </w:pPr>
            <w:r w:rsidRPr="004E780E">
              <w:rPr>
                <w:color w:val="000000" w:themeColor="text1"/>
                <w:sz w:val="20"/>
                <w:szCs w:val="20"/>
              </w:rPr>
              <w:t>Ever Smoked</w:t>
            </w:r>
          </w:p>
        </w:tc>
        <w:tc>
          <w:tcPr>
            <w:tcW w:w="1610" w:type="dxa"/>
          </w:tcPr>
          <w:p w14:paraId="32872A38" w14:textId="77777777" w:rsidR="001850F2" w:rsidRPr="004E780E" w:rsidRDefault="001850F2" w:rsidP="0003260F">
            <w:pPr>
              <w:spacing w:line="360" w:lineRule="auto"/>
              <w:rPr>
                <w:color w:val="000000" w:themeColor="text1"/>
                <w:sz w:val="20"/>
                <w:szCs w:val="20"/>
              </w:rPr>
            </w:pPr>
            <w:r w:rsidRPr="004E780E">
              <w:rPr>
                <w:color w:val="000000" w:themeColor="text1"/>
                <w:sz w:val="20"/>
                <w:szCs w:val="20"/>
              </w:rPr>
              <w:t>182,280 (43.2%)</w:t>
            </w:r>
          </w:p>
        </w:tc>
        <w:tc>
          <w:tcPr>
            <w:tcW w:w="1508" w:type="dxa"/>
          </w:tcPr>
          <w:p w14:paraId="066B6ECE" w14:textId="77777777" w:rsidR="001850F2" w:rsidRPr="004E780E" w:rsidRDefault="001850F2" w:rsidP="0003260F">
            <w:pPr>
              <w:spacing w:line="360" w:lineRule="auto"/>
              <w:rPr>
                <w:color w:val="000000" w:themeColor="text1"/>
                <w:sz w:val="20"/>
                <w:szCs w:val="20"/>
              </w:rPr>
            </w:pPr>
            <w:r w:rsidRPr="004E780E">
              <w:rPr>
                <w:color w:val="000000" w:themeColor="text1"/>
                <w:sz w:val="20"/>
                <w:szCs w:val="20"/>
              </w:rPr>
              <w:t>14,121 (61.3%)</w:t>
            </w:r>
          </w:p>
        </w:tc>
        <w:tc>
          <w:tcPr>
            <w:tcW w:w="1701" w:type="dxa"/>
          </w:tcPr>
          <w:p w14:paraId="1D4AE82C" w14:textId="10C66491" w:rsidR="001850F2" w:rsidRPr="004E780E" w:rsidRDefault="003E748C" w:rsidP="0003260F">
            <w:pPr>
              <w:spacing w:line="360" w:lineRule="auto"/>
              <w:rPr>
                <w:color w:val="000000" w:themeColor="text1"/>
                <w:sz w:val="20"/>
                <w:szCs w:val="20"/>
              </w:rPr>
            </w:pPr>
            <w:r w:rsidRPr="004E780E">
              <w:rPr>
                <w:color w:val="000000" w:themeColor="text1"/>
                <w:sz w:val="20"/>
                <w:szCs w:val="20"/>
              </w:rPr>
              <w:t>121</w:t>
            </w:r>
            <w:r w:rsidR="006B43F8" w:rsidRPr="004E780E">
              <w:rPr>
                <w:color w:val="000000" w:themeColor="text1"/>
                <w:sz w:val="20"/>
                <w:szCs w:val="20"/>
              </w:rPr>
              <w:t>,</w:t>
            </w:r>
            <w:r w:rsidRPr="004E780E">
              <w:rPr>
                <w:color w:val="000000" w:themeColor="text1"/>
                <w:sz w:val="20"/>
                <w:szCs w:val="20"/>
              </w:rPr>
              <w:t>912</w:t>
            </w:r>
            <w:r w:rsidR="00573164" w:rsidRPr="004E780E">
              <w:rPr>
                <w:color w:val="000000" w:themeColor="text1"/>
                <w:sz w:val="20"/>
                <w:szCs w:val="20"/>
              </w:rPr>
              <w:t xml:space="preserve"> </w:t>
            </w:r>
            <w:r w:rsidR="001C01B6" w:rsidRPr="004E780E">
              <w:rPr>
                <w:color w:val="000000" w:themeColor="text1"/>
                <w:sz w:val="20"/>
                <w:szCs w:val="20"/>
              </w:rPr>
              <w:t>(</w:t>
            </w:r>
            <w:r w:rsidR="006B43F8" w:rsidRPr="004E780E">
              <w:rPr>
                <w:color w:val="000000" w:themeColor="text1"/>
                <w:sz w:val="20"/>
                <w:szCs w:val="20"/>
              </w:rPr>
              <w:t>29.5%)</w:t>
            </w:r>
          </w:p>
        </w:tc>
        <w:tc>
          <w:tcPr>
            <w:tcW w:w="1701" w:type="dxa"/>
          </w:tcPr>
          <w:p w14:paraId="3A8FB267" w14:textId="1589D0E8" w:rsidR="001850F2" w:rsidRPr="004E780E" w:rsidRDefault="001D04A1" w:rsidP="0003260F">
            <w:pPr>
              <w:spacing w:line="360" w:lineRule="auto"/>
              <w:rPr>
                <w:color w:val="000000" w:themeColor="text1"/>
                <w:sz w:val="20"/>
                <w:szCs w:val="20"/>
              </w:rPr>
            </w:pPr>
            <w:r w:rsidRPr="004E780E">
              <w:rPr>
                <w:color w:val="000000" w:themeColor="text1"/>
                <w:sz w:val="20"/>
                <w:szCs w:val="20"/>
              </w:rPr>
              <w:t xml:space="preserve">26,216 </w:t>
            </w:r>
            <w:r w:rsidR="003F73A6" w:rsidRPr="004E780E">
              <w:rPr>
                <w:color w:val="000000" w:themeColor="text1"/>
                <w:sz w:val="20"/>
                <w:szCs w:val="20"/>
              </w:rPr>
              <w:t>(</w:t>
            </w:r>
            <w:r w:rsidRPr="004E780E">
              <w:rPr>
                <w:color w:val="000000" w:themeColor="text1"/>
                <w:sz w:val="20"/>
                <w:szCs w:val="20"/>
              </w:rPr>
              <w:t>62.7%)</w:t>
            </w:r>
          </w:p>
        </w:tc>
      </w:tr>
      <w:tr w:rsidR="00FC019F" w:rsidRPr="004E780E" w14:paraId="33498239" w14:textId="35BBE279" w:rsidTr="004E780E">
        <w:trPr>
          <w:trHeight w:val="20"/>
        </w:trPr>
        <w:tc>
          <w:tcPr>
            <w:tcW w:w="1980" w:type="dxa"/>
          </w:tcPr>
          <w:p w14:paraId="5C1FEE24" w14:textId="77777777" w:rsidR="001850F2" w:rsidRPr="004E780E" w:rsidRDefault="001850F2" w:rsidP="0003260F">
            <w:pPr>
              <w:spacing w:line="360" w:lineRule="auto"/>
              <w:rPr>
                <w:color w:val="000000" w:themeColor="text1"/>
                <w:sz w:val="20"/>
                <w:szCs w:val="20"/>
              </w:rPr>
            </w:pPr>
            <w:r w:rsidRPr="004E780E">
              <w:rPr>
                <w:color w:val="000000" w:themeColor="text1"/>
                <w:sz w:val="20"/>
                <w:szCs w:val="20"/>
              </w:rPr>
              <w:t>Diabetes</w:t>
            </w:r>
          </w:p>
        </w:tc>
        <w:tc>
          <w:tcPr>
            <w:tcW w:w="1610" w:type="dxa"/>
          </w:tcPr>
          <w:p w14:paraId="4FFFC57A" w14:textId="77777777" w:rsidR="001850F2" w:rsidRPr="004E780E" w:rsidRDefault="001850F2" w:rsidP="0003260F">
            <w:pPr>
              <w:spacing w:line="360" w:lineRule="auto"/>
              <w:rPr>
                <w:color w:val="000000" w:themeColor="text1"/>
                <w:sz w:val="20"/>
                <w:szCs w:val="20"/>
              </w:rPr>
            </w:pPr>
            <w:r w:rsidRPr="004E780E">
              <w:rPr>
                <w:color w:val="000000" w:themeColor="text1"/>
                <w:sz w:val="20"/>
                <w:szCs w:val="20"/>
              </w:rPr>
              <w:t>12,684 (3%)</w:t>
            </w:r>
          </w:p>
        </w:tc>
        <w:tc>
          <w:tcPr>
            <w:tcW w:w="1508" w:type="dxa"/>
          </w:tcPr>
          <w:p w14:paraId="2247B077" w14:textId="77777777" w:rsidR="001850F2" w:rsidRPr="004E780E" w:rsidRDefault="001850F2" w:rsidP="0003260F">
            <w:pPr>
              <w:spacing w:line="360" w:lineRule="auto"/>
              <w:rPr>
                <w:color w:val="000000" w:themeColor="text1"/>
                <w:sz w:val="20"/>
                <w:szCs w:val="20"/>
              </w:rPr>
            </w:pPr>
            <w:r w:rsidRPr="004E780E">
              <w:rPr>
                <w:color w:val="000000" w:themeColor="text1"/>
                <w:sz w:val="20"/>
                <w:szCs w:val="20"/>
              </w:rPr>
              <w:t>3,642 (15.9%)</w:t>
            </w:r>
          </w:p>
        </w:tc>
        <w:tc>
          <w:tcPr>
            <w:tcW w:w="1701" w:type="dxa"/>
          </w:tcPr>
          <w:p w14:paraId="36E17EEE" w14:textId="44B3C190" w:rsidR="001850F2" w:rsidRPr="004E780E" w:rsidRDefault="003E748C" w:rsidP="0003260F">
            <w:pPr>
              <w:spacing w:line="360" w:lineRule="auto"/>
              <w:rPr>
                <w:color w:val="000000" w:themeColor="text1"/>
                <w:sz w:val="20"/>
                <w:szCs w:val="20"/>
              </w:rPr>
            </w:pPr>
            <w:r w:rsidRPr="004E780E">
              <w:rPr>
                <w:color w:val="000000" w:themeColor="text1"/>
                <w:sz w:val="20"/>
                <w:szCs w:val="20"/>
              </w:rPr>
              <w:t>12</w:t>
            </w:r>
            <w:r w:rsidR="006B43F8" w:rsidRPr="004E780E">
              <w:rPr>
                <w:color w:val="000000" w:themeColor="text1"/>
                <w:sz w:val="20"/>
                <w:szCs w:val="20"/>
              </w:rPr>
              <w:t>,</w:t>
            </w:r>
            <w:r w:rsidRPr="004E780E">
              <w:rPr>
                <w:color w:val="000000" w:themeColor="text1"/>
                <w:sz w:val="20"/>
                <w:szCs w:val="20"/>
              </w:rPr>
              <w:t xml:space="preserve">076 </w:t>
            </w:r>
            <w:r w:rsidR="008943A1" w:rsidRPr="004E780E">
              <w:rPr>
                <w:color w:val="000000" w:themeColor="text1"/>
                <w:sz w:val="20"/>
                <w:szCs w:val="20"/>
              </w:rPr>
              <w:t>(4.7%)</w:t>
            </w:r>
          </w:p>
        </w:tc>
        <w:tc>
          <w:tcPr>
            <w:tcW w:w="1701" w:type="dxa"/>
          </w:tcPr>
          <w:p w14:paraId="03EC199F" w14:textId="33748FD0" w:rsidR="001850F2" w:rsidRPr="004E780E" w:rsidRDefault="004678DF" w:rsidP="0003260F">
            <w:pPr>
              <w:spacing w:line="360" w:lineRule="auto"/>
              <w:rPr>
                <w:color w:val="000000" w:themeColor="text1"/>
                <w:sz w:val="20"/>
                <w:szCs w:val="20"/>
              </w:rPr>
            </w:pPr>
            <w:r w:rsidRPr="004E780E">
              <w:rPr>
                <w:color w:val="000000" w:themeColor="text1"/>
                <w:sz w:val="20"/>
                <w:szCs w:val="20"/>
              </w:rPr>
              <w:t>6,058</w:t>
            </w:r>
            <w:r w:rsidR="003F73A6" w:rsidRPr="004E780E">
              <w:rPr>
                <w:color w:val="000000" w:themeColor="text1"/>
                <w:sz w:val="20"/>
                <w:szCs w:val="20"/>
              </w:rPr>
              <w:t xml:space="preserve"> (14.5%)</w:t>
            </w:r>
          </w:p>
        </w:tc>
      </w:tr>
      <w:tr w:rsidR="00FC019F" w:rsidRPr="004E780E" w14:paraId="41CB8554" w14:textId="139F9E30" w:rsidTr="004E780E">
        <w:trPr>
          <w:trHeight w:val="20"/>
        </w:trPr>
        <w:tc>
          <w:tcPr>
            <w:tcW w:w="1980" w:type="dxa"/>
          </w:tcPr>
          <w:p w14:paraId="26159901" w14:textId="77777777" w:rsidR="001850F2" w:rsidRPr="004E780E" w:rsidRDefault="001850F2" w:rsidP="0003260F">
            <w:pPr>
              <w:spacing w:line="360" w:lineRule="auto"/>
              <w:rPr>
                <w:color w:val="000000" w:themeColor="text1"/>
                <w:sz w:val="20"/>
                <w:szCs w:val="20"/>
              </w:rPr>
            </w:pPr>
            <w:r w:rsidRPr="004E780E">
              <w:rPr>
                <w:color w:val="000000" w:themeColor="text1"/>
                <w:sz w:val="20"/>
                <w:szCs w:val="20"/>
              </w:rPr>
              <w:t>Hypertension</w:t>
            </w:r>
          </w:p>
        </w:tc>
        <w:tc>
          <w:tcPr>
            <w:tcW w:w="1610" w:type="dxa"/>
          </w:tcPr>
          <w:p w14:paraId="259B7C1A" w14:textId="77777777" w:rsidR="001850F2" w:rsidRPr="004E780E" w:rsidRDefault="001850F2" w:rsidP="0003260F">
            <w:pPr>
              <w:spacing w:line="360" w:lineRule="auto"/>
              <w:rPr>
                <w:color w:val="000000" w:themeColor="text1"/>
                <w:sz w:val="20"/>
                <w:szCs w:val="20"/>
              </w:rPr>
            </w:pPr>
            <w:r w:rsidRPr="004E780E">
              <w:rPr>
                <w:color w:val="000000" w:themeColor="text1"/>
                <w:sz w:val="20"/>
                <w:szCs w:val="20"/>
              </w:rPr>
              <w:t>95,477 (22.7%)</w:t>
            </w:r>
          </w:p>
        </w:tc>
        <w:tc>
          <w:tcPr>
            <w:tcW w:w="1508" w:type="dxa"/>
          </w:tcPr>
          <w:p w14:paraId="58F4C8E3" w14:textId="77777777" w:rsidR="001850F2" w:rsidRPr="004E780E" w:rsidRDefault="001850F2" w:rsidP="0003260F">
            <w:pPr>
              <w:spacing w:line="360" w:lineRule="auto"/>
              <w:rPr>
                <w:color w:val="000000" w:themeColor="text1"/>
                <w:sz w:val="20"/>
                <w:szCs w:val="20"/>
              </w:rPr>
            </w:pPr>
            <w:r w:rsidRPr="004E780E">
              <w:rPr>
                <w:color w:val="000000" w:themeColor="text1"/>
                <w:sz w:val="20"/>
                <w:szCs w:val="20"/>
              </w:rPr>
              <w:t>11,403 (49.5%)</w:t>
            </w:r>
          </w:p>
        </w:tc>
        <w:tc>
          <w:tcPr>
            <w:tcW w:w="1701" w:type="dxa"/>
          </w:tcPr>
          <w:p w14:paraId="43DDAC93" w14:textId="31665E6D" w:rsidR="001850F2" w:rsidRPr="004E780E" w:rsidRDefault="003E748C" w:rsidP="0003260F">
            <w:pPr>
              <w:spacing w:line="360" w:lineRule="auto"/>
              <w:rPr>
                <w:color w:val="000000" w:themeColor="text1"/>
                <w:sz w:val="20"/>
                <w:szCs w:val="20"/>
              </w:rPr>
            </w:pPr>
            <w:r w:rsidRPr="004E780E">
              <w:rPr>
                <w:color w:val="000000" w:themeColor="text1"/>
                <w:sz w:val="20"/>
                <w:szCs w:val="20"/>
              </w:rPr>
              <w:t>92</w:t>
            </w:r>
            <w:r w:rsidR="006B43F8" w:rsidRPr="004E780E">
              <w:rPr>
                <w:color w:val="000000" w:themeColor="text1"/>
                <w:sz w:val="20"/>
                <w:szCs w:val="20"/>
              </w:rPr>
              <w:t>,</w:t>
            </w:r>
            <w:r w:rsidRPr="004E780E">
              <w:rPr>
                <w:color w:val="000000" w:themeColor="text1"/>
                <w:sz w:val="20"/>
                <w:szCs w:val="20"/>
              </w:rPr>
              <w:t>483</w:t>
            </w:r>
            <w:r w:rsidR="000B54F0" w:rsidRPr="004E780E">
              <w:rPr>
                <w:color w:val="000000" w:themeColor="text1"/>
                <w:sz w:val="20"/>
                <w:szCs w:val="20"/>
              </w:rPr>
              <w:t xml:space="preserve"> (22.4%)</w:t>
            </w:r>
          </w:p>
        </w:tc>
        <w:tc>
          <w:tcPr>
            <w:tcW w:w="1701" w:type="dxa"/>
          </w:tcPr>
          <w:p w14:paraId="6D845E78" w14:textId="1525DFA8" w:rsidR="001850F2" w:rsidRPr="004E780E" w:rsidRDefault="001D04A1" w:rsidP="0003260F">
            <w:pPr>
              <w:spacing w:line="360" w:lineRule="auto"/>
              <w:rPr>
                <w:color w:val="000000" w:themeColor="text1"/>
                <w:sz w:val="20"/>
                <w:szCs w:val="20"/>
              </w:rPr>
            </w:pPr>
            <w:r w:rsidRPr="004E780E">
              <w:rPr>
                <w:color w:val="000000" w:themeColor="text1"/>
                <w:sz w:val="20"/>
                <w:szCs w:val="20"/>
              </w:rPr>
              <w:t xml:space="preserve">19668 </w:t>
            </w:r>
            <w:r w:rsidR="00921574" w:rsidRPr="004E780E">
              <w:rPr>
                <w:color w:val="000000" w:themeColor="text1"/>
                <w:sz w:val="20"/>
                <w:szCs w:val="20"/>
              </w:rPr>
              <w:t>(</w:t>
            </w:r>
            <w:r w:rsidR="003209AC" w:rsidRPr="004E780E">
              <w:rPr>
                <w:color w:val="000000" w:themeColor="text1"/>
                <w:sz w:val="20"/>
                <w:szCs w:val="20"/>
              </w:rPr>
              <w:t>47.1</w:t>
            </w:r>
            <w:r w:rsidR="00921574" w:rsidRPr="004E780E">
              <w:rPr>
                <w:color w:val="000000" w:themeColor="text1"/>
                <w:sz w:val="20"/>
                <w:szCs w:val="20"/>
              </w:rPr>
              <w:t>%)</w:t>
            </w:r>
          </w:p>
        </w:tc>
      </w:tr>
      <w:tr w:rsidR="00FC019F" w:rsidRPr="004E780E" w14:paraId="251B6695" w14:textId="0A2902EE" w:rsidTr="004E780E">
        <w:trPr>
          <w:trHeight w:val="20"/>
        </w:trPr>
        <w:tc>
          <w:tcPr>
            <w:tcW w:w="1980" w:type="dxa"/>
          </w:tcPr>
          <w:p w14:paraId="37C6D1B1" w14:textId="77777777" w:rsidR="001850F2" w:rsidRPr="004E780E" w:rsidRDefault="001850F2" w:rsidP="0003260F">
            <w:pPr>
              <w:spacing w:line="360" w:lineRule="auto"/>
              <w:rPr>
                <w:color w:val="000000" w:themeColor="text1"/>
                <w:sz w:val="20"/>
                <w:szCs w:val="20"/>
              </w:rPr>
            </w:pPr>
            <w:r w:rsidRPr="004E780E">
              <w:rPr>
                <w:color w:val="000000" w:themeColor="text1"/>
                <w:sz w:val="20"/>
                <w:szCs w:val="20"/>
              </w:rPr>
              <w:t>Hypercholesterolemia</w:t>
            </w:r>
          </w:p>
        </w:tc>
        <w:tc>
          <w:tcPr>
            <w:tcW w:w="1610" w:type="dxa"/>
          </w:tcPr>
          <w:p w14:paraId="61673589" w14:textId="77777777" w:rsidR="001850F2" w:rsidRPr="004E780E" w:rsidRDefault="001850F2" w:rsidP="0003260F">
            <w:pPr>
              <w:spacing w:line="360" w:lineRule="auto"/>
              <w:rPr>
                <w:color w:val="000000" w:themeColor="text1"/>
                <w:sz w:val="20"/>
                <w:szCs w:val="20"/>
              </w:rPr>
            </w:pPr>
            <w:r w:rsidRPr="004E780E">
              <w:rPr>
                <w:color w:val="000000" w:themeColor="text1"/>
                <w:sz w:val="20"/>
                <w:szCs w:val="20"/>
              </w:rPr>
              <w:t>37,858 (9.0%)</w:t>
            </w:r>
          </w:p>
        </w:tc>
        <w:tc>
          <w:tcPr>
            <w:tcW w:w="1508" w:type="dxa"/>
          </w:tcPr>
          <w:p w14:paraId="4F7DB87D" w14:textId="77777777" w:rsidR="001850F2" w:rsidRPr="004E780E" w:rsidRDefault="001850F2" w:rsidP="0003260F">
            <w:pPr>
              <w:spacing w:line="360" w:lineRule="auto"/>
              <w:rPr>
                <w:color w:val="000000" w:themeColor="text1"/>
                <w:sz w:val="20"/>
                <w:szCs w:val="20"/>
              </w:rPr>
            </w:pPr>
            <w:r w:rsidRPr="004E780E">
              <w:rPr>
                <w:color w:val="000000" w:themeColor="text1"/>
                <w:sz w:val="20"/>
                <w:szCs w:val="20"/>
              </w:rPr>
              <w:t>7,764 (33.7%)</w:t>
            </w:r>
          </w:p>
        </w:tc>
        <w:tc>
          <w:tcPr>
            <w:tcW w:w="1701" w:type="dxa"/>
          </w:tcPr>
          <w:p w14:paraId="681631DE" w14:textId="3162441B" w:rsidR="001850F2" w:rsidRPr="004E780E" w:rsidRDefault="003E748C" w:rsidP="0003260F">
            <w:pPr>
              <w:spacing w:line="360" w:lineRule="auto"/>
              <w:rPr>
                <w:color w:val="000000" w:themeColor="text1"/>
                <w:sz w:val="20"/>
                <w:szCs w:val="20"/>
              </w:rPr>
            </w:pPr>
            <w:r w:rsidRPr="004E780E">
              <w:rPr>
                <w:color w:val="000000" w:themeColor="text1"/>
                <w:sz w:val="20"/>
                <w:szCs w:val="20"/>
              </w:rPr>
              <w:t>51</w:t>
            </w:r>
            <w:r w:rsidR="000B54F0" w:rsidRPr="004E780E">
              <w:rPr>
                <w:color w:val="000000" w:themeColor="text1"/>
                <w:sz w:val="20"/>
                <w:szCs w:val="20"/>
              </w:rPr>
              <w:t>,</w:t>
            </w:r>
            <w:r w:rsidRPr="004E780E">
              <w:rPr>
                <w:color w:val="000000" w:themeColor="text1"/>
                <w:sz w:val="20"/>
                <w:szCs w:val="20"/>
              </w:rPr>
              <w:t>698</w:t>
            </w:r>
            <w:r w:rsidR="000B54F0" w:rsidRPr="004E780E">
              <w:rPr>
                <w:color w:val="000000" w:themeColor="text1"/>
                <w:sz w:val="20"/>
                <w:szCs w:val="20"/>
              </w:rPr>
              <w:t xml:space="preserve"> (12.5%)</w:t>
            </w:r>
          </w:p>
        </w:tc>
        <w:tc>
          <w:tcPr>
            <w:tcW w:w="1701" w:type="dxa"/>
          </w:tcPr>
          <w:p w14:paraId="62621623" w14:textId="253F4CB0" w:rsidR="001850F2" w:rsidRPr="004E780E" w:rsidRDefault="001D04A1" w:rsidP="0003260F">
            <w:pPr>
              <w:spacing w:line="360" w:lineRule="auto"/>
              <w:rPr>
                <w:color w:val="000000" w:themeColor="text1"/>
                <w:sz w:val="20"/>
                <w:szCs w:val="20"/>
              </w:rPr>
            </w:pPr>
            <w:r w:rsidRPr="004E780E">
              <w:rPr>
                <w:color w:val="000000" w:themeColor="text1"/>
                <w:sz w:val="20"/>
                <w:szCs w:val="20"/>
              </w:rPr>
              <w:t xml:space="preserve">15091 </w:t>
            </w:r>
            <w:r w:rsidR="00A614CB" w:rsidRPr="004E780E">
              <w:rPr>
                <w:color w:val="000000" w:themeColor="text1"/>
                <w:sz w:val="20"/>
                <w:szCs w:val="20"/>
              </w:rPr>
              <w:t>(</w:t>
            </w:r>
            <w:r w:rsidR="003209AC" w:rsidRPr="004E780E">
              <w:rPr>
                <w:color w:val="000000" w:themeColor="text1"/>
                <w:sz w:val="20"/>
                <w:szCs w:val="20"/>
              </w:rPr>
              <w:t>36.1%</w:t>
            </w:r>
          </w:p>
        </w:tc>
      </w:tr>
      <w:tr w:rsidR="00FC019F" w:rsidRPr="004E780E" w14:paraId="6EC2601B" w14:textId="67F826F6" w:rsidTr="004E780E">
        <w:trPr>
          <w:trHeight w:val="20"/>
        </w:trPr>
        <w:tc>
          <w:tcPr>
            <w:tcW w:w="1980" w:type="dxa"/>
          </w:tcPr>
          <w:p w14:paraId="273B2D6F" w14:textId="77777777" w:rsidR="001850F2" w:rsidRPr="004E780E" w:rsidRDefault="001850F2" w:rsidP="0003260F">
            <w:pPr>
              <w:spacing w:line="360" w:lineRule="auto"/>
              <w:rPr>
                <w:color w:val="000000" w:themeColor="text1"/>
                <w:sz w:val="20"/>
                <w:szCs w:val="20"/>
              </w:rPr>
            </w:pPr>
            <w:r w:rsidRPr="004E780E">
              <w:rPr>
                <w:color w:val="000000" w:themeColor="text1"/>
                <w:sz w:val="20"/>
                <w:szCs w:val="20"/>
              </w:rPr>
              <w:t>Cancer</w:t>
            </w:r>
          </w:p>
        </w:tc>
        <w:tc>
          <w:tcPr>
            <w:tcW w:w="1610" w:type="dxa"/>
          </w:tcPr>
          <w:p w14:paraId="244AC3DB" w14:textId="77777777" w:rsidR="001850F2" w:rsidRPr="004E780E" w:rsidRDefault="001850F2" w:rsidP="0003260F">
            <w:pPr>
              <w:spacing w:line="360" w:lineRule="auto"/>
              <w:rPr>
                <w:color w:val="000000" w:themeColor="text1"/>
                <w:sz w:val="20"/>
                <w:szCs w:val="20"/>
              </w:rPr>
            </w:pPr>
            <w:r w:rsidRPr="004E780E">
              <w:rPr>
                <w:color w:val="000000" w:themeColor="text1"/>
                <w:sz w:val="20"/>
                <w:szCs w:val="20"/>
              </w:rPr>
              <w:t>43,146 (10.2%)</w:t>
            </w:r>
          </w:p>
        </w:tc>
        <w:tc>
          <w:tcPr>
            <w:tcW w:w="1508" w:type="dxa"/>
          </w:tcPr>
          <w:p w14:paraId="63487BCD" w14:textId="77777777" w:rsidR="001850F2" w:rsidRPr="004E780E" w:rsidRDefault="001850F2" w:rsidP="0003260F">
            <w:pPr>
              <w:spacing w:line="360" w:lineRule="auto"/>
              <w:rPr>
                <w:color w:val="000000" w:themeColor="text1"/>
                <w:sz w:val="20"/>
                <w:szCs w:val="20"/>
              </w:rPr>
            </w:pPr>
            <w:r w:rsidRPr="004E780E">
              <w:rPr>
                <w:color w:val="000000" w:themeColor="text1"/>
                <w:sz w:val="20"/>
                <w:szCs w:val="20"/>
              </w:rPr>
              <w:t>3,673 (15.9%)</w:t>
            </w:r>
          </w:p>
        </w:tc>
        <w:tc>
          <w:tcPr>
            <w:tcW w:w="1701" w:type="dxa"/>
          </w:tcPr>
          <w:p w14:paraId="00E4C9F2" w14:textId="44B8DB61" w:rsidR="001850F2" w:rsidRPr="004E780E" w:rsidRDefault="003E748C" w:rsidP="0003260F">
            <w:pPr>
              <w:spacing w:line="360" w:lineRule="auto"/>
              <w:rPr>
                <w:color w:val="000000" w:themeColor="text1"/>
                <w:sz w:val="20"/>
                <w:szCs w:val="20"/>
              </w:rPr>
            </w:pPr>
            <w:r w:rsidRPr="004E780E">
              <w:rPr>
                <w:color w:val="000000" w:themeColor="text1"/>
                <w:sz w:val="20"/>
                <w:szCs w:val="20"/>
              </w:rPr>
              <w:t>41</w:t>
            </w:r>
            <w:r w:rsidR="000B54F0" w:rsidRPr="004E780E">
              <w:rPr>
                <w:color w:val="000000" w:themeColor="text1"/>
                <w:sz w:val="20"/>
                <w:szCs w:val="20"/>
              </w:rPr>
              <w:t>,</w:t>
            </w:r>
            <w:r w:rsidRPr="004E780E">
              <w:rPr>
                <w:color w:val="000000" w:themeColor="text1"/>
                <w:sz w:val="20"/>
                <w:szCs w:val="20"/>
              </w:rPr>
              <w:t>840</w:t>
            </w:r>
            <w:r w:rsidR="000B54F0" w:rsidRPr="004E780E">
              <w:rPr>
                <w:color w:val="000000" w:themeColor="text1"/>
                <w:sz w:val="20"/>
                <w:szCs w:val="20"/>
              </w:rPr>
              <w:t xml:space="preserve"> (10.1%)</w:t>
            </w:r>
          </w:p>
        </w:tc>
        <w:tc>
          <w:tcPr>
            <w:tcW w:w="1701" w:type="dxa"/>
          </w:tcPr>
          <w:p w14:paraId="35FB9AF0" w14:textId="6603B910" w:rsidR="001850F2" w:rsidRPr="004E780E" w:rsidRDefault="004678DF" w:rsidP="0003260F">
            <w:pPr>
              <w:spacing w:line="360" w:lineRule="auto"/>
              <w:rPr>
                <w:color w:val="000000" w:themeColor="text1"/>
                <w:sz w:val="20"/>
                <w:szCs w:val="20"/>
              </w:rPr>
            </w:pPr>
            <w:r w:rsidRPr="004E780E">
              <w:rPr>
                <w:color w:val="000000" w:themeColor="text1"/>
                <w:sz w:val="20"/>
                <w:szCs w:val="20"/>
              </w:rPr>
              <w:t>6,506</w:t>
            </w:r>
            <w:r w:rsidR="00274CDD" w:rsidRPr="004E780E">
              <w:rPr>
                <w:color w:val="000000" w:themeColor="text1"/>
                <w:sz w:val="20"/>
                <w:szCs w:val="20"/>
              </w:rPr>
              <w:t xml:space="preserve"> (15.6%)</w:t>
            </w:r>
          </w:p>
        </w:tc>
      </w:tr>
      <w:tr w:rsidR="00FC019F" w:rsidRPr="004E780E" w14:paraId="19B2FF90" w14:textId="1073AE6D" w:rsidTr="004E780E">
        <w:trPr>
          <w:trHeight w:val="20"/>
        </w:trPr>
        <w:tc>
          <w:tcPr>
            <w:tcW w:w="1980" w:type="dxa"/>
          </w:tcPr>
          <w:p w14:paraId="31EDD695" w14:textId="77777777" w:rsidR="001850F2" w:rsidRPr="004E780E" w:rsidRDefault="001850F2" w:rsidP="0003260F">
            <w:pPr>
              <w:spacing w:line="360" w:lineRule="auto"/>
              <w:rPr>
                <w:color w:val="000000" w:themeColor="text1"/>
                <w:sz w:val="20"/>
                <w:szCs w:val="20"/>
              </w:rPr>
            </w:pPr>
            <w:proofErr w:type="spellStart"/>
            <w:r w:rsidRPr="004E780E">
              <w:rPr>
                <w:color w:val="000000" w:themeColor="text1"/>
                <w:sz w:val="20"/>
                <w:szCs w:val="20"/>
              </w:rPr>
              <w:t>IVIg</w:t>
            </w:r>
            <w:proofErr w:type="spellEnd"/>
          </w:p>
        </w:tc>
        <w:tc>
          <w:tcPr>
            <w:tcW w:w="1610" w:type="dxa"/>
          </w:tcPr>
          <w:p w14:paraId="0C4DE5D4" w14:textId="77777777" w:rsidR="001850F2" w:rsidRPr="004E780E" w:rsidRDefault="001850F2" w:rsidP="0003260F">
            <w:pPr>
              <w:spacing w:line="360" w:lineRule="auto"/>
              <w:rPr>
                <w:color w:val="000000" w:themeColor="text1"/>
                <w:sz w:val="20"/>
                <w:szCs w:val="20"/>
              </w:rPr>
            </w:pPr>
            <w:r w:rsidRPr="004E780E">
              <w:rPr>
                <w:color w:val="000000" w:themeColor="text1"/>
                <w:sz w:val="20"/>
                <w:szCs w:val="20"/>
              </w:rPr>
              <w:t>98 (0.02%)</w:t>
            </w:r>
          </w:p>
        </w:tc>
        <w:tc>
          <w:tcPr>
            <w:tcW w:w="1508" w:type="dxa"/>
          </w:tcPr>
          <w:p w14:paraId="2376A55F" w14:textId="77777777" w:rsidR="001850F2" w:rsidRPr="004E780E" w:rsidRDefault="001850F2" w:rsidP="0003260F">
            <w:pPr>
              <w:spacing w:line="360" w:lineRule="auto"/>
              <w:rPr>
                <w:color w:val="000000" w:themeColor="text1"/>
                <w:sz w:val="20"/>
                <w:szCs w:val="20"/>
              </w:rPr>
            </w:pPr>
            <w:r w:rsidRPr="004E780E">
              <w:rPr>
                <w:color w:val="000000" w:themeColor="text1"/>
                <w:sz w:val="20"/>
                <w:szCs w:val="20"/>
              </w:rPr>
              <w:t>14 (0.06%)</w:t>
            </w:r>
          </w:p>
        </w:tc>
        <w:tc>
          <w:tcPr>
            <w:tcW w:w="1701" w:type="dxa"/>
          </w:tcPr>
          <w:p w14:paraId="51743293" w14:textId="66CA72FE" w:rsidR="001850F2" w:rsidRPr="004E780E" w:rsidRDefault="00486B06" w:rsidP="0003260F">
            <w:pPr>
              <w:tabs>
                <w:tab w:val="center" w:pos="846"/>
              </w:tabs>
              <w:spacing w:line="360" w:lineRule="auto"/>
              <w:rPr>
                <w:color w:val="000000" w:themeColor="text1"/>
                <w:sz w:val="20"/>
                <w:szCs w:val="20"/>
              </w:rPr>
            </w:pPr>
            <w:r w:rsidRPr="004E780E">
              <w:rPr>
                <w:color w:val="000000" w:themeColor="text1"/>
                <w:sz w:val="20"/>
                <w:szCs w:val="20"/>
              </w:rPr>
              <w:t>96</w:t>
            </w:r>
            <w:r w:rsidR="009E13BF" w:rsidRPr="004E780E">
              <w:rPr>
                <w:color w:val="000000" w:themeColor="text1"/>
                <w:sz w:val="20"/>
                <w:szCs w:val="20"/>
              </w:rPr>
              <w:t xml:space="preserve"> (0.02%)</w:t>
            </w:r>
            <w:r w:rsidR="009E13BF" w:rsidRPr="004E780E">
              <w:rPr>
                <w:color w:val="000000" w:themeColor="text1"/>
                <w:sz w:val="20"/>
                <w:szCs w:val="20"/>
              </w:rPr>
              <w:tab/>
            </w:r>
          </w:p>
        </w:tc>
        <w:tc>
          <w:tcPr>
            <w:tcW w:w="1701" w:type="dxa"/>
          </w:tcPr>
          <w:p w14:paraId="40F738C8" w14:textId="7C86E7BD" w:rsidR="001850F2" w:rsidRPr="004E780E" w:rsidRDefault="001850F2" w:rsidP="0003260F">
            <w:pPr>
              <w:spacing w:line="360" w:lineRule="auto"/>
              <w:rPr>
                <w:color w:val="000000" w:themeColor="text1"/>
                <w:sz w:val="20"/>
                <w:szCs w:val="20"/>
              </w:rPr>
            </w:pPr>
            <w:r w:rsidRPr="004E780E">
              <w:rPr>
                <w:color w:val="000000" w:themeColor="text1"/>
                <w:sz w:val="20"/>
                <w:szCs w:val="20"/>
              </w:rPr>
              <w:t>1</w:t>
            </w:r>
            <w:r w:rsidR="004678DF" w:rsidRPr="004E780E">
              <w:rPr>
                <w:color w:val="000000" w:themeColor="text1"/>
                <w:sz w:val="20"/>
                <w:szCs w:val="20"/>
              </w:rPr>
              <w:t>6</w:t>
            </w:r>
            <w:r w:rsidRPr="004E780E">
              <w:rPr>
                <w:color w:val="000000" w:themeColor="text1"/>
                <w:sz w:val="20"/>
                <w:szCs w:val="20"/>
              </w:rPr>
              <w:t xml:space="preserve"> (0.0</w:t>
            </w:r>
            <w:r w:rsidR="00832318" w:rsidRPr="004E780E">
              <w:rPr>
                <w:color w:val="000000" w:themeColor="text1"/>
                <w:sz w:val="20"/>
                <w:szCs w:val="20"/>
              </w:rPr>
              <w:t>4</w:t>
            </w:r>
            <w:r w:rsidRPr="004E780E">
              <w:rPr>
                <w:color w:val="000000" w:themeColor="text1"/>
                <w:sz w:val="20"/>
                <w:szCs w:val="20"/>
              </w:rPr>
              <w:t>%)</w:t>
            </w:r>
          </w:p>
        </w:tc>
      </w:tr>
      <w:tr w:rsidR="00FC019F" w:rsidRPr="004E780E" w14:paraId="7A5B1DCC" w14:textId="674A186F" w:rsidTr="004E780E">
        <w:trPr>
          <w:trHeight w:val="20"/>
        </w:trPr>
        <w:tc>
          <w:tcPr>
            <w:tcW w:w="1980" w:type="dxa"/>
          </w:tcPr>
          <w:p w14:paraId="0302E6D2" w14:textId="77777777" w:rsidR="001850F2" w:rsidRPr="004E780E" w:rsidRDefault="001850F2" w:rsidP="0003260F">
            <w:pPr>
              <w:spacing w:line="360" w:lineRule="auto"/>
              <w:rPr>
                <w:color w:val="000000" w:themeColor="text1"/>
                <w:sz w:val="20"/>
                <w:szCs w:val="20"/>
              </w:rPr>
            </w:pPr>
            <w:r w:rsidRPr="004E780E">
              <w:rPr>
                <w:color w:val="000000" w:themeColor="text1"/>
                <w:sz w:val="20"/>
                <w:szCs w:val="20"/>
              </w:rPr>
              <w:t>Current Medications</w:t>
            </w:r>
          </w:p>
        </w:tc>
        <w:tc>
          <w:tcPr>
            <w:tcW w:w="1610" w:type="dxa"/>
          </w:tcPr>
          <w:p w14:paraId="215DBFE9" w14:textId="77777777" w:rsidR="001850F2" w:rsidRPr="004E780E" w:rsidRDefault="001850F2" w:rsidP="0003260F">
            <w:pPr>
              <w:spacing w:line="360" w:lineRule="auto"/>
              <w:rPr>
                <w:color w:val="000000" w:themeColor="text1"/>
                <w:sz w:val="20"/>
                <w:szCs w:val="20"/>
              </w:rPr>
            </w:pPr>
          </w:p>
        </w:tc>
        <w:tc>
          <w:tcPr>
            <w:tcW w:w="1508" w:type="dxa"/>
          </w:tcPr>
          <w:p w14:paraId="24981B46" w14:textId="77777777" w:rsidR="001850F2" w:rsidRPr="004E780E" w:rsidRDefault="001850F2" w:rsidP="0003260F">
            <w:pPr>
              <w:spacing w:line="360" w:lineRule="auto"/>
              <w:rPr>
                <w:color w:val="000000" w:themeColor="text1"/>
                <w:sz w:val="20"/>
                <w:szCs w:val="20"/>
              </w:rPr>
            </w:pPr>
          </w:p>
        </w:tc>
        <w:tc>
          <w:tcPr>
            <w:tcW w:w="1701" w:type="dxa"/>
          </w:tcPr>
          <w:p w14:paraId="2D8F8F3E" w14:textId="77777777" w:rsidR="001850F2" w:rsidRPr="004E780E" w:rsidRDefault="001850F2" w:rsidP="0003260F">
            <w:pPr>
              <w:spacing w:line="360" w:lineRule="auto"/>
              <w:rPr>
                <w:color w:val="000000" w:themeColor="text1"/>
                <w:sz w:val="20"/>
                <w:szCs w:val="20"/>
              </w:rPr>
            </w:pPr>
          </w:p>
        </w:tc>
        <w:tc>
          <w:tcPr>
            <w:tcW w:w="1701" w:type="dxa"/>
          </w:tcPr>
          <w:p w14:paraId="20985AFA" w14:textId="77777777" w:rsidR="001850F2" w:rsidRPr="004E780E" w:rsidRDefault="001850F2" w:rsidP="0003260F">
            <w:pPr>
              <w:spacing w:line="360" w:lineRule="auto"/>
              <w:rPr>
                <w:color w:val="000000" w:themeColor="text1"/>
                <w:sz w:val="20"/>
                <w:szCs w:val="20"/>
              </w:rPr>
            </w:pPr>
          </w:p>
        </w:tc>
      </w:tr>
      <w:tr w:rsidR="00FC019F" w:rsidRPr="004E780E" w14:paraId="158BA93A" w14:textId="0FE6FDF1" w:rsidTr="004E780E">
        <w:trPr>
          <w:trHeight w:val="20"/>
        </w:trPr>
        <w:tc>
          <w:tcPr>
            <w:tcW w:w="1980" w:type="dxa"/>
          </w:tcPr>
          <w:p w14:paraId="1493255B" w14:textId="77777777" w:rsidR="001850F2" w:rsidRPr="004E780E" w:rsidRDefault="001850F2" w:rsidP="0003260F">
            <w:pPr>
              <w:spacing w:line="360" w:lineRule="auto"/>
              <w:rPr>
                <w:color w:val="000000" w:themeColor="text1"/>
                <w:sz w:val="20"/>
                <w:szCs w:val="20"/>
              </w:rPr>
            </w:pPr>
            <w:r w:rsidRPr="004E780E">
              <w:rPr>
                <w:color w:val="000000" w:themeColor="text1"/>
                <w:sz w:val="20"/>
                <w:szCs w:val="20"/>
              </w:rPr>
              <w:t>Antiplatelet</w:t>
            </w:r>
          </w:p>
        </w:tc>
        <w:tc>
          <w:tcPr>
            <w:tcW w:w="1610" w:type="dxa"/>
          </w:tcPr>
          <w:p w14:paraId="6C0CCC7A" w14:textId="77777777" w:rsidR="001850F2" w:rsidRPr="004E780E" w:rsidRDefault="001850F2" w:rsidP="0003260F">
            <w:pPr>
              <w:spacing w:line="360" w:lineRule="auto"/>
              <w:rPr>
                <w:color w:val="000000" w:themeColor="text1"/>
                <w:sz w:val="20"/>
                <w:szCs w:val="20"/>
              </w:rPr>
            </w:pPr>
            <w:r w:rsidRPr="004E780E">
              <w:rPr>
                <w:color w:val="000000" w:themeColor="text1"/>
                <w:sz w:val="20"/>
                <w:szCs w:val="20"/>
              </w:rPr>
              <w:t>0</w:t>
            </w:r>
          </w:p>
        </w:tc>
        <w:tc>
          <w:tcPr>
            <w:tcW w:w="1508" w:type="dxa"/>
          </w:tcPr>
          <w:p w14:paraId="420D5BE8" w14:textId="77777777" w:rsidR="001850F2" w:rsidRPr="004E780E" w:rsidRDefault="001850F2" w:rsidP="0003260F">
            <w:pPr>
              <w:spacing w:line="360" w:lineRule="auto"/>
              <w:rPr>
                <w:color w:val="000000" w:themeColor="text1"/>
                <w:sz w:val="20"/>
                <w:szCs w:val="20"/>
              </w:rPr>
            </w:pPr>
            <w:r w:rsidRPr="004E780E">
              <w:rPr>
                <w:color w:val="000000" w:themeColor="text1"/>
                <w:sz w:val="20"/>
                <w:szCs w:val="20"/>
              </w:rPr>
              <w:t>15,514 (67.3%)</w:t>
            </w:r>
          </w:p>
        </w:tc>
        <w:tc>
          <w:tcPr>
            <w:tcW w:w="1701" w:type="dxa"/>
          </w:tcPr>
          <w:p w14:paraId="2CB73441" w14:textId="132CE5FB" w:rsidR="001850F2" w:rsidRPr="004E780E" w:rsidRDefault="001850F2" w:rsidP="0003260F">
            <w:pPr>
              <w:spacing w:line="360" w:lineRule="auto"/>
              <w:rPr>
                <w:color w:val="000000" w:themeColor="text1"/>
                <w:sz w:val="20"/>
                <w:szCs w:val="20"/>
              </w:rPr>
            </w:pPr>
            <w:r w:rsidRPr="004E780E">
              <w:rPr>
                <w:color w:val="000000" w:themeColor="text1"/>
                <w:sz w:val="20"/>
                <w:szCs w:val="20"/>
              </w:rPr>
              <w:t>0</w:t>
            </w:r>
          </w:p>
        </w:tc>
        <w:tc>
          <w:tcPr>
            <w:tcW w:w="1701" w:type="dxa"/>
          </w:tcPr>
          <w:p w14:paraId="2BA8C737" w14:textId="73F14ED0" w:rsidR="001850F2" w:rsidRPr="004E780E" w:rsidRDefault="00900D49" w:rsidP="0003260F">
            <w:pPr>
              <w:spacing w:line="360" w:lineRule="auto"/>
              <w:rPr>
                <w:color w:val="000000" w:themeColor="text1"/>
                <w:sz w:val="20"/>
                <w:szCs w:val="20"/>
              </w:rPr>
            </w:pPr>
            <w:r w:rsidRPr="004E780E">
              <w:rPr>
                <w:color w:val="000000" w:themeColor="text1"/>
                <w:sz w:val="20"/>
                <w:szCs w:val="20"/>
              </w:rPr>
              <w:t>25,563</w:t>
            </w:r>
            <w:r w:rsidR="00011CA1" w:rsidRPr="004E780E">
              <w:rPr>
                <w:color w:val="000000" w:themeColor="text1"/>
                <w:sz w:val="20"/>
                <w:szCs w:val="20"/>
              </w:rPr>
              <w:t xml:space="preserve"> (61.2%)</w:t>
            </w:r>
          </w:p>
        </w:tc>
      </w:tr>
      <w:tr w:rsidR="00FC019F" w:rsidRPr="004E780E" w14:paraId="2CB85ED2" w14:textId="04EF5975" w:rsidTr="004E780E">
        <w:trPr>
          <w:trHeight w:val="20"/>
        </w:trPr>
        <w:tc>
          <w:tcPr>
            <w:tcW w:w="1980" w:type="dxa"/>
          </w:tcPr>
          <w:p w14:paraId="29E7D6A9" w14:textId="77777777" w:rsidR="001850F2" w:rsidRPr="004E780E" w:rsidRDefault="001850F2" w:rsidP="0003260F">
            <w:pPr>
              <w:spacing w:line="360" w:lineRule="auto"/>
              <w:rPr>
                <w:color w:val="000000" w:themeColor="text1"/>
                <w:sz w:val="20"/>
                <w:szCs w:val="20"/>
              </w:rPr>
            </w:pPr>
            <w:r w:rsidRPr="004E780E">
              <w:rPr>
                <w:color w:val="000000" w:themeColor="text1"/>
                <w:sz w:val="20"/>
                <w:szCs w:val="20"/>
              </w:rPr>
              <w:t xml:space="preserve">Lipid-lowering </w:t>
            </w:r>
          </w:p>
        </w:tc>
        <w:tc>
          <w:tcPr>
            <w:tcW w:w="1610" w:type="dxa"/>
          </w:tcPr>
          <w:p w14:paraId="3E22DAE6" w14:textId="77777777" w:rsidR="001850F2" w:rsidRPr="004E780E" w:rsidRDefault="001850F2" w:rsidP="0003260F">
            <w:pPr>
              <w:spacing w:line="360" w:lineRule="auto"/>
              <w:rPr>
                <w:color w:val="000000" w:themeColor="text1"/>
                <w:sz w:val="20"/>
                <w:szCs w:val="20"/>
              </w:rPr>
            </w:pPr>
            <w:r w:rsidRPr="004E780E">
              <w:rPr>
                <w:color w:val="000000" w:themeColor="text1"/>
                <w:sz w:val="20"/>
                <w:szCs w:val="20"/>
              </w:rPr>
              <w:t>23,581 (5.6%)</w:t>
            </w:r>
          </w:p>
        </w:tc>
        <w:tc>
          <w:tcPr>
            <w:tcW w:w="1508" w:type="dxa"/>
          </w:tcPr>
          <w:p w14:paraId="5A348AA9" w14:textId="77777777" w:rsidR="001850F2" w:rsidRPr="004E780E" w:rsidRDefault="001850F2" w:rsidP="0003260F">
            <w:pPr>
              <w:spacing w:line="360" w:lineRule="auto"/>
              <w:rPr>
                <w:color w:val="000000" w:themeColor="text1"/>
                <w:sz w:val="20"/>
                <w:szCs w:val="20"/>
              </w:rPr>
            </w:pPr>
            <w:r w:rsidRPr="004E780E">
              <w:rPr>
                <w:color w:val="000000" w:themeColor="text1"/>
                <w:sz w:val="20"/>
                <w:szCs w:val="20"/>
              </w:rPr>
              <w:t>11,725 (50.9%)</w:t>
            </w:r>
          </w:p>
        </w:tc>
        <w:tc>
          <w:tcPr>
            <w:tcW w:w="1701" w:type="dxa"/>
          </w:tcPr>
          <w:p w14:paraId="749472D9" w14:textId="2BD502F4" w:rsidR="001850F2" w:rsidRPr="004E780E" w:rsidRDefault="00865569" w:rsidP="0003260F">
            <w:pPr>
              <w:spacing w:line="360" w:lineRule="auto"/>
              <w:rPr>
                <w:color w:val="000000" w:themeColor="text1"/>
                <w:sz w:val="20"/>
                <w:szCs w:val="20"/>
              </w:rPr>
            </w:pPr>
            <w:r w:rsidRPr="004E780E">
              <w:rPr>
                <w:color w:val="000000" w:themeColor="text1"/>
                <w:sz w:val="20"/>
                <w:szCs w:val="20"/>
              </w:rPr>
              <w:t>21,876 (5.3%)</w:t>
            </w:r>
          </w:p>
        </w:tc>
        <w:tc>
          <w:tcPr>
            <w:tcW w:w="1701" w:type="dxa"/>
          </w:tcPr>
          <w:p w14:paraId="6D479420" w14:textId="3ED19834" w:rsidR="001850F2" w:rsidRPr="004E780E" w:rsidRDefault="00900D49" w:rsidP="0003260F">
            <w:pPr>
              <w:spacing w:line="360" w:lineRule="auto"/>
              <w:rPr>
                <w:color w:val="000000" w:themeColor="text1"/>
                <w:sz w:val="20"/>
                <w:szCs w:val="20"/>
              </w:rPr>
            </w:pPr>
            <w:r w:rsidRPr="004E780E">
              <w:rPr>
                <w:color w:val="000000" w:themeColor="text1"/>
                <w:sz w:val="20"/>
                <w:szCs w:val="20"/>
              </w:rPr>
              <w:t>22,351</w:t>
            </w:r>
            <w:r w:rsidR="00FA6E49" w:rsidRPr="004E780E">
              <w:rPr>
                <w:color w:val="000000" w:themeColor="text1"/>
                <w:sz w:val="20"/>
                <w:szCs w:val="20"/>
              </w:rPr>
              <w:t xml:space="preserve"> (53.5%)</w:t>
            </w:r>
          </w:p>
        </w:tc>
      </w:tr>
      <w:tr w:rsidR="00FC019F" w:rsidRPr="004E780E" w14:paraId="52DD1F6F" w14:textId="6E0A796C" w:rsidTr="004E780E">
        <w:trPr>
          <w:trHeight w:val="20"/>
        </w:trPr>
        <w:tc>
          <w:tcPr>
            <w:tcW w:w="1980" w:type="dxa"/>
          </w:tcPr>
          <w:p w14:paraId="381A6792" w14:textId="77777777" w:rsidR="001850F2" w:rsidRPr="004E780E" w:rsidRDefault="001850F2" w:rsidP="0003260F">
            <w:pPr>
              <w:spacing w:line="360" w:lineRule="auto"/>
              <w:rPr>
                <w:color w:val="000000" w:themeColor="text1"/>
                <w:sz w:val="20"/>
                <w:szCs w:val="20"/>
              </w:rPr>
            </w:pPr>
            <w:r w:rsidRPr="004E780E">
              <w:rPr>
                <w:color w:val="000000" w:themeColor="text1"/>
                <w:sz w:val="20"/>
                <w:szCs w:val="20"/>
              </w:rPr>
              <w:t>Antihypertensives</w:t>
            </w:r>
          </w:p>
        </w:tc>
        <w:tc>
          <w:tcPr>
            <w:tcW w:w="1610" w:type="dxa"/>
          </w:tcPr>
          <w:p w14:paraId="6804183D" w14:textId="77777777" w:rsidR="001850F2" w:rsidRPr="004E780E" w:rsidRDefault="001850F2" w:rsidP="0003260F">
            <w:pPr>
              <w:spacing w:line="360" w:lineRule="auto"/>
              <w:rPr>
                <w:color w:val="000000" w:themeColor="text1"/>
                <w:sz w:val="20"/>
                <w:szCs w:val="20"/>
              </w:rPr>
            </w:pPr>
            <w:r w:rsidRPr="004E780E">
              <w:rPr>
                <w:color w:val="000000" w:themeColor="text1"/>
                <w:sz w:val="20"/>
                <w:szCs w:val="20"/>
              </w:rPr>
              <w:t>29,543 (7.0%)</w:t>
            </w:r>
          </w:p>
        </w:tc>
        <w:tc>
          <w:tcPr>
            <w:tcW w:w="1508" w:type="dxa"/>
          </w:tcPr>
          <w:p w14:paraId="0022D1F4" w14:textId="77777777" w:rsidR="001850F2" w:rsidRPr="004E780E" w:rsidRDefault="001850F2" w:rsidP="0003260F">
            <w:pPr>
              <w:spacing w:line="360" w:lineRule="auto"/>
              <w:rPr>
                <w:color w:val="000000" w:themeColor="text1"/>
                <w:sz w:val="20"/>
                <w:szCs w:val="20"/>
              </w:rPr>
            </w:pPr>
            <w:r w:rsidRPr="004E780E">
              <w:rPr>
                <w:color w:val="000000" w:themeColor="text1"/>
                <w:sz w:val="20"/>
                <w:szCs w:val="20"/>
              </w:rPr>
              <w:t>10,185 (44.2%)</w:t>
            </w:r>
          </w:p>
        </w:tc>
        <w:tc>
          <w:tcPr>
            <w:tcW w:w="1701" w:type="dxa"/>
          </w:tcPr>
          <w:p w14:paraId="67136BCC" w14:textId="586A4DCC" w:rsidR="001850F2" w:rsidRPr="004E780E" w:rsidRDefault="00A577DB" w:rsidP="0003260F">
            <w:pPr>
              <w:spacing w:line="360" w:lineRule="auto"/>
              <w:rPr>
                <w:color w:val="000000" w:themeColor="text1"/>
                <w:sz w:val="20"/>
                <w:szCs w:val="20"/>
              </w:rPr>
            </w:pPr>
            <w:r w:rsidRPr="004E780E">
              <w:rPr>
                <w:color w:val="000000" w:themeColor="text1"/>
                <w:sz w:val="20"/>
                <w:szCs w:val="20"/>
              </w:rPr>
              <w:t xml:space="preserve">26,829 (6.5%) </w:t>
            </w:r>
          </w:p>
        </w:tc>
        <w:tc>
          <w:tcPr>
            <w:tcW w:w="1701" w:type="dxa"/>
          </w:tcPr>
          <w:p w14:paraId="22E1105C" w14:textId="408A5954" w:rsidR="001850F2" w:rsidRPr="004E780E" w:rsidRDefault="00900D49" w:rsidP="0003260F">
            <w:pPr>
              <w:spacing w:line="360" w:lineRule="auto"/>
              <w:rPr>
                <w:color w:val="000000" w:themeColor="text1"/>
                <w:sz w:val="20"/>
                <w:szCs w:val="20"/>
              </w:rPr>
            </w:pPr>
            <w:r w:rsidRPr="004E780E">
              <w:rPr>
                <w:color w:val="000000" w:themeColor="text1"/>
                <w:sz w:val="20"/>
                <w:szCs w:val="20"/>
              </w:rPr>
              <w:t>19,764</w:t>
            </w:r>
            <w:r w:rsidR="00AB0579" w:rsidRPr="004E780E">
              <w:rPr>
                <w:color w:val="000000" w:themeColor="text1"/>
                <w:sz w:val="20"/>
                <w:szCs w:val="20"/>
              </w:rPr>
              <w:t xml:space="preserve"> (47.3%)</w:t>
            </w:r>
          </w:p>
        </w:tc>
      </w:tr>
      <w:tr w:rsidR="00FC019F" w:rsidRPr="004E780E" w14:paraId="60F55A1D" w14:textId="2F3D5118" w:rsidTr="004E780E">
        <w:trPr>
          <w:trHeight w:val="20"/>
        </w:trPr>
        <w:tc>
          <w:tcPr>
            <w:tcW w:w="1980" w:type="dxa"/>
          </w:tcPr>
          <w:p w14:paraId="080BBC19" w14:textId="77777777" w:rsidR="001850F2" w:rsidRPr="004E780E" w:rsidRDefault="001850F2" w:rsidP="0003260F">
            <w:pPr>
              <w:spacing w:line="360" w:lineRule="auto"/>
              <w:rPr>
                <w:color w:val="000000" w:themeColor="text1"/>
                <w:sz w:val="20"/>
                <w:szCs w:val="20"/>
              </w:rPr>
            </w:pPr>
            <w:r w:rsidRPr="004E780E">
              <w:rPr>
                <w:color w:val="000000" w:themeColor="text1"/>
                <w:sz w:val="20"/>
                <w:szCs w:val="20"/>
              </w:rPr>
              <w:t>Insulin</w:t>
            </w:r>
          </w:p>
        </w:tc>
        <w:tc>
          <w:tcPr>
            <w:tcW w:w="1610" w:type="dxa"/>
          </w:tcPr>
          <w:p w14:paraId="453BB39E" w14:textId="77777777" w:rsidR="001850F2" w:rsidRPr="004E780E" w:rsidRDefault="001850F2" w:rsidP="0003260F">
            <w:pPr>
              <w:spacing w:line="360" w:lineRule="auto"/>
              <w:rPr>
                <w:color w:val="000000" w:themeColor="text1"/>
                <w:sz w:val="20"/>
                <w:szCs w:val="20"/>
              </w:rPr>
            </w:pPr>
            <w:r w:rsidRPr="004E780E">
              <w:rPr>
                <w:color w:val="000000" w:themeColor="text1"/>
                <w:sz w:val="20"/>
                <w:szCs w:val="20"/>
              </w:rPr>
              <w:t>1,190 (0.3%)</w:t>
            </w:r>
          </w:p>
        </w:tc>
        <w:tc>
          <w:tcPr>
            <w:tcW w:w="1508" w:type="dxa"/>
          </w:tcPr>
          <w:p w14:paraId="1E669881" w14:textId="77777777" w:rsidR="001850F2" w:rsidRPr="004E780E" w:rsidRDefault="001850F2" w:rsidP="0003260F">
            <w:pPr>
              <w:spacing w:line="360" w:lineRule="auto"/>
              <w:rPr>
                <w:color w:val="000000" w:themeColor="text1"/>
                <w:sz w:val="20"/>
                <w:szCs w:val="20"/>
              </w:rPr>
            </w:pPr>
            <w:r w:rsidRPr="004E780E">
              <w:rPr>
                <w:color w:val="000000" w:themeColor="text1"/>
                <w:sz w:val="20"/>
                <w:szCs w:val="20"/>
              </w:rPr>
              <w:t>641 (2.8%)</w:t>
            </w:r>
          </w:p>
        </w:tc>
        <w:tc>
          <w:tcPr>
            <w:tcW w:w="1701" w:type="dxa"/>
          </w:tcPr>
          <w:p w14:paraId="063C50C3" w14:textId="081F6FD3" w:rsidR="001850F2" w:rsidRPr="004E780E" w:rsidRDefault="00A577DB" w:rsidP="0003260F">
            <w:pPr>
              <w:spacing w:line="360" w:lineRule="auto"/>
              <w:rPr>
                <w:color w:val="000000" w:themeColor="text1"/>
                <w:sz w:val="20"/>
                <w:szCs w:val="20"/>
              </w:rPr>
            </w:pPr>
            <w:r w:rsidRPr="004E780E">
              <w:rPr>
                <w:color w:val="000000" w:themeColor="text1"/>
                <w:sz w:val="20"/>
                <w:szCs w:val="20"/>
              </w:rPr>
              <w:t>1</w:t>
            </w:r>
            <w:r w:rsidR="0067427D" w:rsidRPr="004E780E">
              <w:rPr>
                <w:color w:val="000000" w:themeColor="text1"/>
                <w:sz w:val="20"/>
                <w:szCs w:val="20"/>
              </w:rPr>
              <w:t>,</w:t>
            </w:r>
            <w:r w:rsidRPr="004E780E">
              <w:rPr>
                <w:color w:val="000000" w:themeColor="text1"/>
                <w:sz w:val="20"/>
                <w:szCs w:val="20"/>
              </w:rPr>
              <w:t>238 (0.3%)</w:t>
            </w:r>
          </w:p>
        </w:tc>
        <w:tc>
          <w:tcPr>
            <w:tcW w:w="1701" w:type="dxa"/>
          </w:tcPr>
          <w:p w14:paraId="5E5CDDFC" w14:textId="57D0025B" w:rsidR="001850F2" w:rsidRPr="004E780E" w:rsidRDefault="00900D49" w:rsidP="0003260F">
            <w:pPr>
              <w:spacing w:line="360" w:lineRule="auto"/>
              <w:rPr>
                <w:color w:val="000000" w:themeColor="text1"/>
                <w:sz w:val="20"/>
                <w:szCs w:val="20"/>
              </w:rPr>
            </w:pPr>
            <w:r w:rsidRPr="004E780E">
              <w:rPr>
                <w:color w:val="000000" w:themeColor="text1"/>
                <w:sz w:val="20"/>
                <w:szCs w:val="20"/>
              </w:rPr>
              <w:t>5,401</w:t>
            </w:r>
            <w:r w:rsidR="00FE79B2" w:rsidRPr="004E780E">
              <w:rPr>
                <w:color w:val="000000" w:themeColor="text1"/>
                <w:sz w:val="20"/>
                <w:szCs w:val="20"/>
              </w:rPr>
              <w:t xml:space="preserve"> (12.9%)</w:t>
            </w:r>
          </w:p>
        </w:tc>
      </w:tr>
      <w:tr w:rsidR="00FC019F" w:rsidRPr="004E780E" w14:paraId="3BF23DA9" w14:textId="2BBCE557" w:rsidTr="004E780E">
        <w:trPr>
          <w:trHeight w:val="20"/>
        </w:trPr>
        <w:tc>
          <w:tcPr>
            <w:tcW w:w="1980" w:type="dxa"/>
          </w:tcPr>
          <w:p w14:paraId="3F8EEECA" w14:textId="77777777" w:rsidR="001850F2" w:rsidRPr="004E780E" w:rsidRDefault="001850F2" w:rsidP="0003260F">
            <w:pPr>
              <w:spacing w:line="360" w:lineRule="auto"/>
              <w:rPr>
                <w:color w:val="000000" w:themeColor="text1"/>
                <w:sz w:val="20"/>
                <w:szCs w:val="20"/>
              </w:rPr>
            </w:pPr>
            <w:r w:rsidRPr="004E780E">
              <w:rPr>
                <w:color w:val="000000" w:themeColor="text1"/>
                <w:sz w:val="20"/>
                <w:szCs w:val="20"/>
              </w:rPr>
              <w:t>Oral hypoglycaemics</w:t>
            </w:r>
          </w:p>
        </w:tc>
        <w:tc>
          <w:tcPr>
            <w:tcW w:w="1610" w:type="dxa"/>
          </w:tcPr>
          <w:p w14:paraId="696B9691" w14:textId="77777777" w:rsidR="001850F2" w:rsidRPr="004E780E" w:rsidRDefault="001850F2" w:rsidP="0003260F">
            <w:pPr>
              <w:spacing w:line="360" w:lineRule="auto"/>
              <w:rPr>
                <w:color w:val="000000" w:themeColor="text1"/>
                <w:sz w:val="20"/>
                <w:szCs w:val="20"/>
              </w:rPr>
            </w:pPr>
            <w:r w:rsidRPr="004E780E">
              <w:rPr>
                <w:color w:val="000000" w:themeColor="text1"/>
                <w:sz w:val="20"/>
                <w:szCs w:val="20"/>
              </w:rPr>
              <w:t>234 (0.06%)</w:t>
            </w:r>
          </w:p>
        </w:tc>
        <w:tc>
          <w:tcPr>
            <w:tcW w:w="1508" w:type="dxa"/>
          </w:tcPr>
          <w:p w14:paraId="5F7C3B0D" w14:textId="77777777" w:rsidR="001850F2" w:rsidRPr="004E780E" w:rsidRDefault="001850F2" w:rsidP="0003260F">
            <w:pPr>
              <w:spacing w:line="360" w:lineRule="auto"/>
              <w:rPr>
                <w:color w:val="000000" w:themeColor="text1"/>
                <w:sz w:val="20"/>
                <w:szCs w:val="20"/>
              </w:rPr>
            </w:pPr>
            <w:r w:rsidRPr="004E780E">
              <w:rPr>
                <w:color w:val="000000" w:themeColor="text1"/>
                <w:sz w:val="20"/>
                <w:szCs w:val="20"/>
              </w:rPr>
              <w:t>114 (0.5%)</w:t>
            </w:r>
          </w:p>
        </w:tc>
        <w:tc>
          <w:tcPr>
            <w:tcW w:w="1701" w:type="dxa"/>
          </w:tcPr>
          <w:p w14:paraId="4EF47F07" w14:textId="2B2A0255" w:rsidR="001850F2" w:rsidRPr="004E780E" w:rsidRDefault="00DD52CF" w:rsidP="0003260F">
            <w:pPr>
              <w:spacing w:line="360" w:lineRule="auto"/>
              <w:rPr>
                <w:color w:val="000000" w:themeColor="text1"/>
                <w:sz w:val="20"/>
                <w:szCs w:val="20"/>
              </w:rPr>
            </w:pPr>
            <w:r w:rsidRPr="004E780E">
              <w:rPr>
                <w:color w:val="000000" w:themeColor="text1"/>
                <w:sz w:val="20"/>
                <w:szCs w:val="20"/>
              </w:rPr>
              <w:t>218</w:t>
            </w:r>
            <w:r w:rsidR="00111BB8" w:rsidRPr="004E780E">
              <w:rPr>
                <w:color w:val="000000" w:themeColor="text1"/>
                <w:sz w:val="20"/>
                <w:szCs w:val="20"/>
              </w:rPr>
              <w:t xml:space="preserve"> (0.05%)</w:t>
            </w:r>
          </w:p>
        </w:tc>
        <w:tc>
          <w:tcPr>
            <w:tcW w:w="1701" w:type="dxa"/>
          </w:tcPr>
          <w:p w14:paraId="08B6F773" w14:textId="11CB7795" w:rsidR="001850F2" w:rsidRPr="004E780E" w:rsidRDefault="00900D49" w:rsidP="0003260F">
            <w:pPr>
              <w:spacing w:line="360" w:lineRule="auto"/>
              <w:rPr>
                <w:color w:val="000000" w:themeColor="text1"/>
                <w:sz w:val="20"/>
                <w:szCs w:val="20"/>
              </w:rPr>
            </w:pPr>
            <w:r w:rsidRPr="004E780E">
              <w:rPr>
                <w:color w:val="000000" w:themeColor="text1"/>
                <w:sz w:val="20"/>
                <w:szCs w:val="20"/>
              </w:rPr>
              <w:t>183</w:t>
            </w:r>
            <w:r w:rsidR="00E103C8" w:rsidRPr="004E780E">
              <w:rPr>
                <w:color w:val="000000" w:themeColor="text1"/>
                <w:sz w:val="20"/>
                <w:szCs w:val="20"/>
              </w:rPr>
              <w:t xml:space="preserve"> (0.4%)</w:t>
            </w:r>
          </w:p>
        </w:tc>
      </w:tr>
      <w:tr w:rsidR="00FC019F" w:rsidRPr="004E780E" w14:paraId="716F7C73" w14:textId="77777777" w:rsidTr="004E780E">
        <w:trPr>
          <w:trHeight w:val="20"/>
        </w:trPr>
        <w:tc>
          <w:tcPr>
            <w:tcW w:w="1980" w:type="dxa"/>
          </w:tcPr>
          <w:p w14:paraId="2F477A85" w14:textId="627BE31F" w:rsidR="001850F2" w:rsidRPr="004E780E" w:rsidRDefault="001850F2" w:rsidP="0003260F">
            <w:pPr>
              <w:spacing w:line="360" w:lineRule="auto"/>
              <w:rPr>
                <w:color w:val="000000" w:themeColor="text1"/>
                <w:sz w:val="20"/>
                <w:szCs w:val="20"/>
              </w:rPr>
            </w:pPr>
            <w:r w:rsidRPr="004E780E">
              <w:rPr>
                <w:color w:val="000000" w:themeColor="text1"/>
                <w:sz w:val="20"/>
                <w:szCs w:val="20"/>
              </w:rPr>
              <w:t>Past History</w:t>
            </w:r>
            <w:r w:rsidR="002C3CA9" w:rsidRPr="004E780E">
              <w:rPr>
                <w:color w:val="000000" w:themeColor="text1"/>
                <w:sz w:val="20"/>
                <w:szCs w:val="20"/>
              </w:rPr>
              <w:t xml:space="preserve"> of Any TEE</w:t>
            </w:r>
          </w:p>
        </w:tc>
        <w:tc>
          <w:tcPr>
            <w:tcW w:w="1610" w:type="dxa"/>
          </w:tcPr>
          <w:p w14:paraId="643419EE" w14:textId="636331FB" w:rsidR="001850F2" w:rsidRPr="004E780E" w:rsidRDefault="002C3CA9" w:rsidP="0003260F">
            <w:pPr>
              <w:spacing w:line="360" w:lineRule="auto"/>
              <w:rPr>
                <w:color w:val="000000" w:themeColor="text1"/>
                <w:sz w:val="20"/>
                <w:szCs w:val="20"/>
              </w:rPr>
            </w:pPr>
            <w:r w:rsidRPr="004E780E">
              <w:rPr>
                <w:color w:val="000000" w:themeColor="text1"/>
                <w:sz w:val="20"/>
                <w:szCs w:val="20"/>
              </w:rPr>
              <w:t>0</w:t>
            </w:r>
          </w:p>
        </w:tc>
        <w:tc>
          <w:tcPr>
            <w:tcW w:w="1508" w:type="dxa"/>
          </w:tcPr>
          <w:p w14:paraId="3DD3A297" w14:textId="71125AE1" w:rsidR="001850F2" w:rsidRPr="004E780E" w:rsidRDefault="0078018A" w:rsidP="0003260F">
            <w:pPr>
              <w:spacing w:line="360" w:lineRule="auto"/>
              <w:rPr>
                <w:color w:val="000000" w:themeColor="text1"/>
                <w:sz w:val="20"/>
                <w:szCs w:val="20"/>
              </w:rPr>
            </w:pPr>
            <w:r w:rsidRPr="004E780E">
              <w:rPr>
                <w:color w:val="000000" w:themeColor="text1"/>
                <w:sz w:val="20"/>
                <w:szCs w:val="20"/>
              </w:rPr>
              <w:t>23,047</w:t>
            </w:r>
            <w:r w:rsidR="009B6841" w:rsidRPr="004E780E">
              <w:rPr>
                <w:color w:val="000000" w:themeColor="text1"/>
                <w:sz w:val="20"/>
                <w:szCs w:val="20"/>
              </w:rPr>
              <w:t xml:space="preserve"> </w:t>
            </w:r>
          </w:p>
        </w:tc>
        <w:tc>
          <w:tcPr>
            <w:tcW w:w="1701" w:type="dxa"/>
          </w:tcPr>
          <w:p w14:paraId="4193746D" w14:textId="77777777" w:rsidR="001850F2" w:rsidRPr="004E780E" w:rsidRDefault="001850F2" w:rsidP="0003260F">
            <w:pPr>
              <w:spacing w:line="360" w:lineRule="auto"/>
              <w:rPr>
                <w:color w:val="000000" w:themeColor="text1"/>
                <w:sz w:val="20"/>
                <w:szCs w:val="20"/>
              </w:rPr>
            </w:pPr>
          </w:p>
        </w:tc>
        <w:tc>
          <w:tcPr>
            <w:tcW w:w="1701" w:type="dxa"/>
          </w:tcPr>
          <w:p w14:paraId="1E47B0B3" w14:textId="5C3B0682" w:rsidR="001850F2" w:rsidRPr="004E780E" w:rsidRDefault="004678DF" w:rsidP="0003260F">
            <w:pPr>
              <w:spacing w:line="360" w:lineRule="auto"/>
              <w:rPr>
                <w:color w:val="000000" w:themeColor="text1"/>
                <w:sz w:val="20"/>
                <w:szCs w:val="20"/>
              </w:rPr>
            </w:pPr>
            <w:r w:rsidRPr="004E780E">
              <w:rPr>
                <w:color w:val="000000" w:themeColor="text1"/>
                <w:sz w:val="20"/>
                <w:szCs w:val="20"/>
              </w:rPr>
              <w:t>41,802</w:t>
            </w:r>
            <w:r w:rsidR="004A62D9" w:rsidRPr="004E780E">
              <w:rPr>
                <w:color w:val="000000" w:themeColor="text1"/>
                <w:sz w:val="20"/>
                <w:szCs w:val="20"/>
              </w:rPr>
              <w:t xml:space="preserve"> </w:t>
            </w:r>
          </w:p>
        </w:tc>
      </w:tr>
      <w:tr w:rsidR="00FC019F" w:rsidRPr="004E780E" w14:paraId="7251E3B3" w14:textId="77777777" w:rsidTr="004E780E">
        <w:trPr>
          <w:trHeight w:val="20"/>
        </w:trPr>
        <w:tc>
          <w:tcPr>
            <w:tcW w:w="1980" w:type="dxa"/>
          </w:tcPr>
          <w:p w14:paraId="64B40DC5" w14:textId="29F2A78B" w:rsidR="001850F2" w:rsidRPr="004E780E" w:rsidRDefault="00FC019F" w:rsidP="0003260F">
            <w:pPr>
              <w:spacing w:line="360" w:lineRule="auto"/>
              <w:rPr>
                <w:color w:val="000000" w:themeColor="text1"/>
                <w:sz w:val="20"/>
                <w:szCs w:val="20"/>
              </w:rPr>
            </w:pPr>
            <w:r w:rsidRPr="004E780E">
              <w:rPr>
                <w:color w:val="000000" w:themeColor="text1"/>
                <w:sz w:val="20"/>
                <w:szCs w:val="20"/>
              </w:rPr>
              <w:t xml:space="preserve">Past History of </w:t>
            </w:r>
            <w:r w:rsidR="001850F2" w:rsidRPr="004E780E">
              <w:rPr>
                <w:color w:val="000000" w:themeColor="text1"/>
                <w:sz w:val="20"/>
                <w:szCs w:val="20"/>
              </w:rPr>
              <w:t>Venous TEE</w:t>
            </w:r>
          </w:p>
        </w:tc>
        <w:tc>
          <w:tcPr>
            <w:tcW w:w="1610" w:type="dxa"/>
          </w:tcPr>
          <w:p w14:paraId="6A813B52" w14:textId="77777777" w:rsidR="001850F2" w:rsidRPr="004E780E" w:rsidRDefault="001850F2" w:rsidP="0003260F">
            <w:pPr>
              <w:spacing w:line="360" w:lineRule="auto"/>
              <w:rPr>
                <w:color w:val="000000" w:themeColor="text1"/>
                <w:sz w:val="20"/>
                <w:szCs w:val="20"/>
              </w:rPr>
            </w:pPr>
            <w:r w:rsidRPr="004E780E">
              <w:rPr>
                <w:color w:val="000000" w:themeColor="text1"/>
                <w:sz w:val="20"/>
                <w:szCs w:val="20"/>
              </w:rPr>
              <w:t>0</w:t>
            </w:r>
          </w:p>
        </w:tc>
        <w:tc>
          <w:tcPr>
            <w:tcW w:w="1508" w:type="dxa"/>
          </w:tcPr>
          <w:p w14:paraId="7ACDA32F" w14:textId="092163C3" w:rsidR="001850F2" w:rsidRPr="004E780E" w:rsidRDefault="004678DF" w:rsidP="0003260F">
            <w:pPr>
              <w:spacing w:line="360" w:lineRule="auto"/>
              <w:rPr>
                <w:color w:val="000000" w:themeColor="text1"/>
                <w:sz w:val="20"/>
                <w:szCs w:val="20"/>
              </w:rPr>
            </w:pPr>
            <w:r w:rsidRPr="004E780E">
              <w:rPr>
                <w:color w:val="000000" w:themeColor="text1"/>
                <w:sz w:val="20"/>
                <w:szCs w:val="20"/>
              </w:rPr>
              <w:t>4,436</w:t>
            </w:r>
            <w:r w:rsidR="004A62D9" w:rsidRPr="004E780E">
              <w:rPr>
                <w:color w:val="000000" w:themeColor="text1"/>
                <w:sz w:val="20"/>
                <w:szCs w:val="20"/>
              </w:rPr>
              <w:t xml:space="preserve"> (19.2%)</w:t>
            </w:r>
          </w:p>
        </w:tc>
        <w:tc>
          <w:tcPr>
            <w:tcW w:w="1701" w:type="dxa"/>
          </w:tcPr>
          <w:p w14:paraId="300D367F" w14:textId="6A59BDC1" w:rsidR="001850F2" w:rsidRPr="004E780E" w:rsidRDefault="001850F2" w:rsidP="0003260F">
            <w:pPr>
              <w:spacing w:line="360" w:lineRule="auto"/>
              <w:rPr>
                <w:color w:val="000000" w:themeColor="text1"/>
                <w:sz w:val="20"/>
                <w:szCs w:val="20"/>
              </w:rPr>
            </w:pPr>
            <w:r w:rsidRPr="004E780E">
              <w:rPr>
                <w:color w:val="000000" w:themeColor="text1"/>
                <w:sz w:val="20"/>
                <w:szCs w:val="20"/>
              </w:rPr>
              <w:t>0</w:t>
            </w:r>
          </w:p>
        </w:tc>
        <w:tc>
          <w:tcPr>
            <w:tcW w:w="1701" w:type="dxa"/>
          </w:tcPr>
          <w:p w14:paraId="592609B5" w14:textId="37CAA482" w:rsidR="001850F2" w:rsidRPr="004E780E" w:rsidRDefault="004678DF" w:rsidP="0003260F">
            <w:pPr>
              <w:spacing w:line="360" w:lineRule="auto"/>
              <w:rPr>
                <w:color w:val="000000" w:themeColor="text1"/>
                <w:sz w:val="20"/>
                <w:szCs w:val="20"/>
              </w:rPr>
            </w:pPr>
            <w:r w:rsidRPr="004E780E">
              <w:rPr>
                <w:color w:val="000000" w:themeColor="text1"/>
                <w:sz w:val="20"/>
                <w:szCs w:val="20"/>
              </w:rPr>
              <w:t>13,000</w:t>
            </w:r>
            <w:r w:rsidR="001850F2" w:rsidRPr="004E780E">
              <w:rPr>
                <w:color w:val="000000" w:themeColor="text1"/>
                <w:sz w:val="20"/>
                <w:szCs w:val="20"/>
              </w:rPr>
              <w:t xml:space="preserve"> (</w:t>
            </w:r>
            <w:r w:rsidR="00734F89" w:rsidRPr="004E780E">
              <w:rPr>
                <w:color w:val="000000" w:themeColor="text1"/>
                <w:sz w:val="20"/>
                <w:szCs w:val="20"/>
              </w:rPr>
              <w:t>31.1</w:t>
            </w:r>
            <w:r w:rsidR="001850F2" w:rsidRPr="004E780E">
              <w:rPr>
                <w:color w:val="000000" w:themeColor="text1"/>
                <w:sz w:val="20"/>
                <w:szCs w:val="20"/>
              </w:rPr>
              <w:t>%)</w:t>
            </w:r>
            <w:r w:rsidR="00900D49" w:rsidRPr="004E780E">
              <w:rPr>
                <w:color w:val="000000" w:themeColor="text1"/>
                <w:sz w:val="20"/>
                <w:szCs w:val="20"/>
              </w:rPr>
              <w:t>, 3</w:t>
            </w:r>
            <w:r w:rsidR="0017358D" w:rsidRPr="004E780E">
              <w:rPr>
                <w:color w:val="000000" w:themeColor="text1"/>
                <w:sz w:val="20"/>
                <w:szCs w:val="20"/>
              </w:rPr>
              <w:t>,</w:t>
            </w:r>
            <w:r w:rsidR="00900D49" w:rsidRPr="004E780E">
              <w:rPr>
                <w:color w:val="000000" w:themeColor="text1"/>
                <w:sz w:val="20"/>
                <w:szCs w:val="20"/>
              </w:rPr>
              <w:t>104 on warfarin</w:t>
            </w:r>
          </w:p>
        </w:tc>
      </w:tr>
      <w:tr w:rsidR="00FC019F" w:rsidRPr="004E780E" w14:paraId="3B4253E2" w14:textId="77777777" w:rsidTr="004E780E">
        <w:trPr>
          <w:trHeight w:val="20"/>
        </w:trPr>
        <w:tc>
          <w:tcPr>
            <w:tcW w:w="1980" w:type="dxa"/>
          </w:tcPr>
          <w:p w14:paraId="4465F432" w14:textId="73A18023" w:rsidR="001850F2" w:rsidRPr="004E780E" w:rsidRDefault="00FC019F" w:rsidP="0003260F">
            <w:pPr>
              <w:spacing w:line="360" w:lineRule="auto"/>
              <w:rPr>
                <w:color w:val="000000" w:themeColor="text1"/>
                <w:sz w:val="20"/>
                <w:szCs w:val="20"/>
              </w:rPr>
            </w:pPr>
            <w:r w:rsidRPr="004E780E">
              <w:rPr>
                <w:color w:val="000000" w:themeColor="text1"/>
                <w:sz w:val="20"/>
                <w:szCs w:val="20"/>
              </w:rPr>
              <w:t xml:space="preserve">Past History of </w:t>
            </w:r>
            <w:r w:rsidR="001850F2" w:rsidRPr="004E780E">
              <w:rPr>
                <w:color w:val="000000" w:themeColor="text1"/>
                <w:sz w:val="20"/>
                <w:szCs w:val="20"/>
              </w:rPr>
              <w:t xml:space="preserve">Arterial TEE </w:t>
            </w:r>
          </w:p>
        </w:tc>
        <w:tc>
          <w:tcPr>
            <w:tcW w:w="1610" w:type="dxa"/>
          </w:tcPr>
          <w:p w14:paraId="1655FD6E" w14:textId="4BA101C7" w:rsidR="001850F2" w:rsidRPr="004E780E" w:rsidRDefault="001F42EF" w:rsidP="0003260F">
            <w:pPr>
              <w:spacing w:line="360" w:lineRule="auto"/>
              <w:rPr>
                <w:color w:val="000000" w:themeColor="text1"/>
                <w:sz w:val="20"/>
                <w:szCs w:val="20"/>
              </w:rPr>
            </w:pPr>
            <w:r w:rsidRPr="004E780E">
              <w:rPr>
                <w:color w:val="000000" w:themeColor="text1"/>
                <w:sz w:val="20"/>
                <w:szCs w:val="20"/>
              </w:rPr>
              <w:t>0</w:t>
            </w:r>
          </w:p>
        </w:tc>
        <w:tc>
          <w:tcPr>
            <w:tcW w:w="1508" w:type="dxa"/>
          </w:tcPr>
          <w:p w14:paraId="7BE82193" w14:textId="34361BB4" w:rsidR="001850F2" w:rsidRPr="004E780E" w:rsidRDefault="004678DF" w:rsidP="0003260F">
            <w:pPr>
              <w:spacing w:line="360" w:lineRule="auto"/>
              <w:rPr>
                <w:color w:val="000000" w:themeColor="text1"/>
                <w:sz w:val="20"/>
                <w:szCs w:val="20"/>
              </w:rPr>
            </w:pPr>
            <w:r w:rsidRPr="004E780E">
              <w:rPr>
                <w:color w:val="000000" w:themeColor="text1"/>
                <w:sz w:val="20"/>
                <w:szCs w:val="20"/>
              </w:rPr>
              <w:t>15,483</w:t>
            </w:r>
            <w:r w:rsidR="008950C7" w:rsidRPr="004E780E">
              <w:rPr>
                <w:color w:val="000000" w:themeColor="text1"/>
                <w:sz w:val="20"/>
                <w:szCs w:val="20"/>
              </w:rPr>
              <w:t xml:space="preserve"> (67.2%)</w:t>
            </w:r>
          </w:p>
        </w:tc>
        <w:tc>
          <w:tcPr>
            <w:tcW w:w="1701" w:type="dxa"/>
          </w:tcPr>
          <w:p w14:paraId="7636ADD1" w14:textId="146E0CE5" w:rsidR="001850F2" w:rsidRPr="004E780E" w:rsidRDefault="004678DF" w:rsidP="0003260F">
            <w:pPr>
              <w:spacing w:line="360" w:lineRule="auto"/>
              <w:rPr>
                <w:color w:val="000000" w:themeColor="text1"/>
                <w:sz w:val="20"/>
                <w:szCs w:val="20"/>
              </w:rPr>
            </w:pPr>
            <w:r w:rsidRPr="004E780E">
              <w:rPr>
                <w:color w:val="000000" w:themeColor="text1"/>
                <w:sz w:val="20"/>
                <w:szCs w:val="20"/>
              </w:rPr>
              <w:t>0</w:t>
            </w:r>
          </w:p>
        </w:tc>
        <w:tc>
          <w:tcPr>
            <w:tcW w:w="1701" w:type="dxa"/>
          </w:tcPr>
          <w:p w14:paraId="33C4CC03" w14:textId="29B1056E" w:rsidR="001850F2" w:rsidRPr="004E780E" w:rsidRDefault="004678DF" w:rsidP="0003260F">
            <w:pPr>
              <w:spacing w:line="360" w:lineRule="auto"/>
              <w:rPr>
                <w:color w:val="000000" w:themeColor="text1"/>
                <w:sz w:val="20"/>
                <w:szCs w:val="20"/>
              </w:rPr>
            </w:pPr>
            <w:r w:rsidRPr="004E780E">
              <w:rPr>
                <w:color w:val="000000" w:themeColor="text1"/>
                <w:sz w:val="20"/>
                <w:szCs w:val="20"/>
              </w:rPr>
              <w:t>30,705</w:t>
            </w:r>
            <w:r w:rsidR="001850F2" w:rsidRPr="004E780E">
              <w:rPr>
                <w:color w:val="000000" w:themeColor="text1"/>
                <w:sz w:val="20"/>
                <w:szCs w:val="20"/>
              </w:rPr>
              <w:t xml:space="preserve"> (</w:t>
            </w:r>
            <w:r w:rsidR="004A441F" w:rsidRPr="004E780E">
              <w:rPr>
                <w:color w:val="000000" w:themeColor="text1"/>
                <w:sz w:val="20"/>
                <w:szCs w:val="20"/>
              </w:rPr>
              <w:t>73.5</w:t>
            </w:r>
            <w:r w:rsidR="001850F2" w:rsidRPr="004E780E">
              <w:rPr>
                <w:color w:val="000000" w:themeColor="text1"/>
                <w:sz w:val="20"/>
                <w:szCs w:val="20"/>
              </w:rPr>
              <w:t>%)</w:t>
            </w:r>
          </w:p>
        </w:tc>
      </w:tr>
      <w:tr w:rsidR="00FC019F" w:rsidRPr="004E780E" w14:paraId="7AA56D97" w14:textId="0F847081" w:rsidTr="004E780E">
        <w:trPr>
          <w:trHeight w:val="20"/>
        </w:trPr>
        <w:tc>
          <w:tcPr>
            <w:tcW w:w="1980" w:type="dxa"/>
          </w:tcPr>
          <w:p w14:paraId="5734515D" w14:textId="1BB985BA" w:rsidR="001850F2" w:rsidRPr="004E780E" w:rsidRDefault="00430D58" w:rsidP="0003260F">
            <w:pPr>
              <w:spacing w:line="360" w:lineRule="auto"/>
              <w:rPr>
                <w:color w:val="000000" w:themeColor="text1"/>
                <w:sz w:val="20"/>
                <w:szCs w:val="20"/>
              </w:rPr>
            </w:pPr>
            <w:r w:rsidRPr="004E780E">
              <w:rPr>
                <w:color w:val="000000" w:themeColor="text1"/>
                <w:sz w:val="20"/>
                <w:szCs w:val="20"/>
              </w:rPr>
              <w:t xml:space="preserve">Incident </w:t>
            </w:r>
            <w:r w:rsidR="001850F2" w:rsidRPr="004E780E">
              <w:rPr>
                <w:color w:val="000000" w:themeColor="text1"/>
                <w:sz w:val="20"/>
                <w:szCs w:val="20"/>
              </w:rPr>
              <w:t xml:space="preserve">Cases of Arterial </w:t>
            </w:r>
            <w:r w:rsidR="00353682" w:rsidRPr="004E780E">
              <w:rPr>
                <w:color w:val="000000" w:themeColor="text1"/>
                <w:sz w:val="20"/>
                <w:szCs w:val="20"/>
              </w:rPr>
              <w:t>and/</w:t>
            </w:r>
            <w:r w:rsidR="001850F2" w:rsidRPr="004E780E">
              <w:rPr>
                <w:color w:val="000000" w:themeColor="text1"/>
                <w:sz w:val="20"/>
                <w:szCs w:val="20"/>
              </w:rPr>
              <w:t>or Venous Thromboembolic Disease</w:t>
            </w:r>
          </w:p>
        </w:tc>
        <w:tc>
          <w:tcPr>
            <w:tcW w:w="1610" w:type="dxa"/>
          </w:tcPr>
          <w:p w14:paraId="0D2235E1" w14:textId="77777777" w:rsidR="001850F2" w:rsidRPr="004E780E" w:rsidRDefault="001850F2" w:rsidP="0003260F">
            <w:pPr>
              <w:spacing w:line="360" w:lineRule="auto"/>
              <w:rPr>
                <w:color w:val="000000" w:themeColor="text1"/>
                <w:sz w:val="20"/>
                <w:szCs w:val="20"/>
              </w:rPr>
            </w:pPr>
            <w:r w:rsidRPr="004E780E">
              <w:rPr>
                <w:color w:val="000000" w:themeColor="text1"/>
                <w:sz w:val="20"/>
                <w:szCs w:val="20"/>
              </w:rPr>
              <w:t>12,799 (3.0%)</w:t>
            </w:r>
          </w:p>
        </w:tc>
        <w:tc>
          <w:tcPr>
            <w:tcW w:w="1508" w:type="dxa"/>
          </w:tcPr>
          <w:p w14:paraId="7479AB16" w14:textId="77777777" w:rsidR="001850F2" w:rsidRPr="004E780E" w:rsidRDefault="001850F2" w:rsidP="0003260F">
            <w:pPr>
              <w:spacing w:line="360" w:lineRule="auto"/>
              <w:rPr>
                <w:color w:val="000000" w:themeColor="text1"/>
                <w:sz w:val="20"/>
                <w:szCs w:val="20"/>
              </w:rPr>
            </w:pPr>
            <w:r w:rsidRPr="004E780E">
              <w:rPr>
                <w:color w:val="000000" w:themeColor="text1"/>
                <w:sz w:val="20"/>
                <w:szCs w:val="20"/>
              </w:rPr>
              <w:t>1,995 (8.7%)</w:t>
            </w:r>
          </w:p>
        </w:tc>
        <w:tc>
          <w:tcPr>
            <w:tcW w:w="1701" w:type="dxa"/>
          </w:tcPr>
          <w:p w14:paraId="7B67A157" w14:textId="76E8299B" w:rsidR="001850F2" w:rsidRPr="004E780E" w:rsidRDefault="00DD52CF" w:rsidP="0003260F">
            <w:pPr>
              <w:spacing w:line="360" w:lineRule="auto"/>
              <w:rPr>
                <w:color w:val="000000" w:themeColor="text1"/>
                <w:sz w:val="20"/>
                <w:szCs w:val="20"/>
              </w:rPr>
            </w:pPr>
            <w:r w:rsidRPr="004E780E">
              <w:rPr>
                <w:color w:val="000000" w:themeColor="text1"/>
                <w:sz w:val="20"/>
                <w:szCs w:val="20"/>
              </w:rPr>
              <w:t>12</w:t>
            </w:r>
            <w:r w:rsidR="00111BB8" w:rsidRPr="004E780E">
              <w:rPr>
                <w:color w:val="000000" w:themeColor="text1"/>
                <w:sz w:val="20"/>
                <w:szCs w:val="20"/>
              </w:rPr>
              <w:t>,</w:t>
            </w:r>
            <w:r w:rsidRPr="004E780E">
              <w:rPr>
                <w:color w:val="000000" w:themeColor="text1"/>
                <w:sz w:val="20"/>
                <w:szCs w:val="20"/>
              </w:rPr>
              <w:t>333</w:t>
            </w:r>
            <w:r w:rsidR="00111BB8" w:rsidRPr="004E780E">
              <w:rPr>
                <w:color w:val="000000" w:themeColor="text1"/>
                <w:sz w:val="20"/>
                <w:szCs w:val="20"/>
              </w:rPr>
              <w:t xml:space="preserve"> (2.3%)</w:t>
            </w:r>
          </w:p>
        </w:tc>
        <w:tc>
          <w:tcPr>
            <w:tcW w:w="1701" w:type="dxa"/>
          </w:tcPr>
          <w:p w14:paraId="66DCC24D" w14:textId="446418D0" w:rsidR="001850F2" w:rsidRPr="004E780E" w:rsidRDefault="007F382C" w:rsidP="0003260F">
            <w:pPr>
              <w:spacing w:line="360" w:lineRule="auto"/>
              <w:rPr>
                <w:color w:val="000000" w:themeColor="text1"/>
                <w:sz w:val="20"/>
                <w:szCs w:val="20"/>
              </w:rPr>
            </w:pPr>
            <w:r w:rsidRPr="004E780E">
              <w:rPr>
                <w:color w:val="000000" w:themeColor="text1"/>
                <w:sz w:val="20"/>
                <w:szCs w:val="20"/>
              </w:rPr>
              <w:t xml:space="preserve">2123 </w:t>
            </w:r>
            <w:r w:rsidR="00B65E7B" w:rsidRPr="004E780E">
              <w:rPr>
                <w:color w:val="000000" w:themeColor="text1"/>
                <w:sz w:val="20"/>
                <w:szCs w:val="20"/>
              </w:rPr>
              <w:t>(5.1%)</w:t>
            </w:r>
          </w:p>
        </w:tc>
      </w:tr>
      <w:tr w:rsidR="00175AAB" w:rsidRPr="004E780E" w14:paraId="6477E86A" w14:textId="77777777" w:rsidTr="004E780E">
        <w:trPr>
          <w:trHeight w:val="20"/>
        </w:trPr>
        <w:tc>
          <w:tcPr>
            <w:tcW w:w="1980" w:type="dxa"/>
          </w:tcPr>
          <w:p w14:paraId="39A05839" w14:textId="7F923F91" w:rsidR="0085539D" w:rsidRPr="004E780E" w:rsidRDefault="00430D58" w:rsidP="0003260F">
            <w:pPr>
              <w:spacing w:line="360" w:lineRule="auto"/>
              <w:rPr>
                <w:color w:val="000000" w:themeColor="text1"/>
                <w:sz w:val="20"/>
                <w:szCs w:val="20"/>
              </w:rPr>
            </w:pPr>
            <w:r w:rsidRPr="004E780E">
              <w:rPr>
                <w:color w:val="000000" w:themeColor="text1"/>
                <w:sz w:val="20"/>
                <w:szCs w:val="20"/>
              </w:rPr>
              <w:lastRenderedPageBreak/>
              <w:t xml:space="preserve">Incident </w:t>
            </w:r>
            <w:r w:rsidR="0085539D" w:rsidRPr="004E780E">
              <w:rPr>
                <w:color w:val="000000" w:themeColor="text1"/>
                <w:sz w:val="20"/>
                <w:szCs w:val="20"/>
              </w:rPr>
              <w:t>Cases of Arterial Thromboembolic Disease</w:t>
            </w:r>
          </w:p>
        </w:tc>
        <w:tc>
          <w:tcPr>
            <w:tcW w:w="1610" w:type="dxa"/>
          </w:tcPr>
          <w:p w14:paraId="5765592C" w14:textId="77777777" w:rsidR="0085539D" w:rsidRPr="004E780E" w:rsidRDefault="0085539D" w:rsidP="0003260F">
            <w:pPr>
              <w:spacing w:line="360" w:lineRule="auto"/>
              <w:rPr>
                <w:color w:val="000000" w:themeColor="text1"/>
                <w:sz w:val="20"/>
                <w:szCs w:val="20"/>
              </w:rPr>
            </w:pPr>
          </w:p>
        </w:tc>
        <w:tc>
          <w:tcPr>
            <w:tcW w:w="1508" w:type="dxa"/>
          </w:tcPr>
          <w:p w14:paraId="661ADE59" w14:textId="77777777" w:rsidR="0085539D" w:rsidRPr="004E780E" w:rsidRDefault="0085539D" w:rsidP="0003260F">
            <w:pPr>
              <w:spacing w:line="360" w:lineRule="auto"/>
              <w:rPr>
                <w:color w:val="000000" w:themeColor="text1"/>
                <w:sz w:val="20"/>
                <w:szCs w:val="20"/>
              </w:rPr>
            </w:pPr>
          </w:p>
        </w:tc>
        <w:tc>
          <w:tcPr>
            <w:tcW w:w="1701" w:type="dxa"/>
          </w:tcPr>
          <w:p w14:paraId="2FD0F5B8" w14:textId="12E7503D" w:rsidR="0085539D" w:rsidRPr="004E780E" w:rsidRDefault="00114E20" w:rsidP="0003260F">
            <w:pPr>
              <w:spacing w:line="360" w:lineRule="auto"/>
              <w:rPr>
                <w:color w:val="000000" w:themeColor="text1"/>
                <w:sz w:val="20"/>
                <w:szCs w:val="20"/>
              </w:rPr>
            </w:pPr>
            <w:r w:rsidRPr="004E780E">
              <w:rPr>
                <w:color w:val="000000" w:themeColor="text1"/>
                <w:sz w:val="20"/>
                <w:szCs w:val="20"/>
              </w:rPr>
              <w:t>9</w:t>
            </w:r>
            <w:r w:rsidR="00956899" w:rsidRPr="004E780E">
              <w:rPr>
                <w:color w:val="000000" w:themeColor="text1"/>
                <w:sz w:val="20"/>
                <w:szCs w:val="20"/>
              </w:rPr>
              <w:t>,</w:t>
            </w:r>
            <w:r w:rsidRPr="004E780E">
              <w:rPr>
                <w:color w:val="000000" w:themeColor="text1"/>
                <w:sz w:val="20"/>
                <w:szCs w:val="20"/>
              </w:rPr>
              <w:t>352</w:t>
            </w:r>
            <w:r w:rsidR="00D63A07" w:rsidRPr="004E780E">
              <w:rPr>
                <w:color w:val="000000" w:themeColor="text1"/>
                <w:sz w:val="20"/>
                <w:szCs w:val="20"/>
              </w:rPr>
              <w:t xml:space="preserve"> (2.3%)</w:t>
            </w:r>
          </w:p>
        </w:tc>
        <w:tc>
          <w:tcPr>
            <w:tcW w:w="1701" w:type="dxa"/>
          </w:tcPr>
          <w:p w14:paraId="7E6F5135" w14:textId="682C9929" w:rsidR="0085539D" w:rsidRPr="004E780E" w:rsidRDefault="004678DF" w:rsidP="0003260F">
            <w:pPr>
              <w:spacing w:line="360" w:lineRule="auto"/>
              <w:rPr>
                <w:color w:val="000000" w:themeColor="text1"/>
                <w:sz w:val="20"/>
                <w:szCs w:val="20"/>
              </w:rPr>
            </w:pPr>
            <w:r w:rsidRPr="004E780E">
              <w:rPr>
                <w:color w:val="000000" w:themeColor="text1"/>
                <w:sz w:val="20"/>
                <w:szCs w:val="20"/>
              </w:rPr>
              <w:t>1465</w:t>
            </w:r>
            <w:r w:rsidR="00134BBC" w:rsidRPr="004E780E">
              <w:rPr>
                <w:color w:val="000000" w:themeColor="text1"/>
                <w:sz w:val="20"/>
                <w:szCs w:val="20"/>
              </w:rPr>
              <w:t xml:space="preserve"> (3.5%)</w:t>
            </w:r>
          </w:p>
        </w:tc>
      </w:tr>
      <w:tr w:rsidR="00FC019F" w:rsidRPr="004E780E" w14:paraId="41AFAC7D" w14:textId="77777777" w:rsidTr="004E780E">
        <w:trPr>
          <w:trHeight w:val="20"/>
        </w:trPr>
        <w:tc>
          <w:tcPr>
            <w:tcW w:w="1980" w:type="dxa"/>
          </w:tcPr>
          <w:p w14:paraId="7AA3D701" w14:textId="188A1FA0" w:rsidR="0085539D" w:rsidRPr="004E780E" w:rsidRDefault="00430D58" w:rsidP="0003260F">
            <w:pPr>
              <w:spacing w:line="360" w:lineRule="auto"/>
              <w:rPr>
                <w:color w:val="000000" w:themeColor="text1"/>
                <w:sz w:val="20"/>
                <w:szCs w:val="20"/>
              </w:rPr>
            </w:pPr>
            <w:r w:rsidRPr="004E780E">
              <w:rPr>
                <w:color w:val="000000" w:themeColor="text1"/>
                <w:sz w:val="20"/>
                <w:szCs w:val="20"/>
              </w:rPr>
              <w:t xml:space="preserve">Incident </w:t>
            </w:r>
            <w:r w:rsidR="0085539D" w:rsidRPr="004E780E">
              <w:rPr>
                <w:color w:val="000000" w:themeColor="text1"/>
                <w:sz w:val="20"/>
                <w:szCs w:val="20"/>
              </w:rPr>
              <w:t>Cases of Venous Thromboembolic Disease</w:t>
            </w:r>
          </w:p>
        </w:tc>
        <w:tc>
          <w:tcPr>
            <w:tcW w:w="1610" w:type="dxa"/>
          </w:tcPr>
          <w:p w14:paraId="7A7C34E6" w14:textId="77777777" w:rsidR="0085539D" w:rsidRPr="004E780E" w:rsidRDefault="0085539D" w:rsidP="0003260F">
            <w:pPr>
              <w:spacing w:line="360" w:lineRule="auto"/>
              <w:rPr>
                <w:color w:val="000000" w:themeColor="text1"/>
                <w:sz w:val="20"/>
                <w:szCs w:val="20"/>
              </w:rPr>
            </w:pPr>
          </w:p>
        </w:tc>
        <w:tc>
          <w:tcPr>
            <w:tcW w:w="1508" w:type="dxa"/>
          </w:tcPr>
          <w:p w14:paraId="0A065F5B" w14:textId="77777777" w:rsidR="0085539D" w:rsidRPr="004E780E" w:rsidRDefault="0085539D" w:rsidP="0003260F">
            <w:pPr>
              <w:spacing w:line="360" w:lineRule="auto"/>
              <w:rPr>
                <w:color w:val="000000" w:themeColor="text1"/>
                <w:sz w:val="20"/>
                <w:szCs w:val="20"/>
              </w:rPr>
            </w:pPr>
          </w:p>
        </w:tc>
        <w:tc>
          <w:tcPr>
            <w:tcW w:w="1701" w:type="dxa"/>
          </w:tcPr>
          <w:p w14:paraId="3184ED04" w14:textId="186FDB34" w:rsidR="0085539D" w:rsidRPr="004E780E" w:rsidRDefault="00114E20" w:rsidP="0003260F">
            <w:pPr>
              <w:spacing w:line="360" w:lineRule="auto"/>
              <w:rPr>
                <w:color w:val="000000" w:themeColor="text1"/>
                <w:sz w:val="20"/>
                <w:szCs w:val="20"/>
              </w:rPr>
            </w:pPr>
            <w:r w:rsidRPr="004E780E">
              <w:rPr>
                <w:color w:val="000000" w:themeColor="text1"/>
                <w:sz w:val="20"/>
                <w:szCs w:val="20"/>
              </w:rPr>
              <w:t>3</w:t>
            </w:r>
            <w:r w:rsidR="00111BB8" w:rsidRPr="004E780E">
              <w:rPr>
                <w:color w:val="000000" w:themeColor="text1"/>
                <w:sz w:val="20"/>
                <w:szCs w:val="20"/>
              </w:rPr>
              <w:t>,</w:t>
            </w:r>
            <w:r w:rsidRPr="004E780E">
              <w:rPr>
                <w:color w:val="000000" w:themeColor="text1"/>
                <w:sz w:val="20"/>
                <w:szCs w:val="20"/>
              </w:rPr>
              <w:t>232</w:t>
            </w:r>
            <w:r w:rsidR="00111BB8" w:rsidRPr="004E780E">
              <w:rPr>
                <w:color w:val="000000" w:themeColor="text1"/>
                <w:sz w:val="20"/>
                <w:szCs w:val="20"/>
              </w:rPr>
              <w:t xml:space="preserve"> (0.8%)</w:t>
            </w:r>
          </w:p>
        </w:tc>
        <w:tc>
          <w:tcPr>
            <w:tcW w:w="1701" w:type="dxa"/>
          </w:tcPr>
          <w:p w14:paraId="53858CD1" w14:textId="6AF7B0C1" w:rsidR="0085539D" w:rsidRPr="004E780E" w:rsidRDefault="007F382C" w:rsidP="0003260F">
            <w:pPr>
              <w:spacing w:line="360" w:lineRule="auto"/>
              <w:rPr>
                <w:color w:val="000000" w:themeColor="text1"/>
                <w:sz w:val="20"/>
                <w:szCs w:val="20"/>
              </w:rPr>
            </w:pPr>
            <w:r w:rsidRPr="004E780E">
              <w:rPr>
                <w:color w:val="000000" w:themeColor="text1"/>
                <w:sz w:val="20"/>
                <w:szCs w:val="20"/>
              </w:rPr>
              <w:t xml:space="preserve">709 </w:t>
            </w:r>
            <w:r w:rsidR="0090762B" w:rsidRPr="004E780E">
              <w:rPr>
                <w:color w:val="000000" w:themeColor="text1"/>
                <w:sz w:val="20"/>
                <w:szCs w:val="20"/>
              </w:rPr>
              <w:t>(1.7%)</w:t>
            </w:r>
          </w:p>
        </w:tc>
      </w:tr>
    </w:tbl>
    <w:p w14:paraId="376A2AC6" w14:textId="77777777" w:rsidR="00751F15" w:rsidRPr="004E780E" w:rsidRDefault="00751F15" w:rsidP="0003260F">
      <w:pPr>
        <w:spacing w:line="360" w:lineRule="auto"/>
        <w:rPr>
          <w:color w:val="000000" w:themeColor="text1"/>
          <w:sz w:val="20"/>
          <w:szCs w:val="20"/>
        </w:rPr>
      </w:pPr>
    </w:p>
    <w:p w14:paraId="49B3A257" w14:textId="77777777" w:rsidR="00202D77" w:rsidRDefault="00202D77" w:rsidP="0003260F">
      <w:pPr>
        <w:spacing w:line="360" w:lineRule="auto"/>
        <w:rPr>
          <w:color w:val="000000" w:themeColor="text1"/>
          <w:sz w:val="20"/>
          <w:szCs w:val="20"/>
        </w:rPr>
      </w:pPr>
      <w:r>
        <w:rPr>
          <w:color w:val="000000" w:themeColor="text1"/>
          <w:sz w:val="20"/>
          <w:szCs w:val="20"/>
        </w:rPr>
        <w:br w:type="page"/>
      </w:r>
    </w:p>
    <w:p w14:paraId="1DCD11F7" w14:textId="53B3C58E" w:rsidR="00935C32" w:rsidRPr="004876EF" w:rsidRDefault="00935C32" w:rsidP="0003260F">
      <w:pPr>
        <w:spacing w:line="360" w:lineRule="auto"/>
        <w:rPr>
          <w:color w:val="000000" w:themeColor="text1"/>
          <w:sz w:val="20"/>
          <w:szCs w:val="20"/>
        </w:rPr>
      </w:pPr>
      <w:r w:rsidRPr="004876EF">
        <w:rPr>
          <w:color w:val="000000" w:themeColor="text1"/>
          <w:sz w:val="20"/>
          <w:szCs w:val="20"/>
        </w:rPr>
        <w:lastRenderedPageBreak/>
        <w:t xml:space="preserve">Table 2: Univariate analysis of arterial or venous thromboembolic disease in the UK Biobank </w:t>
      </w:r>
    </w:p>
    <w:tbl>
      <w:tblPr>
        <w:tblStyle w:val="TableGrid"/>
        <w:tblW w:w="8789" w:type="dxa"/>
        <w:tblInd w:w="-5" w:type="dxa"/>
        <w:tblLayout w:type="fixed"/>
        <w:tblCellMar>
          <w:top w:w="28" w:type="dxa"/>
          <w:left w:w="28" w:type="dxa"/>
          <w:bottom w:w="28" w:type="dxa"/>
          <w:right w:w="28" w:type="dxa"/>
        </w:tblCellMar>
        <w:tblLook w:val="04A0" w:firstRow="1" w:lastRow="0" w:firstColumn="1" w:lastColumn="0" w:noHBand="0" w:noVBand="1"/>
      </w:tblPr>
      <w:tblGrid>
        <w:gridCol w:w="1276"/>
        <w:gridCol w:w="567"/>
        <w:gridCol w:w="851"/>
        <w:gridCol w:w="425"/>
        <w:gridCol w:w="567"/>
        <w:gridCol w:w="850"/>
        <w:gridCol w:w="426"/>
        <w:gridCol w:w="567"/>
        <w:gridCol w:w="850"/>
        <w:gridCol w:w="567"/>
        <w:gridCol w:w="425"/>
        <w:gridCol w:w="851"/>
        <w:gridCol w:w="567"/>
      </w:tblGrid>
      <w:tr w:rsidR="00935C32" w:rsidRPr="000E725C" w14:paraId="72D2DD7B" w14:textId="77777777" w:rsidTr="00CE4D33">
        <w:tc>
          <w:tcPr>
            <w:tcW w:w="1276" w:type="dxa"/>
          </w:tcPr>
          <w:p w14:paraId="5F36E015" w14:textId="77777777" w:rsidR="00935C32" w:rsidRPr="00B04F1A" w:rsidRDefault="00935C32" w:rsidP="0003260F">
            <w:pPr>
              <w:adjustRightInd w:val="0"/>
              <w:spacing w:line="360" w:lineRule="auto"/>
              <w:rPr>
                <w:b/>
                <w:bCs/>
                <w:color w:val="000000" w:themeColor="text1"/>
                <w:sz w:val="20"/>
                <w:szCs w:val="20"/>
              </w:rPr>
            </w:pPr>
          </w:p>
        </w:tc>
        <w:tc>
          <w:tcPr>
            <w:tcW w:w="3686" w:type="dxa"/>
            <w:gridSpan w:val="6"/>
          </w:tcPr>
          <w:p w14:paraId="573F7E0A" w14:textId="74F11AE5" w:rsidR="00935C32" w:rsidRPr="00B04F1A" w:rsidRDefault="006A7DEA" w:rsidP="0003260F">
            <w:pPr>
              <w:adjustRightInd w:val="0"/>
              <w:spacing w:line="360" w:lineRule="auto"/>
              <w:rPr>
                <w:b/>
                <w:bCs/>
                <w:color w:val="000000" w:themeColor="text1"/>
                <w:sz w:val="20"/>
                <w:szCs w:val="20"/>
              </w:rPr>
            </w:pPr>
            <w:r>
              <w:rPr>
                <w:b/>
                <w:bCs/>
                <w:color w:val="000000" w:themeColor="text1"/>
                <w:sz w:val="20"/>
                <w:szCs w:val="20"/>
              </w:rPr>
              <w:t>Dataset</w:t>
            </w:r>
            <w:r w:rsidRPr="00B04F1A">
              <w:rPr>
                <w:b/>
                <w:bCs/>
                <w:color w:val="000000" w:themeColor="text1"/>
                <w:sz w:val="20"/>
                <w:szCs w:val="20"/>
              </w:rPr>
              <w:t xml:space="preserve"> </w:t>
            </w:r>
            <w:r w:rsidR="00935C32" w:rsidRPr="00B04F1A">
              <w:rPr>
                <w:b/>
                <w:bCs/>
                <w:color w:val="000000" w:themeColor="text1"/>
                <w:sz w:val="20"/>
                <w:szCs w:val="20"/>
              </w:rPr>
              <w:t>1: Hospital and death registry data for past history and incident events</w:t>
            </w:r>
          </w:p>
        </w:tc>
        <w:tc>
          <w:tcPr>
            <w:tcW w:w="3827" w:type="dxa"/>
            <w:gridSpan w:val="6"/>
          </w:tcPr>
          <w:p w14:paraId="39D31B80" w14:textId="60A1AC8A" w:rsidR="00935C32" w:rsidRPr="00B04F1A" w:rsidRDefault="006A7DEA" w:rsidP="0003260F">
            <w:pPr>
              <w:adjustRightInd w:val="0"/>
              <w:spacing w:line="360" w:lineRule="auto"/>
              <w:rPr>
                <w:b/>
                <w:bCs/>
                <w:color w:val="000000" w:themeColor="text1"/>
                <w:sz w:val="20"/>
                <w:szCs w:val="20"/>
              </w:rPr>
            </w:pPr>
            <w:r>
              <w:rPr>
                <w:b/>
                <w:bCs/>
                <w:color w:val="000000" w:themeColor="text1"/>
                <w:sz w:val="20"/>
                <w:szCs w:val="20"/>
              </w:rPr>
              <w:t>Dataset</w:t>
            </w:r>
            <w:r w:rsidRPr="00B04F1A">
              <w:rPr>
                <w:b/>
                <w:bCs/>
                <w:color w:val="000000" w:themeColor="text1"/>
                <w:sz w:val="20"/>
                <w:szCs w:val="20"/>
              </w:rPr>
              <w:t xml:space="preserve"> </w:t>
            </w:r>
            <w:r w:rsidR="00935C32" w:rsidRPr="00B04F1A">
              <w:rPr>
                <w:b/>
                <w:bCs/>
                <w:color w:val="000000" w:themeColor="text1"/>
                <w:sz w:val="20"/>
                <w:szCs w:val="20"/>
              </w:rPr>
              <w:t>2: Hospital and death registry data, plus patient-reported illnesses for past history and incident events</w:t>
            </w:r>
          </w:p>
        </w:tc>
      </w:tr>
      <w:tr w:rsidR="00935C32" w:rsidRPr="000E725C" w14:paraId="523C2C47" w14:textId="77777777" w:rsidTr="00CE4D33">
        <w:tc>
          <w:tcPr>
            <w:tcW w:w="1276" w:type="dxa"/>
          </w:tcPr>
          <w:p w14:paraId="1E87ABAD" w14:textId="77777777" w:rsidR="00935C32" w:rsidRPr="00B04F1A" w:rsidRDefault="00935C32" w:rsidP="0003260F">
            <w:pPr>
              <w:adjustRightInd w:val="0"/>
              <w:spacing w:line="360" w:lineRule="auto"/>
              <w:rPr>
                <w:b/>
                <w:bCs/>
                <w:color w:val="000000" w:themeColor="text1"/>
                <w:sz w:val="20"/>
                <w:szCs w:val="20"/>
              </w:rPr>
            </w:pPr>
            <w:r w:rsidRPr="00B04F1A">
              <w:rPr>
                <w:b/>
                <w:bCs/>
                <w:color w:val="000000" w:themeColor="text1"/>
                <w:sz w:val="20"/>
                <w:szCs w:val="20"/>
              </w:rPr>
              <w:t>Variable</w:t>
            </w:r>
          </w:p>
        </w:tc>
        <w:tc>
          <w:tcPr>
            <w:tcW w:w="1843" w:type="dxa"/>
            <w:gridSpan w:val="3"/>
          </w:tcPr>
          <w:p w14:paraId="0C5B200C" w14:textId="77777777" w:rsidR="00935C32" w:rsidRDefault="00935C32">
            <w:pPr>
              <w:adjustRightInd w:val="0"/>
              <w:spacing w:line="360" w:lineRule="auto"/>
              <w:rPr>
                <w:b/>
                <w:bCs/>
                <w:color w:val="000000" w:themeColor="text1"/>
                <w:sz w:val="20"/>
                <w:szCs w:val="20"/>
              </w:rPr>
            </w:pPr>
            <w:r>
              <w:rPr>
                <w:b/>
                <w:bCs/>
                <w:color w:val="000000" w:themeColor="text1"/>
                <w:sz w:val="20"/>
                <w:szCs w:val="20"/>
              </w:rPr>
              <w:t xml:space="preserve">No </w:t>
            </w:r>
            <w:r w:rsidRPr="00B04F1A">
              <w:rPr>
                <w:b/>
                <w:bCs/>
                <w:color w:val="000000" w:themeColor="text1"/>
                <w:sz w:val="20"/>
                <w:szCs w:val="20"/>
              </w:rPr>
              <w:t>Past History</w:t>
            </w:r>
          </w:p>
          <w:p w14:paraId="55D1C637" w14:textId="7D59D903" w:rsidR="0007283B" w:rsidRPr="00B04F1A" w:rsidDel="00BF4DA9" w:rsidRDefault="0007283B" w:rsidP="0003260F">
            <w:pPr>
              <w:adjustRightInd w:val="0"/>
              <w:spacing w:line="360" w:lineRule="auto"/>
              <w:rPr>
                <w:b/>
                <w:bCs/>
                <w:color w:val="000000" w:themeColor="text1"/>
                <w:sz w:val="20"/>
                <w:szCs w:val="20"/>
              </w:rPr>
            </w:pPr>
            <w:r>
              <w:rPr>
                <w:b/>
                <w:bCs/>
                <w:color w:val="000000" w:themeColor="text1"/>
                <w:sz w:val="20"/>
                <w:szCs w:val="20"/>
              </w:rPr>
              <w:t>(</w:t>
            </w:r>
            <w:r w:rsidR="000C2DFC">
              <w:rPr>
                <w:b/>
                <w:bCs/>
                <w:color w:val="000000" w:themeColor="text1"/>
                <w:sz w:val="20"/>
                <w:szCs w:val="20"/>
              </w:rPr>
              <w:t>data</w:t>
            </w:r>
            <w:r w:rsidR="00333B6F">
              <w:rPr>
                <w:b/>
                <w:bCs/>
                <w:color w:val="000000" w:themeColor="text1"/>
                <w:sz w:val="20"/>
                <w:szCs w:val="20"/>
              </w:rPr>
              <w:t xml:space="preserve"> </w:t>
            </w:r>
            <w:r>
              <w:rPr>
                <w:b/>
                <w:bCs/>
                <w:color w:val="000000" w:themeColor="text1"/>
                <w:sz w:val="20"/>
                <w:szCs w:val="20"/>
              </w:rPr>
              <w:t>for Model 1)</w:t>
            </w:r>
          </w:p>
        </w:tc>
        <w:tc>
          <w:tcPr>
            <w:tcW w:w="1843" w:type="dxa"/>
            <w:gridSpan w:val="3"/>
          </w:tcPr>
          <w:p w14:paraId="668E0314" w14:textId="77777777" w:rsidR="00935C32" w:rsidRDefault="00935C32">
            <w:pPr>
              <w:adjustRightInd w:val="0"/>
              <w:spacing w:line="360" w:lineRule="auto"/>
              <w:rPr>
                <w:b/>
                <w:bCs/>
                <w:color w:val="000000" w:themeColor="text1"/>
                <w:sz w:val="20"/>
                <w:szCs w:val="20"/>
              </w:rPr>
            </w:pPr>
            <w:r w:rsidRPr="00B04F1A">
              <w:rPr>
                <w:b/>
                <w:bCs/>
                <w:color w:val="000000" w:themeColor="text1"/>
                <w:sz w:val="20"/>
                <w:szCs w:val="20"/>
              </w:rPr>
              <w:t>Past History</w:t>
            </w:r>
          </w:p>
          <w:p w14:paraId="6BAE18ED" w14:textId="3E8A1058" w:rsidR="0007283B" w:rsidRPr="00B04F1A" w:rsidRDefault="0007283B" w:rsidP="0003260F">
            <w:pPr>
              <w:adjustRightInd w:val="0"/>
              <w:spacing w:line="360" w:lineRule="auto"/>
              <w:rPr>
                <w:b/>
                <w:bCs/>
                <w:color w:val="000000" w:themeColor="text1"/>
                <w:sz w:val="20"/>
                <w:szCs w:val="20"/>
              </w:rPr>
            </w:pPr>
            <w:r>
              <w:rPr>
                <w:b/>
                <w:bCs/>
                <w:color w:val="000000" w:themeColor="text1"/>
                <w:sz w:val="20"/>
                <w:szCs w:val="20"/>
              </w:rPr>
              <w:t>(</w:t>
            </w:r>
            <w:r w:rsidR="000C2DFC">
              <w:rPr>
                <w:b/>
                <w:bCs/>
                <w:color w:val="000000" w:themeColor="text1"/>
                <w:sz w:val="20"/>
                <w:szCs w:val="20"/>
              </w:rPr>
              <w:t xml:space="preserve">data </w:t>
            </w:r>
            <w:r>
              <w:rPr>
                <w:b/>
                <w:bCs/>
                <w:color w:val="000000" w:themeColor="text1"/>
                <w:sz w:val="20"/>
                <w:szCs w:val="20"/>
              </w:rPr>
              <w:t>for Model 2)</w:t>
            </w:r>
          </w:p>
        </w:tc>
        <w:tc>
          <w:tcPr>
            <w:tcW w:w="1984" w:type="dxa"/>
            <w:gridSpan w:val="3"/>
          </w:tcPr>
          <w:p w14:paraId="293A94E3" w14:textId="77777777" w:rsidR="00935C32" w:rsidRDefault="00935C32">
            <w:pPr>
              <w:adjustRightInd w:val="0"/>
              <w:spacing w:line="360" w:lineRule="auto"/>
              <w:rPr>
                <w:b/>
                <w:bCs/>
                <w:color w:val="000000" w:themeColor="text1"/>
                <w:sz w:val="20"/>
                <w:szCs w:val="20"/>
              </w:rPr>
            </w:pPr>
            <w:r>
              <w:rPr>
                <w:b/>
                <w:bCs/>
                <w:color w:val="000000" w:themeColor="text1"/>
                <w:sz w:val="20"/>
                <w:szCs w:val="20"/>
              </w:rPr>
              <w:t xml:space="preserve">No </w:t>
            </w:r>
            <w:r w:rsidRPr="00B04F1A">
              <w:rPr>
                <w:b/>
                <w:bCs/>
                <w:color w:val="000000" w:themeColor="text1"/>
                <w:sz w:val="20"/>
                <w:szCs w:val="20"/>
              </w:rPr>
              <w:t>Past History</w:t>
            </w:r>
          </w:p>
          <w:p w14:paraId="10FF19FC" w14:textId="3308D1EC" w:rsidR="0007283B" w:rsidRPr="00B04F1A" w:rsidRDefault="0007283B" w:rsidP="0003260F">
            <w:pPr>
              <w:adjustRightInd w:val="0"/>
              <w:spacing w:line="360" w:lineRule="auto"/>
              <w:rPr>
                <w:b/>
                <w:bCs/>
                <w:color w:val="000000" w:themeColor="text1"/>
                <w:sz w:val="20"/>
                <w:szCs w:val="20"/>
              </w:rPr>
            </w:pPr>
            <w:r>
              <w:rPr>
                <w:b/>
                <w:bCs/>
                <w:color w:val="000000" w:themeColor="text1"/>
                <w:sz w:val="20"/>
                <w:szCs w:val="20"/>
              </w:rPr>
              <w:t>(</w:t>
            </w:r>
            <w:r w:rsidR="000C2DFC">
              <w:rPr>
                <w:b/>
                <w:bCs/>
                <w:color w:val="000000" w:themeColor="text1"/>
                <w:sz w:val="20"/>
                <w:szCs w:val="20"/>
              </w:rPr>
              <w:t xml:space="preserve">data </w:t>
            </w:r>
            <w:r>
              <w:rPr>
                <w:b/>
                <w:bCs/>
                <w:color w:val="000000" w:themeColor="text1"/>
                <w:sz w:val="20"/>
                <w:szCs w:val="20"/>
              </w:rPr>
              <w:t>for Model 3)</w:t>
            </w:r>
          </w:p>
        </w:tc>
        <w:tc>
          <w:tcPr>
            <w:tcW w:w="1843" w:type="dxa"/>
            <w:gridSpan w:val="3"/>
          </w:tcPr>
          <w:p w14:paraId="5B6EFA6B" w14:textId="77777777" w:rsidR="00935C32" w:rsidRDefault="00935C32">
            <w:pPr>
              <w:adjustRightInd w:val="0"/>
              <w:spacing w:line="360" w:lineRule="auto"/>
              <w:rPr>
                <w:b/>
                <w:bCs/>
                <w:color w:val="000000" w:themeColor="text1"/>
                <w:sz w:val="20"/>
                <w:szCs w:val="20"/>
              </w:rPr>
            </w:pPr>
            <w:r w:rsidRPr="00B04F1A">
              <w:rPr>
                <w:b/>
                <w:bCs/>
                <w:color w:val="000000" w:themeColor="text1"/>
                <w:sz w:val="20"/>
                <w:szCs w:val="20"/>
              </w:rPr>
              <w:t>Past History</w:t>
            </w:r>
          </w:p>
          <w:p w14:paraId="2594A2F4" w14:textId="565BD950" w:rsidR="0007283B" w:rsidRPr="00B04F1A" w:rsidRDefault="0007283B" w:rsidP="0003260F">
            <w:pPr>
              <w:adjustRightInd w:val="0"/>
              <w:spacing w:line="360" w:lineRule="auto"/>
              <w:rPr>
                <w:b/>
                <w:bCs/>
                <w:color w:val="000000" w:themeColor="text1"/>
                <w:sz w:val="20"/>
                <w:szCs w:val="20"/>
              </w:rPr>
            </w:pPr>
            <w:r>
              <w:rPr>
                <w:b/>
                <w:bCs/>
                <w:color w:val="000000" w:themeColor="text1"/>
                <w:sz w:val="20"/>
                <w:szCs w:val="20"/>
              </w:rPr>
              <w:t>(</w:t>
            </w:r>
            <w:r w:rsidR="000C2DFC">
              <w:rPr>
                <w:b/>
                <w:bCs/>
                <w:color w:val="000000" w:themeColor="text1"/>
                <w:sz w:val="20"/>
                <w:szCs w:val="20"/>
              </w:rPr>
              <w:t xml:space="preserve">data </w:t>
            </w:r>
            <w:r>
              <w:rPr>
                <w:b/>
                <w:bCs/>
                <w:color w:val="000000" w:themeColor="text1"/>
                <w:sz w:val="20"/>
                <w:szCs w:val="20"/>
              </w:rPr>
              <w:t>for Model 4)</w:t>
            </w:r>
          </w:p>
        </w:tc>
      </w:tr>
      <w:tr w:rsidR="00935C32" w:rsidRPr="00BF4DA9" w14:paraId="6632BCB6" w14:textId="77777777" w:rsidTr="00CE4D33">
        <w:tc>
          <w:tcPr>
            <w:tcW w:w="1276" w:type="dxa"/>
          </w:tcPr>
          <w:p w14:paraId="697B7E20" w14:textId="77777777" w:rsidR="00935C32" w:rsidRPr="00B04F1A" w:rsidRDefault="00935C32" w:rsidP="0003260F">
            <w:pPr>
              <w:spacing w:line="360" w:lineRule="auto"/>
              <w:rPr>
                <w:b/>
                <w:bCs/>
                <w:color w:val="000000" w:themeColor="text1"/>
                <w:sz w:val="20"/>
                <w:szCs w:val="20"/>
              </w:rPr>
            </w:pPr>
          </w:p>
        </w:tc>
        <w:tc>
          <w:tcPr>
            <w:tcW w:w="567" w:type="dxa"/>
          </w:tcPr>
          <w:p w14:paraId="41A285C4" w14:textId="77777777" w:rsidR="00935C32" w:rsidRPr="00B04F1A" w:rsidRDefault="00935C32" w:rsidP="0003260F">
            <w:pPr>
              <w:adjustRightInd w:val="0"/>
              <w:spacing w:line="360" w:lineRule="auto"/>
              <w:rPr>
                <w:color w:val="000000" w:themeColor="text1"/>
                <w:sz w:val="20"/>
                <w:szCs w:val="20"/>
              </w:rPr>
            </w:pPr>
            <w:r w:rsidRPr="00B04F1A">
              <w:rPr>
                <w:b/>
                <w:bCs/>
                <w:color w:val="000000" w:themeColor="text1"/>
                <w:sz w:val="20"/>
                <w:szCs w:val="20"/>
              </w:rPr>
              <w:t>OR</w:t>
            </w:r>
          </w:p>
        </w:tc>
        <w:tc>
          <w:tcPr>
            <w:tcW w:w="851" w:type="dxa"/>
          </w:tcPr>
          <w:p w14:paraId="12F27883" w14:textId="77777777" w:rsidR="00935C32" w:rsidRPr="00B04F1A" w:rsidRDefault="00935C32" w:rsidP="0003260F">
            <w:pPr>
              <w:adjustRightInd w:val="0"/>
              <w:spacing w:line="360" w:lineRule="auto"/>
              <w:rPr>
                <w:color w:val="000000" w:themeColor="text1"/>
                <w:sz w:val="20"/>
                <w:szCs w:val="20"/>
              </w:rPr>
            </w:pPr>
            <w:r w:rsidRPr="00B04F1A">
              <w:rPr>
                <w:b/>
                <w:bCs/>
                <w:color w:val="000000" w:themeColor="text1"/>
                <w:sz w:val="20"/>
                <w:szCs w:val="20"/>
              </w:rPr>
              <w:t xml:space="preserve">95% CI </w:t>
            </w:r>
          </w:p>
        </w:tc>
        <w:tc>
          <w:tcPr>
            <w:tcW w:w="425" w:type="dxa"/>
          </w:tcPr>
          <w:p w14:paraId="7B05F7ED" w14:textId="77777777" w:rsidR="00935C32" w:rsidRPr="00B04F1A" w:rsidRDefault="00935C32" w:rsidP="0003260F">
            <w:pPr>
              <w:adjustRightInd w:val="0"/>
              <w:spacing w:line="360" w:lineRule="auto"/>
              <w:rPr>
                <w:color w:val="000000" w:themeColor="text1"/>
                <w:sz w:val="20"/>
                <w:szCs w:val="20"/>
              </w:rPr>
            </w:pPr>
            <w:r w:rsidRPr="00B04F1A">
              <w:rPr>
                <w:b/>
                <w:bCs/>
                <w:color w:val="000000" w:themeColor="text1"/>
                <w:sz w:val="20"/>
                <w:szCs w:val="20"/>
              </w:rPr>
              <w:t>Sig.</w:t>
            </w:r>
          </w:p>
        </w:tc>
        <w:tc>
          <w:tcPr>
            <w:tcW w:w="567" w:type="dxa"/>
          </w:tcPr>
          <w:p w14:paraId="2F054419" w14:textId="77777777" w:rsidR="00935C32" w:rsidRPr="00B04F1A" w:rsidRDefault="00935C32" w:rsidP="0003260F">
            <w:pPr>
              <w:adjustRightInd w:val="0"/>
              <w:spacing w:line="360" w:lineRule="auto"/>
              <w:ind w:left="26" w:right="-291"/>
              <w:rPr>
                <w:color w:val="000000" w:themeColor="text1"/>
                <w:sz w:val="20"/>
                <w:szCs w:val="20"/>
              </w:rPr>
            </w:pPr>
            <w:r w:rsidRPr="00B04F1A">
              <w:rPr>
                <w:b/>
                <w:bCs/>
                <w:color w:val="000000" w:themeColor="text1"/>
                <w:sz w:val="20"/>
                <w:szCs w:val="20"/>
              </w:rPr>
              <w:t>OR</w:t>
            </w:r>
          </w:p>
        </w:tc>
        <w:tc>
          <w:tcPr>
            <w:tcW w:w="850" w:type="dxa"/>
          </w:tcPr>
          <w:p w14:paraId="78123671" w14:textId="77777777" w:rsidR="00935C32" w:rsidRPr="00B04F1A" w:rsidRDefault="00935C32" w:rsidP="0003260F">
            <w:pPr>
              <w:adjustRightInd w:val="0"/>
              <w:spacing w:line="360" w:lineRule="auto"/>
              <w:ind w:right="-291"/>
              <w:rPr>
                <w:color w:val="000000" w:themeColor="text1"/>
                <w:sz w:val="20"/>
                <w:szCs w:val="20"/>
              </w:rPr>
            </w:pPr>
            <w:r w:rsidRPr="00B04F1A">
              <w:rPr>
                <w:b/>
                <w:bCs/>
                <w:color w:val="000000" w:themeColor="text1"/>
                <w:sz w:val="20"/>
                <w:szCs w:val="20"/>
              </w:rPr>
              <w:t xml:space="preserve">95% CI </w:t>
            </w:r>
          </w:p>
        </w:tc>
        <w:tc>
          <w:tcPr>
            <w:tcW w:w="426" w:type="dxa"/>
          </w:tcPr>
          <w:p w14:paraId="6DBF7234" w14:textId="77777777" w:rsidR="00935C32" w:rsidRPr="00B04F1A" w:rsidRDefault="00935C32" w:rsidP="0003260F">
            <w:pPr>
              <w:adjustRightInd w:val="0"/>
              <w:spacing w:line="360" w:lineRule="auto"/>
              <w:rPr>
                <w:b/>
                <w:bCs/>
                <w:color w:val="000000" w:themeColor="text1"/>
                <w:sz w:val="20"/>
                <w:szCs w:val="20"/>
              </w:rPr>
            </w:pPr>
            <w:r w:rsidRPr="00B04F1A">
              <w:rPr>
                <w:b/>
                <w:bCs/>
                <w:color w:val="000000" w:themeColor="text1"/>
                <w:sz w:val="20"/>
                <w:szCs w:val="20"/>
              </w:rPr>
              <w:t>Sig</w:t>
            </w:r>
          </w:p>
        </w:tc>
        <w:tc>
          <w:tcPr>
            <w:tcW w:w="567" w:type="dxa"/>
          </w:tcPr>
          <w:p w14:paraId="648D171F" w14:textId="77777777" w:rsidR="00935C32" w:rsidRPr="00B04F1A" w:rsidRDefault="00935C32" w:rsidP="0003260F">
            <w:pPr>
              <w:adjustRightInd w:val="0"/>
              <w:spacing w:line="360" w:lineRule="auto"/>
              <w:rPr>
                <w:b/>
                <w:bCs/>
                <w:color w:val="000000" w:themeColor="text1"/>
                <w:sz w:val="20"/>
                <w:szCs w:val="20"/>
              </w:rPr>
            </w:pPr>
            <w:r w:rsidRPr="00B04F1A">
              <w:rPr>
                <w:b/>
                <w:bCs/>
                <w:color w:val="000000" w:themeColor="text1"/>
                <w:sz w:val="20"/>
                <w:szCs w:val="20"/>
              </w:rPr>
              <w:t>OR</w:t>
            </w:r>
          </w:p>
        </w:tc>
        <w:tc>
          <w:tcPr>
            <w:tcW w:w="850" w:type="dxa"/>
          </w:tcPr>
          <w:p w14:paraId="13BCDF33" w14:textId="77777777" w:rsidR="00935C32" w:rsidRPr="00B04F1A" w:rsidRDefault="00935C32" w:rsidP="0003260F">
            <w:pPr>
              <w:adjustRightInd w:val="0"/>
              <w:spacing w:line="360" w:lineRule="auto"/>
              <w:rPr>
                <w:b/>
                <w:bCs/>
                <w:color w:val="000000" w:themeColor="text1"/>
                <w:sz w:val="20"/>
                <w:szCs w:val="20"/>
              </w:rPr>
            </w:pPr>
            <w:r w:rsidRPr="00B04F1A">
              <w:rPr>
                <w:b/>
                <w:bCs/>
                <w:color w:val="000000" w:themeColor="text1"/>
                <w:sz w:val="20"/>
                <w:szCs w:val="20"/>
              </w:rPr>
              <w:t xml:space="preserve">95% CI </w:t>
            </w:r>
          </w:p>
        </w:tc>
        <w:tc>
          <w:tcPr>
            <w:tcW w:w="567" w:type="dxa"/>
          </w:tcPr>
          <w:p w14:paraId="4FCB6053" w14:textId="77777777" w:rsidR="00935C32" w:rsidRPr="00B04F1A" w:rsidRDefault="00935C32" w:rsidP="0003260F">
            <w:pPr>
              <w:adjustRightInd w:val="0"/>
              <w:spacing w:line="360" w:lineRule="auto"/>
              <w:rPr>
                <w:b/>
                <w:bCs/>
                <w:color w:val="000000" w:themeColor="text1"/>
                <w:sz w:val="20"/>
                <w:szCs w:val="20"/>
              </w:rPr>
            </w:pPr>
            <w:r w:rsidRPr="00B04F1A">
              <w:rPr>
                <w:b/>
                <w:bCs/>
                <w:color w:val="000000" w:themeColor="text1"/>
                <w:sz w:val="20"/>
                <w:szCs w:val="20"/>
              </w:rPr>
              <w:t>Sig</w:t>
            </w:r>
          </w:p>
        </w:tc>
        <w:tc>
          <w:tcPr>
            <w:tcW w:w="425" w:type="dxa"/>
          </w:tcPr>
          <w:p w14:paraId="483B1DDA" w14:textId="77777777" w:rsidR="00935C32" w:rsidRPr="00B04F1A" w:rsidRDefault="00935C32" w:rsidP="0003260F">
            <w:pPr>
              <w:adjustRightInd w:val="0"/>
              <w:spacing w:line="360" w:lineRule="auto"/>
              <w:rPr>
                <w:b/>
                <w:bCs/>
                <w:color w:val="000000" w:themeColor="text1"/>
                <w:sz w:val="20"/>
                <w:szCs w:val="20"/>
              </w:rPr>
            </w:pPr>
            <w:r w:rsidRPr="00B04F1A">
              <w:rPr>
                <w:b/>
                <w:bCs/>
                <w:color w:val="000000" w:themeColor="text1"/>
                <w:sz w:val="20"/>
                <w:szCs w:val="20"/>
              </w:rPr>
              <w:t>OR</w:t>
            </w:r>
          </w:p>
        </w:tc>
        <w:tc>
          <w:tcPr>
            <w:tcW w:w="851" w:type="dxa"/>
          </w:tcPr>
          <w:p w14:paraId="1EF51BE6" w14:textId="77777777" w:rsidR="00935C32" w:rsidRPr="00B04F1A" w:rsidRDefault="00935C32" w:rsidP="0003260F">
            <w:pPr>
              <w:adjustRightInd w:val="0"/>
              <w:spacing w:line="360" w:lineRule="auto"/>
              <w:rPr>
                <w:b/>
                <w:bCs/>
                <w:color w:val="000000" w:themeColor="text1"/>
                <w:sz w:val="20"/>
                <w:szCs w:val="20"/>
              </w:rPr>
            </w:pPr>
            <w:r w:rsidRPr="00B04F1A">
              <w:rPr>
                <w:b/>
                <w:bCs/>
                <w:color w:val="000000" w:themeColor="text1"/>
                <w:sz w:val="20"/>
                <w:szCs w:val="20"/>
              </w:rPr>
              <w:t xml:space="preserve">95% CI </w:t>
            </w:r>
          </w:p>
        </w:tc>
        <w:tc>
          <w:tcPr>
            <w:tcW w:w="567" w:type="dxa"/>
          </w:tcPr>
          <w:p w14:paraId="3C3C0904" w14:textId="77777777" w:rsidR="00935C32" w:rsidRPr="003B5222" w:rsidRDefault="00935C32" w:rsidP="0003260F">
            <w:pPr>
              <w:adjustRightInd w:val="0"/>
              <w:spacing w:line="360" w:lineRule="auto"/>
              <w:rPr>
                <w:sz w:val="20"/>
                <w:szCs w:val="20"/>
              </w:rPr>
            </w:pPr>
            <w:r w:rsidRPr="00B04F1A">
              <w:rPr>
                <w:b/>
                <w:bCs/>
                <w:color w:val="000000" w:themeColor="text1"/>
                <w:sz w:val="20"/>
                <w:szCs w:val="20"/>
              </w:rPr>
              <w:t>Sig</w:t>
            </w:r>
          </w:p>
        </w:tc>
      </w:tr>
      <w:tr w:rsidR="00F535CD" w:rsidRPr="00BF4DA9" w14:paraId="6ED87D9B" w14:textId="77777777" w:rsidTr="00CE4D33">
        <w:trPr>
          <w:trHeight w:val="340"/>
        </w:trPr>
        <w:tc>
          <w:tcPr>
            <w:tcW w:w="1276" w:type="dxa"/>
          </w:tcPr>
          <w:p w14:paraId="437E7F4A" w14:textId="77777777" w:rsidR="00F535CD" w:rsidRPr="00B04F1A" w:rsidRDefault="00F535CD" w:rsidP="0003260F">
            <w:pPr>
              <w:spacing w:line="360" w:lineRule="auto"/>
              <w:rPr>
                <w:color w:val="000000" w:themeColor="text1"/>
                <w:sz w:val="20"/>
                <w:szCs w:val="20"/>
              </w:rPr>
            </w:pPr>
            <w:r w:rsidRPr="00B04F1A">
              <w:rPr>
                <w:color w:val="000000" w:themeColor="text1"/>
                <w:sz w:val="20"/>
                <w:szCs w:val="20"/>
              </w:rPr>
              <w:t>Age</w:t>
            </w:r>
          </w:p>
        </w:tc>
        <w:tc>
          <w:tcPr>
            <w:tcW w:w="567" w:type="dxa"/>
          </w:tcPr>
          <w:p w14:paraId="66E6064F" w14:textId="5B20CE56" w:rsidR="00F535CD" w:rsidRPr="00B04F1A" w:rsidRDefault="00F535CD" w:rsidP="0003260F">
            <w:pPr>
              <w:adjustRightInd w:val="0"/>
              <w:spacing w:line="360" w:lineRule="auto"/>
              <w:rPr>
                <w:color w:val="000000" w:themeColor="text1"/>
                <w:sz w:val="20"/>
                <w:szCs w:val="20"/>
              </w:rPr>
            </w:pPr>
            <w:r w:rsidRPr="00B04F1A">
              <w:rPr>
                <w:color w:val="000000" w:themeColor="text1"/>
                <w:sz w:val="20"/>
                <w:szCs w:val="20"/>
              </w:rPr>
              <w:t>1.07</w:t>
            </w:r>
          </w:p>
        </w:tc>
        <w:tc>
          <w:tcPr>
            <w:tcW w:w="851" w:type="dxa"/>
          </w:tcPr>
          <w:p w14:paraId="218CE908" w14:textId="3BAE658B" w:rsidR="00F535CD" w:rsidRPr="00B04F1A" w:rsidRDefault="00F535CD" w:rsidP="0003260F">
            <w:pPr>
              <w:adjustRightInd w:val="0"/>
              <w:spacing w:line="360" w:lineRule="auto"/>
              <w:rPr>
                <w:color w:val="000000" w:themeColor="text1"/>
                <w:sz w:val="20"/>
                <w:szCs w:val="20"/>
              </w:rPr>
            </w:pPr>
            <w:r w:rsidRPr="00B04F1A">
              <w:rPr>
                <w:color w:val="000000" w:themeColor="text1"/>
                <w:sz w:val="20"/>
                <w:szCs w:val="20"/>
              </w:rPr>
              <w:t>1.07-1.08</w:t>
            </w:r>
          </w:p>
        </w:tc>
        <w:tc>
          <w:tcPr>
            <w:tcW w:w="425" w:type="dxa"/>
          </w:tcPr>
          <w:p w14:paraId="35D493B3" w14:textId="6DADF7A7" w:rsidR="00F535CD" w:rsidRPr="00B04F1A" w:rsidRDefault="00F535CD" w:rsidP="0003260F">
            <w:pPr>
              <w:adjustRightInd w:val="0"/>
              <w:spacing w:line="360" w:lineRule="auto"/>
              <w:rPr>
                <w:color w:val="000000" w:themeColor="text1"/>
                <w:sz w:val="20"/>
                <w:szCs w:val="20"/>
              </w:rPr>
            </w:pPr>
            <w:r w:rsidRPr="00FD002D">
              <w:rPr>
                <w:color w:val="000000" w:themeColor="text1"/>
                <w:sz w:val="20"/>
                <w:szCs w:val="20"/>
              </w:rPr>
              <w:t>***</w:t>
            </w:r>
          </w:p>
        </w:tc>
        <w:tc>
          <w:tcPr>
            <w:tcW w:w="567" w:type="dxa"/>
          </w:tcPr>
          <w:p w14:paraId="373311EB" w14:textId="58231B74" w:rsidR="00F535CD" w:rsidRPr="00B04F1A" w:rsidRDefault="00F535CD" w:rsidP="0003260F">
            <w:pPr>
              <w:adjustRightInd w:val="0"/>
              <w:spacing w:line="360" w:lineRule="auto"/>
              <w:ind w:left="26" w:right="-291"/>
              <w:rPr>
                <w:color w:val="000000" w:themeColor="text1"/>
                <w:sz w:val="20"/>
                <w:szCs w:val="20"/>
              </w:rPr>
            </w:pPr>
            <w:r w:rsidRPr="00B04F1A">
              <w:rPr>
                <w:color w:val="000000" w:themeColor="text1"/>
                <w:sz w:val="20"/>
                <w:szCs w:val="20"/>
              </w:rPr>
              <w:t>1.04</w:t>
            </w:r>
          </w:p>
        </w:tc>
        <w:tc>
          <w:tcPr>
            <w:tcW w:w="850" w:type="dxa"/>
          </w:tcPr>
          <w:p w14:paraId="3D4340AF" w14:textId="34E7F6EF" w:rsidR="00F535CD" w:rsidRPr="00B04F1A" w:rsidRDefault="00F535CD" w:rsidP="0003260F">
            <w:pPr>
              <w:adjustRightInd w:val="0"/>
              <w:spacing w:line="360" w:lineRule="auto"/>
              <w:ind w:right="-291"/>
              <w:rPr>
                <w:color w:val="000000" w:themeColor="text1"/>
                <w:sz w:val="20"/>
                <w:szCs w:val="20"/>
              </w:rPr>
            </w:pPr>
            <w:r w:rsidRPr="00B04F1A">
              <w:rPr>
                <w:color w:val="000000" w:themeColor="text1"/>
                <w:sz w:val="20"/>
                <w:szCs w:val="20"/>
              </w:rPr>
              <w:t>1.03-1.04</w:t>
            </w:r>
          </w:p>
        </w:tc>
        <w:tc>
          <w:tcPr>
            <w:tcW w:w="426" w:type="dxa"/>
          </w:tcPr>
          <w:p w14:paraId="58154B05" w14:textId="0A04D0FA" w:rsidR="00F535CD" w:rsidRPr="00B04F1A" w:rsidRDefault="00F535CD" w:rsidP="0003260F">
            <w:pPr>
              <w:adjustRightInd w:val="0"/>
              <w:spacing w:line="360" w:lineRule="auto"/>
              <w:rPr>
                <w:color w:val="000000" w:themeColor="text1"/>
                <w:sz w:val="20"/>
                <w:szCs w:val="20"/>
              </w:rPr>
            </w:pPr>
            <w:r w:rsidRPr="00FD002D">
              <w:rPr>
                <w:color w:val="000000" w:themeColor="text1"/>
                <w:sz w:val="20"/>
                <w:szCs w:val="20"/>
              </w:rPr>
              <w:t>***</w:t>
            </w:r>
          </w:p>
        </w:tc>
        <w:tc>
          <w:tcPr>
            <w:tcW w:w="567" w:type="dxa"/>
          </w:tcPr>
          <w:p w14:paraId="43EBE9AA" w14:textId="1EB90F36" w:rsidR="00F535CD" w:rsidRPr="00B04F1A" w:rsidRDefault="00F535CD" w:rsidP="0003260F">
            <w:pPr>
              <w:adjustRightInd w:val="0"/>
              <w:spacing w:line="360" w:lineRule="auto"/>
              <w:rPr>
                <w:color w:val="000000" w:themeColor="text1"/>
                <w:sz w:val="20"/>
                <w:szCs w:val="20"/>
              </w:rPr>
            </w:pPr>
            <w:r w:rsidRPr="00B04F1A">
              <w:rPr>
                <w:color w:val="000000" w:themeColor="text1"/>
                <w:sz w:val="20"/>
                <w:szCs w:val="20"/>
              </w:rPr>
              <w:t>1.07</w:t>
            </w:r>
          </w:p>
        </w:tc>
        <w:tc>
          <w:tcPr>
            <w:tcW w:w="850" w:type="dxa"/>
          </w:tcPr>
          <w:p w14:paraId="4C6FF958" w14:textId="567F8102" w:rsidR="00F535CD" w:rsidRPr="00B04F1A" w:rsidRDefault="00F535CD" w:rsidP="0003260F">
            <w:pPr>
              <w:adjustRightInd w:val="0"/>
              <w:spacing w:line="360" w:lineRule="auto"/>
              <w:rPr>
                <w:color w:val="000000" w:themeColor="text1"/>
                <w:sz w:val="20"/>
                <w:szCs w:val="20"/>
              </w:rPr>
            </w:pPr>
            <w:r w:rsidRPr="00B04F1A">
              <w:rPr>
                <w:color w:val="000000" w:themeColor="text1"/>
                <w:sz w:val="20"/>
                <w:szCs w:val="20"/>
              </w:rPr>
              <w:t>1.07-1.08</w:t>
            </w:r>
          </w:p>
        </w:tc>
        <w:tc>
          <w:tcPr>
            <w:tcW w:w="567" w:type="dxa"/>
          </w:tcPr>
          <w:p w14:paraId="7EBD95F5" w14:textId="2D5CA98F" w:rsidR="00F535CD" w:rsidRPr="00B04F1A" w:rsidRDefault="00F535CD" w:rsidP="0003260F">
            <w:pPr>
              <w:adjustRightInd w:val="0"/>
              <w:spacing w:line="360" w:lineRule="auto"/>
              <w:rPr>
                <w:color w:val="000000" w:themeColor="text1"/>
                <w:sz w:val="20"/>
                <w:szCs w:val="20"/>
              </w:rPr>
            </w:pPr>
            <w:r w:rsidRPr="00B04F1A">
              <w:rPr>
                <w:color w:val="000000" w:themeColor="text1"/>
                <w:sz w:val="20"/>
                <w:szCs w:val="20"/>
              </w:rPr>
              <w:t>***</w:t>
            </w:r>
          </w:p>
        </w:tc>
        <w:tc>
          <w:tcPr>
            <w:tcW w:w="425" w:type="dxa"/>
          </w:tcPr>
          <w:p w14:paraId="4A2ED4E9" w14:textId="2417E68A" w:rsidR="00F535CD" w:rsidRPr="00B04F1A" w:rsidRDefault="00F535CD" w:rsidP="0003260F">
            <w:pPr>
              <w:adjustRightInd w:val="0"/>
              <w:spacing w:line="360" w:lineRule="auto"/>
              <w:rPr>
                <w:color w:val="000000" w:themeColor="text1"/>
                <w:sz w:val="20"/>
                <w:szCs w:val="20"/>
              </w:rPr>
            </w:pPr>
            <w:r w:rsidRPr="00B04F1A">
              <w:rPr>
                <w:color w:val="000000" w:themeColor="text1"/>
                <w:sz w:val="20"/>
                <w:szCs w:val="20"/>
              </w:rPr>
              <w:t>1.0</w:t>
            </w:r>
          </w:p>
        </w:tc>
        <w:tc>
          <w:tcPr>
            <w:tcW w:w="851" w:type="dxa"/>
          </w:tcPr>
          <w:p w14:paraId="01AAC0B2" w14:textId="0469553D" w:rsidR="00F535CD" w:rsidRPr="00B04F1A" w:rsidRDefault="00F535CD" w:rsidP="0003260F">
            <w:pPr>
              <w:adjustRightInd w:val="0"/>
              <w:spacing w:line="360" w:lineRule="auto"/>
              <w:rPr>
                <w:color w:val="000000" w:themeColor="text1"/>
                <w:sz w:val="20"/>
                <w:szCs w:val="20"/>
              </w:rPr>
            </w:pPr>
            <w:r w:rsidRPr="00B04F1A">
              <w:rPr>
                <w:color w:val="000000" w:themeColor="text1"/>
                <w:sz w:val="20"/>
                <w:szCs w:val="20"/>
              </w:rPr>
              <w:t>1.03-1.05</w:t>
            </w:r>
          </w:p>
        </w:tc>
        <w:tc>
          <w:tcPr>
            <w:tcW w:w="567" w:type="dxa"/>
          </w:tcPr>
          <w:p w14:paraId="0EAF1C2C" w14:textId="559B5513" w:rsidR="00F535CD" w:rsidRPr="003B5222" w:rsidRDefault="00F535CD" w:rsidP="0003260F">
            <w:pPr>
              <w:adjustRightInd w:val="0"/>
              <w:spacing w:line="360" w:lineRule="auto"/>
              <w:rPr>
                <w:sz w:val="20"/>
                <w:szCs w:val="20"/>
              </w:rPr>
            </w:pPr>
            <w:r w:rsidRPr="00FD002D">
              <w:rPr>
                <w:color w:val="000000" w:themeColor="text1"/>
                <w:sz w:val="20"/>
                <w:szCs w:val="20"/>
              </w:rPr>
              <w:t>***</w:t>
            </w:r>
          </w:p>
        </w:tc>
      </w:tr>
      <w:tr w:rsidR="00F535CD" w:rsidRPr="00BF4DA9" w14:paraId="3ABDAF57" w14:textId="77777777" w:rsidTr="00CE4D33">
        <w:trPr>
          <w:trHeight w:val="340"/>
        </w:trPr>
        <w:tc>
          <w:tcPr>
            <w:tcW w:w="1276" w:type="dxa"/>
          </w:tcPr>
          <w:p w14:paraId="025787F1" w14:textId="77777777" w:rsidR="00F535CD" w:rsidRPr="00B04F1A" w:rsidRDefault="00F535CD" w:rsidP="0003260F">
            <w:pPr>
              <w:spacing w:line="360" w:lineRule="auto"/>
              <w:rPr>
                <w:color w:val="000000" w:themeColor="text1"/>
                <w:sz w:val="20"/>
                <w:szCs w:val="20"/>
              </w:rPr>
            </w:pPr>
            <w:r w:rsidRPr="00B04F1A">
              <w:rPr>
                <w:color w:val="000000" w:themeColor="text1"/>
                <w:sz w:val="20"/>
                <w:szCs w:val="20"/>
              </w:rPr>
              <w:t>Sex (Male)</w:t>
            </w:r>
          </w:p>
        </w:tc>
        <w:tc>
          <w:tcPr>
            <w:tcW w:w="567" w:type="dxa"/>
          </w:tcPr>
          <w:p w14:paraId="7306D9ED" w14:textId="7186E8C2" w:rsidR="00F535CD" w:rsidRPr="00B04F1A" w:rsidRDefault="00F535CD" w:rsidP="0003260F">
            <w:pPr>
              <w:adjustRightInd w:val="0"/>
              <w:spacing w:line="360" w:lineRule="auto"/>
              <w:rPr>
                <w:color w:val="000000" w:themeColor="text1"/>
                <w:sz w:val="20"/>
                <w:szCs w:val="20"/>
              </w:rPr>
            </w:pPr>
            <w:r w:rsidRPr="00B04F1A">
              <w:rPr>
                <w:color w:val="000000" w:themeColor="text1"/>
                <w:sz w:val="20"/>
                <w:szCs w:val="20"/>
              </w:rPr>
              <w:t>2.07</w:t>
            </w:r>
          </w:p>
        </w:tc>
        <w:tc>
          <w:tcPr>
            <w:tcW w:w="851" w:type="dxa"/>
          </w:tcPr>
          <w:p w14:paraId="68E34DD6" w14:textId="0A304F7B" w:rsidR="00F535CD" w:rsidRPr="00B04F1A" w:rsidRDefault="00F535CD" w:rsidP="0003260F">
            <w:pPr>
              <w:adjustRightInd w:val="0"/>
              <w:spacing w:line="360" w:lineRule="auto"/>
              <w:rPr>
                <w:color w:val="000000" w:themeColor="text1"/>
                <w:sz w:val="20"/>
                <w:szCs w:val="20"/>
              </w:rPr>
            </w:pPr>
            <w:r w:rsidRPr="00B04F1A">
              <w:rPr>
                <w:color w:val="000000" w:themeColor="text1"/>
                <w:sz w:val="20"/>
                <w:szCs w:val="20"/>
              </w:rPr>
              <w:t>2.0-2.15</w:t>
            </w:r>
          </w:p>
        </w:tc>
        <w:tc>
          <w:tcPr>
            <w:tcW w:w="425" w:type="dxa"/>
          </w:tcPr>
          <w:p w14:paraId="732DFB82" w14:textId="2DB28E75" w:rsidR="00F535CD" w:rsidRPr="00B04F1A" w:rsidRDefault="00F535CD" w:rsidP="0003260F">
            <w:pPr>
              <w:adjustRightInd w:val="0"/>
              <w:spacing w:line="360" w:lineRule="auto"/>
              <w:rPr>
                <w:color w:val="000000" w:themeColor="text1"/>
                <w:sz w:val="20"/>
                <w:szCs w:val="20"/>
              </w:rPr>
            </w:pPr>
            <w:r w:rsidRPr="00FD002D">
              <w:rPr>
                <w:color w:val="000000" w:themeColor="text1"/>
                <w:sz w:val="20"/>
                <w:szCs w:val="20"/>
              </w:rPr>
              <w:t>***</w:t>
            </w:r>
          </w:p>
        </w:tc>
        <w:tc>
          <w:tcPr>
            <w:tcW w:w="567" w:type="dxa"/>
          </w:tcPr>
          <w:p w14:paraId="4616923A" w14:textId="09972AC7" w:rsidR="00F535CD" w:rsidRPr="00B04F1A" w:rsidRDefault="00F535CD" w:rsidP="0003260F">
            <w:pPr>
              <w:adjustRightInd w:val="0"/>
              <w:spacing w:line="360" w:lineRule="auto"/>
              <w:ind w:left="26" w:right="-291"/>
              <w:rPr>
                <w:color w:val="000000" w:themeColor="text1"/>
                <w:sz w:val="20"/>
                <w:szCs w:val="20"/>
              </w:rPr>
            </w:pPr>
            <w:r w:rsidRPr="00B04F1A">
              <w:rPr>
                <w:color w:val="000000" w:themeColor="text1"/>
                <w:sz w:val="20"/>
                <w:szCs w:val="20"/>
              </w:rPr>
              <w:t>1.36</w:t>
            </w:r>
          </w:p>
        </w:tc>
        <w:tc>
          <w:tcPr>
            <w:tcW w:w="850" w:type="dxa"/>
          </w:tcPr>
          <w:p w14:paraId="6AF49967" w14:textId="406BA97B" w:rsidR="00F535CD" w:rsidRPr="00B04F1A" w:rsidRDefault="00F535CD" w:rsidP="0003260F">
            <w:pPr>
              <w:adjustRightInd w:val="0"/>
              <w:spacing w:line="360" w:lineRule="auto"/>
              <w:ind w:right="-291"/>
              <w:rPr>
                <w:color w:val="000000" w:themeColor="text1"/>
                <w:sz w:val="20"/>
                <w:szCs w:val="20"/>
              </w:rPr>
            </w:pPr>
            <w:r w:rsidRPr="00B04F1A">
              <w:rPr>
                <w:color w:val="000000" w:themeColor="text1"/>
                <w:sz w:val="20"/>
                <w:szCs w:val="20"/>
              </w:rPr>
              <w:t>1.23-1.51</w:t>
            </w:r>
          </w:p>
        </w:tc>
        <w:tc>
          <w:tcPr>
            <w:tcW w:w="426" w:type="dxa"/>
          </w:tcPr>
          <w:p w14:paraId="44ADF88F" w14:textId="41807F18" w:rsidR="00F535CD" w:rsidRPr="00B04F1A" w:rsidRDefault="00F535CD" w:rsidP="0003260F">
            <w:pPr>
              <w:adjustRightInd w:val="0"/>
              <w:spacing w:line="360" w:lineRule="auto"/>
              <w:rPr>
                <w:color w:val="000000" w:themeColor="text1"/>
                <w:sz w:val="20"/>
                <w:szCs w:val="20"/>
              </w:rPr>
            </w:pPr>
            <w:r w:rsidRPr="00FD002D">
              <w:rPr>
                <w:color w:val="000000" w:themeColor="text1"/>
                <w:sz w:val="20"/>
                <w:szCs w:val="20"/>
              </w:rPr>
              <w:t>***</w:t>
            </w:r>
          </w:p>
        </w:tc>
        <w:tc>
          <w:tcPr>
            <w:tcW w:w="567" w:type="dxa"/>
          </w:tcPr>
          <w:p w14:paraId="61254E67" w14:textId="1C18D324" w:rsidR="00F535CD" w:rsidRPr="00B04F1A" w:rsidRDefault="00F535CD" w:rsidP="0003260F">
            <w:pPr>
              <w:adjustRightInd w:val="0"/>
              <w:spacing w:line="360" w:lineRule="auto"/>
              <w:rPr>
                <w:color w:val="000000" w:themeColor="text1"/>
                <w:sz w:val="20"/>
                <w:szCs w:val="20"/>
              </w:rPr>
            </w:pPr>
            <w:r w:rsidRPr="00B04F1A">
              <w:rPr>
                <w:color w:val="000000" w:themeColor="text1"/>
                <w:sz w:val="20"/>
                <w:szCs w:val="20"/>
              </w:rPr>
              <w:t>2.08</w:t>
            </w:r>
          </w:p>
        </w:tc>
        <w:tc>
          <w:tcPr>
            <w:tcW w:w="850" w:type="dxa"/>
          </w:tcPr>
          <w:p w14:paraId="6F3DB80E" w14:textId="799C6E53" w:rsidR="00F535CD" w:rsidRPr="00B04F1A" w:rsidRDefault="00F535CD" w:rsidP="0003260F">
            <w:pPr>
              <w:adjustRightInd w:val="0"/>
              <w:spacing w:line="360" w:lineRule="auto"/>
              <w:rPr>
                <w:color w:val="000000" w:themeColor="text1"/>
                <w:sz w:val="20"/>
                <w:szCs w:val="20"/>
              </w:rPr>
            </w:pPr>
            <w:r w:rsidRPr="00B04F1A">
              <w:rPr>
                <w:color w:val="000000" w:themeColor="text1"/>
                <w:sz w:val="20"/>
                <w:szCs w:val="20"/>
              </w:rPr>
              <w:t>2.00-2.20</w:t>
            </w:r>
          </w:p>
        </w:tc>
        <w:tc>
          <w:tcPr>
            <w:tcW w:w="567" w:type="dxa"/>
          </w:tcPr>
          <w:p w14:paraId="2DCAEDD8" w14:textId="41A50966" w:rsidR="00F535CD" w:rsidRPr="00B04F1A" w:rsidRDefault="00F535CD" w:rsidP="0003260F">
            <w:pPr>
              <w:adjustRightInd w:val="0"/>
              <w:spacing w:line="360" w:lineRule="auto"/>
              <w:rPr>
                <w:color w:val="000000" w:themeColor="text1"/>
                <w:sz w:val="20"/>
                <w:szCs w:val="20"/>
              </w:rPr>
            </w:pPr>
            <w:r w:rsidRPr="00B04F1A">
              <w:rPr>
                <w:color w:val="000000" w:themeColor="text1"/>
                <w:sz w:val="20"/>
                <w:szCs w:val="20"/>
              </w:rPr>
              <w:t>***</w:t>
            </w:r>
          </w:p>
        </w:tc>
        <w:tc>
          <w:tcPr>
            <w:tcW w:w="425" w:type="dxa"/>
          </w:tcPr>
          <w:p w14:paraId="5D133B94" w14:textId="16C891A0" w:rsidR="00F535CD" w:rsidRPr="00B04F1A" w:rsidRDefault="00F535CD" w:rsidP="0003260F">
            <w:pPr>
              <w:adjustRightInd w:val="0"/>
              <w:spacing w:line="360" w:lineRule="auto"/>
              <w:rPr>
                <w:color w:val="000000" w:themeColor="text1"/>
                <w:sz w:val="20"/>
                <w:szCs w:val="20"/>
              </w:rPr>
            </w:pPr>
            <w:r w:rsidRPr="00B04F1A">
              <w:rPr>
                <w:color w:val="000000" w:themeColor="text1"/>
                <w:sz w:val="20"/>
                <w:szCs w:val="20"/>
              </w:rPr>
              <w:t>1.26</w:t>
            </w:r>
          </w:p>
        </w:tc>
        <w:tc>
          <w:tcPr>
            <w:tcW w:w="851" w:type="dxa"/>
          </w:tcPr>
          <w:p w14:paraId="45E17AE0" w14:textId="075EFC1C" w:rsidR="00F535CD" w:rsidRPr="00B04F1A" w:rsidRDefault="00F535CD" w:rsidP="0003260F">
            <w:pPr>
              <w:adjustRightInd w:val="0"/>
              <w:spacing w:line="360" w:lineRule="auto"/>
              <w:rPr>
                <w:color w:val="000000" w:themeColor="text1"/>
                <w:sz w:val="20"/>
                <w:szCs w:val="20"/>
              </w:rPr>
            </w:pPr>
            <w:r w:rsidRPr="00B04F1A">
              <w:rPr>
                <w:color w:val="000000" w:themeColor="text1"/>
                <w:sz w:val="20"/>
                <w:szCs w:val="20"/>
              </w:rPr>
              <w:t>1.15-1.38</w:t>
            </w:r>
          </w:p>
        </w:tc>
        <w:tc>
          <w:tcPr>
            <w:tcW w:w="567" w:type="dxa"/>
          </w:tcPr>
          <w:p w14:paraId="7633C29B" w14:textId="60179CC7" w:rsidR="00F535CD" w:rsidRPr="003B5222" w:rsidRDefault="00F535CD" w:rsidP="0003260F">
            <w:pPr>
              <w:adjustRightInd w:val="0"/>
              <w:spacing w:line="360" w:lineRule="auto"/>
              <w:rPr>
                <w:sz w:val="20"/>
                <w:szCs w:val="20"/>
              </w:rPr>
            </w:pPr>
            <w:r w:rsidRPr="00FD002D">
              <w:rPr>
                <w:color w:val="000000" w:themeColor="text1"/>
                <w:sz w:val="20"/>
                <w:szCs w:val="20"/>
              </w:rPr>
              <w:t>***</w:t>
            </w:r>
          </w:p>
        </w:tc>
      </w:tr>
      <w:tr w:rsidR="00F535CD" w:rsidRPr="00BF4DA9" w14:paraId="44ADB119" w14:textId="77777777" w:rsidTr="00CE4D33">
        <w:trPr>
          <w:trHeight w:val="340"/>
        </w:trPr>
        <w:tc>
          <w:tcPr>
            <w:tcW w:w="1276" w:type="dxa"/>
          </w:tcPr>
          <w:p w14:paraId="19FC8056" w14:textId="77777777" w:rsidR="00F535CD" w:rsidRPr="00B04F1A" w:rsidRDefault="00F535CD" w:rsidP="0003260F">
            <w:pPr>
              <w:spacing w:line="360" w:lineRule="auto"/>
              <w:rPr>
                <w:color w:val="000000" w:themeColor="text1"/>
                <w:sz w:val="20"/>
                <w:szCs w:val="20"/>
              </w:rPr>
            </w:pPr>
            <w:r w:rsidRPr="00B04F1A">
              <w:rPr>
                <w:color w:val="000000" w:themeColor="text1"/>
                <w:sz w:val="20"/>
                <w:szCs w:val="20"/>
              </w:rPr>
              <w:t>Ever Smoked</w:t>
            </w:r>
          </w:p>
        </w:tc>
        <w:tc>
          <w:tcPr>
            <w:tcW w:w="567" w:type="dxa"/>
          </w:tcPr>
          <w:p w14:paraId="06D43405" w14:textId="1DBCD962" w:rsidR="00F535CD" w:rsidRPr="00B04F1A" w:rsidRDefault="00F535CD" w:rsidP="0003260F">
            <w:pPr>
              <w:adjustRightInd w:val="0"/>
              <w:spacing w:line="360" w:lineRule="auto"/>
              <w:rPr>
                <w:color w:val="000000" w:themeColor="text1"/>
                <w:sz w:val="20"/>
                <w:szCs w:val="20"/>
              </w:rPr>
            </w:pPr>
            <w:r w:rsidRPr="00B04F1A">
              <w:rPr>
                <w:color w:val="000000" w:themeColor="text1"/>
                <w:sz w:val="20"/>
                <w:szCs w:val="20"/>
              </w:rPr>
              <w:t>1.52</w:t>
            </w:r>
          </w:p>
        </w:tc>
        <w:tc>
          <w:tcPr>
            <w:tcW w:w="851" w:type="dxa"/>
          </w:tcPr>
          <w:p w14:paraId="15DC4FF4" w14:textId="35A275BA" w:rsidR="00F535CD" w:rsidRPr="00B04F1A" w:rsidRDefault="00F535CD" w:rsidP="0003260F">
            <w:pPr>
              <w:adjustRightInd w:val="0"/>
              <w:spacing w:line="360" w:lineRule="auto"/>
              <w:rPr>
                <w:color w:val="000000" w:themeColor="text1"/>
                <w:sz w:val="20"/>
                <w:szCs w:val="20"/>
              </w:rPr>
            </w:pPr>
            <w:r w:rsidRPr="00B04F1A">
              <w:rPr>
                <w:color w:val="000000" w:themeColor="text1"/>
                <w:sz w:val="20"/>
                <w:szCs w:val="20"/>
              </w:rPr>
              <w:t>1.47-1.58</w:t>
            </w:r>
          </w:p>
        </w:tc>
        <w:tc>
          <w:tcPr>
            <w:tcW w:w="425" w:type="dxa"/>
          </w:tcPr>
          <w:p w14:paraId="3FF3F698" w14:textId="5927C407" w:rsidR="00F535CD" w:rsidRPr="00B04F1A" w:rsidRDefault="00F535CD" w:rsidP="0003260F">
            <w:pPr>
              <w:adjustRightInd w:val="0"/>
              <w:spacing w:line="360" w:lineRule="auto"/>
              <w:rPr>
                <w:color w:val="000000" w:themeColor="text1"/>
                <w:sz w:val="20"/>
                <w:szCs w:val="20"/>
              </w:rPr>
            </w:pPr>
            <w:r w:rsidRPr="00FD002D">
              <w:rPr>
                <w:color w:val="000000" w:themeColor="text1"/>
                <w:sz w:val="20"/>
                <w:szCs w:val="20"/>
              </w:rPr>
              <w:t>***</w:t>
            </w:r>
          </w:p>
        </w:tc>
        <w:tc>
          <w:tcPr>
            <w:tcW w:w="567" w:type="dxa"/>
          </w:tcPr>
          <w:p w14:paraId="0D47EC7B" w14:textId="6C60EF9F" w:rsidR="00F535CD" w:rsidRPr="00B04F1A" w:rsidRDefault="00F535CD" w:rsidP="0003260F">
            <w:pPr>
              <w:adjustRightInd w:val="0"/>
              <w:spacing w:line="360" w:lineRule="auto"/>
              <w:ind w:left="26" w:right="-291"/>
              <w:rPr>
                <w:color w:val="000000" w:themeColor="text1"/>
                <w:sz w:val="20"/>
                <w:szCs w:val="20"/>
              </w:rPr>
            </w:pPr>
            <w:r w:rsidRPr="00B04F1A">
              <w:rPr>
                <w:color w:val="000000" w:themeColor="text1"/>
                <w:sz w:val="20"/>
                <w:szCs w:val="20"/>
              </w:rPr>
              <w:t>1.33</w:t>
            </w:r>
          </w:p>
        </w:tc>
        <w:tc>
          <w:tcPr>
            <w:tcW w:w="850" w:type="dxa"/>
          </w:tcPr>
          <w:p w14:paraId="1B47D432" w14:textId="654E47B0" w:rsidR="00F535CD" w:rsidRPr="00B04F1A" w:rsidRDefault="00F535CD" w:rsidP="0003260F">
            <w:pPr>
              <w:adjustRightInd w:val="0"/>
              <w:spacing w:line="360" w:lineRule="auto"/>
              <w:ind w:right="-291"/>
              <w:rPr>
                <w:color w:val="000000" w:themeColor="text1"/>
                <w:sz w:val="20"/>
                <w:szCs w:val="20"/>
              </w:rPr>
            </w:pPr>
            <w:r w:rsidRPr="00B04F1A">
              <w:rPr>
                <w:color w:val="000000" w:themeColor="text1"/>
                <w:sz w:val="20"/>
                <w:szCs w:val="20"/>
              </w:rPr>
              <w:t>1.2-1.46</w:t>
            </w:r>
          </w:p>
        </w:tc>
        <w:tc>
          <w:tcPr>
            <w:tcW w:w="426" w:type="dxa"/>
          </w:tcPr>
          <w:p w14:paraId="2DA44DC5" w14:textId="1A2E278B" w:rsidR="00F535CD" w:rsidRPr="00B04F1A" w:rsidRDefault="00F535CD" w:rsidP="0003260F">
            <w:pPr>
              <w:adjustRightInd w:val="0"/>
              <w:spacing w:line="360" w:lineRule="auto"/>
              <w:rPr>
                <w:color w:val="000000" w:themeColor="text1"/>
                <w:sz w:val="20"/>
                <w:szCs w:val="20"/>
              </w:rPr>
            </w:pPr>
            <w:r w:rsidRPr="00FD002D">
              <w:rPr>
                <w:color w:val="000000" w:themeColor="text1"/>
                <w:sz w:val="20"/>
                <w:szCs w:val="20"/>
              </w:rPr>
              <w:t>***</w:t>
            </w:r>
          </w:p>
        </w:tc>
        <w:tc>
          <w:tcPr>
            <w:tcW w:w="567" w:type="dxa"/>
          </w:tcPr>
          <w:p w14:paraId="13483C9C" w14:textId="3BA3BD06" w:rsidR="00F535CD" w:rsidRPr="00B04F1A" w:rsidRDefault="00F535CD" w:rsidP="0003260F">
            <w:pPr>
              <w:adjustRightInd w:val="0"/>
              <w:spacing w:line="360" w:lineRule="auto"/>
              <w:rPr>
                <w:color w:val="000000" w:themeColor="text1"/>
                <w:sz w:val="20"/>
                <w:szCs w:val="20"/>
              </w:rPr>
            </w:pPr>
            <w:r w:rsidRPr="00B04F1A">
              <w:rPr>
                <w:color w:val="000000" w:themeColor="text1"/>
                <w:sz w:val="20"/>
                <w:szCs w:val="20"/>
              </w:rPr>
              <w:t>1.76</w:t>
            </w:r>
          </w:p>
        </w:tc>
        <w:tc>
          <w:tcPr>
            <w:tcW w:w="850" w:type="dxa"/>
          </w:tcPr>
          <w:p w14:paraId="5549EF6F" w14:textId="4B77E268" w:rsidR="00F535CD" w:rsidRPr="00B04F1A" w:rsidRDefault="00F535CD" w:rsidP="0003260F">
            <w:pPr>
              <w:adjustRightInd w:val="0"/>
              <w:spacing w:line="360" w:lineRule="auto"/>
              <w:rPr>
                <w:color w:val="000000" w:themeColor="text1"/>
                <w:sz w:val="20"/>
                <w:szCs w:val="20"/>
              </w:rPr>
            </w:pPr>
            <w:r w:rsidRPr="00B04F1A">
              <w:rPr>
                <w:color w:val="000000" w:themeColor="text1"/>
                <w:sz w:val="20"/>
                <w:szCs w:val="20"/>
              </w:rPr>
              <w:t>1.70-1.83</w:t>
            </w:r>
          </w:p>
        </w:tc>
        <w:tc>
          <w:tcPr>
            <w:tcW w:w="567" w:type="dxa"/>
          </w:tcPr>
          <w:p w14:paraId="10734919" w14:textId="0E43A68F" w:rsidR="00F535CD" w:rsidRPr="00B04F1A" w:rsidRDefault="00F535CD" w:rsidP="0003260F">
            <w:pPr>
              <w:adjustRightInd w:val="0"/>
              <w:spacing w:line="360" w:lineRule="auto"/>
              <w:rPr>
                <w:color w:val="000000" w:themeColor="text1"/>
                <w:sz w:val="20"/>
                <w:szCs w:val="20"/>
              </w:rPr>
            </w:pPr>
            <w:r w:rsidRPr="00B04F1A">
              <w:rPr>
                <w:color w:val="000000" w:themeColor="text1"/>
                <w:sz w:val="20"/>
                <w:szCs w:val="20"/>
              </w:rPr>
              <w:t>***</w:t>
            </w:r>
          </w:p>
        </w:tc>
        <w:tc>
          <w:tcPr>
            <w:tcW w:w="425" w:type="dxa"/>
          </w:tcPr>
          <w:p w14:paraId="31C7FA68" w14:textId="14BE774B" w:rsidR="00F535CD" w:rsidRPr="00B04F1A" w:rsidRDefault="00F535CD" w:rsidP="0003260F">
            <w:pPr>
              <w:adjustRightInd w:val="0"/>
              <w:spacing w:line="360" w:lineRule="auto"/>
              <w:rPr>
                <w:color w:val="000000" w:themeColor="text1"/>
                <w:sz w:val="20"/>
                <w:szCs w:val="20"/>
              </w:rPr>
            </w:pPr>
            <w:r w:rsidRPr="00B04F1A">
              <w:rPr>
                <w:color w:val="000000" w:themeColor="text1"/>
                <w:sz w:val="20"/>
                <w:szCs w:val="20"/>
              </w:rPr>
              <w:t>1.26</w:t>
            </w:r>
          </w:p>
        </w:tc>
        <w:tc>
          <w:tcPr>
            <w:tcW w:w="851" w:type="dxa"/>
          </w:tcPr>
          <w:p w14:paraId="5FDE35B4" w14:textId="314B8518" w:rsidR="00F535CD" w:rsidRPr="00B04F1A" w:rsidRDefault="00F535CD" w:rsidP="0003260F">
            <w:pPr>
              <w:adjustRightInd w:val="0"/>
              <w:spacing w:line="360" w:lineRule="auto"/>
              <w:rPr>
                <w:color w:val="000000" w:themeColor="text1"/>
                <w:sz w:val="20"/>
                <w:szCs w:val="20"/>
              </w:rPr>
            </w:pPr>
            <w:r w:rsidRPr="00B04F1A">
              <w:rPr>
                <w:color w:val="000000" w:themeColor="text1"/>
                <w:sz w:val="20"/>
                <w:szCs w:val="20"/>
              </w:rPr>
              <w:t>1.15-1.39</w:t>
            </w:r>
          </w:p>
        </w:tc>
        <w:tc>
          <w:tcPr>
            <w:tcW w:w="567" w:type="dxa"/>
          </w:tcPr>
          <w:p w14:paraId="6ABF36FE" w14:textId="119835B8" w:rsidR="00F535CD" w:rsidRPr="003B5222" w:rsidRDefault="00F535CD" w:rsidP="0003260F">
            <w:pPr>
              <w:adjustRightInd w:val="0"/>
              <w:spacing w:line="360" w:lineRule="auto"/>
              <w:rPr>
                <w:sz w:val="20"/>
                <w:szCs w:val="20"/>
              </w:rPr>
            </w:pPr>
            <w:r w:rsidRPr="00FD002D">
              <w:rPr>
                <w:color w:val="000000" w:themeColor="text1"/>
                <w:sz w:val="20"/>
                <w:szCs w:val="20"/>
              </w:rPr>
              <w:t>***</w:t>
            </w:r>
          </w:p>
        </w:tc>
      </w:tr>
      <w:tr w:rsidR="00F535CD" w:rsidRPr="00BF4DA9" w14:paraId="38A041F4" w14:textId="77777777" w:rsidTr="00CE4D33">
        <w:trPr>
          <w:trHeight w:val="340"/>
        </w:trPr>
        <w:tc>
          <w:tcPr>
            <w:tcW w:w="1276" w:type="dxa"/>
          </w:tcPr>
          <w:p w14:paraId="566FEB77" w14:textId="77777777" w:rsidR="00F535CD" w:rsidRPr="00B04F1A" w:rsidRDefault="00F535CD" w:rsidP="0003260F">
            <w:pPr>
              <w:spacing w:line="360" w:lineRule="auto"/>
              <w:rPr>
                <w:color w:val="000000" w:themeColor="text1"/>
                <w:sz w:val="20"/>
                <w:szCs w:val="20"/>
              </w:rPr>
            </w:pPr>
            <w:r w:rsidRPr="00B04F1A">
              <w:rPr>
                <w:color w:val="000000" w:themeColor="text1"/>
                <w:sz w:val="20"/>
                <w:szCs w:val="20"/>
              </w:rPr>
              <w:t>Diabetes</w:t>
            </w:r>
          </w:p>
        </w:tc>
        <w:tc>
          <w:tcPr>
            <w:tcW w:w="567" w:type="dxa"/>
          </w:tcPr>
          <w:p w14:paraId="1EA916D7" w14:textId="179AAEE1" w:rsidR="00F535CD" w:rsidRPr="00B04F1A" w:rsidRDefault="00F535CD" w:rsidP="0003260F">
            <w:pPr>
              <w:adjustRightInd w:val="0"/>
              <w:spacing w:line="360" w:lineRule="auto"/>
              <w:rPr>
                <w:color w:val="000000" w:themeColor="text1"/>
                <w:sz w:val="20"/>
                <w:szCs w:val="20"/>
              </w:rPr>
            </w:pPr>
            <w:r w:rsidRPr="00B04F1A">
              <w:rPr>
                <w:color w:val="000000" w:themeColor="text1"/>
                <w:sz w:val="20"/>
                <w:szCs w:val="20"/>
              </w:rPr>
              <w:t>2.16</w:t>
            </w:r>
          </w:p>
        </w:tc>
        <w:tc>
          <w:tcPr>
            <w:tcW w:w="851" w:type="dxa"/>
          </w:tcPr>
          <w:p w14:paraId="57DDEB14" w14:textId="6DAAF668" w:rsidR="00F535CD" w:rsidRPr="00B04F1A" w:rsidRDefault="00F535CD" w:rsidP="0003260F">
            <w:pPr>
              <w:adjustRightInd w:val="0"/>
              <w:spacing w:line="360" w:lineRule="auto"/>
              <w:rPr>
                <w:color w:val="000000" w:themeColor="text1"/>
                <w:sz w:val="20"/>
                <w:szCs w:val="20"/>
              </w:rPr>
            </w:pPr>
            <w:r w:rsidRPr="00B04F1A">
              <w:rPr>
                <w:color w:val="000000" w:themeColor="text1"/>
                <w:sz w:val="20"/>
                <w:szCs w:val="20"/>
              </w:rPr>
              <w:t>2.0-2.32</w:t>
            </w:r>
          </w:p>
        </w:tc>
        <w:tc>
          <w:tcPr>
            <w:tcW w:w="425" w:type="dxa"/>
          </w:tcPr>
          <w:p w14:paraId="77904836" w14:textId="0CBD3CA1" w:rsidR="00F535CD" w:rsidRPr="00B04F1A" w:rsidRDefault="00F535CD" w:rsidP="0003260F">
            <w:pPr>
              <w:adjustRightInd w:val="0"/>
              <w:spacing w:line="360" w:lineRule="auto"/>
              <w:rPr>
                <w:color w:val="000000" w:themeColor="text1"/>
                <w:sz w:val="20"/>
                <w:szCs w:val="20"/>
              </w:rPr>
            </w:pPr>
            <w:r w:rsidRPr="00FD002D">
              <w:rPr>
                <w:color w:val="000000" w:themeColor="text1"/>
                <w:sz w:val="20"/>
                <w:szCs w:val="20"/>
              </w:rPr>
              <w:t>***</w:t>
            </w:r>
          </w:p>
        </w:tc>
        <w:tc>
          <w:tcPr>
            <w:tcW w:w="567" w:type="dxa"/>
          </w:tcPr>
          <w:p w14:paraId="752F39AC" w14:textId="2C6E953D" w:rsidR="00F535CD" w:rsidRPr="00B04F1A" w:rsidRDefault="00F535CD" w:rsidP="0003260F">
            <w:pPr>
              <w:adjustRightInd w:val="0"/>
              <w:spacing w:line="360" w:lineRule="auto"/>
              <w:ind w:left="26" w:right="-291"/>
              <w:rPr>
                <w:color w:val="000000" w:themeColor="text1"/>
                <w:sz w:val="20"/>
                <w:szCs w:val="20"/>
              </w:rPr>
            </w:pPr>
            <w:r w:rsidRPr="00B04F1A">
              <w:rPr>
                <w:color w:val="000000" w:themeColor="text1"/>
                <w:sz w:val="20"/>
                <w:szCs w:val="20"/>
              </w:rPr>
              <w:t>1.76</w:t>
            </w:r>
          </w:p>
        </w:tc>
        <w:tc>
          <w:tcPr>
            <w:tcW w:w="850" w:type="dxa"/>
          </w:tcPr>
          <w:p w14:paraId="2FC477A4" w14:textId="676F9639" w:rsidR="00F535CD" w:rsidRPr="00B04F1A" w:rsidRDefault="00F535CD" w:rsidP="0003260F">
            <w:pPr>
              <w:adjustRightInd w:val="0"/>
              <w:spacing w:line="360" w:lineRule="auto"/>
              <w:ind w:right="-291"/>
              <w:rPr>
                <w:color w:val="000000" w:themeColor="text1"/>
                <w:sz w:val="20"/>
                <w:szCs w:val="20"/>
              </w:rPr>
            </w:pPr>
            <w:r w:rsidRPr="00B04F1A">
              <w:rPr>
                <w:color w:val="000000" w:themeColor="text1"/>
                <w:sz w:val="20"/>
                <w:szCs w:val="20"/>
              </w:rPr>
              <w:t>1.58-1.96</w:t>
            </w:r>
          </w:p>
        </w:tc>
        <w:tc>
          <w:tcPr>
            <w:tcW w:w="426" w:type="dxa"/>
          </w:tcPr>
          <w:p w14:paraId="1F2EA7AC" w14:textId="22B2142B" w:rsidR="00F535CD" w:rsidRPr="00B04F1A" w:rsidRDefault="00F535CD" w:rsidP="0003260F">
            <w:pPr>
              <w:adjustRightInd w:val="0"/>
              <w:spacing w:line="360" w:lineRule="auto"/>
              <w:rPr>
                <w:color w:val="000000" w:themeColor="text1"/>
                <w:sz w:val="20"/>
                <w:szCs w:val="20"/>
              </w:rPr>
            </w:pPr>
            <w:r w:rsidRPr="00FD002D">
              <w:rPr>
                <w:color w:val="000000" w:themeColor="text1"/>
                <w:sz w:val="20"/>
                <w:szCs w:val="20"/>
              </w:rPr>
              <w:t>***</w:t>
            </w:r>
          </w:p>
        </w:tc>
        <w:tc>
          <w:tcPr>
            <w:tcW w:w="567" w:type="dxa"/>
          </w:tcPr>
          <w:p w14:paraId="5BE323D6" w14:textId="29A1DF94" w:rsidR="00F535CD" w:rsidRPr="00B04F1A" w:rsidRDefault="00F535CD" w:rsidP="0003260F">
            <w:pPr>
              <w:adjustRightInd w:val="0"/>
              <w:spacing w:line="360" w:lineRule="auto"/>
              <w:rPr>
                <w:color w:val="000000" w:themeColor="text1"/>
                <w:sz w:val="20"/>
                <w:szCs w:val="20"/>
              </w:rPr>
            </w:pPr>
            <w:r w:rsidRPr="00B04F1A">
              <w:rPr>
                <w:color w:val="000000" w:themeColor="text1"/>
                <w:sz w:val="20"/>
                <w:szCs w:val="20"/>
              </w:rPr>
              <w:t>2.08</w:t>
            </w:r>
          </w:p>
        </w:tc>
        <w:tc>
          <w:tcPr>
            <w:tcW w:w="850" w:type="dxa"/>
          </w:tcPr>
          <w:p w14:paraId="33E2A4FB" w14:textId="5ACFE593" w:rsidR="00F535CD" w:rsidRPr="00B04F1A" w:rsidRDefault="00F535CD" w:rsidP="0003260F">
            <w:pPr>
              <w:adjustRightInd w:val="0"/>
              <w:spacing w:line="360" w:lineRule="auto"/>
              <w:rPr>
                <w:color w:val="000000" w:themeColor="text1"/>
                <w:sz w:val="20"/>
                <w:szCs w:val="20"/>
              </w:rPr>
            </w:pPr>
            <w:r w:rsidRPr="00B04F1A">
              <w:rPr>
                <w:color w:val="000000" w:themeColor="text1"/>
                <w:sz w:val="20"/>
                <w:szCs w:val="20"/>
              </w:rPr>
              <w:t>1.93-2.25</w:t>
            </w:r>
          </w:p>
        </w:tc>
        <w:tc>
          <w:tcPr>
            <w:tcW w:w="567" w:type="dxa"/>
          </w:tcPr>
          <w:p w14:paraId="18DFFBAA" w14:textId="49599BD9" w:rsidR="00F535CD" w:rsidRPr="00B04F1A" w:rsidRDefault="00F535CD" w:rsidP="0003260F">
            <w:pPr>
              <w:adjustRightInd w:val="0"/>
              <w:spacing w:line="360" w:lineRule="auto"/>
              <w:rPr>
                <w:color w:val="000000" w:themeColor="text1"/>
                <w:sz w:val="20"/>
                <w:szCs w:val="20"/>
              </w:rPr>
            </w:pPr>
            <w:r w:rsidRPr="00B04F1A">
              <w:rPr>
                <w:color w:val="000000" w:themeColor="text1"/>
                <w:sz w:val="20"/>
                <w:szCs w:val="20"/>
              </w:rPr>
              <w:t>***</w:t>
            </w:r>
          </w:p>
        </w:tc>
        <w:tc>
          <w:tcPr>
            <w:tcW w:w="425" w:type="dxa"/>
          </w:tcPr>
          <w:p w14:paraId="63C6715D" w14:textId="2F1CF6D0" w:rsidR="00F535CD" w:rsidRPr="00B04F1A" w:rsidRDefault="00F535CD" w:rsidP="0003260F">
            <w:pPr>
              <w:adjustRightInd w:val="0"/>
              <w:spacing w:line="360" w:lineRule="auto"/>
              <w:rPr>
                <w:color w:val="000000" w:themeColor="text1"/>
                <w:sz w:val="20"/>
                <w:szCs w:val="20"/>
              </w:rPr>
            </w:pPr>
            <w:r w:rsidRPr="00B04F1A">
              <w:rPr>
                <w:color w:val="000000" w:themeColor="text1"/>
                <w:sz w:val="20"/>
                <w:szCs w:val="20"/>
              </w:rPr>
              <w:t>1.58</w:t>
            </w:r>
          </w:p>
        </w:tc>
        <w:tc>
          <w:tcPr>
            <w:tcW w:w="851" w:type="dxa"/>
          </w:tcPr>
          <w:p w14:paraId="4EF7D700" w14:textId="6C24D8BC" w:rsidR="00F535CD" w:rsidRPr="00B04F1A" w:rsidRDefault="00F535CD" w:rsidP="0003260F">
            <w:pPr>
              <w:adjustRightInd w:val="0"/>
              <w:spacing w:line="360" w:lineRule="auto"/>
              <w:rPr>
                <w:color w:val="000000" w:themeColor="text1"/>
                <w:sz w:val="20"/>
                <w:szCs w:val="20"/>
              </w:rPr>
            </w:pPr>
            <w:r w:rsidRPr="00B04F1A">
              <w:rPr>
                <w:color w:val="000000" w:themeColor="text1"/>
                <w:sz w:val="20"/>
                <w:szCs w:val="20"/>
              </w:rPr>
              <w:t>1.42-1.76</w:t>
            </w:r>
          </w:p>
        </w:tc>
        <w:tc>
          <w:tcPr>
            <w:tcW w:w="567" w:type="dxa"/>
          </w:tcPr>
          <w:p w14:paraId="14FFE927" w14:textId="57481399" w:rsidR="00F535CD" w:rsidRPr="003B5222" w:rsidRDefault="00F535CD" w:rsidP="0003260F">
            <w:pPr>
              <w:adjustRightInd w:val="0"/>
              <w:spacing w:line="360" w:lineRule="auto"/>
              <w:rPr>
                <w:sz w:val="20"/>
                <w:szCs w:val="20"/>
              </w:rPr>
            </w:pPr>
            <w:r w:rsidRPr="00FD002D">
              <w:rPr>
                <w:color w:val="000000" w:themeColor="text1"/>
                <w:sz w:val="20"/>
                <w:szCs w:val="20"/>
              </w:rPr>
              <w:t>***</w:t>
            </w:r>
          </w:p>
        </w:tc>
      </w:tr>
      <w:tr w:rsidR="00F535CD" w:rsidRPr="00BF4DA9" w14:paraId="7D50999B" w14:textId="77777777" w:rsidTr="00CE4D33">
        <w:trPr>
          <w:trHeight w:val="340"/>
        </w:trPr>
        <w:tc>
          <w:tcPr>
            <w:tcW w:w="1276" w:type="dxa"/>
          </w:tcPr>
          <w:p w14:paraId="770EFDBC" w14:textId="77777777" w:rsidR="00F535CD" w:rsidRPr="00B04F1A" w:rsidRDefault="00F535CD" w:rsidP="0003260F">
            <w:pPr>
              <w:spacing w:line="360" w:lineRule="auto"/>
              <w:rPr>
                <w:color w:val="000000" w:themeColor="text1"/>
                <w:sz w:val="20"/>
                <w:szCs w:val="20"/>
              </w:rPr>
            </w:pPr>
            <w:r w:rsidRPr="00B04F1A">
              <w:rPr>
                <w:color w:val="000000" w:themeColor="text1"/>
                <w:sz w:val="20"/>
                <w:szCs w:val="20"/>
              </w:rPr>
              <w:t>HT</w:t>
            </w:r>
          </w:p>
        </w:tc>
        <w:tc>
          <w:tcPr>
            <w:tcW w:w="567" w:type="dxa"/>
          </w:tcPr>
          <w:p w14:paraId="15291C2C" w14:textId="68E9F6B8" w:rsidR="00F535CD" w:rsidRPr="00B04F1A" w:rsidRDefault="00F535CD" w:rsidP="0003260F">
            <w:pPr>
              <w:adjustRightInd w:val="0"/>
              <w:spacing w:line="360" w:lineRule="auto"/>
              <w:rPr>
                <w:color w:val="000000" w:themeColor="text1"/>
                <w:sz w:val="20"/>
                <w:szCs w:val="20"/>
              </w:rPr>
            </w:pPr>
            <w:r w:rsidRPr="00B04F1A">
              <w:rPr>
                <w:color w:val="000000" w:themeColor="text1"/>
                <w:sz w:val="20"/>
                <w:szCs w:val="20"/>
              </w:rPr>
              <w:t>1.84</w:t>
            </w:r>
          </w:p>
        </w:tc>
        <w:tc>
          <w:tcPr>
            <w:tcW w:w="851" w:type="dxa"/>
          </w:tcPr>
          <w:p w14:paraId="652A75A9" w14:textId="20956610" w:rsidR="00F535CD" w:rsidRPr="00B04F1A" w:rsidRDefault="00F535CD" w:rsidP="0003260F">
            <w:pPr>
              <w:adjustRightInd w:val="0"/>
              <w:spacing w:line="360" w:lineRule="auto"/>
              <w:rPr>
                <w:color w:val="000000" w:themeColor="text1"/>
                <w:sz w:val="20"/>
                <w:szCs w:val="20"/>
              </w:rPr>
            </w:pPr>
            <w:r w:rsidRPr="00B04F1A">
              <w:rPr>
                <w:color w:val="000000" w:themeColor="text1"/>
                <w:sz w:val="20"/>
                <w:szCs w:val="20"/>
              </w:rPr>
              <w:t>1.78-1.91</w:t>
            </w:r>
          </w:p>
        </w:tc>
        <w:tc>
          <w:tcPr>
            <w:tcW w:w="425" w:type="dxa"/>
          </w:tcPr>
          <w:p w14:paraId="28F0BEA5" w14:textId="2B6EB654" w:rsidR="00F535CD" w:rsidRPr="00B04F1A" w:rsidRDefault="00F535CD" w:rsidP="0003260F">
            <w:pPr>
              <w:adjustRightInd w:val="0"/>
              <w:spacing w:line="360" w:lineRule="auto"/>
              <w:rPr>
                <w:color w:val="000000" w:themeColor="text1"/>
                <w:sz w:val="20"/>
                <w:szCs w:val="20"/>
              </w:rPr>
            </w:pPr>
            <w:r w:rsidRPr="00FD002D">
              <w:rPr>
                <w:color w:val="000000" w:themeColor="text1"/>
                <w:sz w:val="20"/>
                <w:szCs w:val="20"/>
              </w:rPr>
              <w:t>***</w:t>
            </w:r>
          </w:p>
        </w:tc>
        <w:tc>
          <w:tcPr>
            <w:tcW w:w="567" w:type="dxa"/>
          </w:tcPr>
          <w:p w14:paraId="36CE8926" w14:textId="6F518520" w:rsidR="00F535CD" w:rsidRPr="00B04F1A" w:rsidRDefault="00F535CD" w:rsidP="0003260F">
            <w:pPr>
              <w:adjustRightInd w:val="0"/>
              <w:spacing w:line="360" w:lineRule="auto"/>
              <w:ind w:left="26" w:right="-291"/>
              <w:rPr>
                <w:color w:val="000000" w:themeColor="text1"/>
                <w:sz w:val="20"/>
                <w:szCs w:val="20"/>
              </w:rPr>
            </w:pPr>
            <w:r w:rsidRPr="00B04F1A">
              <w:rPr>
                <w:color w:val="000000" w:themeColor="text1"/>
                <w:sz w:val="20"/>
                <w:szCs w:val="20"/>
              </w:rPr>
              <w:t>1.38</w:t>
            </w:r>
          </w:p>
        </w:tc>
        <w:tc>
          <w:tcPr>
            <w:tcW w:w="850" w:type="dxa"/>
          </w:tcPr>
          <w:p w14:paraId="2C703C0A" w14:textId="63A79D67" w:rsidR="00F535CD" w:rsidRPr="00B04F1A" w:rsidRDefault="00F535CD" w:rsidP="0003260F">
            <w:pPr>
              <w:adjustRightInd w:val="0"/>
              <w:spacing w:line="360" w:lineRule="auto"/>
              <w:ind w:right="-291"/>
              <w:rPr>
                <w:color w:val="000000" w:themeColor="text1"/>
                <w:sz w:val="20"/>
                <w:szCs w:val="20"/>
              </w:rPr>
            </w:pPr>
            <w:r w:rsidRPr="00B04F1A">
              <w:rPr>
                <w:color w:val="000000" w:themeColor="text1"/>
                <w:sz w:val="20"/>
                <w:szCs w:val="20"/>
              </w:rPr>
              <w:t>1.26-1.51</w:t>
            </w:r>
          </w:p>
        </w:tc>
        <w:tc>
          <w:tcPr>
            <w:tcW w:w="426" w:type="dxa"/>
          </w:tcPr>
          <w:p w14:paraId="68BC1F2D" w14:textId="496E4BDC" w:rsidR="00F535CD" w:rsidRPr="00B04F1A" w:rsidRDefault="00F535CD" w:rsidP="0003260F">
            <w:pPr>
              <w:adjustRightInd w:val="0"/>
              <w:spacing w:line="360" w:lineRule="auto"/>
              <w:rPr>
                <w:color w:val="000000" w:themeColor="text1"/>
                <w:sz w:val="20"/>
                <w:szCs w:val="20"/>
              </w:rPr>
            </w:pPr>
            <w:r w:rsidRPr="00FD002D">
              <w:rPr>
                <w:color w:val="000000" w:themeColor="text1"/>
                <w:sz w:val="20"/>
                <w:szCs w:val="20"/>
              </w:rPr>
              <w:t>***</w:t>
            </w:r>
          </w:p>
        </w:tc>
        <w:tc>
          <w:tcPr>
            <w:tcW w:w="567" w:type="dxa"/>
          </w:tcPr>
          <w:p w14:paraId="1404EF7F" w14:textId="3AA1469E" w:rsidR="00F535CD" w:rsidRPr="00B04F1A" w:rsidRDefault="00F535CD" w:rsidP="0003260F">
            <w:pPr>
              <w:adjustRightInd w:val="0"/>
              <w:spacing w:line="360" w:lineRule="auto"/>
              <w:rPr>
                <w:color w:val="000000" w:themeColor="text1"/>
                <w:sz w:val="20"/>
                <w:szCs w:val="20"/>
              </w:rPr>
            </w:pPr>
            <w:r w:rsidRPr="00B04F1A">
              <w:rPr>
                <w:color w:val="000000" w:themeColor="text1"/>
                <w:sz w:val="20"/>
                <w:szCs w:val="20"/>
              </w:rPr>
              <w:t>1.85</w:t>
            </w:r>
          </w:p>
        </w:tc>
        <w:tc>
          <w:tcPr>
            <w:tcW w:w="850" w:type="dxa"/>
          </w:tcPr>
          <w:p w14:paraId="1C648F11" w14:textId="66804CD4" w:rsidR="00F535CD" w:rsidRPr="00B04F1A" w:rsidRDefault="00F535CD" w:rsidP="0003260F">
            <w:pPr>
              <w:adjustRightInd w:val="0"/>
              <w:spacing w:line="360" w:lineRule="auto"/>
              <w:rPr>
                <w:color w:val="000000" w:themeColor="text1"/>
                <w:sz w:val="20"/>
                <w:szCs w:val="20"/>
              </w:rPr>
            </w:pPr>
            <w:r w:rsidRPr="00B04F1A">
              <w:rPr>
                <w:color w:val="000000" w:themeColor="text1"/>
                <w:sz w:val="20"/>
                <w:szCs w:val="20"/>
              </w:rPr>
              <w:t>1.78-1.92</w:t>
            </w:r>
          </w:p>
        </w:tc>
        <w:tc>
          <w:tcPr>
            <w:tcW w:w="567" w:type="dxa"/>
          </w:tcPr>
          <w:p w14:paraId="58D12DEE" w14:textId="00E832A6" w:rsidR="00F535CD" w:rsidRPr="00B04F1A" w:rsidRDefault="00F535CD" w:rsidP="0003260F">
            <w:pPr>
              <w:adjustRightInd w:val="0"/>
              <w:spacing w:line="360" w:lineRule="auto"/>
              <w:rPr>
                <w:color w:val="000000" w:themeColor="text1"/>
                <w:sz w:val="20"/>
                <w:szCs w:val="20"/>
              </w:rPr>
            </w:pPr>
            <w:r w:rsidRPr="00B04F1A">
              <w:rPr>
                <w:color w:val="000000" w:themeColor="text1"/>
                <w:sz w:val="20"/>
                <w:szCs w:val="20"/>
              </w:rPr>
              <w:t>***</w:t>
            </w:r>
          </w:p>
        </w:tc>
        <w:tc>
          <w:tcPr>
            <w:tcW w:w="425" w:type="dxa"/>
          </w:tcPr>
          <w:p w14:paraId="6BDBEA7C" w14:textId="31CB50D4" w:rsidR="00F535CD" w:rsidRPr="00B04F1A" w:rsidRDefault="00F535CD" w:rsidP="0003260F">
            <w:pPr>
              <w:adjustRightInd w:val="0"/>
              <w:spacing w:line="360" w:lineRule="auto"/>
              <w:rPr>
                <w:color w:val="000000" w:themeColor="text1"/>
                <w:sz w:val="20"/>
                <w:szCs w:val="20"/>
              </w:rPr>
            </w:pPr>
            <w:r w:rsidRPr="00B04F1A">
              <w:rPr>
                <w:color w:val="000000" w:themeColor="text1"/>
                <w:sz w:val="20"/>
                <w:szCs w:val="20"/>
              </w:rPr>
              <w:t>1.31</w:t>
            </w:r>
          </w:p>
        </w:tc>
        <w:tc>
          <w:tcPr>
            <w:tcW w:w="851" w:type="dxa"/>
          </w:tcPr>
          <w:p w14:paraId="6EBF8DE1" w14:textId="7C2FD43D" w:rsidR="00F535CD" w:rsidRPr="00B04F1A" w:rsidRDefault="00F535CD" w:rsidP="0003260F">
            <w:pPr>
              <w:adjustRightInd w:val="0"/>
              <w:spacing w:line="360" w:lineRule="auto"/>
              <w:rPr>
                <w:color w:val="000000" w:themeColor="text1"/>
                <w:sz w:val="20"/>
                <w:szCs w:val="20"/>
              </w:rPr>
            </w:pPr>
            <w:r w:rsidRPr="00B04F1A">
              <w:rPr>
                <w:color w:val="000000" w:themeColor="text1"/>
                <w:sz w:val="20"/>
                <w:szCs w:val="20"/>
              </w:rPr>
              <w:t>1.20-1.43</w:t>
            </w:r>
          </w:p>
        </w:tc>
        <w:tc>
          <w:tcPr>
            <w:tcW w:w="567" w:type="dxa"/>
          </w:tcPr>
          <w:p w14:paraId="45B2F43D" w14:textId="3908041A" w:rsidR="00F535CD" w:rsidRPr="003B5222" w:rsidRDefault="00F535CD" w:rsidP="0003260F">
            <w:pPr>
              <w:adjustRightInd w:val="0"/>
              <w:spacing w:line="360" w:lineRule="auto"/>
              <w:rPr>
                <w:sz w:val="20"/>
                <w:szCs w:val="20"/>
              </w:rPr>
            </w:pPr>
            <w:r w:rsidRPr="00FD002D">
              <w:rPr>
                <w:color w:val="000000" w:themeColor="text1"/>
                <w:sz w:val="20"/>
                <w:szCs w:val="20"/>
              </w:rPr>
              <w:t>***</w:t>
            </w:r>
          </w:p>
        </w:tc>
      </w:tr>
      <w:tr w:rsidR="00F535CD" w:rsidRPr="00BF4DA9" w14:paraId="7765317C" w14:textId="77777777" w:rsidTr="00CE4D33">
        <w:trPr>
          <w:trHeight w:val="340"/>
        </w:trPr>
        <w:tc>
          <w:tcPr>
            <w:tcW w:w="1276" w:type="dxa"/>
          </w:tcPr>
          <w:p w14:paraId="1821BA29" w14:textId="77777777" w:rsidR="00F535CD" w:rsidRPr="00B04F1A" w:rsidRDefault="00F535CD" w:rsidP="0003260F">
            <w:pPr>
              <w:spacing w:line="360" w:lineRule="auto"/>
              <w:rPr>
                <w:color w:val="000000" w:themeColor="text1"/>
                <w:sz w:val="20"/>
                <w:szCs w:val="20"/>
              </w:rPr>
            </w:pPr>
            <w:proofErr w:type="spellStart"/>
            <w:r w:rsidRPr="00B04F1A">
              <w:rPr>
                <w:color w:val="000000" w:themeColor="text1"/>
                <w:sz w:val="20"/>
                <w:szCs w:val="20"/>
              </w:rPr>
              <w:t>Hyperchol</w:t>
            </w:r>
            <w:proofErr w:type="spellEnd"/>
            <w:r w:rsidRPr="00B04F1A">
              <w:rPr>
                <w:color w:val="000000" w:themeColor="text1"/>
                <w:sz w:val="20"/>
                <w:szCs w:val="20"/>
              </w:rPr>
              <w:t>.</w:t>
            </w:r>
          </w:p>
        </w:tc>
        <w:tc>
          <w:tcPr>
            <w:tcW w:w="567" w:type="dxa"/>
          </w:tcPr>
          <w:p w14:paraId="60EF6B45" w14:textId="58999DDF" w:rsidR="00F535CD" w:rsidRPr="00B04F1A" w:rsidRDefault="00F535CD" w:rsidP="0003260F">
            <w:pPr>
              <w:adjustRightInd w:val="0"/>
              <w:spacing w:line="360" w:lineRule="auto"/>
              <w:rPr>
                <w:color w:val="000000" w:themeColor="text1"/>
                <w:sz w:val="20"/>
                <w:szCs w:val="20"/>
              </w:rPr>
            </w:pPr>
            <w:r w:rsidRPr="00B04F1A">
              <w:rPr>
                <w:color w:val="000000" w:themeColor="text1"/>
                <w:sz w:val="20"/>
                <w:szCs w:val="20"/>
              </w:rPr>
              <w:t>1.41</w:t>
            </w:r>
          </w:p>
        </w:tc>
        <w:tc>
          <w:tcPr>
            <w:tcW w:w="851" w:type="dxa"/>
          </w:tcPr>
          <w:p w14:paraId="5BF30EA1" w14:textId="74F2BD5D" w:rsidR="00F535CD" w:rsidRPr="00B04F1A" w:rsidRDefault="00F535CD" w:rsidP="0003260F">
            <w:pPr>
              <w:adjustRightInd w:val="0"/>
              <w:spacing w:line="360" w:lineRule="auto"/>
              <w:rPr>
                <w:color w:val="000000" w:themeColor="text1"/>
                <w:sz w:val="20"/>
                <w:szCs w:val="20"/>
              </w:rPr>
            </w:pPr>
            <w:r w:rsidRPr="00B04F1A">
              <w:rPr>
                <w:color w:val="000000" w:themeColor="text1"/>
                <w:sz w:val="20"/>
                <w:szCs w:val="20"/>
              </w:rPr>
              <w:t>1.34-1.49</w:t>
            </w:r>
          </w:p>
        </w:tc>
        <w:tc>
          <w:tcPr>
            <w:tcW w:w="425" w:type="dxa"/>
          </w:tcPr>
          <w:p w14:paraId="16852B28" w14:textId="7FD6E52B" w:rsidR="00F535CD" w:rsidRPr="00B04F1A" w:rsidRDefault="00F535CD" w:rsidP="0003260F">
            <w:pPr>
              <w:adjustRightInd w:val="0"/>
              <w:spacing w:line="360" w:lineRule="auto"/>
              <w:rPr>
                <w:color w:val="000000" w:themeColor="text1"/>
                <w:sz w:val="20"/>
                <w:szCs w:val="20"/>
              </w:rPr>
            </w:pPr>
            <w:r w:rsidRPr="00FD002D">
              <w:rPr>
                <w:color w:val="000000" w:themeColor="text1"/>
                <w:sz w:val="20"/>
                <w:szCs w:val="20"/>
              </w:rPr>
              <w:t>***</w:t>
            </w:r>
          </w:p>
        </w:tc>
        <w:tc>
          <w:tcPr>
            <w:tcW w:w="567" w:type="dxa"/>
          </w:tcPr>
          <w:p w14:paraId="0DD549E4" w14:textId="54FA55E9" w:rsidR="00F535CD" w:rsidRPr="00B04F1A" w:rsidRDefault="00F535CD" w:rsidP="0003260F">
            <w:pPr>
              <w:adjustRightInd w:val="0"/>
              <w:spacing w:line="360" w:lineRule="auto"/>
              <w:ind w:left="26" w:right="-291"/>
              <w:rPr>
                <w:color w:val="000000" w:themeColor="text1"/>
                <w:sz w:val="20"/>
                <w:szCs w:val="20"/>
              </w:rPr>
            </w:pPr>
            <w:r w:rsidRPr="00B04F1A">
              <w:rPr>
                <w:color w:val="000000" w:themeColor="text1"/>
                <w:sz w:val="20"/>
                <w:szCs w:val="20"/>
              </w:rPr>
              <w:t>1.12</w:t>
            </w:r>
          </w:p>
        </w:tc>
        <w:tc>
          <w:tcPr>
            <w:tcW w:w="850" w:type="dxa"/>
          </w:tcPr>
          <w:p w14:paraId="4A8077AF" w14:textId="0A4090CC" w:rsidR="00F535CD" w:rsidRPr="00B04F1A" w:rsidRDefault="00F535CD" w:rsidP="0003260F">
            <w:pPr>
              <w:adjustRightInd w:val="0"/>
              <w:spacing w:line="360" w:lineRule="auto"/>
              <w:ind w:right="-291"/>
              <w:rPr>
                <w:color w:val="000000" w:themeColor="text1"/>
                <w:sz w:val="20"/>
                <w:szCs w:val="20"/>
              </w:rPr>
            </w:pPr>
            <w:r w:rsidRPr="00B04F1A">
              <w:rPr>
                <w:color w:val="000000" w:themeColor="text1"/>
                <w:sz w:val="20"/>
                <w:szCs w:val="20"/>
              </w:rPr>
              <w:t>1.02-1.23</w:t>
            </w:r>
          </w:p>
        </w:tc>
        <w:tc>
          <w:tcPr>
            <w:tcW w:w="426" w:type="dxa"/>
          </w:tcPr>
          <w:p w14:paraId="3D7C55D5" w14:textId="0B1DA40F" w:rsidR="00F535CD" w:rsidRPr="00B04F1A" w:rsidRDefault="00F535CD" w:rsidP="0003260F">
            <w:pPr>
              <w:adjustRightInd w:val="0"/>
              <w:spacing w:line="360" w:lineRule="auto"/>
              <w:rPr>
                <w:color w:val="000000" w:themeColor="text1"/>
                <w:sz w:val="20"/>
                <w:szCs w:val="20"/>
              </w:rPr>
            </w:pPr>
            <w:r w:rsidRPr="00B04F1A">
              <w:rPr>
                <w:color w:val="000000" w:themeColor="text1"/>
                <w:sz w:val="20"/>
                <w:szCs w:val="20"/>
              </w:rPr>
              <w:t>0.02</w:t>
            </w:r>
          </w:p>
        </w:tc>
        <w:tc>
          <w:tcPr>
            <w:tcW w:w="567" w:type="dxa"/>
          </w:tcPr>
          <w:p w14:paraId="65F59D60" w14:textId="5DB35755" w:rsidR="00F535CD" w:rsidRPr="00B04F1A" w:rsidRDefault="00F535CD" w:rsidP="0003260F">
            <w:pPr>
              <w:adjustRightInd w:val="0"/>
              <w:spacing w:line="360" w:lineRule="auto"/>
              <w:rPr>
                <w:color w:val="000000" w:themeColor="text1"/>
                <w:sz w:val="20"/>
                <w:szCs w:val="20"/>
              </w:rPr>
            </w:pPr>
            <w:r w:rsidRPr="00B04F1A">
              <w:rPr>
                <w:color w:val="000000" w:themeColor="text1"/>
                <w:sz w:val="20"/>
                <w:szCs w:val="20"/>
              </w:rPr>
              <w:t>1.37</w:t>
            </w:r>
          </w:p>
        </w:tc>
        <w:tc>
          <w:tcPr>
            <w:tcW w:w="850" w:type="dxa"/>
          </w:tcPr>
          <w:p w14:paraId="1AA35347" w14:textId="25B603FF" w:rsidR="00F535CD" w:rsidRPr="00B04F1A" w:rsidRDefault="00F535CD" w:rsidP="0003260F">
            <w:pPr>
              <w:adjustRightInd w:val="0"/>
              <w:spacing w:line="360" w:lineRule="auto"/>
              <w:rPr>
                <w:color w:val="000000" w:themeColor="text1"/>
                <w:sz w:val="20"/>
                <w:szCs w:val="20"/>
              </w:rPr>
            </w:pPr>
            <w:r w:rsidRPr="00B04F1A">
              <w:rPr>
                <w:color w:val="000000" w:themeColor="text1"/>
                <w:sz w:val="20"/>
                <w:szCs w:val="20"/>
              </w:rPr>
              <w:t>1.31-1.44</w:t>
            </w:r>
          </w:p>
        </w:tc>
        <w:tc>
          <w:tcPr>
            <w:tcW w:w="567" w:type="dxa"/>
          </w:tcPr>
          <w:p w14:paraId="06BE97C0" w14:textId="30F00FCE" w:rsidR="00F535CD" w:rsidRPr="00B04F1A" w:rsidRDefault="00F535CD" w:rsidP="0003260F">
            <w:pPr>
              <w:adjustRightInd w:val="0"/>
              <w:spacing w:line="360" w:lineRule="auto"/>
              <w:rPr>
                <w:color w:val="000000" w:themeColor="text1"/>
                <w:sz w:val="20"/>
                <w:szCs w:val="20"/>
              </w:rPr>
            </w:pPr>
            <w:r w:rsidRPr="00B04F1A">
              <w:rPr>
                <w:color w:val="000000" w:themeColor="text1"/>
                <w:sz w:val="20"/>
                <w:szCs w:val="20"/>
              </w:rPr>
              <w:t>***</w:t>
            </w:r>
          </w:p>
        </w:tc>
        <w:tc>
          <w:tcPr>
            <w:tcW w:w="425" w:type="dxa"/>
          </w:tcPr>
          <w:p w14:paraId="58D042C4" w14:textId="18CF3FD3" w:rsidR="00F535CD" w:rsidRPr="00B04F1A" w:rsidRDefault="00F535CD" w:rsidP="0003260F">
            <w:pPr>
              <w:adjustRightInd w:val="0"/>
              <w:spacing w:line="360" w:lineRule="auto"/>
              <w:rPr>
                <w:color w:val="000000" w:themeColor="text1"/>
                <w:sz w:val="20"/>
                <w:szCs w:val="20"/>
              </w:rPr>
            </w:pPr>
            <w:r w:rsidRPr="00B04F1A">
              <w:rPr>
                <w:color w:val="000000" w:themeColor="text1"/>
                <w:sz w:val="20"/>
                <w:szCs w:val="20"/>
              </w:rPr>
              <w:t>1.07</w:t>
            </w:r>
          </w:p>
        </w:tc>
        <w:tc>
          <w:tcPr>
            <w:tcW w:w="851" w:type="dxa"/>
          </w:tcPr>
          <w:p w14:paraId="489E44E0" w14:textId="1019708C" w:rsidR="00F535CD" w:rsidRPr="00B04F1A" w:rsidRDefault="00F535CD" w:rsidP="0003260F">
            <w:pPr>
              <w:adjustRightInd w:val="0"/>
              <w:spacing w:line="360" w:lineRule="auto"/>
              <w:rPr>
                <w:color w:val="000000" w:themeColor="text1"/>
                <w:sz w:val="20"/>
                <w:szCs w:val="20"/>
              </w:rPr>
            </w:pPr>
            <w:r w:rsidRPr="00B04F1A">
              <w:rPr>
                <w:color w:val="000000" w:themeColor="text1"/>
                <w:sz w:val="20"/>
                <w:szCs w:val="20"/>
              </w:rPr>
              <w:t>0.98-1.17</w:t>
            </w:r>
          </w:p>
        </w:tc>
        <w:tc>
          <w:tcPr>
            <w:tcW w:w="567" w:type="dxa"/>
          </w:tcPr>
          <w:p w14:paraId="7AC51FE3" w14:textId="70154EF5" w:rsidR="00F535CD" w:rsidRPr="003B5222" w:rsidRDefault="00F535CD" w:rsidP="0003260F">
            <w:pPr>
              <w:adjustRightInd w:val="0"/>
              <w:spacing w:line="360" w:lineRule="auto"/>
              <w:rPr>
                <w:sz w:val="20"/>
                <w:szCs w:val="20"/>
              </w:rPr>
            </w:pPr>
            <w:r w:rsidRPr="00B04F1A">
              <w:rPr>
                <w:color w:val="000000" w:themeColor="text1"/>
                <w:sz w:val="20"/>
                <w:szCs w:val="20"/>
              </w:rPr>
              <w:t>0.14</w:t>
            </w:r>
          </w:p>
        </w:tc>
      </w:tr>
      <w:tr w:rsidR="00F535CD" w:rsidRPr="00BF4DA9" w14:paraId="7D6F31BF" w14:textId="77777777" w:rsidTr="00CE4D33">
        <w:trPr>
          <w:trHeight w:val="340"/>
        </w:trPr>
        <w:tc>
          <w:tcPr>
            <w:tcW w:w="1276" w:type="dxa"/>
          </w:tcPr>
          <w:p w14:paraId="00286327" w14:textId="77777777" w:rsidR="00F535CD" w:rsidRPr="00B04F1A" w:rsidRDefault="00F535CD" w:rsidP="0003260F">
            <w:pPr>
              <w:spacing w:line="360" w:lineRule="auto"/>
              <w:rPr>
                <w:color w:val="000000" w:themeColor="text1"/>
                <w:sz w:val="20"/>
                <w:szCs w:val="20"/>
              </w:rPr>
            </w:pPr>
            <w:r w:rsidRPr="00B04F1A">
              <w:rPr>
                <w:color w:val="000000" w:themeColor="text1"/>
                <w:sz w:val="20"/>
                <w:szCs w:val="20"/>
              </w:rPr>
              <w:t>Cancer</w:t>
            </w:r>
          </w:p>
        </w:tc>
        <w:tc>
          <w:tcPr>
            <w:tcW w:w="567" w:type="dxa"/>
          </w:tcPr>
          <w:p w14:paraId="28708172" w14:textId="3699614B" w:rsidR="00F535CD" w:rsidRPr="00B04F1A" w:rsidRDefault="00F535CD" w:rsidP="0003260F">
            <w:pPr>
              <w:adjustRightInd w:val="0"/>
              <w:spacing w:line="360" w:lineRule="auto"/>
              <w:rPr>
                <w:color w:val="000000" w:themeColor="text1"/>
                <w:sz w:val="20"/>
                <w:szCs w:val="20"/>
              </w:rPr>
            </w:pPr>
            <w:r w:rsidRPr="00B04F1A">
              <w:rPr>
                <w:color w:val="000000" w:themeColor="text1"/>
                <w:sz w:val="20"/>
                <w:szCs w:val="20"/>
              </w:rPr>
              <w:t>2.56</w:t>
            </w:r>
          </w:p>
        </w:tc>
        <w:tc>
          <w:tcPr>
            <w:tcW w:w="851" w:type="dxa"/>
          </w:tcPr>
          <w:p w14:paraId="7F22C7AE" w14:textId="7EB233C4" w:rsidR="00F535CD" w:rsidRPr="00B04F1A" w:rsidRDefault="00F535CD" w:rsidP="0003260F">
            <w:pPr>
              <w:adjustRightInd w:val="0"/>
              <w:spacing w:line="360" w:lineRule="auto"/>
              <w:rPr>
                <w:color w:val="000000" w:themeColor="text1"/>
                <w:sz w:val="20"/>
                <w:szCs w:val="20"/>
              </w:rPr>
            </w:pPr>
            <w:r w:rsidRPr="00B04F1A">
              <w:rPr>
                <w:color w:val="000000" w:themeColor="text1"/>
                <w:sz w:val="20"/>
                <w:szCs w:val="20"/>
              </w:rPr>
              <w:t>2.45-2.67</w:t>
            </w:r>
          </w:p>
        </w:tc>
        <w:tc>
          <w:tcPr>
            <w:tcW w:w="425" w:type="dxa"/>
          </w:tcPr>
          <w:p w14:paraId="7453618F" w14:textId="5A5433B7" w:rsidR="00F535CD" w:rsidRPr="00B04F1A" w:rsidRDefault="00F535CD" w:rsidP="0003260F">
            <w:pPr>
              <w:adjustRightInd w:val="0"/>
              <w:spacing w:line="360" w:lineRule="auto"/>
              <w:rPr>
                <w:color w:val="000000" w:themeColor="text1"/>
                <w:sz w:val="20"/>
                <w:szCs w:val="20"/>
              </w:rPr>
            </w:pPr>
            <w:r w:rsidRPr="00FD002D">
              <w:rPr>
                <w:color w:val="000000" w:themeColor="text1"/>
                <w:sz w:val="20"/>
                <w:szCs w:val="20"/>
              </w:rPr>
              <w:t>***</w:t>
            </w:r>
          </w:p>
        </w:tc>
        <w:tc>
          <w:tcPr>
            <w:tcW w:w="567" w:type="dxa"/>
          </w:tcPr>
          <w:p w14:paraId="3DD294D3" w14:textId="1FE6E3A4" w:rsidR="00F535CD" w:rsidRPr="00B04F1A" w:rsidRDefault="00F535CD" w:rsidP="0003260F">
            <w:pPr>
              <w:adjustRightInd w:val="0"/>
              <w:spacing w:line="360" w:lineRule="auto"/>
              <w:ind w:left="26" w:right="-291"/>
              <w:rPr>
                <w:color w:val="000000" w:themeColor="text1"/>
                <w:sz w:val="20"/>
                <w:szCs w:val="20"/>
              </w:rPr>
            </w:pPr>
            <w:r w:rsidRPr="00B04F1A">
              <w:rPr>
                <w:color w:val="000000" w:themeColor="text1"/>
                <w:sz w:val="20"/>
                <w:szCs w:val="20"/>
              </w:rPr>
              <w:t>1.49</w:t>
            </w:r>
          </w:p>
        </w:tc>
        <w:tc>
          <w:tcPr>
            <w:tcW w:w="850" w:type="dxa"/>
          </w:tcPr>
          <w:p w14:paraId="52A42F74" w14:textId="6413566E" w:rsidR="00F535CD" w:rsidRPr="00B04F1A" w:rsidRDefault="00F535CD" w:rsidP="0003260F">
            <w:pPr>
              <w:adjustRightInd w:val="0"/>
              <w:spacing w:line="360" w:lineRule="auto"/>
              <w:ind w:right="-291"/>
              <w:rPr>
                <w:color w:val="000000" w:themeColor="text1"/>
                <w:sz w:val="20"/>
                <w:szCs w:val="20"/>
              </w:rPr>
            </w:pPr>
            <w:r w:rsidRPr="00B04F1A">
              <w:rPr>
                <w:color w:val="000000" w:themeColor="text1"/>
                <w:sz w:val="20"/>
                <w:szCs w:val="20"/>
              </w:rPr>
              <w:t>1.33-1.67</w:t>
            </w:r>
          </w:p>
        </w:tc>
        <w:tc>
          <w:tcPr>
            <w:tcW w:w="426" w:type="dxa"/>
          </w:tcPr>
          <w:p w14:paraId="7FBD55F2" w14:textId="563D0D31" w:rsidR="00F535CD" w:rsidRPr="00B04F1A" w:rsidRDefault="00F535CD" w:rsidP="0003260F">
            <w:pPr>
              <w:adjustRightInd w:val="0"/>
              <w:spacing w:line="360" w:lineRule="auto"/>
              <w:rPr>
                <w:color w:val="000000" w:themeColor="text1"/>
                <w:sz w:val="20"/>
                <w:szCs w:val="20"/>
              </w:rPr>
            </w:pPr>
            <w:r w:rsidRPr="00FD002D">
              <w:rPr>
                <w:color w:val="000000" w:themeColor="text1"/>
                <w:sz w:val="20"/>
                <w:szCs w:val="20"/>
              </w:rPr>
              <w:t>***</w:t>
            </w:r>
          </w:p>
        </w:tc>
        <w:tc>
          <w:tcPr>
            <w:tcW w:w="567" w:type="dxa"/>
          </w:tcPr>
          <w:p w14:paraId="1D9718D5" w14:textId="004BCE70" w:rsidR="00F535CD" w:rsidRPr="00B04F1A" w:rsidRDefault="00F535CD" w:rsidP="0003260F">
            <w:pPr>
              <w:adjustRightInd w:val="0"/>
              <w:spacing w:line="360" w:lineRule="auto"/>
              <w:rPr>
                <w:color w:val="000000" w:themeColor="text1"/>
                <w:sz w:val="20"/>
                <w:szCs w:val="20"/>
              </w:rPr>
            </w:pPr>
            <w:r w:rsidRPr="00B04F1A">
              <w:rPr>
                <w:color w:val="000000" w:themeColor="text1"/>
                <w:sz w:val="20"/>
                <w:szCs w:val="20"/>
              </w:rPr>
              <w:t>2.54</w:t>
            </w:r>
          </w:p>
        </w:tc>
        <w:tc>
          <w:tcPr>
            <w:tcW w:w="850" w:type="dxa"/>
          </w:tcPr>
          <w:p w14:paraId="48A056DB" w14:textId="375F02DE" w:rsidR="00F535CD" w:rsidRPr="00B04F1A" w:rsidRDefault="00F535CD" w:rsidP="0003260F">
            <w:pPr>
              <w:adjustRightInd w:val="0"/>
              <w:spacing w:line="360" w:lineRule="auto"/>
              <w:rPr>
                <w:color w:val="000000" w:themeColor="text1"/>
                <w:sz w:val="20"/>
                <w:szCs w:val="20"/>
              </w:rPr>
            </w:pPr>
            <w:r w:rsidRPr="00B04F1A">
              <w:rPr>
                <w:color w:val="000000" w:themeColor="text1"/>
                <w:sz w:val="20"/>
                <w:szCs w:val="20"/>
              </w:rPr>
              <w:t>2.43-2.65</w:t>
            </w:r>
          </w:p>
        </w:tc>
        <w:tc>
          <w:tcPr>
            <w:tcW w:w="567" w:type="dxa"/>
          </w:tcPr>
          <w:p w14:paraId="4A30E13B" w14:textId="6CE8E1CA" w:rsidR="00F535CD" w:rsidRPr="00B04F1A" w:rsidRDefault="00F535CD" w:rsidP="0003260F">
            <w:pPr>
              <w:adjustRightInd w:val="0"/>
              <w:spacing w:line="360" w:lineRule="auto"/>
              <w:rPr>
                <w:color w:val="000000" w:themeColor="text1"/>
                <w:sz w:val="20"/>
                <w:szCs w:val="20"/>
              </w:rPr>
            </w:pPr>
            <w:r w:rsidRPr="00B04F1A">
              <w:rPr>
                <w:color w:val="000000" w:themeColor="text1"/>
                <w:sz w:val="20"/>
                <w:szCs w:val="20"/>
              </w:rPr>
              <w:t>***</w:t>
            </w:r>
          </w:p>
        </w:tc>
        <w:tc>
          <w:tcPr>
            <w:tcW w:w="425" w:type="dxa"/>
          </w:tcPr>
          <w:p w14:paraId="503D6DD3" w14:textId="488AB400" w:rsidR="00F535CD" w:rsidRPr="00B04F1A" w:rsidRDefault="00F535CD" w:rsidP="0003260F">
            <w:pPr>
              <w:adjustRightInd w:val="0"/>
              <w:spacing w:line="360" w:lineRule="auto"/>
              <w:rPr>
                <w:color w:val="000000" w:themeColor="text1"/>
                <w:sz w:val="20"/>
                <w:szCs w:val="20"/>
              </w:rPr>
            </w:pPr>
            <w:r w:rsidRPr="00B04F1A">
              <w:rPr>
                <w:color w:val="000000" w:themeColor="text1"/>
                <w:sz w:val="20"/>
                <w:szCs w:val="20"/>
              </w:rPr>
              <w:t>1.88</w:t>
            </w:r>
          </w:p>
        </w:tc>
        <w:tc>
          <w:tcPr>
            <w:tcW w:w="851" w:type="dxa"/>
          </w:tcPr>
          <w:p w14:paraId="5FAB05E0" w14:textId="0026A3C8" w:rsidR="00F535CD" w:rsidRPr="00B04F1A" w:rsidRDefault="00F535CD" w:rsidP="0003260F">
            <w:pPr>
              <w:adjustRightInd w:val="0"/>
              <w:spacing w:line="360" w:lineRule="auto"/>
              <w:rPr>
                <w:color w:val="000000" w:themeColor="text1"/>
                <w:sz w:val="20"/>
                <w:szCs w:val="20"/>
              </w:rPr>
            </w:pPr>
            <w:r w:rsidRPr="00B04F1A">
              <w:rPr>
                <w:color w:val="000000" w:themeColor="text1"/>
                <w:sz w:val="20"/>
                <w:szCs w:val="20"/>
              </w:rPr>
              <w:t>1.70-2.08</w:t>
            </w:r>
          </w:p>
        </w:tc>
        <w:tc>
          <w:tcPr>
            <w:tcW w:w="567" w:type="dxa"/>
          </w:tcPr>
          <w:p w14:paraId="3F0D547E" w14:textId="0E0FC053" w:rsidR="00F535CD" w:rsidRPr="003B5222" w:rsidRDefault="00F535CD" w:rsidP="0003260F">
            <w:pPr>
              <w:adjustRightInd w:val="0"/>
              <w:spacing w:line="360" w:lineRule="auto"/>
              <w:rPr>
                <w:sz w:val="20"/>
                <w:szCs w:val="20"/>
              </w:rPr>
            </w:pPr>
            <w:r w:rsidRPr="00FD002D">
              <w:rPr>
                <w:color w:val="000000" w:themeColor="text1"/>
                <w:sz w:val="20"/>
                <w:szCs w:val="20"/>
              </w:rPr>
              <w:t>***</w:t>
            </w:r>
          </w:p>
        </w:tc>
      </w:tr>
      <w:tr w:rsidR="00F535CD" w:rsidRPr="00BF4DA9" w14:paraId="6E6F9A68" w14:textId="77777777" w:rsidTr="00CE4D33">
        <w:trPr>
          <w:trHeight w:val="340"/>
        </w:trPr>
        <w:tc>
          <w:tcPr>
            <w:tcW w:w="1276" w:type="dxa"/>
          </w:tcPr>
          <w:p w14:paraId="2DD473A2" w14:textId="77777777" w:rsidR="00F535CD" w:rsidRPr="00B04F1A" w:rsidRDefault="00F535CD" w:rsidP="0003260F">
            <w:pPr>
              <w:spacing w:line="360" w:lineRule="auto"/>
              <w:rPr>
                <w:b/>
                <w:bCs/>
                <w:color w:val="000000" w:themeColor="text1"/>
                <w:sz w:val="20"/>
                <w:szCs w:val="20"/>
              </w:rPr>
            </w:pPr>
            <w:proofErr w:type="spellStart"/>
            <w:r w:rsidRPr="00B04F1A">
              <w:rPr>
                <w:b/>
                <w:bCs/>
                <w:color w:val="000000" w:themeColor="text1"/>
                <w:sz w:val="20"/>
                <w:szCs w:val="20"/>
              </w:rPr>
              <w:t>IVIg</w:t>
            </w:r>
            <w:proofErr w:type="spellEnd"/>
          </w:p>
        </w:tc>
        <w:tc>
          <w:tcPr>
            <w:tcW w:w="567" w:type="dxa"/>
          </w:tcPr>
          <w:p w14:paraId="4A64E272" w14:textId="19B5C85D" w:rsidR="00F535CD" w:rsidRPr="00B04F1A" w:rsidRDefault="00F535CD" w:rsidP="0003260F">
            <w:pPr>
              <w:adjustRightInd w:val="0"/>
              <w:spacing w:line="360" w:lineRule="auto"/>
              <w:rPr>
                <w:b/>
                <w:bCs/>
                <w:color w:val="000000" w:themeColor="text1"/>
                <w:sz w:val="20"/>
                <w:szCs w:val="20"/>
              </w:rPr>
            </w:pPr>
            <w:r w:rsidRPr="00B04F1A">
              <w:rPr>
                <w:b/>
                <w:bCs/>
                <w:color w:val="000000" w:themeColor="text1"/>
                <w:sz w:val="20"/>
                <w:szCs w:val="20"/>
              </w:rPr>
              <w:t>1.01</w:t>
            </w:r>
          </w:p>
        </w:tc>
        <w:tc>
          <w:tcPr>
            <w:tcW w:w="851" w:type="dxa"/>
          </w:tcPr>
          <w:p w14:paraId="1B500C07" w14:textId="05AD3784" w:rsidR="00F535CD" w:rsidRPr="00B04F1A" w:rsidRDefault="00F535CD" w:rsidP="0003260F">
            <w:pPr>
              <w:adjustRightInd w:val="0"/>
              <w:spacing w:line="360" w:lineRule="auto"/>
              <w:rPr>
                <w:b/>
                <w:bCs/>
                <w:color w:val="000000" w:themeColor="text1"/>
                <w:sz w:val="20"/>
                <w:szCs w:val="20"/>
              </w:rPr>
            </w:pPr>
            <w:r w:rsidRPr="00B04F1A">
              <w:rPr>
                <w:b/>
                <w:bCs/>
                <w:color w:val="000000" w:themeColor="text1"/>
                <w:sz w:val="20"/>
                <w:szCs w:val="20"/>
              </w:rPr>
              <w:t>0.32-3.18</w:t>
            </w:r>
          </w:p>
        </w:tc>
        <w:tc>
          <w:tcPr>
            <w:tcW w:w="425" w:type="dxa"/>
          </w:tcPr>
          <w:p w14:paraId="68EA2F7F" w14:textId="26F55513" w:rsidR="00F535CD" w:rsidRPr="00B04F1A" w:rsidRDefault="00F535CD" w:rsidP="0003260F">
            <w:pPr>
              <w:adjustRightInd w:val="0"/>
              <w:spacing w:line="360" w:lineRule="auto"/>
              <w:rPr>
                <w:b/>
                <w:bCs/>
                <w:color w:val="000000" w:themeColor="text1"/>
                <w:sz w:val="20"/>
                <w:szCs w:val="20"/>
              </w:rPr>
            </w:pPr>
            <w:r w:rsidRPr="00B04F1A">
              <w:rPr>
                <w:b/>
                <w:bCs/>
                <w:color w:val="000000" w:themeColor="text1"/>
                <w:sz w:val="20"/>
                <w:szCs w:val="20"/>
              </w:rPr>
              <w:t>0.9</w:t>
            </w:r>
            <w:r>
              <w:rPr>
                <w:b/>
                <w:bCs/>
                <w:color w:val="000000" w:themeColor="text1"/>
                <w:sz w:val="20"/>
                <w:szCs w:val="20"/>
              </w:rPr>
              <w:t>9</w:t>
            </w:r>
          </w:p>
        </w:tc>
        <w:tc>
          <w:tcPr>
            <w:tcW w:w="567" w:type="dxa"/>
          </w:tcPr>
          <w:p w14:paraId="7B2D1BDC" w14:textId="6D015EF8" w:rsidR="00F535CD" w:rsidRPr="00B04F1A" w:rsidRDefault="00F535CD" w:rsidP="0003260F">
            <w:pPr>
              <w:adjustRightInd w:val="0"/>
              <w:spacing w:line="360" w:lineRule="auto"/>
              <w:ind w:left="26" w:right="-291"/>
              <w:rPr>
                <w:b/>
                <w:bCs/>
                <w:color w:val="000000" w:themeColor="text1"/>
                <w:sz w:val="20"/>
                <w:szCs w:val="20"/>
              </w:rPr>
            </w:pPr>
            <w:r w:rsidRPr="00B04F1A">
              <w:rPr>
                <w:b/>
                <w:bCs/>
                <w:color w:val="000000" w:themeColor="text1"/>
                <w:sz w:val="20"/>
                <w:szCs w:val="20"/>
              </w:rPr>
              <w:t>4.23</w:t>
            </w:r>
          </w:p>
        </w:tc>
        <w:tc>
          <w:tcPr>
            <w:tcW w:w="850" w:type="dxa"/>
          </w:tcPr>
          <w:p w14:paraId="0C92C960" w14:textId="29B2BD99" w:rsidR="00F535CD" w:rsidRPr="00B04F1A" w:rsidRDefault="00F535CD" w:rsidP="0003260F">
            <w:pPr>
              <w:adjustRightInd w:val="0"/>
              <w:spacing w:line="360" w:lineRule="auto"/>
              <w:ind w:right="-291"/>
              <w:rPr>
                <w:b/>
                <w:bCs/>
                <w:color w:val="000000" w:themeColor="text1"/>
                <w:sz w:val="20"/>
                <w:szCs w:val="20"/>
              </w:rPr>
            </w:pPr>
            <w:r w:rsidRPr="00B04F1A">
              <w:rPr>
                <w:b/>
                <w:bCs/>
                <w:color w:val="000000" w:themeColor="text1"/>
                <w:sz w:val="20"/>
                <w:szCs w:val="20"/>
              </w:rPr>
              <w:t>1.3-13.</w:t>
            </w:r>
            <w:r>
              <w:rPr>
                <w:b/>
                <w:bCs/>
                <w:color w:val="000000" w:themeColor="text1"/>
                <w:sz w:val="20"/>
                <w:szCs w:val="20"/>
              </w:rPr>
              <w:t>5</w:t>
            </w:r>
          </w:p>
        </w:tc>
        <w:tc>
          <w:tcPr>
            <w:tcW w:w="426" w:type="dxa"/>
          </w:tcPr>
          <w:p w14:paraId="7644247D" w14:textId="73183B16" w:rsidR="00F535CD" w:rsidRPr="00B04F1A" w:rsidRDefault="00F535CD" w:rsidP="0003260F">
            <w:pPr>
              <w:adjustRightInd w:val="0"/>
              <w:spacing w:line="360" w:lineRule="auto"/>
              <w:rPr>
                <w:b/>
                <w:bCs/>
                <w:color w:val="000000" w:themeColor="text1"/>
                <w:sz w:val="20"/>
                <w:szCs w:val="20"/>
              </w:rPr>
            </w:pPr>
            <w:r w:rsidRPr="00B04F1A">
              <w:rPr>
                <w:b/>
                <w:bCs/>
                <w:color w:val="000000" w:themeColor="text1"/>
                <w:sz w:val="20"/>
                <w:szCs w:val="20"/>
              </w:rPr>
              <w:t>0.03</w:t>
            </w:r>
          </w:p>
        </w:tc>
        <w:tc>
          <w:tcPr>
            <w:tcW w:w="567" w:type="dxa"/>
          </w:tcPr>
          <w:p w14:paraId="2F38CD97" w14:textId="351D911A" w:rsidR="00F535CD" w:rsidRPr="00B04F1A" w:rsidRDefault="00F535CD" w:rsidP="0003260F">
            <w:pPr>
              <w:adjustRightInd w:val="0"/>
              <w:spacing w:line="360" w:lineRule="auto"/>
              <w:rPr>
                <w:b/>
                <w:bCs/>
                <w:color w:val="000000" w:themeColor="text1"/>
                <w:sz w:val="20"/>
                <w:szCs w:val="20"/>
              </w:rPr>
            </w:pPr>
            <w:r w:rsidRPr="00B04F1A">
              <w:rPr>
                <w:b/>
                <w:bCs/>
                <w:color w:val="000000" w:themeColor="text1"/>
                <w:sz w:val="20"/>
                <w:szCs w:val="20"/>
              </w:rPr>
              <w:t>1.05</w:t>
            </w:r>
          </w:p>
        </w:tc>
        <w:tc>
          <w:tcPr>
            <w:tcW w:w="850" w:type="dxa"/>
          </w:tcPr>
          <w:p w14:paraId="3133EF33" w14:textId="24E79164" w:rsidR="00F535CD" w:rsidRPr="00B04F1A" w:rsidRDefault="00F535CD" w:rsidP="0003260F">
            <w:pPr>
              <w:adjustRightInd w:val="0"/>
              <w:spacing w:line="360" w:lineRule="auto"/>
              <w:rPr>
                <w:b/>
                <w:bCs/>
                <w:color w:val="000000" w:themeColor="text1"/>
                <w:sz w:val="20"/>
                <w:szCs w:val="20"/>
              </w:rPr>
            </w:pPr>
            <w:r w:rsidRPr="00B04F1A">
              <w:rPr>
                <w:b/>
                <w:bCs/>
                <w:color w:val="000000" w:themeColor="text1"/>
                <w:sz w:val="20"/>
                <w:szCs w:val="20"/>
              </w:rPr>
              <w:t>0.26-2.79</w:t>
            </w:r>
          </w:p>
        </w:tc>
        <w:tc>
          <w:tcPr>
            <w:tcW w:w="567" w:type="dxa"/>
          </w:tcPr>
          <w:p w14:paraId="306C4D19" w14:textId="5CA55ED3" w:rsidR="00F535CD" w:rsidRPr="00B04F1A" w:rsidRDefault="00F535CD" w:rsidP="0003260F">
            <w:pPr>
              <w:adjustRightInd w:val="0"/>
              <w:spacing w:line="360" w:lineRule="auto"/>
              <w:rPr>
                <w:b/>
                <w:bCs/>
                <w:color w:val="000000" w:themeColor="text1"/>
                <w:sz w:val="20"/>
                <w:szCs w:val="20"/>
              </w:rPr>
            </w:pPr>
            <w:r w:rsidRPr="00B04F1A">
              <w:rPr>
                <w:b/>
                <w:bCs/>
                <w:color w:val="000000" w:themeColor="text1"/>
                <w:sz w:val="20"/>
                <w:szCs w:val="20"/>
              </w:rPr>
              <w:t>0.937</w:t>
            </w:r>
          </w:p>
        </w:tc>
        <w:tc>
          <w:tcPr>
            <w:tcW w:w="425" w:type="dxa"/>
          </w:tcPr>
          <w:p w14:paraId="45D67C31" w14:textId="1BA7515E" w:rsidR="00F535CD" w:rsidRPr="00B04F1A" w:rsidRDefault="00F535CD" w:rsidP="0003260F">
            <w:pPr>
              <w:adjustRightInd w:val="0"/>
              <w:spacing w:line="360" w:lineRule="auto"/>
              <w:rPr>
                <w:b/>
                <w:bCs/>
                <w:color w:val="000000" w:themeColor="text1"/>
                <w:sz w:val="20"/>
                <w:szCs w:val="20"/>
              </w:rPr>
            </w:pPr>
            <w:r w:rsidRPr="00B04F1A">
              <w:rPr>
                <w:b/>
                <w:bCs/>
                <w:color w:val="000000" w:themeColor="text1"/>
                <w:sz w:val="20"/>
                <w:szCs w:val="20"/>
              </w:rPr>
              <w:t>6.24</w:t>
            </w:r>
          </w:p>
        </w:tc>
        <w:tc>
          <w:tcPr>
            <w:tcW w:w="851" w:type="dxa"/>
          </w:tcPr>
          <w:p w14:paraId="506741E9" w14:textId="1B291B0E" w:rsidR="00F535CD" w:rsidRPr="00B04F1A" w:rsidRDefault="00F535CD" w:rsidP="0003260F">
            <w:pPr>
              <w:adjustRightInd w:val="0"/>
              <w:spacing w:line="360" w:lineRule="auto"/>
              <w:rPr>
                <w:b/>
                <w:bCs/>
                <w:color w:val="000000" w:themeColor="text1"/>
                <w:sz w:val="20"/>
                <w:szCs w:val="20"/>
              </w:rPr>
            </w:pPr>
            <w:r w:rsidRPr="00B04F1A">
              <w:rPr>
                <w:b/>
                <w:bCs/>
                <w:color w:val="000000" w:themeColor="text1"/>
                <w:sz w:val="20"/>
                <w:szCs w:val="20"/>
              </w:rPr>
              <w:t>1.74-17.9</w:t>
            </w:r>
          </w:p>
        </w:tc>
        <w:tc>
          <w:tcPr>
            <w:tcW w:w="567" w:type="dxa"/>
          </w:tcPr>
          <w:p w14:paraId="245866E1" w14:textId="07542F64" w:rsidR="00F535CD" w:rsidRPr="003B5222" w:rsidRDefault="00F535CD" w:rsidP="0003260F">
            <w:pPr>
              <w:adjustRightInd w:val="0"/>
              <w:spacing w:line="360" w:lineRule="auto"/>
              <w:rPr>
                <w:sz w:val="20"/>
                <w:szCs w:val="20"/>
              </w:rPr>
            </w:pPr>
            <w:r w:rsidRPr="00B04F1A">
              <w:rPr>
                <w:b/>
                <w:bCs/>
                <w:color w:val="000000" w:themeColor="text1"/>
                <w:sz w:val="20"/>
                <w:szCs w:val="20"/>
              </w:rPr>
              <w:t>0.002</w:t>
            </w:r>
          </w:p>
        </w:tc>
      </w:tr>
      <w:tr w:rsidR="00F535CD" w:rsidRPr="00BF4DA9" w14:paraId="082D2DE8" w14:textId="77777777" w:rsidTr="00CE4D33">
        <w:trPr>
          <w:trHeight w:val="340"/>
        </w:trPr>
        <w:tc>
          <w:tcPr>
            <w:tcW w:w="1276" w:type="dxa"/>
            <w:shd w:val="clear" w:color="auto" w:fill="auto"/>
          </w:tcPr>
          <w:p w14:paraId="4A836B5C" w14:textId="77777777" w:rsidR="00F535CD" w:rsidRPr="00B04F1A" w:rsidRDefault="00F535CD" w:rsidP="0003260F">
            <w:pPr>
              <w:spacing w:line="360" w:lineRule="auto"/>
              <w:rPr>
                <w:color w:val="000000" w:themeColor="text1"/>
                <w:sz w:val="20"/>
                <w:szCs w:val="20"/>
              </w:rPr>
            </w:pPr>
            <w:r w:rsidRPr="00B04F1A">
              <w:rPr>
                <w:color w:val="000000" w:themeColor="text1"/>
                <w:sz w:val="20"/>
                <w:szCs w:val="20"/>
              </w:rPr>
              <w:t>Antiplatelet</w:t>
            </w:r>
          </w:p>
        </w:tc>
        <w:tc>
          <w:tcPr>
            <w:tcW w:w="567" w:type="dxa"/>
            <w:shd w:val="clear" w:color="auto" w:fill="auto"/>
          </w:tcPr>
          <w:p w14:paraId="2EBA91B3" w14:textId="2CCD8D39" w:rsidR="00F535CD" w:rsidRPr="00B04F1A" w:rsidRDefault="00F535CD" w:rsidP="0003260F">
            <w:pPr>
              <w:adjustRightInd w:val="0"/>
              <w:spacing w:line="360" w:lineRule="auto"/>
              <w:rPr>
                <w:color w:val="000000" w:themeColor="text1"/>
                <w:sz w:val="20"/>
                <w:szCs w:val="20"/>
              </w:rPr>
            </w:pPr>
          </w:p>
        </w:tc>
        <w:tc>
          <w:tcPr>
            <w:tcW w:w="851" w:type="dxa"/>
            <w:shd w:val="clear" w:color="auto" w:fill="auto"/>
          </w:tcPr>
          <w:p w14:paraId="46743B5F" w14:textId="64AF9CF2" w:rsidR="00F535CD" w:rsidRPr="00B04F1A" w:rsidRDefault="00F535CD" w:rsidP="0003260F">
            <w:pPr>
              <w:adjustRightInd w:val="0"/>
              <w:spacing w:line="360" w:lineRule="auto"/>
              <w:rPr>
                <w:color w:val="000000" w:themeColor="text1"/>
                <w:sz w:val="20"/>
                <w:szCs w:val="20"/>
              </w:rPr>
            </w:pPr>
          </w:p>
        </w:tc>
        <w:tc>
          <w:tcPr>
            <w:tcW w:w="425" w:type="dxa"/>
            <w:shd w:val="clear" w:color="auto" w:fill="auto"/>
          </w:tcPr>
          <w:p w14:paraId="74167FF4" w14:textId="4024D691" w:rsidR="00F535CD" w:rsidRPr="00B04F1A" w:rsidRDefault="00F535CD" w:rsidP="0003260F">
            <w:pPr>
              <w:adjustRightInd w:val="0"/>
              <w:spacing w:line="360" w:lineRule="auto"/>
              <w:rPr>
                <w:color w:val="000000" w:themeColor="text1"/>
                <w:sz w:val="20"/>
                <w:szCs w:val="20"/>
              </w:rPr>
            </w:pPr>
          </w:p>
        </w:tc>
        <w:tc>
          <w:tcPr>
            <w:tcW w:w="567" w:type="dxa"/>
            <w:shd w:val="clear" w:color="auto" w:fill="auto"/>
          </w:tcPr>
          <w:p w14:paraId="1E37A8AE" w14:textId="039FA120" w:rsidR="00F535CD" w:rsidRPr="00B04F1A" w:rsidRDefault="00F535CD" w:rsidP="0003260F">
            <w:pPr>
              <w:adjustRightInd w:val="0"/>
              <w:spacing w:line="360" w:lineRule="auto"/>
              <w:ind w:left="26" w:right="-291"/>
              <w:rPr>
                <w:color w:val="000000" w:themeColor="text1"/>
                <w:sz w:val="20"/>
                <w:szCs w:val="20"/>
              </w:rPr>
            </w:pPr>
            <w:r w:rsidRPr="00B04F1A">
              <w:rPr>
                <w:color w:val="000000" w:themeColor="text1"/>
                <w:sz w:val="20"/>
                <w:szCs w:val="20"/>
              </w:rPr>
              <w:t>1.47</w:t>
            </w:r>
          </w:p>
        </w:tc>
        <w:tc>
          <w:tcPr>
            <w:tcW w:w="850" w:type="dxa"/>
            <w:shd w:val="clear" w:color="auto" w:fill="auto"/>
          </w:tcPr>
          <w:p w14:paraId="584EEA8F" w14:textId="1DF4EBEB" w:rsidR="00F535CD" w:rsidRPr="00B04F1A" w:rsidRDefault="00F535CD" w:rsidP="0003260F">
            <w:pPr>
              <w:adjustRightInd w:val="0"/>
              <w:spacing w:line="360" w:lineRule="auto"/>
              <w:ind w:right="-291"/>
              <w:rPr>
                <w:color w:val="000000" w:themeColor="text1"/>
                <w:sz w:val="20"/>
                <w:szCs w:val="20"/>
              </w:rPr>
            </w:pPr>
            <w:r w:rsidRPr="00B04F1A">
              <w:rPr>
                <w:color w:val="000000" w:themeColor="text1"/>
                <w:sz w:val="20"/>
                <w:szCs w:val="20"/>
              </w:rPr>
              <w:t>1.32-1.63</w:t>
            </w:r>
          </w:p>
        </w:tc>
        <w:tc>
          <w:tcPr>
            <w:tcW w:w="426" w:type="dxa"/>
            <w:shd w:val="clear" w:color="auto" w:fill="auto"/>
          </w:tcPr>
          <w:p w14:paraId="66895780" w14:textId="580B5F0D" w:rsidR="00F535CD" w:rsidRPr="00B04F1A" w:rsidRDefault="00F535CD" w:rsidP="0003260F">
            <w:pPr>
              <w:adjustRightInd w:val="0"/>
              <w:spacing w:line="360" w:lineRule="auto"/>
              <w:rPr>
                <w:color w:val="000000" w:themeColor="text1"/>
                <w:sz w:val="20"/>
                <w:szCs w:val="20"/>
              </w:rPr>
            </w:pPr>
            <w:r w:rsidRPr="00FD002D">
              <w:rPr>
                <w:color w:val="000000" w:themeColor="text1"/>
                <w:sz w:val="20"/>
                <w:szCs w:val="20"/>
              </w:rPr>
              <w:t>***</w:t>
            </w:r>
          </w:p>
        </w:tc>
        <w:tc>
          <w:tcPr>
            <w:tcW w:w="567" w:type="dxa"/>
            <w:shd w:val="clear" w:color="auto" w:fill="auto"/>
          </w:tcPr>
          <w:p w14:paraId="3DEEA463" w14:textId="4F33B053" w:rsidR="00F535CD" w:rsidRPr="00B04F1A" w:rsidRDefault="00F535CD" w:rsidP="0003260F">
            <w:pPr>
              <w:adjustRightInd w:val="0"/>
              <w:spacing w:line="360" w:lineRule="auto"/>
              <w:rPr>
                <w:color w:val="000000" w:themeColor="text1"/>
                <w:sz w:val="20"/>
                <w:szCs w:val="20"/>
              </w:rPr>
            </w:pPr>
          </w:p>
        </w:tc>
        <w:tc>
          <w:tcPr>
            <w:tcW w:w="850" w:type="dxa"/>
            <w:shd w:val="clear" w:color="auto" w:fill="auto"/>
          </w:tcPr>
          <w:p w14:paraId="07255078" w14:textId="0D003AAB" w:rsidR="00F535CD" w:rsidRPr="00B04F1A" w:rsidRDefault="00F535CD" w:rsidP="0003260F">
            <w:pPr>
              <w:adjustRightInd w:val="0"/>
              <w:spacing w:line="360" w:lineRule="auto"/>
              <w:rPr>
                <w:color w:val="000000" w:themeColor="text1"/>
                <w:sz w:val="20"/>
                <w:szCs w:val="20"/>
              </w:rPr>
            </w:pPr>
          </w:p>
        </w:tc>
        <w:tc>
          <w:tcPr>
            <w:tcW w:w="567" w:type="dxa"/>
            <w:shd w:val="clear" w:color="auto" w:fill="auto"/>
          </w:tcPr>
          <w:p w14:paraId="3D8CD1A7" w14:textId="5CD775C8" w:rsidR="00F535CD" w:rsidRPr="00B04F1A" w:rsidRDefault="00F535CD" w:rsidP="0003260F">
            <w:pPr>
              <w:adjustRightInd w:val="0"/>
              <w:spacing w:line="360" w:lineRule="auto"/>
              <w:rPr>
                <w:color w:val="000000" w:themeColor="text1"/>
                <w:sz w:val="20"/>
                <w:szCs w:val="20"/>
              </w:rPr>
            </w:pPr>
          </w:p>
        </w:tc>
        <w:tc>
          <w:tcPr>
            <w:tcW w:w="425" w:type="dxa"/>
            <w:shd w:val="clear" w:color="auto" w:fill="auto"/>
          </w:tcPr>
          <w:p w14:paraId="5E53C723" w14:textId="43AAD28A" w:rsidR="00F535CD" w:rsidRPr="00B04F1A" w:rsidRDefault="00F535CD" w:rsidP="0003260F">
            <w:pPr>
              <w:adjustRightInd w:val="0"/>
              <w:spacing w:line="360" w:lineRule="auto"/>
              <w:rPr>
                <w:color w:val="000000" w:themeColor="text1"/>
                <w:sz w:val="20"/>
                <w:szCs w:val="20"/>
              </w:rPr>
            </w:pPr>
            <w:r w:rsidRPr="00B04F1A">
              <w:rPr>
                <w:color w:val="000000" w:themeColor="text1"/>
                <w:sz w:val="20"/>
                <w:szCs w:val="20"/>
              </w:rPr>
              <w:t>1.06</w:t>
            </w:r>
          </w:p>
        </w:tc>
        <w:tc>
          <w:tcPr>
            <w:tcW w:w="851" w:type="dxa"/>
            <w:shd w:val="clear" w:color="auto" w:fill="auto"/>
          </w:tcPr>
          <w:p w14:paraId="4F0B70E4" w14:textId="0B5BCF5A" w:rsidR="00F535CD" w:rsidRPr="00B04F1A" w:rsidRDefault="00F535CD" w:rsidP="0003260F">
            <w:pPr>
              <w:adjustRightInd w:val="0"/>
              <w:spacing w:line="360" w:lineRule="auto"/>
              <w:rPr>
                <w:color w:val="000000" w:themeColor="text1"/>
                <w:sz w:val="20"/>
                <w:szCs w:val="20"/>
              </w:rPr>
            </w:pPr>
            <w:r w:rsidRPr="00B04F1A">
              <w:rPr>
                <w:color w:val="000000" w:themeColor="text1"/>
                <w:sz w:val="20"/>
                <w:szCs w:val="20"/>
              </w:rPr>
              <w:t>0.97-1.16</w:t>
            </w:r>
          </w:p>
        </w:tc>
        <w:tc>
          <w:tcPr>
            <w:tcW w:w="567" w:type="dxa"/>
            <w:shd w:val="clear" w:color="auto" w:fill="auto"/>
          </w:tcPr>
          <w:p w14:paraId="04F6B93E" w14:textId="5C2E73A7" w:rsidR="00F535CD" w:rsidRPr="003B5222" w:rsidRDefault="00F535CD" w:rsidP="0003260F">
            <w:pPr>
              <w:adjustRightInd w:val="0"/>
              <w:spacing w:line="360" w:lineRule="auto"/>
              <w:rPr>
                <w:sz w:val="20"/>
                <w:szCs w:val="20"/>
              </w:rPr>
            </w:pPr>
            <w:r w:rsidRPr="00B04F1A">
              <w:rPr>
                <w:color w:val="000000" w:themeColor="text1"/>
                <w:sz w:val="20"/>
                <w:szCs w:val="20"/>
              </w:rPr>
              <w:t>0.19</w:t>
            </w:r>
          </w:p>
        </w:tc>
      </w:tr>
      <w:tr w:rsidR="00F535CD" w:rsidRPr="00BF4DA9" w14:paraId="0D9319CD" w14:textId="77777777" w:rsidTr="00CE4D33">
        <w:trPr>
          <w:trHeight w:val="340"/>
        </w:trPr>
        <w:tc>
          <w:tcPr>
            <w:tcW w:w="1276" w:type="dxa"/>
          </w:tcPr>
          <w:p w14:paraId="4846E177" w14:textId="77777777" w:rsidR="00F535CD" w:rsidRPr="00B04F1A" w:rsidRDefault="00F535CD" w:rsidP="0003260F">
            <w:pPr>
              <w:spacing w:line="360" w:lineRule="auto"/>
              <w:rPr>
                <w:color w:val="000000" w:themeColor="text1"/>
                <w:sz w:val="20"/>
                <w:szCs w:val="20"/>
              </w:rPr>
            </w:pPr>
            <w:r w:rsidRPr="00B04F1A">
              <w:rPr>
                <w:color w:val="000000" w:themeColor="text1"/>
                <w:sz w:val="20"/>
                <w:szCs w:val="20"/>
              </w:rPr>
              <w:t>Statin</w:t>
            </w:r>
          </w:p>
        </w:tc>
        <w:tc>
          <w:tcPr>
            <w:tcW w:w="567" w:type="dxa"/>
          </w:tcPr>
          <w:p w14:paraId="6244774F" w14:textId="02192854" w:rsidR="00F535CD" w:rsidRPr="00B04F1A" w:rsidRDefault="00F535CD" w:rsidP="0003260F">
            <w:pPr>
              <w:adjustRightInd w:val="0"/>
              <w:spacing w:line="360" w:lineRule="auto"/>
              <w:rPr>
                <w:color w:val="000000" w:themeColor="text1"/>
                <w:sz w:val="20"/>
                <w:szCs w:val="20"/>
              </w:rPr>
            </w:pPr>
            <w:r w:rsidRPr="00B04F1A">
              <w:rPr>
                <w:color w:val="000000" w:themeColor="text1"/>
                <w:sz w:val="20"/>
                <w:szCs w:val="20"/>
              </w:rPr>
              <w:t>1.98</w:t>
            </w:r>
          </w:p>
        </w:tc>
        <w:tc>
          <w:tcPr>
            <w:tcW w:w="851" w:type="dxa"/>
          </w:tcPr>
          <w:p w14:paraId="77A1ECCF" w14:textId="41A0F00E" w:rsidR="00F535CD" w:rsidRPr="00B04F1A" w:rsidRDefault="00F535CD" w:rsidP="0003260F">
            <w:pPr>
              <w:adjustRightInd w:val="0"/>
              <w:spacing w:line="360" w:lineRule="auto"/>
              <w:rPr>
                <w:color w:val="000000" w:themeColor="text1"/>
                <w:sz w:val="20"/>
                <w:szCs w:val="20"/>
              </w:rPr>
            </w:pPr>
            <w:r w:rsidRPr="00B04F1A">
              <w:rPr>
                <w:color w:val="000000" w:themeColor="text1"/>
                <w:sz w:val="20"/>
                <w:szCs w:val="20"/>
              </w:rPr>
              <w:t>1.87-2.1</w:t>
            </w:r>
          </w:p>
        </w:tc>
        <w:tc>
          <w:tcPr>
            <w:tcW w:w="425" w:type="dxa"/>
          </w:tcPr>
          <w:p w14:paraId="1A06BC9C" w14:textId="109809F4" w:rsidR="00F535CD" w:rsidRPr="00B04F1A" w:rsidRDefault="00F535CD" w:rsidP="0003260F">
            <w:pPr>
              <w:adjustRightInd w:val="0"/>
              <w:spacing w:line="360" w:lineRule="auto"/>
              <w:rPr>
                <w:color w:val="000000" w:themeColor="text1"/>
                <w:sz w:val="20"/>
                <w:szCs w:val="20"/>
              </w:rPr>
            </w:pPr>
            <w:r w:rsidRPr="00FD002D">
              <w:rPr>
                <w:color w:val="000000" w:themeColor="text1"/>
                <w:sz w:val="20"/>
                <w:szCs w:val="20"/>
              </w:rPr>
              <w:t>***</w:t>
            </w:r>
          </w:p>
        </w:tc>
        <w:tc>
          <w:tcPr>
            <w:tcW w:w="567" w:type="dxa"/>
          </w:tcPr>
          <w:p w14:paraId="0F7E6672" w14:textId="2C53531B" w:rsidR="00F535CD" w:rsidRPr="00B04F1A" w:rsidRDefault="00F535CD" w:rsidP="0003260F">
            <w:pPr>
              <w:adjustRightInd w:val="0"/>
              <w:spacing w:line="360" w:lineRule="auto"/>
              <w:ind w:left="26" w:right="-291"/>
              <w:rPr>
                <w:color w:val="000000" w:themeColor="text1"/>
                <w:sz w:val="20"/>
                <w:szCs w:val="20"/>
              </w:rPr>
            </w:pPr>
            <w:r w:rsidRPr="00B04F1A">
              <w:rPr>
                <w:color w:val="000000" w:themeColor="text1"/>
                <w:sz w:val="20"/>
                <w:szCs w:val="20"/>
              </w:rPr>
              <w:t>1.3</w:t>
            </w:r>
          </w:p>
        </w:tc>
        <w:tc>
          <w:tcPr>
            <w:tcW w:w="850" w:type="dxa"/>
          </w:tcPr>
          <w:p w14:paraId="7F2CD89C" w14:textId="2C7681F8" w:rsidR="00F535CD" w:rsidRPr="00B04F1A" w:rsidRDefault="00F535CD" w:rsidP="0003260F">
            <w:pPr>
              <w:adjustRightInd w:val="0"/>
              <w:spacing w:line="360" w:lineRule="auto"/>
              <w:ind w:right="-291"/>
              <w:rPr>
                <w:color w:val="000000" w:themeColor="text1"/>
                <w:sz w:val="20"/>
                <w:szCs w:val="20"/>
              </w:rPr>
            </w:pPr>
            <w:r w:rsidRPr="00B04F1A">
              <w:rPr>
                <w:color w:val="000000" w:themeColor="text1"/>
                <w:sz w:val="20"/>
                <w:szCs w:val="20"/>
              </w:rPr>
              <w:t>1.18-1.42</w:t>
            </w:r>
          </w:p>
        </w:tc>
        <w:tc>
          <w:tcPr>
            <w:tcW w:w="426" w:type="dxa"/>
          </w:tcPr>
          <w:p w14:paraId="767ED786" w14:textId="09533955" w:rsidR="00F535CD" w:rsidRPr="00B04F1A" w:rsidRDefault="00F535CD" w:rsidP="0003260F">
            <w:pPr>
              <w:adjustRightInd w:val="0"/>
              <w:spacing w:line="360" w:lineRule="auto"/>
              <w:rPr>
                <w:color w:val="000000" w:themeColor="text1"/>
                <w:sz w:val="20"/>
                <w:szCs w:val="20"/>
              </w:rPr>
            </w:pPr>
            <w:r w:rsidRPr="00FD002D">
              <w:rPr>
                <w:color w:val="000000" w:themeColor="text1"/>
                <w:sz w:val="20"/>
                <w:szCs w:val="20"/>
              </w:rPr>
              <w:t>***</w:t>
            </w:r>
          </w:p>
        </w:tc>
        <w:tc>
          <w:tcPr>
            <w:tcW w:w="567" w:type="dxa"/>
          </w:tcPr>
          <w:p w14:paraId="7B1F1D72" w14:textId="4328711A" w:rsidR="00F535CD" w:rsidRPr="00B04F1A" w:rsidRDefault="00F535CD" w:rsidP="0003260F">
            <w:pPr>
              <w:adjustRightInd w:val="0"/>
              <w:spacing w:line="360" w:lineRule="auto"/>
              <w:rPr>
                <w:color w:val="000000" w:themeColor="text1"/>
                <w:sz w:val="20"/>
                <w:szCs w:val="20"/>
              </w:rPr>
            </w:pPr>
            <w:r w:rsidRPr="00B04F1A">
              <w:rPr>
                <w:color w:val="000000" w:themeColor="text1"/>
                <w:sz w:val="20"/>
                <w:szCs w:val="20"/>
              </w:rPr>
              <w:t>1.66</w:t>
            </w:r>
          </w:p>
        </w:tc>
        <w:tc>
          <w:tcPr>
            <w:tcW w:w="850" w:type="dxa"/>
          </w:tcPr>
          <w:p w14:paraId="73B9A2A9" w14:textId="533EAC79" w:rsidR="00F535CD" w:rsidRPr="00B04F1A" w:rsidRDefault="00F535CD" w:rsidP="0003260F">
            <w:pPr>
              <w:adjustRightInd w:val="0"/>
              <w:spacing w:line="360" w:lineRule="auto"/>
              <w:rPr>
                <w:color w:val="000000" w:themeColor="text1"/>
                <w:sz w:val="20"/>
                <w:szCs w:val="20"/>
              </w:rPr>
            </w:pPr>
            <w:r w:rsidRPr="00B04F1A">
              <w:rPr>
                <w:color w:val="000000" w:themeColor="text1"/>
                <w:sz w:val="20"/>
                <w:szCs w:val="20"/>
              </w:rPr>
              <w:t>1.61-1.73</w:t>
            </w:r>
          </w:p>
        </w:tc>
        <w:tc>
          <w:tcPr>
            <w:tcW w:w="567" w:type="dxa"/>
          </w:tcPr>
          <w:p w14:paraId="33A21E2A" w14:textId="056F3846" w:rsidR="00F535CD" w:rsidRPr="00B04F1A" w:rsidRDefault="00F535CD" w:rsidP="0003260F">
            <w:pPr>
              <w:adjustRightInd w:val="0"/>
              <w:spacing w:line="360" w:lineRule="auto"/>
              <w:rPr>
                <w:color w:val="000000" w:themeColor="text1"/>
                <w:sz w:val="20"/>
                <w:szCs w:val="20"/>
              </w:rPr>
            </w:pPr>
            <w:r w:rsidRPr="00B04F1A">
              <w:rPr>
                <w:color w:val="000000" w:themeColor="text1"/>
                <w:sz w:val="20"/>
                <w:szCs w:val="20"/>
              </w:rPr>
              <w:t>***</w:t>
            </w:r>
          </w:p>
        </w:tc>
        <w:tc>
          <w:tcPr>
            <w:tcW w:w="425" w:type="dxa"/>
          </w:tcPr>
          <w:p w14:paraId="6D6BF2F8" w14:textId="76DF5E03" w:rsidR="00F535CD" w:rsidRPr="00B04F1A" w:rsidRDefault="00F535CD" w:rsidP="0003260F">
            <w:pPr>
              <w:adjustRightInd w:val="0"/>
              <w:spacing w:line="360" w:lineRule="auto"/>
              <w:rPr>
                <w:color w:val="000000" w:themeColor="text1"/>
                <w:sz w:val="20"/>
                <w:szCs w:val="20"/>
              </w:rPr>
            </w:pPr>
            <w:r w:rsidRPr="00B04F1A">
              <w:rPr>
                <w:color w:val="000000" w:themeColor="text1"/>
                <w:sz w:val="20"/>
                <w:szCs w:val="20"/>
              </w:rPr>
              <w:t>1.13</w:t>
            </w:r>
          </w:p>
        </w:tc>
        <w:tc>
          <w:tcPr>
            <w:tcW w:w="851" w:type="dxa"/>
          </w:tcPr>
          <w:p w14:paraId="6154F965" w14:textId="4C74F3C5" w:rsidR="00F535CD" w:rsidRPr="00B04F1A" w:rsidRDefault="00F535CD" w:rsidP="0003260F">
            <w:pPr>
              <w:adjustRightInd w:val="0"/>
              <w:spacing w:line="360" w:lineRule="auto"/>
              <w:rPr>
                <w:color w:val="000000" w:themeColor="text1"/>
                <w:sz w:val="20"/>
                <w:szCs w:val="20"/>
              </w:rPr>
            </w:pPr>
            <w:r w:rsidRPr="00B04F1A">
              <w:rPr>
                <w:color w:val="000000" w:themeColor="text1"/>
                <w:sz w:val="20"/>
                <w:szCs w:val="20"/>
              </w:rPr>
              <w:t>1.04-1.24</w:t>
            </w:r>
          </w:p>
        </w:tc>
        <w:tc>
          <w:tcPr>
            <w:tcW w:w="567" w:type="dxa"/>
          </w:tcPr>
          <w:p w14:paraId="13F087B6" w14:textId="716CE316" w:rsidR="00F535CD" w:rsidRPr="003B5222" w:rsidRDefault="00F535CD" w:rsidP="0003260F">
            <w:pPr>
              <w:adjustRightInd w:val="0"/>
              <w:spacing w:line="360" w:lineRule="auto"/>
              <w:rPr>
                <w:sz w:val="20"/>
                <w:szCs w:val="20"/>
              </w:rPr>
            </w:pPr>
            <w:r w:rsidRPr="00B04F1A">
              <w:rPr>
                <w:color w:val="000000" w:themeColor="text1"/>
                <w:sz w:val="20"/>
                <w:szCs w:val="20"/>
              </w:rPr>
              <w:t>0.006</w:t>
            </w:r>
          </w:p>
        </w:tc>
      </w:tr>
      <w:tr w:rsidR="00F535CD" w:rsidRPr="00BF4DA9" w14:paraId="0A817241" w14:textId="77777777" w:rsidTr="00CE4D33">
        <w:trPr>
          <w:trHeight w:val="340"/>
        </w:trPr>
        <w:tc>
          <w:tcPr>
            <w:tcW w:w="1276" w:type="dxa"/>
          </w:tcPr>
          <w:p w14:paraId="5F51884A" w14:textId="77777777" w:rsidR="00F535CD" w:rsidRPr="00B04F1A" w:rsidRDefault="00F535CD" w:rsidP="0003260F">
            <w:pPr>
              <w:spacing w:line="360" w:lineRule="auto"/>
              <w:rPr>
                <w:color w:val="000000" w:themeColor="text1"/>
                <w:sz w:val="20"/>
                <w:szCs w:val="20"/>
              </w:rPr>
            </w:pPr>
            <w:r w:rsidRPr="00B04F1A">
              <w:rPr>
                <w:color w:val="000000" w:themeColor="text1"/>
                <w:sz w:val="20"/>
                <w:szCs w:val="20"/>
              </w:rPr>
              <w:t>Anti-HT</w:t>
            </w:r>
          </w:p>
        </w:tc>
        <w:tc>
          <w:tcPr>
            <w:tcW w:w="567" w:type="dxa"/>
          </w:tcPr>
          <w:p w14:paraId="55E66F46" w14:textId="49F62B5A" w:rsidR="00F535CD" w:rsidRPr="00B04F1A" w:rsidRDefault="00F535CD" w:rsidP="0003260F">
            <w:pPr>
              <w:adjustRightInd w:val="0"/>
              <w:spacing w:line="360" w:lineRule="auto"/>
              <w:rPr>
                <w:color w:val="000000" w:themeColor="text1"/>
                <w:sz w:val="20"/>
                <w:szCs w:val="20"/>
              </w:rPr>
            </w:pPr>
            <w:r w:rsidRPr="00B04F1A">
              <w:rPr>
                <w:color w:val="000000" w:themeColor="text1"/>
                <w:sz w:val="20"/>
                <w:szCs w:val="20"/>
              </w:rPr>
              <w:t>2.37</w:t>
            </w:r>
          </w:p>
        </w:tc>
        <w:tc>
          <w:tcPr>
            <w:tcW w:w="851" w:type="dxa"/>
          </w:tcPr>
          <w:p w14:paraId="0447BBF5" w14:textId="44601934" w:rsidR="00F535CD" w:rsidRPr="00B04F1A" w:rsidRDefault="00F535CD" w:rsidP="0003260F">
            <w:pPr>
              <w:adjustRightInd w:val="0"/>
              <w:spacing w:line="360" w:lineRule="auto"/>
              <w:rPr>
                <w:color w:val="000000" w:themeColor="text1"/>
                <w:sz w:val="20"/>
                <w:szCs w:val="20"/>
              </w:rPr>
            </w:pPr>
            <w:r w:rsidRPr="00B04F1A">
              <w:rPr>
                <w:color w:val="000000" w:themeColor="text1"/>
                <w:sz w:val="20"/>
                <w:szCs w:val="20"/>
              </w:rPr>
              <w:t>2.25-2.49</w:t>
            </w:r>
          </w:p>
        </w:tc>
        <w:tc>
          <w:tcPr>
            <w:tcW w:w="425" w:type="dxa"/>
          </w:tcPr>
          <w:p w14:paraId="4F024C37" w14:textId="4D199363" w:rsidR="00F535CD" w:rsidRPr="00B04F1A" w:rsidRDefault="00F535CD" w:rsidP="0003260F">
            <w:pPr>
              <w:adjustRightInd w:val="0"/>
              <w:spacing w:line="360" w:lineRule="auto"/>
              <w:rPr>
                <w:color w:val="000000" w:themeColor="text1"/>
                <w:sz w:val="20"/>
                <w:szCs w:val="20"/>
              </w:rPr>
            </w:pPr>
            <w:r w:rsidRPr="00FD002D">
              <w:rPr>
                <w:color w:val="000000" w:themeColor="text1"/>
                <w:sz w:val="20"/>
                <w:szCs w:val="20"/>
              </w:rPr>
              <w:t>***</w:t>
            </w:r>
          </w:p>
        </w:tc>
        <w:tc>
          <w:tcPr>
            <w:tcW w:w="567" w:type="dxa"/>
          </w:tcPr>
          <w:p w14:paraId="2632CC3F" w14:textId="0778824D" w:rsidR="00F535CD" w:rsidRPr="00B04F1A" w:rsidRDefault="00F535CD" w:rsidP="0003260F">
            <w:pPr>
              <w:adjustRightInd w:val="0"/>
              <w:spacing w:line="360" w:lineRule="auto"/>
              <w:ind w:left="26" w:right="-291"/>
              <w:rPr>
                <w:color w:val="000000" w:themeColor="text1"/>
                <w:sz w:val="20"/>
                <w:szCs w:val="20"/>
              </w:rPr>
            </w:pPr>
            <w:r w:rsidRPr="00B04F1A">
              <w:rPr>
                <w:color w:val="000000" w:themeColor="text1"/>
                <w:sz w:val="20"/>
                <w:szCs w:val="20"/>
              </w:rPr>
              <w:t>1.34</w:t>
            </w:r>
          </w:p>
        </w:tc>
        <w:tc>
          <w:tcPr>
            <w:tcW w:w="850" w:type="dxa"/>
          </w:tcPr>
          <w:p w14:paraId="05D266CE" w14:textId="5D02E5EF" w:rsidR="00F535CD" w:rsidRPr="00B04F1A" w:rsidRDefault="00F535CD" w:rsidP="0003260F">
            <w:pPr>
              <w:adjustRightInd w:val="0"/>
              <w:spacing w:line="360" w:lineRule="auto"/>
              <w:ind w:right="-291"/>
              <w:rPr>
                <w:color w:val="000000" w:themeColor="text1"/>
                <w:sz w:val="20"/>
                <w:szCs w:val="20"/>
              </w:rPr>
            </w:pPr>
            <w:r w:rsidRPr="00B04F1A">
              <w:rPr>
                <w:color w:val="000000" w:themeColor="text1"/>
                <w:sz w:val="20"/>
                <w:szCs w:val="20"/>
              </w:rPr>
              <w:t>1.23-1.47</w:t>
            </w:r>
          </w:p>
        </w:tc>
        <w:tc>
          <w:tcPr>
            <w:tcW w:w="426" w:type="dxa"/>
          </w:tcPr>
          <w:p w14:paraId="73BE9F1C" w14:textId="3D29FA9E" w:rsidR="00F535CD" w:rsidRPr="00B04F1A" w:rsidRDefault="00F535CD" w:rsidP="0003260F">
            <w:pPr>
              <w:adjustRightInd w:val="0"/>
              <w:spacing w:line="360" w:lineRule="auto"/>
              <w:rPr>
                <w:color w:val="000000" w:themeColor="text1"/>
                <w:sz w:val="20"/>
                <w:szCs w:val="20"/>
              </w:rPr>
            </w:pPr>
            <w:r w:rsidRPr="00FD002D">
              <w:rPr>
                <w:color w:val="000000" w:themeColor="text1"/>
                <w:sz w:val="20"/>
                <w:szCs w:val="20"/>
              </w:rPr>
              <w:t>***</w:t>
            </w:r>
          </w:p>
        </w:tc>
        <w:tc>
          <w:tcPr>
            <w:tcW w:w="567" w:type="dxa"/>
          </w:tcPr>
          <w:p w14:paraId="72EAF0CD" w14:textId="0B86C80B" w:rsidR="00F535CD" w:rsidRPr="00B04F1A" w:rsidRDefault="00F535CD" w:rsidP="0003260F">
            <w:pPr>
              <w:adjustRightInd w:val="0"/>
              <w:spacing w:line="360" w:lineRule="auto"/>
              <w:rPr>
                <w:color w:val="000000" w:themeColor="text1"/>
                <w:sz w:val="20"/>
                <w:szCs w:val="20"/>
              </w:rPr>
            </w:pPr>
            <w:r w:rsidRPr="00B04F1A">
              <w:rPr>
                <w:color w:val="000000" w:themeColor="text1"/>
                <w:sz w:val="20"/>
                <w:szCs w:val="20"/>
              </w:rPr>
              <w:t>1.89</w:t>
            </w:r>
          </w:p>
        </w:tc>
        <w:tc>
          <w:tcPr>
            <w:tcW w:w="850" w:type="dxa"/>
          </w:tcPr>
          <w:p w14:paraId="3A24DD96" w14:textId="5922B850" w:rsidR="00F535CD" w:rsidRPr="00B04F1A" w:rsidRDefault="00F535CD" w:rsidP="0003260F">
            <w:pPr>
              <w:adjustRightInd w:val="0"/>
              <w:spacing w:line="360" w:lineRule="auto"/>
              <w:rPr>
                <w:color w:val="000000" w:themeColor="text1"/>
                <w:sz w:val="20"/>
                <w:szCs w:val="20"/>
              </w:rPr>
            </w:pPr>
            <w:r w:rsidRPr="00B04F1A">
              <w:rPr>
                <w:color w:val="000000" w:themeColor="text1"/>
                <w:sz w:val="20"/>
                <w:szCs w:val="20"/>
              </w:rPr>
              <w:t>1.82-1.96</w:t>
            </w:r>
          </w:p>
        </w:tc>
        <w:tc>
          <w:tcPr>
            <w:tcW w:w="567" w:type="dxa"/>
          </w:tcPr>
          <w:p w14:paraId="335599BC" w14:textId="0DA2B116" w:rsidR="00F535CD" w:rsidRPr="00B04F1A" w:rsidRDefault="00F535CD" w:rsidP="0003260F">
            <w:pPr>
              <w:adjustRightInd w:val="0"/>
              <w:spacing w:line="360" w:lineRule="auto"/>
              <w:rPr>
                <w:color w:val="000000" w:themeColor="text1"/>
                <w:sz w:val="20"/>
                <w:szCs w:val="20"/>
              </w:rPr>
            </w:pPr>
            <w:r w:rsidRPr="00B04F1A">
              <w:rPr>
                <w:color w:val="000000" w:themeColor="text1"/>
                <w:sz w:val="20"/>
                <w:szCs w:val="20"/>
              </w:rPr>
              <w:t>***</w:t>
            </w:r>
          </w:p>
        </w:tc>
        <w:tc>
          <w:tcPr>
            <w:tcW w:w="425" w:type="dxa"/>
          </w:tcPr>
          <w:p w14:paraId="75F79DC1" w14:textId="28D63880" w:rsidR="00F535CD" w:rsidRPr="00B04F1A" w:rsidRDefault="00F535CD" w:rsidP="0003260F">
            <w:pPr>
              <w:adjustRightInd w:val="0"/>
              <w:spacing w:line="360" w:lineRule="auto"/>
              <w:rPr>
                <w:color w:val="000000" w:themeColor="text1"/>
                <w:sz w:val="20"/>
                <w:szCs w:val="20"/>
              </w:rPr>
            </w:pPr>
            <w:r w:rsidRPr="00B04F1A">
              <w:rPr>
                <w:color w:val="000000" w:themeColor="text1"/>
                <w:sz w:val="20"/>
                <w:szCs w:val="20"/>
              </w:rPr>
              <w:t>1.24</w:t>
            </w:r>
          </w:p>
        </w:tc>
        <w:tc>
          <w:tcPr>
            <w:tcW w:w="851" w:type="dxa"/>
          </w:tcPr>
          <w:p w14:paraId="376BFADC" w14:textId="3534C9C3" w:rsidR="00F535CD" w:rsidRPr="00B04F1A" w:rsidRDefault="00F535CD" w:rsidP="0003260F">
            <w:pPr>
              <w:adjustRightInd w:val="0"/>
              <w:spacing w:line="360" w:lineRule="auto"/>
              <w:rPr>
                <w:color w:val="000000" w:themeColor="text1"/>
                <w:sz w:val="20"/>
                <w:szCs w:val="20"/>
              </w:rPr>
            </w:pPr>
            <w:r w:rsidRPr="00B04F1A">
              <w:rPr>
                <w:color w:val="000000" w:themeColor="text1"/>
                <w:sz w:val="20"/>
                <w:szCs w:val="20"/>
              </w:rPr>
              <w:t>1.14-1.35</w:t>
            </w:r>
          </w:p>
        </w:tc>
        <w:tc>
          <w:tcPr>
            <w:tcW w:w="567" w:type="dxa"/>
          </w:tcPr>
          <w:p w14:paraId="4483AC9A" w14:textId="6E0EFE96" w:rsidR="00F535CD" w:rsidRPr="003B5222" w:rsidRDefault="00F535CD" w:rsidP="0003260F">
            <w:pPr>
              <w:adjustRightInd w:val="0"/>
              <w:spacing w:line="360" w:lineRule="auto"/>
              <w:rPr>
                <w:sz w:val="20"/>
                <w:szCs w:val="20"/>
              </w:rPr>
            </w:pPr>
            <w:r w:rsidRPr="00FD002D">
              <w:rPr>
                <w:color w:val="000000" w:themeColor="text1"/>
                <w:sz w:val="20"/>
                <w:szCs w:val="20"/>
              </w:rPr>
              <w:t>***</w:t>
            </w:r>
          </w:p>
        </w:tc>
      </w:tr>
      <w:tr w:rsidR="00F535CD" w:rsidRPr="00BF4DA9" w14:paraId="05115E07" w14:textId="77777777" w:rsidTr="00CE4D33">
        <w:trPr>
          <w:trHeight w:val="340"/>
        </w:trPr>
        <w:tc>
          <w:tcPr>
            <w:tcW w:w="1276" w:type="dxa"/>
          </w:tcPr>
          <w:p w14:paraId="2308E714" w14:textId="77777777" w:rsidR="00F535CD" w:rsidRPr="00B04F1A" w:rsidRDefault="00F535CD" w:rsidP="0003260F">
            <w:pPr>
              <w:spacing w:line="360" w:lineRule="auto"/>
              <w:rPr>
                <w:color w:val="000000" w:themeColor="text1"/>
                <w:sz w:val="20"/>
                <w:szCs w:val="20"/>
              </w:rPr>
            </w:pPr>
            <w:r w:rsidRPr="00B04F1A">
              <w:rPr>
                <w:color w:val="000000" w:themeColor="text1"/>
                <w:sz w:val="20"/>
                <w:szCs w:val="20"/>
              </w:rPr>
              <w:t>Insulin</w:t>
            </w:r>
          </w:p>
        </w:tc>
        <w:tc>
          <w:tcPr>
            <w:tcW w:w="567" w:type="dxa"/>
          </w:tcPr>
          <w:p w14:paraId="2795BE56" w14:textId="280C0BCB" w:rsidR="00F535CD" w:rsidRPr="00B04F1A" w:rsidRDefault="00F535CD" w:rsidP="0003260F">
            <w:pPr>
              <w:adjustRightInd w:val="0"/>
              <w:spacing w:line="360" w:lineRule="auto"/>
              <w:rPr>
                <w:color w:val="000000" w:themeColor="text1"/>
                <w:sz w:val="20"/>
                <w:szCs w:val="20"/>
              </w:rPr>
            </w:pPr>
            <w:r w:rsidRPr="00B04F1A">
              <w:rPr>
                <w:color w:val="000000" w:themeColor="text1"/>
                <w:sz w:val="20"/>
                <w:szCs w:val="20"/>
              </w:rPr>
              <w:t>3.47</w:t>
            </w:r>
          </w:p>
        </w:tc>
        <w:tc>
          <w:tcPr>
            <w:tcW w:w="851" w:type="dxa"/>
          </w:tcPr>
          <w:p w14:paraId="36B3BB70" w14:textId="6F2331E1" w:rsidR="00F535CD" w:rsidRPr="00B04F1A" w:rsidRDefault="00F535CD" w:rsidP="0003260F">
            <w:pPr>
              <w:adjustRightInd w:val="0"/>
              <w:spacing w:line="360" w:lineRule="auto"/>
              <w:rPr>
                <w:color w:val="000000" w:themeColor="text1"/>
                <w:sz w:val="20"/>
                <w:szCs w:val="20"/>
              </w:rPr>
            </w:pPr>
            <w:r w:rsidRPr="00B04F1A">
              <w:rPr>
                <w:color w:val="000000" w:themeColor="text1"/>
                <w:sz w:val="20"/>
                <w:szCs w:val="20"/>
              </w:rPr>
              <w:t>2.86-4.21</w:t>
            </w:r>
          </w:p>
        </w:tc>
        <w:tc>
          <w:tcPr>
            <w:tcW w:w="425" w:type="dxa"/>
          </w:tcPr>
          <w:p w14:paraId="282A9B7E" w14:textId="3572B6B3" w:rsidR="00F535CD" w:rsidRPr="00B04F1A" w:rsidRDefault="00F535CD" w:rsidP="0003260F">
            <w:pPr>
              <w:adjustRightInd w:val="0"/>
              <w:spacing w:line="360" w:lineRule="auto"/>
              <w:rPr>
                <w:color w:val="000000" w:themeColor="text1"/>
                <w:sz w:val="20"/>
                <w:szCs w:val="20"/>
              </w:rPr>
            </w:pPr>
            <w:r w:rsidRPr="00FD002D">
              <w:rPr>
                <w:color w:val="000000" w:themeColor="text1"/>
                <w:sz w:val="20"/>
                <w:szCs w:val="20"/>
              </w:rPr>
              <w:t>***</w:t>
            </w:r>
          </w:p>
        </w:tc>
        <w:tc>
          <w:tcPr>
            <w:tcW w:w="567" w:type="dxa"/>
          </w:tcPr>
          <w:p w14:paraId="059C0885" w14:textId="6A6867CC" w:rsidR="00F535CD" w:rsidRPr="00B04F1A" w:rsidRDefault="00F535CD" w:rsidP="0003260F">
            <w:pPr>
              <w:adjustRightInd w:val="0"/>
              <w:spacing w:line="360" w:lineRule="auto"/>
              <w:ind w:left="26" w:right="-291"/>
              <w:rPr>
                <w:color w:val="000000" w:themeColor="text1"/>
                <w:sz w:val="20"/>
                <w:szCs w:val="20"/>
              </w:rPr>
            </w:pPr>
            <w:r w:rsidRPr="00B04F1A">
              <w:rPr>
                <w:color w:val="000000" w:themeColor="text1"/>
                <w:sz w:val="20"/>
                <w:szCs w:val="20"/>
              </w:rPr>
              <w:t>2.13</w:t>
            </w:r>
          </w:p>
        </w:tc>
        <w:tc>
          <w:tcPr>
            <w:tcW w:w="850" w:type="dxa"/>
          </w:tcPr>
          <w:p w14:paraId="4DFF7E54" w14:textId="6AE7745F" w:rsidR="00F535CD" w:rsidRPr="00B04F1A" w:rsidRDefault="00F535CD" w:rsidP="0003260F">
            <w:pPr>
              <w:adjustRightInd w:val="0"/>
              <w:spacing w:line="360" w:lineRule="auto"/>
              <w:ind w:right="-291"/>
              <w:rPr>
                <w:color w:val="000000" w:themeColor="text1"/>
                <w:sz w:val="20"/>
                <w:szCs w:val="20"/>
              </w:rPr>
            </w:pPr>
            <w:r w:rsidRPr="00B04F1A">
              <w:rPr>
                <w:color w:val="000000" w:themeColor="text1"/>
                <w:sz w:val="20"/>
                <w:szCs w:val="20"/>
              </w:rPr>
              <w:t>1.72-2.63</w:t>
            </w:r>
          </w:p>
        </w:tc>
        <w:tc>
          <w:tcPr>
            <w:tcW w:w="426" w:type="dxa"/>
          </w:tcPr>
          <w:p w14:paraId="5D9E3634" w14:textId="56B2D382" w:rsidR="00F535CD" w:rsidRPr="00B04F1A" w:rsidRDefault="00F535CD" w:rsidP="0003260F">
            <w:pPr>
              <w:adjustRightInd w:val="0"/>
              <w:spacing w:line="360" w:lineRule="auto"/>
              <w:rPr>
                <w:color w:val="000000" w:themeColor="text1"/>
                <w:sz w:val="20"/>
                <w:szCs w:val="20"/>
              </w:rPr>
            </w:pPr>
            <w:r w:rsidRPr="00FD002D">
              <w:rPr>
                <w:color w:val="000000" w:themeColor="text1"/>
                <w:sz w:val="20"/>
                <w:szCs w:val="20"/>
              </w:rPr>
              <w:t>***</w:t>
            </w:r>
          </w:p>
        </w:tc>
        <w:tc>
          <w:tcPr>
            <w:tcW w:w="567" w:type="dxa"/>
          </w:tcPr>
          <w:p w14:paraId="199252FE" w14:textId="325A5070" w:rsidR="00F535CD" w:rsidRPr="00B04F1A" w:rsidRDefault="00F535CD" w:rsidP="0003260F">
            <w:pPr>
              <w:adjustRightInd w:val="0"/>
              <w:spacing w:line="360" w:lineRule="auto"/>
              <w:rPr>
                <w:color w:val="000000" w:themeColor="text1"/>
                <w:sz w:val="20"/>
                <w:szCs w:val="20"/>
              </w:rPr>
            </w:pPr>
            <w:r w:rsidRPr="00B04F1A">
              <w:rPr>
                <w:color w:val="000000" w:themeColor="text1"/>
                <w:sz w:val="20"/>
                <w:szCs w:val="20"/>
              </w:rPr>
              <w:t>1.45</w:t>
            </w:r>
          </w:p>
        </w:tc>
        <w:tc>
          <w:tcPr>
            <w:tcW w:w="850" w:type="dxa"/>
          </w:tcPr>
          <w:p w14:paraId="1D86958B" w14:textId="3D40A0E0" w:rsidR="00F535CD" w:rsidRPr="00B04F1A" w:rsidRDefault="00F535CD" w:rsidP="0003260F">
            <w:pPr>
              <w:adjustRightInd w:val="0"/>
              <w:spacing w:line="360" w:lineRule="auto"/>
              <w:rPr>
                <w:color w:val="000000" w:themeColor="text1"/>
                <w:sz w:val="20"/>
                <w:szCs w:val="20"/>
              </w:rPr>
            </w:pPr>
            <w:r w:rsidRPr="00B04F1A">
              <w:rPr>
                <w:color w:val="000000" w:themeColor="text1"/>
                <w:sz w:val="20"/>
                <w:szCs w:val="20"/>
              </w:rPr>
              <w:t>1.40-1.51</w:t>
            </w:r>
          </w:p>
        </w:tc>
        <w:tc>
          <w:tcPr>
            <w:tcW w:w="567" w:type="dxa"/>
          </w:tcPr>
          <w:p w14:paraId="4F23C2F9" w14:textId="0CBD0E23" w:rsidR="00F535CD" w:rsidRPr="00B04F1A" w:rsidRDefault="00F535CD" w:rsidP="0003260F">
            <w:pPr>
              <w:adjustRightInd w:val="0"/>
              <w:spacing w:line="360" w:lineRule="auto"/>
              <w:rPr>
                <w:color w:val="000000" w:themeColor="text1"/>
                <w:sz w:val="20"/>
                <w:szCs w:val="20"/>
              </w:rPr>
            </w:pPr>
            <w:r w:rsidRPr="00B04F1A">
              <w:rPr>
                <w:color w:val="000000" w:themeColor="text1"/>
                <w:sz w:val="20"/>
                <w:szCs w:val="20"/>
              </w:rPr>
              <w:t>***</w:t>
            </w:r>
          </w:p>
        </w:tc>
        <w:tc>
          <w:tcPr>
            <w:tcW w:w="425" w:type="dxa"/>
          </w:tcPr>
          <w:p w14:paraId="29FB9D41" w14:textId="37F3C41A" w:rsidR="00F535CD" w:rsidRPr="00B04F1A" w:rsidRDefault="00F535CD" w:rsidP="0003260F">
            <w:pPr>
              <w:adjustRightInd w:val="0"/>
              <w:spacing w:line="360" w:lineRule="auto"/>
              <w:rPr>
                <w:color w:val="000000" w:themeColor="text1"/>
                <w:sz w:val="20"/>
                <w:szCs w:val="20"/>
              </w:rPr>
            </w:pPr>
            <w:r w:rsidRPr="00B04F1A">
              <w:rPr>
                <w:color w:val="000000" w:themeColor="text1"/>
                <w:sz w:val="20"/>
                <w:szCs w:val="20"/>
              </w:rPr>
              <w:t>1.38</w:t>
            </w:r>
          </w:p>
        </w:tc>
        <w:tc>
          <w:tcPr>
            <w:tcW w:w="851" w:type="dxa"/>
          </w:tcPr>
          <w:p w14:paraId="34CC9570" w14:textId="0E07B00D" w:rsidR="00F535CD" w:rsidRPr="00B04F1A" w:rsidRDefault="00F535CD" w:rsidP="0003260F">
            <w:pPr>
              <w:adjustRightInd w:val="0"/>
              <w:spacing w:line="360" w:lineRule="auto"/>
              <w:rPr>
                <w:color w:val="000000" w:themeColor="text1"/>
                <w:sz w:val="20"/>
                <w:szCs w:val="20"/>
              </w:rPr>
            </w:pPr>
            <w:r w:rsidRPr="00B04F1A">
              <w:rPr>
                <w:color w:val="000000" w:themeColor="text1"/>
                <w:sz w:val="20"/>
                <w:szCs w:val="20"/>
              </w:rPr>
              <w:t>1.23-1.55</w:t>
            </w:r>
          </w:p>
        </w:tc>
        <w:tc>
          <w:tcPr>
            <w:tcW w:w="567" w:type="dxa"/>
          </w:tcPr>
          <w:p w14:paraId="278DC6D3" w14:textId="1B2F6948" w:rsidR="00F535CD" w:rsidRPr="003B5222" w:rsidRDefault="00F535CD" w:rsidP="0003260F">
            <w:pPr>
              <w:adjustRightInd w:val="0"/>
              <w:spacing w:line="360" w:lineRule="auto"/>
              <w:rPr>
                <w:sz w:val="20"/>
                <w:szCs w:val="20"/>
              </w:rPr>
            </w:pPr>
            <w:r w:rsidRPr="00FD002D">
              <w:rPr>
                <w:color w:val="000000" w:themeColor="text1"/>
                <w:sz w:val="20"/>
                <w:szCs w:val="20"/>
              </w:rPr>
              <w:t>***</w:t>
            </w:r>
          </w:p>
        </w:tc>
      </w:tr>
      <w:tr w:rsidR="00F535CD" w:rsidRPr="00BF4DA9" w14:paraId="5074A4DA" w14:textId="77777777" w:rsidTr="00CE4D33">
        <w:trPr>
          <w:trHeight w:val="340"/>
        </w:trPr>
        <w:tc>
          <w:tcPr>
            <w:tcW w:w="1276" w:type="dxa"/>
          </w:tcPr>
          <w:p w14:paraId="0650F010" w14:textId="77777777" w:rsidR="00F535CD" w:rsidRPr="00B04F1A" w:rsidRDefault="00F535CD" w:rsidP="0003260F">
            <w:pPr>
              <w:spacing w:line="360" w:lineRule="auto"/>
              <w:rPr>
                <w:color w:val="000000" w:themeColor="text1"/>
                <w:sz w:val="20"/>
                <w:szCs w:val="20"/>
              </w:rPr>
            </w:pPr>
            <w:r w:rsidRPr="00B04F1A">
              <w:rPr>
                <w:color w:val="000000" w:themeColor="text1"/>
                <w:sz w:val="20"/>
                <w:szCs w:val="20"/>
              </w:rPr>
              <w:t>OHA</w:t>
            </w:r>
          </w:p>
        </w:tc>
        <w:tc>
          <w:tcPr>
            <w:tcW w:w="567" w:type="dxa"/>
          </w:tcPr>
          <w:p w14:paraId="6A164E28" w14:textId="496F87C8" w:rsidR="00F535CD" w:rsidRPr="00B04F1A" w:rsidRDefault="00F535CD" w:rsidP="0003260F">
            <w:pPr>
              <w:adjustRightInd w:val="0"/>
              <w:spacing w:line="360" w:lineRule="auto"/>
              <w:rPr>
                <w:color w:val="000000" w:themeColor="text1"/>
                <w:sz w:val="20"/>
                <w:szCs w:val="20"/>
              </w:rPr>
            </w:pPr>
            <w:r w:rsidRPr="00B04F1A">
              <w:rPr>
                <w:color w:val="000000" w:themeColor="text1"/>
                <w:sz w:val="20"/>
                <w:szCs w:val="20"/>
              </w:rPr>
              <w:t>2.66</w:t>
            </w:r>
          </w:p>
        </w:tc>
        <w:tc>
          <w:tcPr>
            <w:tcW w:w="851" w:type="dxa"/>
          </w:tcPr>
          <w:p w14:paraId="74C14525" w14:textId="0F74A786" w:rsidR="00F535CD" w:rsidRPr="00B04F1A" w:rsidRDefault="00F535CD" w:rsidP="0003260F">
            <w:pPr>
              <w:adjustRightInd w:val="0"/>
              <w:spacing w:line="360" w:lineRule="auto"/>
              <w:rPr>
                <w:color w:val="000000" w:themeColor="text1"/>
                <w:sz w:val="20"/>
                <w:szCs w:val="20"/>
              </w:rPr>
            </w:pPr>
            <w:r w:rsidRPr="00B04F1A">
              <w:rPr>
                <w:color w:val="000000" w:themeColor="text1"/>
                <w:sz w:val="20"/>
                <w:szCs w:val="20"/>
              </w:rPr>
              <w:t>1.65-4.31</w:t>
            </w:r>
          </w:p>
        </w:tc>
        <w:tc>
          <w:tcPr>
            <w:tcW w:w="425" w:type="dxa"/>
          </w:tcPr>
          <w:p w14:paraId="35869CDF" w14:textId="1C50BF3E" w:rsidR="00F535CD" w:rsidRPr="00B04F1A" w:rsidRDefault="00F535CD" w:rsidP="0003260F">
            <w:pPr>
              <w:adjustRightInd w:val="0"/>
              <w:spacing w:line="360" w:lineRule="auto"/>
              <w:rPr>
                <w:color w:val="000000" w:themeColor="text1"/>
                <w:sz w:val="20"/>
                <w:szCs w:val="20"/>
              </w:rPr>
            </w:pPr>
            <w:r w:rsidRPr="00FD002D">
              <w:rPr>
                <w:color w:val="000000" w:themeColor="text1"/>
                <w:sz w:val="20"/>
                <w:szCs w:val="20"/>
              </w:rPr>
              <w:t>***</w:t>
            </w:r>
          </w:p>
        </w:tc>
        <w:tc>
          <w:tcPr>
            <w:tcW w:w="567" w:type="dxa"/>
          </w:tcPr>
          <w:p w14:paraId="083CD761" w14:textId="4A106D86" w:rsidR="00F535CD" w:rsidRPr="00B04F1A" w:rsidRDefault="00F535CD" w:rsidP="0003260F">
            <w:pPr>
              <w:adjustRightInd w:val="0"/>
              <w:spacing w:line="360" w:lineRule="auto"/>
              <w:ind w:left="26" w:right="-291"/>
              <w:rPr>
                <w:color w:val="000000" w:themeColor="text1"/>
                <w:sz w:val="20"/>
                <w:szCs w:val="20"/>
              </w:rPr>
            </w:pPr>
            <w:r w:rsidRPr="00B04F1A">
              <w:rPr>
                <w:color w:val="000000" w:themeColor="text1"/>
                <w:sz w:val="20"/>
                <w:szCs w:val="20"/>
              </w:rPr>
              <w:t>1.86</w:t>
            </w:r>
          </w:p>
        </w:tc>
        <w:tc>
          <w:tcPr>
            <w:tcW w:w="850" w:type="dxa"/>
          </w:tcPr>
          <w:p w14:paraId="211F58D7" w14:textId="76730C56" w:rsidR="00F535CD" w:rsidRPr="00B04F1A" w:rsidRDefault="00F535CD" w:rsidP="0003260F">
            <w:pPr>
              <w:adjustRightInd w:val="0"/>
              <w:spacing w:line="360" w:lineRule="auto"/>
              <w:ind w:right="-291"/>
              <w:rPr>
                <w:color w:val="000000" w:themeColor="text1"/>
                <w:sz w:val="20"/>
                <w:szCs w:val="20"/>
              </w:rPr>
            </w:pPr>
            <w:r w:rsidRPr="00B04F1A">
              <w:rPr>
                <w:color w:val="000000" w:themeColor="text1"/>
                <w:sz w:val="20"/>
                <w:szCs w:val="20"/>
              </w:rPr>
              <w:t>1.11-3.11</w:t>
            </w:r>
          </w:p>
        </w:tc>
        <w:tc>
          <w:tcPr>
            <w:tcW w:w="426" w:type="dxa"/>
          </w:tcPr>
          <w:p w14:paraId="4A9FF736" w14:textId="2CB5E933" w:rsidR="00F535CD" w:rsidRPr="00B04F1A" w:rsidRDefault="00F535CD" w:rsidP="0003260F">
            <w:pPr>
              <w:adjustRightInd w:val="0"/>
              <w:spacing w:line="360" w:lineRule="auto"/>
              <w:rPr>
                <w:color w:val="000000" w:themeColor="text1"/>
                <w:sz w:val="20"/>
                <w:szCs w:val="20"/>
              </w:rPr>
            </w:pPr>
            <w:r w:rsidRPr="00B04F1A">
              <w:rPr>
                <w:color w:val="000000" w:themeColor="text1"/>
                <w:sz w:val="20"/>
                <w:szCs w:val="20"/>
              </w:rPr>
              <w:t>0.0</w:t>
            </w:r>
            <w:r>
              <w:rPr>
                <w:color w:val="000000" w:themeColor="text1"/>
                <w:sz w:val="20"/>
                <w:szCs w:val="20"/>
              </w:rPr>
              <w:t>2</w:t>
            </w:r>
          </w:p>
        </w:tc>
        <w:tc>
          <w:tcPr>
            <w:tcW w:w="567" w:type="dxa"/>
          </w:tcPr>
          <w:p w14:paraId="75DBBAEA" w14:textId="2386EC3B" w:rsidR="00F535CD" w:rsidRPr="00B04F1A" w:rsidRDefault="00F535CD" w:rsidP="0003260F">
            <w:pPr>
              <w:adjustRightInd w:val="0"/>
              <w:spacing w:line="360" w:lineRule="auto"/>
              <w:rPr>
                <w:color w:val="000000" w:themeColor="text1"/>
                <w:sz w:val="20"/>
                <w:szCs w:val="20"/>
              </w:rPr>
            </w:pPr>
            <w:r w:rsidRPr="00B04F1A">
              <w:rPr>
                <w:color w:val="000000" w:themeColor="text1"/>
                <w:sz w:val="20"/>
                <w:szCs w:val="20"/>
              </w:rPr>
              <w:t>2.75</w:t>
            </w:r>
          </w:p>
        </w:tc>
        <w:tc>
          <w:tcPr>
            <w:tcW w:w="850" w:type="dxa"/>
          </w:tcPr>
          <w:p w14:paraId="099E9D38" w14:textId="39F4E6F4" w:rsidR="00F535CD" w:rsidRPr="00B04F1A" w:rsidRDefault="00F535CD" w:rsidP="0003260F">
            <w:pPr>
              <w:adjustRightInd w:val="0"/>
              <w:spacing w:line="360" w:lineRule="auto"/>
              <w:rPr>
                <w:color w:val="000000" w:themeColor="text1"/>
                <w:sz w:val="20"/>
                <w:szCs w:val="20"/>
              </w:rPr>
            </w:pPr>
            <w:r w:rsidRPr="00B04F1A">
              <w:rPr>
                <w:color w:val="000000" w:themeColor="text1"/>
                <w:sz w:val="20"/>
                <w:szCs w:val="20"/>
              </w:rPr>
              <w:t>1.61-4.37</w:t>
            </w:r>
          </w:p>
        </w:tc>
        <w:tc>
          <w:tcPr>
            <w:tcW w:w="567" w:type="dxa"/>
          </w:tcPr>
          <w:p w14:paraId="25022AB6" w14:textId="3C04CB6C" w:rsidR="00F535CD" w:rsidRPr="00B04F1A" w:rsidRDefault="00F535CD" w:rsidP="0003260F">
            <w:pPr>
              <w:adjustRightInd w:val="0"/>
              <w:spacing w:line="360" w:lineRule="auto"/>
              <w:rPr>
                <w:color w:val="000000" w:themeColor="text1"/>
                <w:sz w:val="20"/>
                <w:szCs w:val="20"/>
              </w:rPr>
            </w:pPr>
            <w:r w:rsidRPr="00B04F1A">
              <w:rPr>
                <w:color w:val="000000" w:themeColor="text1"/>
                <w:sz w:val="20"/>
                <w:szCs w:val="20"/>
              </w:rPr>
              <w:t>***</w:t>
            </w:r>
          </w:p>
        </w:tc>
        <w:tc>
          <w:tcPr>
            <w:tcW w:w="425" w:type="dxa"/>
          </w:tcPr>
          <w:p w14:paraId="5F2D58E3" w14:textId="21D6F18C" w:rsidR="00F535CD" w:rsidRPr="00B04F1A" w:rsidRDefault="00F535CD" w:rsidP="0003260F">
            <w:pPr>
              <w:adjustRightInd w:val="0"/>
              <w:spacing w:line="360" w:lineRule="auto"/>
              <w:rPr>
                <w:color w:val="000000" w:themeColor="text1"/>
                <w:sz w:val="20"/>
                <w:szCs w:val="20"/>
              </w:rPr>
            </w:pPr>
            <w:r w:rsidRPr="00B04F1A">
              <w:rPr>
                <w:color w:val="000000" w:themeColor="text1"/>
                <w:sz w:val="20"/>
                <w:szCs w:val="20"/>
              </w:rPr>
              <w:t>2.57</w:t>
            </w:r>
          </w:p>
        </w:tc>
        <w:tc>
          <w:tcPr>
            <w:tcW w:w="851" w:type="dxa"/>
          </w:tcPr>
          <w:p w14:paraId="69B7F552" w14:textId="0A46DC79" w:rsidR="00F535CD" w:rsidRPr="00B04F1A" w:rsidRDefault="00F535CD" w:rsidP="0003260F">
            <w:pPr>
              <w:adjustRightInd w:val="0"/>
              <w:spacing w:line="360" w:lineRule="auto"/>
              <w:rPr>
                <w:color w:val="000000" w:themeColor="text1"/>
                <w:sz w:val="20"/>
                <w:szCs w:val="20"/>
              </w:rPr>
            </w:pPr>
            <w:r w:rsidRPr="00B04F1A">
              <w:rPr>
                <w:color w:val="000000" w:themeColor="text1"/>
                <w:sz w:val="20"/>
                <w:szCs w:val="20"/>
              </w:rPr>
              <w:t>1.60-3.93</w:t>
            </w:r>
          </w:p>
        </w:tc>
        <w:tc>
          <w:tcPr>
            <w:tcW w:w="567" w:type="dxa"/>
          </w:tcPr>
          <w:p w14:paraId="514B4A77" w14:textId="10482220" w:rsidR="00F535CD" w:rsidRPr="003B5222" w:rsidRDefault="00F535CD" w:rsidP="0003260F">
            <w:pPr>
              <w:adjustRightInd w:val="0"/>
              <w:spacing w:line="360" w:lineRule="auto"/>
              <w:rPr>
                <w:sz w:val="20"/>
                <w:szCs w:val="20"/>
              </w:rPr>
            </w:pPr>
            <w:r w:rsidRPr="00B04F1A">
              <w:rPr>
                <w:color w:val="000000" w:themeColor="text1"/>
                <w:sz w:val="20"/>
                <w:szCs w:val="20"/>
              </w:rPr>
              <w:t>***</w:t>
            </w:r>
          </w:p>
        </w:tc>
      </w:tr>
    </w:tbl>
    <w:p w14:paraId="25E50F12" w14:textId="6E221BD6" w:rsidR="00935C32" w:rsidRPr="003B5222" w:rsidRDefault="00935C32" w:rsidP="0003260F">
      <w:pPr>
        <w:pStyle w:val="ListParagraph"/>
        <w:spacing w:line="360" w:lineRule="auto"/>
        <w:ind w:left="0"/>
        <w:rPr>
          <w:color w:val="000000" w:themeColor="text1"/>
        </w:rPr>
      </w:pPr>
      <w:r>
        <w:rPr>
          <w:color w:val="000000" w:themeColor="text1"/>
        </w:rPr>
        <w:t>*** = p-value &lt;0.001, OR= odds ratio, CI= confidence interval, HT= hypertension, anti-</w:t>
      </w:r>
      <w:r w:rsidR="00BD0DDC">
        <w:rPr>
          <w:color w:val="000000" w:themeColor="text1"/>
        </w:rPr>
        <w:t>HT</w:t>
      </w:r>
      <w:r>
        <w:rPr>
          <w:color w:val="000000" w:themeColor="text1"/>
        </w:rPr>
        <w:t>= antihypertensives, OHA=oral hypoglycaemic agents</w:t>
      </w:r>
    </w:p>
    <w:p w14:paraId="5F7FF124" w14:textId="77777777" w:rsidR="00935C32" w:rsidRDefault="00935C32" w:rsidP="0003260F">
      <w:pPr>
        <w:spacing w:line="360" w:lineRule="auto"/>
        <w:rPr>
          <w:color w:val="000000" w:themeColor="text1"/>
          <w:sz w:val="20"/>
          <w:szCs w:val="20"/>
        </w:rPr>
      </w:pPr>
    </w:p>
    <w:p w14:paraId="689A9AA1" w14:textId="77777777" w:rsidR="00BA7E46" w:rsidRDefault="00BA7E46">
      <w:pPr>
        <w:rPr>
          <w:color w:val="000000" w:themeColor="text1"/>
          <w:sz w:val="20"/>
          <w:szCs w:val="20"/>
        </w:rPr>
      </w:pPr>
      <w:r>
        <w:rPr>
          <w:color w:val="000000" w:themeColor="text1"/>
          <w:sz w:val="20"/>
          <w:szCs w:val="20"/>
        </w:rPr>
        <w:br w:type="page"/>
      </w:r>
    </w:p>
    <w:p w14:paraId="2F16D8E9" w14:textId="54CFA3FC" w:rsidR="00751F15" w:rsidRPr="00387A91" w:rsidRDefault="00751F15" w:rsidP="00FA51CB">
      <w:pPr>
        <w:spacing w:line="360" w:lineRule="auto"/>
        <w:rPr>
          <w:color w:val="000000" w:themeColor="text1"/>
          <w:sz w:val="20"/>
          <w:szCs w:val="20"/>
        </w:rPr>
      </w:pPr>
      <w:r w:rsidRPr="00387A91">
        <w:rPr>
          <w:color w:val="000000" w:themeColor="text1"/>
          <w:sz w:val="20"/>
          <w:szCs w:val="20"/>
        </w:rPr>
        <w:lastRenderedPageBreak/>
        <w:t xml:space="preserve">Table </w:t>
      </w:r>
      <w:r w:rsidR="00532426">
        <w:rPr>
          <w:color w:val="000000" w:themeColor="text1"/>
          <w:sz w:val="20"/>
          <w:szCs w:val="20"/>
        </w:rPr>
        <w:t>3</w:t>
      </w:r>
      <w:r w:rsidRPr="00387A91">
        <w:rPr>
          <w:color w:val="000000" w:themeColor="text1"/>
          <w:sz w:val="20"/>
          <w:szCs w:val="20"/>
        </w:rPr>
        <w:t xml:space="preserve">: </w:t>
      </w:r>
      <w:r w:rsidR="009018D0" w:rsidRPr="00387A91">
        <w:rPr>
          <w:color w:val="000000" w:themeColor="text1"/>
          <w:sz w:val="20"/>
          <w:szCs w:val="20"/>
        </w:rPr>
        <w:t>Multivariate</w:t>
      </w:r>
      <w:r w:rsidR="00694F47" w:rsidRPr="00387A91">
        <w:rPr>
          <w:color w:val="000000" w:themeColor="text1"/>
          <w:sz w:val="20"/>
          <w:szCs w:val="20"/>
        </w:rPr>
        <w:t xml:space="preserve"> </w:t>
      </w:r>
      <w:r w:rsidRPr="00387A91">
        <w:rPr>
          <w:color w:val="000000" w:themeColor="text1"/>
          <w:sz w:val="20"/>
          <w:szCs w:val="20"/>
        </w:rPr>
        <w:t xml:space="preserve">model of arterial or venous thromboembolic disease in the UK Biobank </w:t>
      </w:r>
    </w:p>
    <w:tbl>
      <w:tblPr>
        <w:tblStyle w:val="TableGrid"/>
        <w:tblW w:w="8789" w:type="dxa"/>
        <w:tblInd w:w="-5" w:type="dxa"/>
        <w:tblLayout w:type="fixed"/>
        <w:tblCellMar>
          <w:top w:w="28" w:type="dxa"/>
          <w:left w:w="28" w:type="dxa"/>
          <w:bottom w:w="28" w:type="dxa"/>
          <w:right w:w="57" w:type="dxa"/>
        </w:tblCellMar>
        <w:tblLook w:val="04A0" w:firstRow="1" w:lastRow="0" w:firstColumn="1" w:lastColumn="0" w:noHBand="0" w:noVBand="1"/>
      </w:tblPr>
      <w:tblGrid>
        <w:gridCol w:w="1985"/>
        <w:gridCol w:w="992"/>
        <w:gridCol w:w="1276"/>
        <w:gridCol w:w="1134"/>
        <w:gridCol w:w="992"/>
        <w:gridCol w:w="1134"/>
        <w:gridCol w:w="1276"/>
      </w:tblGrid>
      <w:tr w:rsidR="00441BCF" w:rsidRPr="00F979D2" w14:paraId="47C4E235" w14:textId="49B0CF95" w:rsidTr="00441BCF">
        <w:trPr>
          <w:trHeight w:val="340"/>
        </w:trPr>
        <w:tc>
          <w:tcPr>
            <w:tcW w:w="1985" w:type="dxa"/>
          </w:tcPr>
          <w:p w14:paraId="476A6E2E" w14:textId="3FDF1AB8" w:rsidR="00A2684C" w:rsidRPr="00F979D2" w:rsidRDefault="00A2684C" w:rsidP="00FA51CB">
            <w:pPr>
              <w:adjustRightInd w:val="0"/>
              <w:spacing w:line="360" w:lineRule="auto"/>
              <w:rPr>
                <w:b/>
                <w:bCs/>
                <w:color w:val="000000" w:themeColor="text1"/>
                <w:sz w:val="20"/>
                <w:szCs w:val="20"/>
              </w:rPr>
            </w:pPr>
          </w:p>
        </w:tc>
        <w:tc>
          <w:tcPr>
            <w:tcW w:w="3402" w:type="dxa"/>
            <w:gridSpan w:val="3"/>
          </w:tcPr>
          <w:p w14:paraId="072764E2" w14:textId="77777777" w:rsidR="00F93C1D" w:rsidRDefault="00F93C1D">
            <w:pPr>
              <w:adjustRightInd w:val="0"/>
              <w:spacing w:line="360" w:lineRule="auto"/>
              <w:rPr>
                <w:b/>
                <w:bCs/>
                <w:color w:val="000000" w:themeColor="text1"/>
                <w:sz w:val="20"/>
                <w:szCs w:val="20"/>
              </w:rPr>
            </w:pPr>
            <w:r>
              <w:rPr>
                <w:b/>
                <w:bCs/>
                <w:color w:val="000000" w:themeColor="text1"/>
                <w:sz w:val="20"/>
                <w:szCs w:val="20"/>
              </w:rPr>
              <w:t>Model 2</w:t>
            </w:r>
          </w:p>
          <w:p w14:paraId="02C4823C" w14:textId="4B2F3BCA" w:rsidR="00A2684C" w:rsidRPr="00F979D2" w:rsidRDefault="00F93C1D" w:rsidP="00FA51CB">
            <w:pPr>
              <w:adjustRightInd w:val="0"/>
              <w:spacing w:line="360" w:lineRule="auto"/>
              <w:rPr>
                <w:b/>
                <w:bCs/>
                <w:color w:val="000000" w:themeColor="text1"/>
                <w:sz w:val="20"/>
                <w:szCs w:val="20"/>
              </w:rPr>
            </w:pPr>
            <w:r>
              <w:rPr>
                <w:b/>
                <w:bCs/>
                <w:color w:val="000000" w:themeColor="text1"/>
                <w:sz w:val="20"/>
                <w:szCs w:val="20"/>
              </w:rPr>
              <w:t>Dataset 1</w:t>
            </w:r>
            <w:r w:rsidR="00BB7C8B">
              <w:rPr>
                <w:b/>
                <w:bCs/>
                <w:color w:val="000000" w:themeColor="text1"/>
                <w:sz w:val="20"/>
                <w:szCs w:val="20"/>
              </w:rPr>
              <w:t xml:space="preserve"> (</w:t>
            </w:r>
            <w:r>
              <w:rPr>
                <w:b/>
                <w:bCs/>
                <w:color w:val="000000" w:themeColor="text1"/>
                <w:sz w:val="20"/>
                <w:szCs w:val="20"/>
              </w:rPr>
              <w:t xml:space="preserve">with </w:t>
            </w:r>
            <w:r w:rsidR="00A2684C" w:rsidRPr="00F979D2">
              <w:rPr>
                <w:b/>
                <w:bCs/>
                <w:color w:val="000000" w:themeColor="text1"/>
                <w:sz w:val="20"/>
                <w:szCs w:val="20"/>
              </w:rPr>
              <w:t>Past</w:t>
            </w:r>
            <w:r w:rsidR="000D7553">
              <w:rPr>
                <w:b/>
                <w:bCs/>
                <w:color w:val="000000" w:themeColor="text1"/>
                <w:sz w:val="20"/>
                <w:szCs w:val="20"/>
              </w:rPr>
              <w:t xml:space="preserve"> History</w:t>
            </w:r>
            <w:r w:rsidR="00BB7C8B">
              <w:rPr>
                <w:b/>
                <w:bCs/>
                <w:color w:val="000000" w:themeColor="text1"/>
                <w:sz w:val="20"/>
                <w:szCs w:val="20"/>
              </w:rPr>
              <w:t>)</w:t>
            </w:r>
          </w:p>
        </w:tc>
        <w:tc>
          <w:tcPr>
            <w:tcW w:w="3402" w:type="dxa"/>
            <w:gridSpan w:val="3"/>
          </w:tcPr>
          <w:p w14:paraId="0F80E24F" w14:textId="77777777" w:rsidR="000D7553" w:rsidRDefault="000D7553">
            <w:pPr>
              <w:spacing w:line="360" w:lineRule="auto"/>
              <w:rPr>
                <w:b/>
                <w:bCs/>
                <w:color w:val="000000" w:themeColor="text1"/>
                <w:sz w:val="20"/>
                <w:szCs w:val="20"/>
              </w:rPr>
            </w:pPr>
            <w:r>
              <w:rPr>
                <w:b/>
                <w:bCs/>
                <w:color w:val="000000" w:themeColor="text1"/>
                <w:sz w:val="20"/>
                <w:szCs w:val="20"/>
              </w:rPr>
              <w:t>Model 4</w:t>
            </w:r>
          </w:p>
          <w:p w14:paraId="4E9E7576" w14:textId="761EA7EB" w:rsidR="00B56056" w:rsidRPr="00F979D2" w:rsidRDefault="000D7553" w:rsidP="00FA51CB">
            <w:pPr>
              <w:spacing w:line="360" w:lineRule="auto"/>
              <w:rPr>
                <w:sz w:val="20"/>
                <w:szCs w:val="20"/>
              </w:rPr>
            </w:pPr>
            <w:r>
              <w:rPr>
                <w:b/>
                <w:bCs/>
                <w:color w:val="000000" w:themeColor="text1"/>
                <w:sz w:val="20"/>
                <w:szCs w:val="20"/>
              </w:rPr>
              <w:t>Dataset 2</w:t>
            </w:r>
            <w:r w:rsidR="00BB7C8B">
              <w:rPr>
                <w:b/>
                <w:bCs/>
                <w:color w:val="000000" w:themeColor="text1"/>
                <w:sz w:val="20"/>
                <w:szCs w:val="20"/>
              </w:rPr>
              <w:t xml:space="preserve"> (</w:t>
            </w:r>
            <w:r>
              <w:rPr>
                <w:b/>
                <w:bCs/>
                <w:color w:val="000000" w:themeColor="text1"/>
                <w:sz w:val="20"/>
                <w:szCs w:val="20"/>
              </w:rPr>
              <w:t xml:space="preserve">with </w:t>
            </w:r>
            <w:r w:rsidRPr="00F979D2">
              <w:rPr>
                <w:b/>
                <w:bCs/>
                <w:color w:val="000000" w:themeColor="text1"/>
                <w:sz w:val="20"/>
                <w:szCs w:val="20"/>
              </w:rPr>
              <w:t>Past</w:t>
            </w:r>
            <w:r>
              <w:rPr>
                <w:b/>
                <w:bCs/>
                <w:color w:val="000000" w:themeColor="text1"/>
                <w:sz w:val="20"/>
                <w:szCs w:val="20"/>
              </w:rPr>
              <w:t xml:space="preserve"> History</w:t>
            </w:r>
            <w:r w:rsidR="00BB7C8B">
              <w:rPr>
                <w:b/>
                <w:bCs/>
                <w:color w:val="000000" w:themeColor="text1"/>
                <w:sz w:val="20"/>
                <w:szCs w:val="20"/>
              </w:rPr>
              <w:t>)</w:t>
            </w:r>
          </w:p>
        </w:tc>
      </w:tr>
      <w:tr w:rsidR="00441BCF" w:rsidRPr="00F979D2" w14:paraId="11ED72C8" w14:textId="7D76EABA" w:rsidTr="00441BCF">
        <w:trPr>
          <w:trHeight w:val="340"/>
        </w:trPr>
        <w:tc>
          <w:tcPr>
            <w:tcW w:w="1985" w:type="dxa"/>
          </w:tcPr>
          <w:p w14:paraId="3FE95FA4" w14:textId="77777777" w:rsidR="00A2684C" w:rsidRPr="00F979D2" w:rsidRDefault="00A2684C" w:rsidP="00FA51CB">
            <w:pPr>
              <w:adjustRightInd w:val="0"/>
              <w:spacing w:line="360" w:lineRule="auto"/>
              <w:rPr>
                <w:b/>
                <w:bCs/>
                <w:color w:val="000000" w:themeColor="text1"/>
                <w:sz w:val="20"/>
                <w:szCs w:val="20"/>
              </w:rPr>
            </w:pPr>
            <w:r w:rsidRPr="00F979D2">
              <w:rPr>
                <w:b/>
                <w:bCs/>
                <w:color w:val="000000" w:themeColor="text1"/>
                <w:sz w:val="20"/>
                <w:szCs w:val="20"/>
              </w:rPr>
              <w:t>Variable</w:t>
            </w:r>
          </w:p>
        </w:tc>
        <w:tc>
          <w:tcPr>
            <w:tcW w:w="992" w:type="dxa"/>
          </w:tcPr>
          <w:p w14:paraId="7706E985" w14:textId="45A3D152" w:rsidR="00A2684C" w:rsidRPr="00F979D2" w:rsidRDefault="00A2684C" w:rsidP="00FA51CB">
            <w:pPr>
              <w:adjustRightInd w:val="0"/>
              <w:spacing w:line="360" w:lineRule="auto"/>
              <w:rPr>
                <w:b/>
                <w:bCs/>
                <w:color w:val="000000" w:themeColor="text1"/>
                <w:sz w:val="20"/>
                <w:szCs w:val="20"/>
              </w:rPr>
            </w:pPr>
            <w:r w:rsidRPr="00F979D2">
              <w:rPr>
                <w:b/>
                <w:bCs/>
                <w:color w:val="000000" w:themeColor="text1"/>
                <w:sz w:val="20"/>
                <w:szCs w:val="20"/>
              </w:rPr>
              <w:t>OR</w:t>
            </w:r>
          </w:p>
        </w:tc>
        <w:tc>
          <w:tcPr>
            <w:tcW w:w="1276" w:type="dxa"/>
          </w:tcPr>
          <w:p w14:paraId="5F399670" w14:textId="7B7E61C0" w:rsidR="00A2684C" w:rsidRPr="00F979D2" w:rsidRDefault="00A2684C" w:rsidP="00FA51CB">
            <w:pPr>
              <w:adjustRightInd w:val="0"/>
              <w:spacing w:line="360" w:lineRule="auto"/>
              <w:rPr>
                <w:b/>
                <w:bCs/>
                <w:color w:val="000000" w:themeColor="text1"/>
                <w:sz w:val="20"/>
                <w:szCs w:val="20"/>
              </w:rPr>
            </w:pPr>
            <w:r w:rsidRPr="00F979D2">
              <w:rPr>
                <w:b/>
                <w:bCs/>
                <w:color w:val="000000" w:themeColor="text1"/>
                <w:sz w:val="20"/>
                <w:szCs w:val="20"/>
              </w:rPr>
              <w:t>95% CI</w:t>
            </w:r>
          </w:p>
        </w:tc>
        <w:tc>
          <w:tcPr>
            <w:tcW w:w="1134" w:type="dxa"/>
          </w:tcPr>
          <w:p w14:paraId="3F4D4218" w14:textId="77777777" w:rsidR="00A2684C" w:rsidRPr="00F979D2" w:rsidRDefault="00A2684C" w:rsidP="00FA51CB">
            <w:pPr>
              <w:adjustRightInd w:val="0"/>
              <w:spacing w:line="360" w:lineRule="auto"/>
              <w:rPr>
                <w:b/>
                <w:bCs/>
                <w:color w:val="000000" w:themeColor="text1"/>
                <w:sz w:val="20"/>
                <w:szCs w:val="20"/>
              </w:rPr>
            </w:pPr>
            <w:r w:rsidRPr="00F979D2">
              <w:rPr>
                <w:b/>
                <w:bCs/>
                <w:color w:val="000000" w:themeColor="text1"/>
                <w:sz w:val="20"/>
                <w:szCs w:val="20"/>
              </w:rPr>
              <w:t>P-value</w:t>
            </w:r>
          </w:p>
        </w:tc>
        <w:tc>
          <w:tcPr>
            <w:tcW w:w="992" w:type="dxa"/>
          </w:tcPr>
          <w:p w14:paraId="6C65A44C" w14:textId="7C709B1B" w:rsidR="00A2684C" w:rsidRPr="00F979D2" w:rsidRDefault="00A2684C" w:rsidP="00FA51CB">
            <w:pPr>
              <w:spacing w:line="360" w:lineRule="auto"/>
              <w:rPr>
                <w:sz w:val="20"/>
                <w:szCs w:val="20"/>
              </w:rPr>
            </w:pPr>
            <w:r w:rsidRPr="00F979D2">
              <w:rPr>
                <w:b/>
                <w:bCs/>
                <w:color w:val="000000" w:themeColor="text1"/>
                <w:sz w:val="20"/>
                <w:szCs w:val="20"/>
              </w:rPr>
              <w:t>OR</w:t>
            </w:r>
          </w:p>
        </w:tc>
        <w:tc>
          <w:tcPr>
            <w:tcW w:w="1134" w:type="dxa"/>
          </w:tcPr>
          <w:p w14:paraId="125CF98A" w14:textId="06FB4968" w:rsidR="00A2684C" w:rsidRPr="00F979D2" w:rsidRDefault="00A2684C" w:rsidP="00FA51CB">
            <w:pPr>
              <w:spacing w:line="360" w:lineRule="auto"/>
              <w:rPr>
                <w:sz w:val="20"/>
                <w:szCs w:val="20"/>
              </w:rPr>
            </w:pPr>
            <w:r w:rsidRPr="00F979D2">
              <w:rPr>
                <w:b/>
                <w:bCs/>
                <w:color w:val="000000" w:themeColor="text1"/>
                <w:sz w:val="20"/>
                <w:szCs w:val="20"/>
              </w:rPr>
              <w:t>95% CI</w:t>
            </w:r>
          </w:p>
        </w:tc>
        <w:tc>
          <w:tcPr>
            <w:tcW w:w="1276" w:type="dxa"/>
          </w:tcPr>
          <w:p w14:paraId="13DDD56A" w14:textId="713BD227" w:rsidR="00A2684C" w:rsidRPr="00F979D2" w:rsidRDefault="00A2684C" w:rsidP="00FA51CB">
            <w:pPr>
              <w:spacing w:line="360" w:lineRule="auto"/>
              <w:rPr>
                <w:sz w:val="20"/>
                <w:szCs w:val="20"/>
              </w:rPr>
            </w:pPr>
            <w:r w:rsidRPr="00F979D2">
              <w:rPr>
                <w:b/>
                <w:bCs/>
                <w:color w:val="000000" w:themeColor="text1"/>
                <w:sz w:val="20"/>
                <w:szCs w:val="20"/>
              </w:rPr>
              <w:t>P-value</w:t>
            </w:r>
          </w:p>
        </w:tc>
      </w:tr>
      <w:tr w:rsidR="00441BCF" w:rsidRPr="00F979D2" w14:paraId="633C2AC6" w14:textId="1EFA04ED" w:rsidTr="00441BCF">
        <w:trPr>
          <w:trHeight w:val="340"/>
        </w:trPr>
        <w:tc>
          <w:tcPr>
            <w:tcW w:w="1985" w:type="dxa"/>
          </w:tcPr>
          <w:p w14:paraId="5D5910E3" w14:textId="77777777" w:rsidR="00A2684C" w:rsidRPr="00F979D2" w:rsidRDefault="00A2684C" w:rsidP="00FA51CB">
            <w:pPr>
              <w:adjustRightInd w:val="0"/>
              <w:spacing w:line="360" w:lineRule="auto"/>
              <w:rPr>
                <w:color w:val="000000" w:themeColor="text1"/>
                <w:sz w:val="20"/>
                <w:szCs w:val="20"/>
              </w:rPr>
            </w:pPr>
            <w:r w:rsidRPr="00F979D2">
              <w:rPr>
                <w:color w:val="000000" w:themeColor="text1"/>
                <w:sz w:val="20"/>
                <w:szCs w:val="20"/>
              </w:rPr>
              <w:t>Age</w:t>
            </w:r>
          </w:p>
        </w:tc>
        <w:tc>
          <w:tcPr>
            <w:tcW w:w="992" w:type="dxa"/>
          </w:tcPr>
          <w:p w14:paraId="3CE9B114" w14:textId="77777777" w:rsidR="00A2684C" w:rsidRPr="00F979D2" w:rsidRDefault="00A2684C" w:rsidP="00FA51CB">
            <w:pPr>
              <w:adjustRightInd w:val="0"/>
              <w:spacing w:line="360" w:lineRule="auto"/>
              <w:rPr>
                <w:color w:val="000000" w:themeColor="text1"/>
                <w:sz w:val="20"/>
                <w:szCs w:val="20"/>
              </w:rPr>
            </w:pPr>
            <w:r w:rsidRPr="00F979D2">
              <w:rPr>
                <w:color w:val="000000" w:themeColor="text1"/>
                <w:sz w:val="20"/>
                <w:szCs w:val="20"/>
              </w:rPr>
              <w:t>1.04</w:t>
            </w:r>
          </w:p>
        </w:tc>
        <w:tc>
          <w:tcPr>
            <w:tcW w:w="1276" w:type="dxa"/>
          </w:tcPr>
          <w:p w14:paraId="6C3B1338" w14:textId="77777777" w:rsidR="00A2684C" w:rsidRPr="00F979D2" w:rsidRDefault="00A2684C" w:rsidP="00FA51CB">
            <w:pPr>
              <w:adjustRightInd w:val="0"/>
              <w:spacing w:line="360" w:lineRule="auto"/>
              <w:rPr>
                <w:color w:val="000000" w:themeColor="text1"/>
                <w:sz w:val="20"/>
                <w:szCs w:val="20"/>
              </w:rPr>
            </w:pPr>
            <w:r w:rsidRPr="00F979D2">
              <w:rPr>
                <w:color w:val="000000" w:themeColor="text1"/>
                <w:sz w:val="20"/>
                <w:szCs w:val="20"/>
              </w:rPr>
              <w:t>1.03-1.05</w:t>
            </w:r>
          </w:p>
        </w:tc>
        <w:tc>
          <w:tcPr>
            <w:tcW w:w="1134" w:type="dxa"/>
          </w:tcPr>
          <w:p w14:paraId="315D4C12" w14:textId="77777777" w:rsidR="00A2684C" w:rsidRPr="00F979D2" w:rsidRDefault="00A2684C" w:rsidP="00FA51CB">
            <w:pPr>
              <w:adjustRightInd w:val="0"/>
              <w:spacing w:line="360" w:lineRule="auto"/>
              <w:rPr>
                <w:color w:val="000000" w:themeColor="text1"/>
                <w:sz w:val="20"/>
                <w:szCs w:val="20"/>
              </w:rPr>
            </w:pPr>
            <w:r w:rsidRPr="00F979D2">
              <w:rPr>
                <w:color w:val="000000" w:themeColor="text1"/>
                <w:sz w:val="20"/>
                <w:szCs w:val="20"/>
              </w:rPr>
              <w:t>&lt;0.001</w:t>
            </w:r>
          </w:p>
        </w:tc>
        <w:tc>
          <w:tcPr>
            <w:tcW w:w="992" w:type="dxa"/>
          </w:tcPr>
          <w:p w14:paraId="0967DD2E" w14:textId="1A743134" w:rsidR="00A2684C" w:rsidRPr="00F979D2" w:rsidRDefault="00A2684C" w:rsidP="00FA51CB">
            <w:pPr>
              <w:spacing w:line="360" w:lineRule="auto"/>
              <w:rPr>
                <w:sz w:val="20"/>
                <w:szCs w:val="20"/>
              </w:rPr>
            </w:pPr>
            <w:r w:rsidRPr="00F979D2">
              <w:rPr>
                <w:color w:val="000000" w:themeColor="text1"/>
                <w:sz w:val="20"/>
                <w:szCs w:val="20"/>
              </w:rPr>
              <w:t>1.03</w:t>
            </w:r>
          </w:p>
        </w:tc>
        <w:tc>
          <w:tcPr>
            <w:tcW w:w="1134" w:type="dxa"/>
          </w:tcPr>
          <w:p w14:paraId="709CD3B2" w14:textId="78325F8C" w:rsidR="00A2684C" w:rsidRPr="00F979D2" w:rsidRDefault="00A2684C" w:rsidP="00FA51CB">
            <w:pPr>
              <w:spacing w:line="360" w:lineRule="auto"/>
              <w:rPr>
                <w:sz w:val="20"/>
                <w:szCs w:val="20"/>
              </w:rPr>
            </w:pPr>
            <w:r w:rsidRPr="00F979D2">
              <w:rPr>
                <w:color w:val="000000" w:themeColor="text1"/>
                <w:sz w:val="20"/>
                <w:szCs w:val="20"/>
              </w:rPr>
              <w:t>1.02-1.05</w:t>
            </w:r>
          </w:p>
        </w:tc>
        <w:tc>
          <w:tcPr>
            <w:tcW w:w="1276" w:type="dxa"/>
          </w:tcPr>
          <w:p w14:paraId="4B725763" w14:textId="314F036E" w:rsidR="00A2684C" w:rsidRPr="00F979D2" w:rsidRDefault="00A2684C" w:rsidP="00FA51CB">
            <w:pPr>
              <w:spacing w:line="360" w:lineRule="auto"/>
              <w:rPr>
                <w:sz w:val="20"/>
                <w:szCs w:val="20"/>
              </w:rPr>
            </w:pPr>
            <w:r w:rsidRPr="00F979D2">
              <w:rPr>
                <w:color w:val="000000" w:themeColor="text1"/>
                <w:sz w:val="20"/>
                <w:szCs w:val="20"/>
              </w:rPr>
              <w:t>&lt;0.001</w:t>
            </w:r>
          </w:p>
        </w:tc>
      </w:tr>
      <w:tr w:rsidR="00441BCF" w:rsidRPr="00F979D2" w14:paraId="096AEFD1" w14:textId="3F436CA7" w:rsidTr="00441BCF">
        <w:trPr>
          <w:trHeight w:val="340"/>
        </w:trPr>
        <w:tc>
          <w:tcPr>
            <w:tcW w:w="1985" w:type="dxa"/>
          </w:tcPr>
          <w:p w14:paraId="1641DEC6" w14:textId="77777777" w:rsidR="00A2684C" w:rsidRPr="00F979D2" w:rsidRDefault="00A2684C" w:rsidP="00FA51CB">
            <w:pPr>
              <w:adjustRightInd w:val="0"/>
              <w:spacing w:line="360" w:lineRule="auto"/>
              <w:rPr>
                <w:color w:val="000000" w:themeColor="text1"/>
                <w:sz w:val="20"/>
                <w:szCs w:val="20"/>
              </w:rPr>
            </w:pPr>
            <w:r w:rsidRPr="00F979D2">
              <w:rPr>
                <w:color w:val="000000" w:themeColor="text1"/>
                <w:sz w:val="20"/>
                <w:szCs w:val="20"/>
              </w:rPr>
              <w:t>Sex (Male)</w:t>
            </w:r>
          </w:p>
        </w:tc>
        <w:tc>
          <w:tcPr>
            <w:tcW w:w="992" w:type="dxa"/>
          </w:tcPr>
          <w:p w14:paraId="780C1A88" w14:textId="77777777" w:rsidR="00A2684C" w:rsidRPr="00F979D2" w:rsidRDefault="00A2684C" w:rsidP="00FA51CB">
            <w:pPr>
              <w:adjustRightInd w:val="0"/>
              <w:spacing w:line="360" w:lineRule="auto"/>
              <w:rPr>
                <w:color w:val="000000" w:themeColor="text1"/>
                <w:sz w:val="20"/>
                <w:szCs w:val="20"/>
              </w:rPr>
            </w:pPr>
            <w:r w:rsidRPr="00F979D2">
              <w:rPr>
                <w:color w:val="000000" w:themeColor="text1"/>
                <w:sz w:val="20"/>
                <w:szCs w:val="20"/>
              </w:rPr>
              <w:t>1.22</w:t>
            </w:r>
          </w:p>
        </w:tc>
        <w:tc>
          <w:tcPr>
            <w:tcW w:w="1276" w:type="dxa"/>
          </w:tcPr>
          <w:p w14:paraId="0362D3FD" w14:textId="77777777" w:rsidR="00A2684C" w:rsidRPr="00F979D2" w:rsidRDefault="00A2684C" w:rsidP="00FA51CB">
            <w:pPr>
              <w:adjustRightInd w:val="0"/>
              <w:spacing w:line="360" w:lineRule="auto"/>
              <w:rPr>
                <w:color w:val="000000" w:themeColor="text1"/>
                <w:sz w:val="20"/>
                <w:szCs w:val="20"/>
              </w:rPr>
            </w:pPr>
            <w:r w:rsidRPr="00F979D2">
              <w:rPr>
                <w:color w:val="000000" w:themeColor="text1"/>
                <w:sz w:val="20"/>
                <w:szCs w:val="20"/>
              </w:rPr>
              <w:t>1.09-1.35</w:t>
            </w:r>
          </w:p>
        </w:tc>
        <w:tc>
          <w:tcPr>
            <w:tcW w:w="1134" w:type="dxa"/>
          </w:tcPr>
          <w:p w14:paraId="016B38B4" w14:textId="77777777" w:rsidR="00A2684C" w:rsidRPr="00F979D2" w:rsidRDefault="00A2684C" w:rsidP="00FA51CB">
            <w:pPr>
              <w:adjustRightInd w:val="0"/>
              <w:spacing w:line="360" w:lineRule="auto"/>
              <w:rPr>
                <w:color w:val="000000" w:themeColor="text1"/>
                <w:sz w:val="20"/>
                <w:szCs w:val="20"/>
              </w:rPr>
            </w:pPr>
            <w:r w:rsidRPr="00F979D2">
              <w:rPr>
                <w:color w:val="000000" w:themeColor="text1"/>
                <w:sz w:val="20"/>
                <w:szCs w:val="20"/>
              </w:rPr>
              <w:t>&lt;0.001</w:t>
            </w:r>
          </w:p>
        </w:tc>
        <w:tc>
          <w:tcPr>
            <w:tcW w:w="992" w:type="dxa"/>
          </w:tcPr>
          <w:p w14:paraId="1A7E7F0D" w14:textId="3302C830" w:rsidR="00A2684C" w:rsidRPr="00F979D2" w:rsidRDefault="00A2684C" w:rsidP="00FA51CB">
            <w:pPr>
              <w:spacing w:line="360" w:lineRule="auto"/>
              <w:rPr>
                <w:sz w:val="20"/>
                <w:szCs w:val="20"/>
              </w:rPr>
            </w:pPr>
            <w:r w:rsidRPr="00F979D2">
              <w:rPr>
                <w:color w:val="000000" w:themeColor="text1"/>
                <w:sz w:val="20"/>
                <w:szCs w:val="20"/>
              </w:rPr>
              <w:t>3.01</w:t>
            </w:r>
          </w:p>
        </w:tc>
        <w:tc>
          <w:tcPr>
            <w:tcW w:w="1134" w:type="dxa"/>
          </w:tcPr>
          <w:p w14:paraId="01DCE334" w14:textId="756A8D86" w:rsidR="00A2684C" w:rsidRPr="00F979D2" w:rsidRDefault="00A2684C" w:rsidP="00FA51CB">
            <w:pPr>
              <w:spacing w:line="360" w:lineRule="auto"/>
              <w:rPr>
                <w:sz w:val="20"/>
                <w:szCs w:val="20"/>
              </w:rPr>
            </w:pPr>
            <w:r w:rsidRPr="00F979D2">
              <w:rPr>
                <w:color w:val="000000" w:themeColor="text1"/>
                <w:sz w:val="20"/>
                <w:szCs w:val="20"/>
              </w:rPr>
              <w:t>1.14-7.96</w:t>
            </w:r>
          </w:p>
        </w:tc>
        <w:tc>
          <w:tcPr>
            <w:tcW w:w="1276" w:type="dxa"/>
          </w:tcPr>
          <w:p w14:paraId="1204EE54" w14:textId="4F3B5A30" w:rsidR="00A2684C" w:rsidRPr="00F979D2" w:rsidRDefault="00A2684C" w:rsidP="00FA51CB">
            <w:pPr>
              <w:spacing w:line="360" w:lineRule="auto"/>
              <w:rPr>
                <w:sz w:val="20"/>
                <w:szCs w:val="20"/>
              </w:rPr>
            </w:pPr>
            <w:r w:rsidRPr="00F979D2">
              <w:rPr>
                <w:color w:val="000000" w:themeColor="text1"/>
                <w:sz w:val="20"/>
                <w:szCs w:val="20"/>
              </w:rPr>
              <w:t>&lt;0.001</w:t>
            </w:r>
          </w:p>
        </w:tc>
      </w:tr>
      <w:tr w:rsidR="00441BCF" w:rsidRPr="00F979D2" w14:paraId="64C5F012" w14:textId="32FFC213" w:rsidTr="00441BCF">
        <w:trPr>
          <w:trHeight w:val="340"/>
        </w:trPr>
        <w:tc>
          <w:tcPr>
            <w:tcW w:w="1985" w:type="dxa"/>
          </w:tcPr>
          <w:p w14:paraId="667ECEA9" w14:textId="77777777" w:rsidR="00A2684C" w:rsidRPr="00F979D2" w:rsidRDefault="00A2684C" w:rsidP="00FA51CB">
            <w:pPr>
              <w:adjustRightInd w:val="0"/>
              <w:spacing w:line="360" w:lineRule="auto"/>
              <w:rPr>
                <w:color w:val="000000" w:themeColor="text1"/>
                <w:sz w:val="20"/>
                <w:szCs w:val="20"/>
              </w:rPr>
            </w:pPr>
            <w:r w:rsidRPr="00F979D2">
              <w:rPr>
                <w:color w:val="000000" w:themeColor="text1"/>
                <w:sz w:val="20"/>
                <w:szCs w:val="20"/>
              </w:rPr>
              <w:t>Ever Smoked</w:t>
            </w:r>
          </w:p>
        </w:tc>
        <w:tc>
          <w:tcPr>
            <w:tcW w:w="992" w:type="dxa"/>
          </w:tcPr>
          <w:p w14:paraId="29CB1568" w14:textId="77777777" w:rsidR="00A2684C" w:rsidRPr="00F979D2" w:rsidRDefault="00A2684C" w:rsidP="00FA51CB">
            <w:pPr>
              <w:adjustRightInd w:val="0"/>
              <w:spacing w:line="360" w:lineRule="auto"/>
              <w:rPr>
                <w:color w:val="000000" w:themeColor="text1"/>
                <w:sz w:val="20"/>
                <w:szCs w:val="20"/>
              </w:rPr>
            </w:pPr>
            <w:r w:rsidRPr="00F979D2">
              <w:rPr>
                <w:color w:val="000000" w:themeColor="text1"/>
                <w:sz w:val="20"/>
                <w:szCs w:val="20"/>
              </w:rPr>
              <w:t>1.2</w:t>
            </w:r>
          </w:p>
        </w:tc>
        <w:tc>
          <w:tcPr>
            <w:tcW w:w="1276" w:type="dxa"/>
          </w:tcPr>
          <w:p w14:paraId="6F00F711" w14:textId="77777777" w:rsidR="00A2684C" w:rsidRPr="00F979D2" w:rsidRDefault="00A2684C" w:rsidP="00FA51CB">
            <w:pPr>
              <w:adjustRightInd w:val="0"/>
              <w:spacing w:line="360" w:lineRule="auto"/>
              <w:rPr>
                <w:color w:val="000000" w:themeColor="text1"/>
                <w:sz w:val="20"/>
                <w:szCs w:val="20"/>
              </w:rPr>
            </w:pPr>
            <w:r w:rsidRPr="00F979D2">
              <w:rPr>
                <w:color w:val="000000" w:themeColor="text1"/>
                <w:sz w:val="20"/>
                <w:szCs w:val="20"/>
              </w:rPr>
              <w:t>1.09-1.33</w:t>
            </w:r>
          </w:p>
        </w:tc>
        <w:tc>
          <w:tcPr>
            <w:tcW w:w="1134" w:type="dxa"/>
          </w:tcPr>
          <w:p w14:paraId="13134189" w14:textId="77777777" w:rsidR="00A2684C" w:rsidRPr="00F979D2" w:rsidRDefault="00A2684C" w:rsidP="00FA51CB">
            <w:pPr>
              <w:adjustRightInd w:val="0"/>
              <w:spacing w:line="360" w:lineRule="auto"/>
              <w:rPr>
                <w:color w:val="000000" w:themeColor="text1"/>
                <w:sz w:val="20"/>
                <w:szCs w:val="20"/>
              </w:rPr>
            </w:pPr>
            <w:r w:rsidRPr="00F979D2">
              <w:rPr>
                <w:color w:val="000000" w:themeColor="text1"/>
                <w:sz w:val="20"/>
                <w:szCs w:val="20"/>
              </w:rPr>
              <w:t>&lt;0.001</w:t>
            </w:r>
          </w:p>
        </w:tc>
        <w:tc>
          <w:tcPr>
            <w:tcW w:w="992" w:type="dxa"/>
          </w:tcPr>
          <w:p w14:paraId="5F6385EB" w14:textId="259943DE" w:rsidR="00A2684C" w:rsidRPr="00F979D2" w:rsidRDefault="00A2684C" w:rsidP="00FA51CB">
            <w:pPr>
              <w:spacing w:line="360" w:lineRule="auto"/>
              <w:rPr>
                <w:sz w:val="20"/>
                <w:szCs w:val="20"/>
              </w:rPr>
            </w:pPr>
            <w:r w:rsidRPr="00F979D2">
              <w:rPr>
                <w:color w:val="000000" w:themeColor="text1"/>
                <w:sz w:val="20"/>
                <w:szCs w:val="20"/>
              </w:rPr>
              <w:t>1.08</w:t>
            </w:r>
          </w:p>
        </w:tc>
        <w:tc>
          <w:tcPr>
            <w:tcW w:w="1134" w:type="dxa"/>
          </w:tcPr>
          <w:p w14:paraId="08156F67" w14:textId="7D906FB5" w:rsidR="00A2684C" w:rsidRPr="00F979D2" w:rsidRDefault="00A2684C" w:rsidP="00FA51CB">
            <w:pPr>
              <w:spacing w:line="360" w:lineRule="auto"/>
              <w:rPr>
                <w:sz w:val="20"/>
                <w:szCs w:val="20"/>
              </w:rPr>
            </w:pPr>
            <w:r w:rsidRPr="00F979D2">
              <w:rPr>
                <w:color w:val="000000" w:themeColor="text1"/>
                <w:sz w:val="20"/>
                <w:szCs w:val="20"/>
              </w:rPr>
              <w:t>.79-1.47</w:t>
            </w:r>
          </w:p>
        </w:tc>
        <w:tc>
          <w:tcPr>
            <w:tcW w:w="1276" w:type="dxa"/>
          </w:tcPr>
          <w:p w14:paraId="395F6C87" w14:textId="002EE58F" w:rsidR="00A2684C" w:rsidRPr="00F979D2" w:rsidRDefault="00A2684C" w:rsidP="00FA51CB">
            <w:pPr>
              <w:spacing w:line="360" w:lineRule="auto"/>
              <w:rPr>
                <w:sz w:val="20"/>
                <w:szCs w:val="20"/>
              </w:rPr>
            </w:pPr>
            <w:r w:rsidRPr="00F979D2">
              <w:rPr>
                <w:color w:val="000000" w:themeColor="text1"/>
                <w:sz w:val="20"/>
                <w:szCs w:val="20"/>
              </w:rPr>
              <w:t>0.64</w:t>
            </w:r>
          </w:p>
        </w:tc>
      </w:tr>
      <w:tr w:rsidR="00441BCF" w:rsidRPr="00F979D2" w14:paraId="5C2C8793" w14:textId="020A7A94" w:rsidTr="00441BCF">
        <w:trPr>
          <w:trHeight w:val="340"/>
        </w:trPr>
        <w:tc>
          <w:tcPr>
            <w:tcW w:w="1985" w:type="dxa"/>
          </w:tcPr>
          <w:p w14:paraId="1897D170" w14:textId="77777777" w:rsidR="00A2684C" w:rsidRPr="00F979D2" w:rsidRDefault="00A2684C" w:rsidP="00FA51CB">
            <w:pPr>
              <w:adjustRightInd w:val="0"/>
              <w:spacing w:line="360" w:lineRule="auto"/>
              <w:rPr>
                <w:color w:val="000000" w:themeColor="text1"/>
                <w:sz w:val="20"/>
                <w:szCs w:val="20"/>
              </w:rPr>
            </w:pPr>
            <w:r w:rsidRPr="00F979D2">
              <w:rPr>
                <w:color w:val="000000" w:themeColor="text1"/>
                <w:sz w:val="20"/>
                <w:szCs w:val="20"/>
              </w:rPr>
              <w:t>Diabetes</w:t>
            </w:r>
          </w:p>
        </w:tc>
        <w:tc>
          <w:tcPr>
            <w:tcW w:w="992" w:type="dxa"/>
          </w:tcPr>
          <w:p w14:paraId="134A6293" w14:textId="77777777" w:rsidR="00A2684C" w:rsidRPr="00F979D2" w:rsidRDefault="00A2684C" w:rsidP="00FA51CB">
            <w:pPr>
              <w:adjustRightInd w:val="0"/>
              <w:spacing w:line="360" w:lineRule="auto"/>
              <w:rPr>
                <w:color w:val="000000" w:themeColor="text1"/>
                <w:sz w:val="20"/>
                <w:szCs w:val="20"/>
              </w:rPr>
            </w:pPr>
            <w:r w:rsidRPr="00F979D2">
              <w:rPr>
                <w:color w:val="000000" w:themeColor="text1"/>
                <w:sz w:val="20"/>
                <w:szCs w:val="20"/>
              </w:rPr>
              <w:t>1.58</w:t>
            </w:r>
          </w:p>
        </w:tc>
        <w:tc>
          <w:tcPr>
            <w:tcW w:w="1276" w:type="dxa"/>
          </w:tcPr>
          <w:p w14:paraId="27B44D50" w14:textId="77777777" w:rsidR="00A2684C" w:rsidRPr="00F979D2" w:rsidRDefault="00A2684C" w:rsidP="00FA51CB">
            <w:pPr>
              <w:adjustRightInd w:val="0"/>
              <w:spacing w:line="360" w:lineRule="auto"/>
              <w:rPr>
                <w:color w:val="000000" w:themeColor="text1"/>
                <w:sz w:val="20"/>
                <w:szCs w:val="20"/>
              </w:rPr>
            </w:pPr>
            <w:r w:rsidRPr="00F979D2">
              <w:rPr>
                <w:color w:val="000000" w:themeColor="text1"/>
                <w:sz w:val="20"/>
                <w:szCs w:val="20"/>
              </w:rPr>
              <w:t>1.41-1.77</w:t>
            </w:r>
          </w:p>
        </w:tc>
        <w:tc>
          <w:tcPr>
            <w:tcW w:w="1134" w:type="dxa"/>
          </w:tcPr>
          <w:p w14:paraId="4B06BA79" w14:textId="77777777" w:rsidR="00A2684C" w:rsidRPr="00F979D2" w:rsidRDefault="00A2684C" w:rsidP="00FA51CB">
            <w:pPr>
              <w:adjustRightInd w:val="0"/>
              <w:spacing w:line="360" w:lineRule="auto"/>
              <w:rPr>
                <w:color w:val="000000" w:themeColor="text1"/>
                <w:sz w:val="20"/>
                <w:szCs w:val="20"/>
              </w:rPr>
            </w:pPr>
            <w:r w:rsidRPr="00F979D2">
              <w:rPr>
                <w:color w:val="000000" w:themeColor="text1"/>
                <w:sz w:val="20"/>
                <w:szCs w:val="20"/>
              </w:rPr>
              <w:t>&lt;0.001</w:t>
            </w:r>
          </w:p>
        </w:tc>
        <w:tc>
          <w:tcPr>
            <w:tcW w:w="992" w:type="dxa"/>
          </w:tcPr>
          <w:p w14:paraId="004B6503" w14:textId="506E0F7F" w:rsidR="00A2684C" w:rsidRPr="00F979D2" w:rsidRDefault="00A2684C" w:rsidP="00FA51CB">
            <w:pPr>
              <w:spacing w:line="360" w:lineRule="auto"/>
              <w:rPr>
                <w:sz w:val="20"/>
                <w:szCs w:val="20"/>
              </w:rPr>
            </w:pPr>
            <w:r w:rsidRPr="00F979D2">
              <w:rPr>
                <w:color w:val="000000" w:themeColor="text1"/>
                <w:sz w:val="20"/>
                <w:szCs w:val="20"/>
              </w:rPr>
              <w:t>1.50</w:t>
            </w:r>
          </w:p>
        </w:tc>
        <w:tc>
          <w:tcPr>
            <w:tcW w:w="1134" w:type="dxa"/>
          </w:tcPr>
          <w:p w14:paraId="676EDB16" w14:textId="4D56600B" w:rsidR="00A2684C" w:rsidRPr="00F979D2" w:rsidRDefault="00A2684C" w:rsidP="00FA51CB">
            <w:pPr>
              <w:spacing w:line="360" w:lineRule="auto"/>
              <w:rPr>
                <w:sz w:val="20"/>
                <w:szCs w:val="20"/>
              </w:rPr>
            </w:pPr>
            <w:r w:rsidRPr="00F979D2">
              <w:rPr>
                <w:color w:val="000000" w:themeColor="text1"/>
                <w:sz w:val="20"/>
                <w:szCs w:val="20"/>
              </w:rPr>
              <w:t>1.22-1.83</w:t>
            </w:r>
          </w:p>
        </w:tc>
        <w:tc>
          <w:tcPr>
            <w:tcW w:w="1276" w:type="dxa"/>
          </w:tcPr>
          <w:p w14:paraId="22D7C146" w14:textId="1ED871C7" w:rsidR="00A2684C" w:rsidRPr="00F979D2" w:rsidRDefault="00A2684C" w:rsidP="00FA51CB">
            <w:pPr>
              <w:spacing w:line="360" w:lineRule="auto"/>
              <w:rPr>
                <w:sz w:val="20"/>
                <w:szCs w:val="20"/>
              </w:rPr>
            </w:pPr>
            <w:r w:rsidRPr="00F979D2">
              <w:rPr>
                <w:color w:val="000000" w:themeColor="text1"/>
                <w:sz w:val="20"/>
                <w:szCs w:val="20"/>
              </w:rPr>
              <w:t>&lt;0.001</w:t>
            </w:r>
          </w:p>
        </w:tc>
      </w:tr>
      <w:tr w:rsidR="00441BCF" w:rsidRPr="00F979D2" w14:paraId="1E3D59A2" w14:textId="7091B382" w:rsidTr="00441BCF">
        <w:trPr>
          <w:trHeight w:val="340"/>
        </w:trPr>
        <w:tc>
          <w:tcPr>
            <w:tcW w:w="1985" w:type="dxa"/>
          </w:tcPr>
          <w:p w14:paraId="335A0784" w14:textId="77777777" w:rsidR="00A2684C" w:rsidRPr="00F979D2" w:rsidRDefault="00A2684C" w:rsidP="00FA51CB">
            <w:pPr>
              <w:adjustRightInd w:val="0"/>
              <w:spacing w:line="360" w:lineRule="auto"/>
              <w:rPr>
                <w:color w:val="000000" w:themeColor="text1"/>
                <w:sz w:val="20"/>
                <w:szCs w:val="20"/>
              </w:rPr>
            </w:pPr>
            <w:r w:rsidRPr="00F979D2">
              <w:rPr>
                <w:color w:val="000000" w:themeColor="text1"/>
                <w:sz w:val="20"/>
                <w:szCs w:val="20"/>
              </w:rPr>
              <w:t>Hypertension</w:t>
            </w:r>
          </w:p>
        </w:tc>
        <w:tc>
          <w:tcPr>
            <w:tcW w:w="992" w:type="dxa"/>
          </w:tcPr>
          <w:p w14:paraId="1FDF291F" w14:textId="77777777" w:rsidR="00A2684C" w:rsidRPr="00F979D2" w:rsidRDefault="00A2684C" w:rsidP="00FA51CB">
            <w:pPr>
              <w:adjustRightInd w:val="0"/>
              <w:spacing w:line="360" w:lineRule="auto"/>
              <w:rPr>
                <w:color w:val="000000" w:themeColor="text1"/>
                <w:sz w:val="20"/>
                <w:szCs w:val="20"/>
              </w:rPr>
            </w:pPr>
            <w:r w:rsidRPr="00F979D2">
              <w:rPr>
                <w:color w:val="000000" w:themeColor="text1"/>
                <w:sz w:val="20"/>
                <w:szCs w:val="20"/>
              </w:rPr>
              <w:t>4.41</w:t>
            </w:r>
          </w:p>
        </w:tc>
        <w:tc>
          <w:tcPr>
            <w:tcW w:w="1276" w:type="dxa"/>
          </w:tcPr>
          <w:p w14:paraId="4F395FC1" w14:textId="77777777" w:rsidR="00A2684C" w:rsidRPr="00F979D2" w:rsidRDefault="00A2684C" w:rsidP="00FA51CB">
            <w:pPr>
              <w:adjustRightInd w:val="0"/>
              <w:spacing w:line="360" w:lineRule="auto"/>
              <w:rPr>
                <w:color w:val="000000" w:themeColor="text1"/>
                <w:sz w:val="20"/>
                <w:szCs w:val="20"/>
              </w:rPr>
            </w:pPr>
            <w:r w:rsidRPr="00F979D2">
              <w:rPr>
                <w:color w:val="000000" w:themeColor="text1"/>
                <w:sz w:val="20"/>
                <w:szCs w:val="20"/>
              </w:rPr>
              <w:t>1.66-11.71</w:t>
            </w:r>
          </w:p>
        </w:tc>
        <w:tc>
          <w:tcPr>
            <w:tcW w:w="1134" w:type="dxa"/>
          </w:tcPr>
          <w:p w14:paraId="671B529E" w14:textId="77777777" w:rsidR="00A2684C" w:rsidRPr="00F979D2" w:rsidRDefault="00A2684C" w:rsidP="00FA51CB">
            <w:pPr>
              <w:adjustRightInd w:val="0"/>
              <w:spacing w:line="360" w:lineRule="auto"/>
              <w:rPr>
                <w:color w:val="000000" w:themeColor="text1"/>
                <w:sz w:val="20"/>
                <w:szCs w:val="20"/>
              </w:rPr>
            </w:pPr>
            <w:r w:rsidRPr="00F979D2">
              <w:rPr>
                <w:color w:val="000000" w:themeColor="text1"/>
                <w:sz w:val="20"/>
                <w:szCs w:val="20"/>
              </w:rPr>
              <w:t>&lt;0.001</w:t>
            </w:r>
          </w:p>
        </w:tc>
        <w:tc>
          <w:tcPr>
            <w:tcW w:w="992" w:type="dxa"/>
          </w:tcPr>
          <w:p w14:paraId="49A9FCD8" w14:textId="08ECB6ED" w:rsidR="00A2684C" w:rsidRPr="00F979D2" w:rsidRDefault="00A2684C" w:rsidP="00FA51CB">
            <w:pPr>
              <w:spacing w:line="360" w:lineRule="auto"/>
              <w:rPr>
                <w:sz w:val="20"/>
                <w:szCs w:val="20"/>
              </w:rPr>
            </w:pPr>
            <w:r w:rsidRPr="00F979D2">
              <w:rPr>
                <w:color w:val="000000" w:themeColor="text1"/>
                <w:sz w:val="20"/>
                <w:szCs w:val="20"/>
              </w:rPr>
              <w:t>1.28</w:t>
            </w:r>
          </w:p>
        </w:tc>
        <w:tc>
          <w:tcPr>
            <w:tcW w:w="1134" w:type="dxa"/>
          </w:tcPr>
          <w:p w14:paraId="1955C9EE" w14:textId="53F4F0E4" w:rsidR="00A2684C" w:rsidRPr="00F979D2" w:rsidRDefault="00A2684C" w:rsidP="00FA51CB">
            <w:pPr>
              <w:spacing w:line="360" w:lineRule="auto"/>
              <w:rPr>
                <w:sz w:val="20"/>
                <w:szCs w:val="20"/>
              </w:rPr>
            </w:pPr>
            <w:r w:rsidRPr="00F979D2">
              <w:rPr>
                <w:color w:val="000000" w:themeColor="text1"/>
                <w:sz w:val="20"/>
                <w:szCs w:val="20"/>
              </w:rPr>
              <w:t>1.0-1.65</w:t>
            </w:r>
          </w:p>
        </w:tc>
        <w:tc>
          <w:tcPr>
            <w:tcW w:w="1276" w:type="dxa"/>
          </w:tcPr>
          <w:p w14:paraId="0B3072AD" w14:textId="05A233E0" w:rsidR="00A2684C" w:rsidRPr="00F979D2" w:rsidRDefault="00A2684C" w:rsidP="00FA51CB">
            <w:pPr>
              <w:spacing w:line="360" w:lineRule="auto"/>
              <w:rPr>
                <w:sz w:val="20"/>
                <w:szCs w:val="20"/>
              </w:rPr>
            </w:pPr>
            <w:r w:rsidRPr="00F979D2">
              <w:rPr>
                <w:sz w:val="20"/>
                <w:szCs w:val="20"/>
              </w:rPr>
              <w:t>0.06</w:t>
            </w:r>
          </w:p>
        </w:tc>
      </w:tr>
      <w:tr w:rsidR="00441BCF" w:rsidRPr="00F979D2" w14:paraId="44FC3C00" w14:textId="54D2AF8B" w:rsidTr="00441BCF">
        <w:trPr>
          <w:trHeight w:val="340"/>
        </w:trPr>
        <w:tc>
          <w:tcPr>
            <w:tcW w:w="1985" w:type="dxa"/>
          </w:tcPr>
          <w:p w14:paraId="32A45459" w14:textId="77777777" w:rsidR="00A2684C" w:rsidRPr="00F979D2" w:rsidRDefault="00A2684C" w:rsidP="00FA51CB">
            <w:pPr>
              <w:adjustRightInd w:val="0"/>
              <w:spacing w:line="360" w:lineRule="auto"/>
              <w:rPr>
                <w:color w:val="000000" w:themeColor="text1"/>
                <w:sz w:val="20"/>
                <w:szCs w:val="20"/>
              </w:rPr>
            </w:pPr>
            <w:r w:rsidRPr="00F979D2">
              <w:rPr>
                <w:color w:val="000000" w:themeColor="text1"/>
                <w:sz w:val="20"/>
                <w:szCs w:val="20"/>
              </w:rPr>
              <w:t>Hypercholesterolemia</w:t>
            </w:r>
          </w:p>
        </w:tc>
        <w:tc>
          <w:tcPr>
            <w:tcW w:w="992" w:type="dxa"/>
          </w:tcPr>
          <w:p w14:paraId="6544B285" w14:textId="77777777" w:rsidR="00A2684C" w:rsidRPr="00F979D2" w:rsidRDefault="00A2684C" w:rsidP="00FA51CB">
            <w:pPr>
              <w:adjustRightInd w:val="0"/>
              <w:spacing w:line="360" w:lineRule="auto"/>
              <w:rPr>
                <w:color w:val="000000" w:themeColor="text1"/>
                <w:sz w:val="20"/>
                <w:szCs w:val="20"/>
              </w:rPr>
            </w:pPr>
            <w:r w:rsidRPr="00F979D2">
              <w:rPr>
                <w:color w:val="000000" w:themeColor="text1"/>
                <w:sz w:val="20"/>
                <w:szCs w:val="20"/>
              </w:rPr>
              <w:t>1.00</w:t>
            </w:r>
          </w:p>
        </w:tc>
        <w:tc>
          <w:tcPr>
            <w:tcW w:w="1276" w:type="dxa"/>
          </w:tcPr>
          <w:p w14:paraId="17819081" w14:textId="77777777" w:rsidR="00A2684C" w:rsidRPr="00F979D2" w:rsidRDefault="00A2684C" w:rsidP="00FA51CB">
            <w:pPr>
              <w:adjustRightInd w:val="0"/>
              <w:spacing w:line="360" w:lineRule="auto"/>
              <w:rPr>
                <w:color w:val="000000" w:themeColor="text1"/>
                <w:sz w:val="20"/>
                <w:szCs w:val="20"/>
              </w:rPr>
            </w:pPr>
            <w:r w:rsidRPr="00F979D2">
              <w:rPr>
                <w:color w:val="000000" w:themeColor="text1"/>
                <w:sz w:val="20"/>
                <w:szCs w:val="20"/>
              </w:rPr>
              <w:t>0.91-1.10</w:t>
            </w:r>
          </w:p>
        </w:tc>
        <w:tc>
          <w:tcPr>
            <w:tcW w:w="1134" w:type="dxa"/>
          </w:tcPr>
          <w:p w14:paraId="609165D3" w14:textId="77777777" w:rsidR="00A2684C" w:rsidRPr="00F979D2" w:rsidRDefault="00A2684C" w:rsidP="00FA51CB">
            <w:pPr>
              <w:adjustRightInd w:val="0"/>
              <w:spacing w:line="360" w:lineRule="auto"/>
              <w:rPr>
                <w:color w:val="000000" w:themeColor="text1"/>
                <w:sz w:val="20"/>
                <w:szCs w:val="20"/>
              </w:rPr>
            </w:pPr>
            <w:r w:rsidRPr="00F979D2">
              <w:rPr>
                <w:color w:val="000000" w:themeColor="text1"/>
                <w:sz w:val="20"/>
                <w:szCs w:val="20"/>
              </w:rPr>
              <w:t>0.98</w:t>
            </w:r>
          </w:p>
        </w:tc>
        <w:tc>
          <w:tcPr>
            <w:tcW w:w="992" w:type="dxa"/>
          </w:tcPr>
          <w:p w14:paraId="2E4C4069" w14:textId="561178A7" w:rsidR="00A2684C" w:rsidRPr="00F979D2" w:rsidRDefault="00A2684C" w:rsidP="00FA51CB">
            <w:pPr>
              <w:spacing w:line="360" w:lineRule="auto"/>
              <w:rPr>
                <w:sz w:val="20"/>
                <w:szCs w:val="20"/>
              </w:rPr>
            </w:pPr>
            <w:r w:rsidRPr="00F979D2">
              <w:rPr>
                <w:color w:val="000000" w:themeColor="text1"/>
                <w:sz w:val="20"/>
                <w:szCs w:val="20"/>
              </w:rPr>
              <w:t>1.07</w:t>
            </w:r>
          </w:p>
        </w:tc>
        <w:tc>
          <w:tcPr>
            <w:tcW w:w="1134" w:type="dxa"/>
          </w:tcPr>
          <w:p w14:paraId="3E4FCB1F" w14:textId="54803798" w:rsidR="00A2684C" w:rsidRPr="00F979D2" w:rsidRDefault="00A2684C" w:rsidP="00FA51CB">
            <w:pPr>
              <w:spacing w:line="360" w:lineRule="auto"/>
              <w:rPr>
                <w:sz w:val="20"/>
                <w:szCs w:val="20"/>
              </w:rPr>
            </w:pPr>
            <w:r w:rsidRPr="00F979D2">
              <w:rPr>
                <w:color w:val="000000" w:themeColor="text1"/>
                <w:sz w:val="20"/>
                <w:szCs w:val="20"/>
              </w:rPr>
              <w:t>0.87-1.31</w:t>
            </w:r>
          </w:p>
        </w:tc>
        <w:tc>
          <w:tcPr>
            <w:tcW w:w="1276" w:type="dxa"/>
          </w:tcPr>
          <w:p w14:paraId="163028F9" w14:textId="012F4EA5" w:rsidR="00A2684C" w:rsidRPr="00F979D2" w:rsidRDefault="00A2684C" w:rsidP="00FA51CB">
            <w:pPr>
              <w:spacing w:line="360" w:lineRule="auto"/>
              <w:rPr>
                <w:sz w:val="20"/>
                <w:szCs w:val="20"/>
              </w:rPr>
            </w:pPr>
            <w:r w:rsidRPr="00F979D2">
              <w:rPr>
                <w:color w:val="000000" w:themeColor="text1"/>
                <w:sz w:val="20"/>
                <w:szCs w:val="20"/>
              </w:rPr>
              <w:t>0.52</w:t>
            </w:r>
          </w:p>
        </w:tc>
      </w:tr>
      <w:tr w:rsidR="00441BCF" w:rsidRPr="00F979D2" w14:paraId="7598547D" w14:textId="64A6D775" w:rsidTr="00441BCF">
        <w:trPr>
          <w:trHeight w:val="340"/>
        </w:trPr>
        <w:tc>
          <w:tcPr>
            <w:tcW w:w="1985" w:type="dxa"/>
          </w:tcPr>
          <w:p w14:paraId="1B969881" w14:textId="77777777" w:rsidR="00A2684C" w:rsidRPr="00F979D2" w:rsidRDefault="00A2684C" w:rsidP="00FA51CB">
            <w:pPr>
              <w:adjustRightInd w:val="0"/>
              <w:spacing w:line="360" w:lineRule="auto"/>
              <w:rPr>
                <w:color w:val="000000" w:themeColor="text1"/>
                <w:sz w:val="20"/>
                <w:szCs w:val="20"/>
              </w:rPr>
            </w:pPr>
            <w:r w:rsidRPr="00F979D2">
              <w:rPr>
                <w:color w:val="000000" w:themeColor="text1"/>
                <w:sz w:val="20"/>
                <w:szCs w:val="20"/>
              </w:rPr>
              <w:t>Cancer</w:t>
            </w:r>
          </w:p>
        </w:tc>
        <w:tc>
          <w:tcPr>
            <w:tcW w:w="992" w:type="dxa"/>
            <w:shd w:val="clear" w:color="auto" w:fill="auto"/>
          </w:tcPr>
          <w:p w14:paraId="7B6551CB" w14:textId="77777777" w:rsidR="00A2684C" w:rsidRPr="00F979D2" w:rsidRDefault="00A2684C" w:rsidP="00FA51CB">
            <w:pPr>
              <w:adjustRightInd w:val="0"/>
              <w:spacing w:line="360" w:lineRule="auto"/>
              <w:rPr>
                <w:color w:val="000000" w:themeColor="text1"/>
                <w:sz w:val="20"/>
                <w:szCs w:val="20"/>
              </w:rPr>
            </w:pPr>
            <w:r w:rsidRPr="00F979D2">
              <w:rPr>
                <w:color w:val="000000" w:themeColor="text1"/>
                <w:sz w:val="20"/>
                <w:szCs w:val="20"/>
              </w:rPr>
              <w:t>1.38</w:t>
            </w:r>
          </w:p>
        </w:tc>
        <w:tc>
          <w:tcPr>
            <w:tcW w:w="1276" w:type="dxa"/>
            <w:shd w:val="clear" w:color="auto" w:fill="auto"/>
          </w:tcPr>
          <w:p w14:paraId="78FFDD24" w14:textId="77777777" w:rsidR="00A2684C" w:rsidRPr="00F979D2" w:rsidRDefault="00A2684C" w:rsidP="00FA51CB">
            <w:pPr>
              <w:adjustRightInd w:val="0"/>
              <w:spacing w:line="360" w:lineRule="auto"/>
              <w:rPr>
                <w:color w:val="000000" w:themeColor="text1"/>
                <w:sz w:val="20"/>
                <w:szCs w:val="20"/>
              </w:rPr>
            </w:pPr>
            <w:r w:rsidRPr="00F979D2">
              <w:rPr>
                <w:color w:val="000000" w:themeColor="text1"/>
                <w:sz w:val="20"/>
                <w:szCs w:val="20"/>
              </w:rPr>
              <w:t>1.23-1.55</w:t>
            </w:r>
          </w:p>
        </w:tc>
        <w:tc>
          <w:tcPr>
            <w:tcW w:w="1134" w:type="dxa"/>
          </w:tcPr>
          <w:p w14:paraId="0AD3ACC9" w14:textId="77777777" w:rsidR="00A2684C" w:rsidRPr="00F979D2" w:rsidRDefault="00A2684C" w:rsidP="00FA51CB">
            <w:pPr>
              <w:adjustRightInd w:val="0"/>
              <w:spacing w:line="360" w:lineRule="auto"/>
              <w:rPr>
                <w:color w:val="000000" w:themeColor="text1"/>
                <w:sz w:val="20"/>
                <w:szCs w:val="20"/>
              </w:rPr>
            </w:pPr>
            <w:r w:rsidRPr="00F979D2">
              <w:rPr>
                <w:color w:val="000000" w:themeColor="text1"/>
                <w:sz w:val="20"/>
                <w:szCs w:val="20"/>
              </w:rPr>
              <w:t>&lt;0.001</w:t>
            </w:r>
          </w:p>
        </w:tc>
        <w:tc>
          <w:tcPr>
            <w:tcW w:w="992" w:type="dxa"/>
          </w:tcPr>
          <w:p w14:paraId="16CACF3A" w14:textId="303C4BC7" w:rsidR="00A2684C" w:rsidRPr="00F979D2" w:rsidRDefault="00A2684C" w:rsidP="00FA51CB">
            <w:pPr>
              <w:spacing w:line="360" w:lineRule="auto"/>
              <w:rPr>
                <w:sz w:val="20"/>
                <w:szCs w:val="20"/>
              </w:rPr>
            </w:pPr>
            <w:r w:rsidRPr="00F979D2">
              <w:rPr>
                <w:color w:val="000000" w:themeColor="text1"/>
                <w:sz w:val="20"/>
                <w:szCs w:val="20"/>
              </w:rPr>
              <w:t>1.75</w:t>
            </w:r>
          </w:p>
        </w:tc>
        <w:tc>
          <w:tcPr>
            <w:tcW w:w="1134" w:type="dxa"/>
          </w:tcPr>
          <w:p w14:paraId="7D7C9FEF" w14:textId="69C14F49" w:rsidR="00A2684C" w:rsidRPr="00F979D2" w:rsidRDefault="00A2684C" w:rsidP="00FA51CB">
            <w:pPr>
              <w:spacing w:line="360" w:lineRule="auto"/>
              <w:rPr>
                <w:sz w:val="20"/>
                <w:szCs w:val="20"/>
              </w:rPr>
            </w:pPr>
            <w:r w:rsidRPr="00F979D2">
              <w:rPr>
                <w:color w:val="000000" w:themeColor="text1"/>
                <w:sz w:val="20"/>
                <w:szCs w:val="20"/>
              </w:rPr>
              <w:t>1.58-1.94</w:t>
            </w:r>
          </w:p>
        </w:tc>
        <w:tc>
          <w:tcPr>
            <w:tcW w:w="1276" w:type="dxa"/>
          </w:tcPr>
          <w:p w14:paraId="3110990C" w14:textId="497CF78A" w:rsidR="00A2684C" w:rsidRPr="00F979D2" w:rsidRDefault="00A2684C" w:rsidP="00FA51CB">
            <w:pPr>
              <w:spacing w:line="360" w:lineRule="auto"/>
              <w:rPr>
                <w:sz w:val="20"/>
                <w:szCs w:val="20"/>
              </w:rPr>
            </w:pPr>
            <w:r w:rsidRPr="00F979D2">
              <w:rPr>
                <w:color w:val="000000" w:themeColor="text1"/>
                <w:sz w:val="20"/>
                <w:szCs w:val="20"/>
              </w:rPr>
              <w:t>&lt;0.001</w:t>
            </w:r>
          </w:p>
        </w:tc>
      </w:tr>
      <w:tr w:rsidR="00441BCF" w:rsidRPr="00F979D2" w14:paraId="4327D764" w14:textId="5A3154F4" w:rsidTr="00441BCF">
        <w:trPr>
          <w:trHeight w:val="340"/>
        </w:trPr>
        <w:tc>
          <w:tcPr>
            <w:tcW w:w="1985" w:type="dxa"/>
            <w:shd w:val="clear" w:color="auto" w:fill="auto"/>
          </w:tcPr>
          <w:p w14:paraId="6FEE2576" w14:textId="77777777" w:rsidR="00A2684C" w:rsidRPr="00F979D2" w:rsidRDefault="00A2684C" w:rsidP="00FA51CB">
            <w:pPr>
              <w:adjustRightInd w:val="0"/>
              <w:spacing w:line="360" w:lineRule="auto"/>
              <w:rPr>
                <w:b/>
                <w:bCs/>
                <w:color w:val="000000" w:themeColor="text1"/>
                <w:sz w:val="20"/>
                <w:szCs w:val="20"/>
              </w:rPr>
            </w:pPr>
            <w:proofErr w:type="spellStart"/>
            <w:r w:rsidRPr="00F979D2">
              <w:rPr>
                <w:b/>
                <w:bCs/>
                <w:color w:val="000000" w:themeColor="text1"/>
                <w:sz w:val="20"/>
                <w:szCs w:val="20"/>
              </w:rPr>
              <w:t>IVIg</w:t>
            </w:r>
            <w:proofErr w:type="spellEnd"/>
          </w:p>
        </w:tc>
        <w:tc>
          <w:tcPr>
            <w:tcW w:w="992" w:type="dxa"/>
            <w:shd w:val="clear" w:color="auto" w:fill="auto"/>
          </w:tcPr>
          <w:p w14:paraId="1E2008FE" w14:textId="77777777" w:rsidR="00A2684C" w:rsidRPr="00F979D2" w:rsidRDefault="00A2684C" w:rsidP="00FA51CB">
            <w:pPr>
              <w:adjustRightInd w:val="0"/>
              <w:spacing w:line="360" w:lineRule="auto"/>
              <w:rPr>
                <w:b/>
                <w:bCs/>
                <w:color w:val="000000" w:themeColor="text1"/>
                <w:sz w:val="20"/>
                <w:szCs w:val="20"/>
              </w:rPr>
            </w:pPr>
            <w:r w:rsidRPr="00F979D2">
              <w:rPr>
                <w:b/>
                <w:bCs/>
                <w:color w:val="000000" w:themeColor="text1"/>
                <w:sz w:val="20"/>
                <w:szCs w:val="20"/>
              </w:rPr>
              <w:t>3.69</w:t>
            </w:r>
          </w:p>
        </w:tc>
        <w:tc>
          <w:tcPr>
            <w:tcW w:w="1276" w:type="dxa"/>
            <w:shd w:val="clear" w:color="auto" w:fill="auto"/>
          </w:tcPr>
          <w:p w14:paraId="4E05CC1E" w14:textId="77777777" w:rsidR="00A2684C" w:rsidRPr="00F979D2" w:rsidRDefault="00A2684C" w:rsidP="00FA51CB">
            <w:pPr>
              <w:adjustRightInd w:val="0"/>
              <w:spacing w:line="360" w:lineRule="auto"/>
              <w:rPr>
                <w:b/>
                <w:bCs/>
                <w:color w:val="000000" w:themeColor="text1"/>
                <w:sz w:val="20"/>
                <w:szCs w:val="20"/>
              </w:rPr>
            </w:pPr>
            <w:r w:rsidRPr="00F979D2">
              <w:rPr>
                <w:b/>
                <w:bCs/>
                <w:color w:val="000000" w:themeColor="text1"/>
                <w:sz w:val="20"/>
                <w:szCs w:val="20"/>
              </w:rPr>
              <w:t>1.15-11.92</w:t>
            </w:r>
          </w:p>
        </w:tc>
        <w:tc>
          <w:tcPr>
            <w:tcW w:w="1134" w:type="dxa"/>
            <w:shd w:val="clear" w:color="auto" w:fill="auto"/>
          </w:tcPr>
          <w:p w14:paraId="4F747E8D" w14:textId="77777777" w:rsidR="00A2684C" w:rsidRPr="00F979D2" w:rsidRDefault="00A2684C" w:rsidP="00FA51CB">
            <w:pPr>
              <w:adjustRightInd w:val="0"/>
              <w:spacing w:line="360" w:lineRule="auto"/>
              <w:rPr>
                <w:b/>
                <w:bCs/>
                <w:color w:val="000000" w:themeColor="text1"/>
                <w:sz w:val="20"/>
                <w:szCs w:val="20"/>
              </w:rPr>
            </w:pPr>
            <w:r w:rsidRPr="00F979D2">
              <w:rPr>
                <w:b/>
                <w:bCs/>
                <w:color w:val="000000" w:themeColor="text1"/>
                <w:sz w:val="20"/>
                <w:szCs w:val="20"/>
              </w:rPr>
              <w:t>0.03</w:t>
            </w:r>
          </w:p>
        </w:tc>
        <w:tc>
          <w:tcPr>
            <w:tcW w:w="992" w:type="dxa"/>
          </w:tcPr>
          <w:p w14:paraId="3BBE3D23" w14:textId="77D12105" w:rsidR="00A2684C" w:rsidRPr="00F979D2" w:rsidRDefault="00A2684C" w:rsidP="00FA51CB">
            <w:pPr>
              <w:spacing w:line="360" w:lineRule="auto"/>
              <w:rPr>
                <w:sz w:val="20"/>
                <w:szCs w:val="20"/>
              </w:rPr>
            </w:pPr>
            <w:r w:rsidRPr="00F979D2">
              <w:rPr>
                <w:b/>
                <w:bCs/>
                <w:color w:val="000000" w:themeColor="text1"/>
                <w:sz w:val="20"/>
                <w:szCs w:val="20"/>
              </w:rPr>
              <w:t>5.14</w:t>
            </w:r>
          </w:p>
        </w:tc>
        <w:tc>
          <w:tcPr>
            <w:tcW w:w="1134" w:type="dxa"/>
          </w:tcPr>
          <w:p w14:paraId="0C3C4321" w14:textId="28BA7061" w:rsidR="00A2684C" w:rsidRPr="00F979D2" w:rsidRDefault="00A2684C" w:rsidP="00FA51CB">
            <w:pPr>
              <w:spacing w:line="360" w:lineRule="auto"/>
              <w:rPr>
                <w:sz w:val="20"/>
                <w:szCs w:val="20"/>
              </w:rPr>
            </w:pPr>
            <w:r w:rsidRPr="00F979D2">
              <w:rPr>
                <w:b/>
                <w:bCs/>
                <w:color w:val="000000" w:themeColor="text1"/>
                <w:sz w:val="20"/>
                <w:szCs w:val="20"/>
              </w:rPr>
              <w:t>1.64-16.1</w:t>
            </w:r>
          </w:p>
        </w:tc>
        <w:tc>
          <w:tcPr>
            <w:tcW w:w="1276" w:type="dxa"/>
          </w:tcPr>
          <w:p w14:paraId="7EE8138A" w14:textId="29327755" w:rsidR="00A2684C" w:rsidRPr="00F979D2" w:rsidRDefault="00A2684C" w:rsidP="00FA51CB">
            <w:pPr>
              <w:spacing w:line="360" w:lineRule="auto"/>
              <w:rPr>
                <w:sz w:val="20"/>
                <w:szCs w:val="20"/>
              </w:rPr>
            </w:pPr>
            <w:r w:rsidRPr="00F979D2">
              <w:rPr>
                <w:b/>
                <w:bCs/>
                <w:color w:val="000000" w:themeColor="text1"/>
                <w:sz w:val="20"/>
                <w:szCs w:val="20"/>
              </w:rPr>
              <w:t>0.005</w:t>
            </w:r>
          </w:p>
        </w:tc>
      </w:tr>
      <w:tr w:rsidR="00441BCF" w:rsidRPr="00F979D2" w14:paraId="60B0FDAB" w14:textId="77777777" w:rsidTr="00441BCF">
        <w:trPr>
          <w:trHeight w:val="340"/>
        </w:trPr>
        <w:tc>
          <w:tcPr>
            <w:tcW w:w="1985" w:type="dxa"/>
            <w:shd w:val="clear" w:color="auto" w:fill="auto"/>
          </w:tcPr>
          <w:p w14:paraId="5486FFD3" w14:textId="37B7F0C4" w:rsidR="00A2684C" w:rsidRPr="00F979D2" w:rsidRDefault="00A2684C" w:rsidP="00FA51CB">
            <w:pPr>
              <w:adjustRightInd w:val="0"/>
              <w:spacing w:line="360" w:lineRule="auto"/>
              <w:rPr>
                <w:b/>
                <w:bCs/>
                <w:color w:val="000000" w:themeColor="text1"/>
                <w:sz w:val="20"/>
                <w:szCs w:val="20"/>
              </w:rPr>
            </w:pPr>
            <w:r w:rsidRPr="00F979D2">
              <w:rPr>
                <w:color w:val="000000" w:themeColor="text1"/>
                <w:sz w:val="20"/>
                <w:szCs w:val="20"/>
              </w:rPr>
              <w:t>Age x hypertension*</w:t>
            </w:r>
          </w:p>
        </w:tc>
        <w:tc>
          <w:tcPr>
            <w:tcW w:w="992" w:type="dxa"/>
            <w:shd w:val="clear" w:color="auto" w:fill="auto"/>
          </w:tcPr>
          <w:p w14:paraId="5A111472" w14:textId="269C6F0A" w:rsidR="00A2684C" w:rsidRPr="00F979D2" w:rsidRDefault="00A2684C" w:rsidP="00FA51CB">
            <w:pPr>
              <w:adjustRightInd w:val="0"/>
              <w:spacing w:line="360" w:lineRule="auto"/>
              <w:rPr>
                <w:b/>
                <w:bCs/>
                <w:color w:val="000000" w:themeColor="text1"/>
                <w:sz w:val="20"/>
                <w:szCs w:val="20"/>
              </w:rPr>
            </w:pPr>
            <w:r w:rsidRPr="00F979D2">
              <w:rPr>
                <w:color w:val="000000" w:themeColor="text1"/>
                <w:sz w:val="20"/>
                <w:szCs w:val="20"/>
              </w:rPr>
              <w:t>0.98</w:t>
            </w:r>
          </w:p>
        </w:tc>
        <w:tc>
          <w:tcPr>
            <w:tcW w:w="1276" w:type="dxa"/>
            <w:shd w:val="clear" w:color="auto" w:fill="auto"/>
          </w:tcPr>
          <w:p w14:paraId="5C4A4E9A" w14:textId="5A5C9252" w:rsidR="00A2684C" w:rsidRPr="00F979D2" w:rsidRDefault="00A2684C" w:rsidP="00FA51CB">
            <w:pPr>
              <w:adjustRightInd w:val="0"/>
              <w:spacing w:line="360" w:lineRule="auto"/>
              <w:rPr>
                <w:b/>
                <w:bCs/>
                <w:color w:val="000000" w:themeColor="text1"/>
                <w:sz w:val="20"/>
                <w:szCs w:val="20"/>
              </w:rPr>
            </w:pPr>
            <w:r w:rsidRPr="00F979D2">
              <w:rPr>
                <w:color w:val="000000" w:themeColor="text1"/>
                <w:sz w:val="20"/>
                <w:szCs w:val="20"/>
              </w:rPr>
              <w:t>0.97-1.0</w:t>
            </w:r>
          </w:p>
        </w:tc>
        <w:tc>
          <w:tcPr>
            <w:tcW w:w="1134" w:type="dxa"/>
            <w:shd w:val="clear" w:color="auto" w:fill="auto"/>
          </w:tcPr>
          <w:p w14:paraId="29B64715" w14:textId="2C663CC4" w:rsidR="00A2684C" w:rsidRPr="00F979D2" w:rsidRDefault="00A2684C" w:rsidP="00FA51CB">
            <w:pPr>
              <w:adjustRightInd w:val="0"/>
              <w:spacing w:line="360" w:lineRule="auto"/>
              <w:rPr>
                <w:b/>
                <w:bCs/>
                <w:color w:val="000000" w:themeColor="text1"/>
                <w:sz w:val="20"/>
                <w:szCs w:val="20"/>
              </w:rPr>
            </w:pPr>
            <w:r w:rsidRPr="00F979D2">
              <w:rPr>
                <w:color w:val="000000" w:themeColor="text1"/>
                <w:sz w:val="20"/>
                <w:szCs w:val="20"/>
              </w:rPr>
              <w:t>0.01</w:t>
            </w:r>
          </w:p>
        </w:tc>
        <w:tc>
          <w:tcPr>
            <w:tcW w:w="992" w:type="dxa"/>
          </w:tcPr>
          <w:p w14:paraId="677A5F72" w14:textId="77777777" w:rsidR="00A2684C" w:rsidRPr="00F979D2" w:rsidRDefault="00A2684C" w:rsidP="00FA51CB">
            <w:pPr>
              <w:spacing w:line="360" w:lineRule="auto"/>
              <w:rPr>
                <w:b/>
                <w:bCs/>
                <w:color w:val="000000" w:themeColor="text1"/>
                <w:sz w:val="20"/>
                <w:szCs w:val="20"/>
              </w:rPr>
            </w:pPr>
          </w:p>
        </w:tc>
        <w:tc>
          <w:tcPr>
            <w:tcW w:w="1134" w:type="dxa"/>
          </w:tcPr>
          <w:p w14:paraId="5CAC8908" w14:textId="77777777" w:rsidR="00A2684C" w:rsidRPr="00F979D2" w:rsidRDefault="00A2684C" w:rsidP="00FA51CB">
            <w:pPr>
              <w:spacing w:line="360" w:lineRule="auto"/>
              <w:rPr>
                <w:b/>
                <w:bCs/>
                <w:color w:val="000000" w:themeColor="text1"/>
                <w:sz w:val="20"/>
                <w:szCs w:val="20"/>
              </w:rPr>
            </w:pPr>
          </w:p>
        </w:tc>
        <w:tc>
          <w:tcPr>
            <w:tcW w:w="1276" w:type="dxa"/>
          </w:tcPr>
          <w:p w14:paraId="6211D1F8" w14:textId="77777777" w:rsidR="00A2684C" w:rsidRPr="00F979D2" w:rsidRDefault="00A2684C" w:rsidP="00FA51CB">
            <w:pPr>
              <w:spacing w:line="360" w:lineRule="auto"/>
              <w:rPr>
                <w:b/>
                <w:bCs/>
                <w:color w:val="000000" w:themeColor="text1"/>
                <w:sz w:val="20"/>
                <w:szCs w:val="20"/>
              </w:rPr>
            </w:pPr>
          </w:p>
        </w:tc>
      </w:tr>
      <w:tr w:rsidR="00441BCF" w:rsidRPr="00F979D2" w14:paraId="4DFD96ED" w14:textId="77777777" w:rsidTr="00441BCF">
        <w:trPr>
          <w:trHeight w:val="340"/>
        </w:trPr>
        <w:tc>
          <w:tcPr>
            <w:tcW w:w="1985" w:type="dxa"/>
            <w:shd w:val="clear" w:color="auto" w:fill="auto"/>
          </w:tcPr>
          <w:p w14:paraId="0682D1BC" w14:textId="4A4D902A" w:rsidR="00A2684C" w:rsidRPr="00F979D2" w:rsidRDefault="00A2684C" w:rsidP="00FA51CB">
            <w:pPr>
              <w:adjustRightInd w:val="0"/>
              <w:spacing w:line="360" w:lineRule="auto"/>
              <w:rPr>
                <w:color w:val="000000" w:themeColor="text1"/>
                <w:sz w:val="20"/>
                <w:szCs w:val="20"/>
              </w:rPr>
            </w:pPr>
          </w:p>
        </w:tc>
        <w:tc>
          <w:tcPr>
            <w:tcW w:w="3402" w:type="dxa"/>
            <w:gridSpan w:val="3"/>
            <w:shd w:val="clear" w:color="auto" w:fill="auto"/>
          </w:tcPr>
          <w:p w14:paraId="0E71A53F" w14:textId="45B5FEF2" w:rsidR="00A2684C" w:rsidRPr="00F979D2" w:rsidRDefault="00A2684C" w:rsidP="00FA51CB">
            <w:pPr>
              <w:adjustRightInd w:val="0"/>
              <w:spacing w:line="360" w:lineRule="auto"/>
              <w:rPr>
                <w:color w:val="000000" w:themeColor="text1"/>
                <w:sz w:val="20"/>
                <w:szCs w:val="20"/>
              </w:rPr>
            </w:pPr>
            <w:r w:rsidRPr="00F979D2">
              <w:rPr>
                <w:color w:val="000000" w:themeColor="text1"/>
                <w:sz w:val="20"/>
                <w:szCs w:val="20"/>
              </w:rPr>
              <w:t xml:space="preserve">Model Intercept Coefficient </w:t>
            </w:r>
            <w:r w:rsidRPr="00F979D2">
              <w:rPr>
                <w:color w:val="000000" w:themeColor="text1"/>
                <w:sz w:val="20"/>
                <w:szCs w:val="20"/>
              </w:rPr>
              <w:noBreakHyphen/>
              <w:t xml:space="preserve">5.34 (P&lt;0.001). Based on </w:t>
            </w:r>
            <w:r w:rsidRPr="00F979D2">
              <w:rPr>
                <w:color w:val="000000" w:themeColor="text1"/>
                <w:sz w:val="20"/>
                <w:szCs w:val="20"/>
                <w:shd w:val="clear" w:color="auto" w:fill="F4F8F9"/>
              </w:rPr>
              <w:t xml:space="preserve">23,047 </w:t>
            </w:r>
            <w:r w:rsidRPr="00F979D2">
              <w:rPr>
                <w:color w:val="000000" w:themeColor="text1"/>
                <w:sz w:val="20"/>
                <w:szCs w:val="20"/>
              </w:rPr>
              <w:t>observations (outcomes=1995 TEEs)</w:t>
            </w:r>
          </w:p>
        </w:tc>
        <w:tc>
          <w:tcPr>
            <w:tcW w:w="3402" w:type="dxa"/>
            <w:gridSpan w:val="3"/>
          </w:tcPr>
          <w:p w14:paraId="5A92D4E1" w14:textId="2B7E4C6D" w:rsidR="00A2684C" w:rsidRPr="00F979D2" w:rsidRDefault="00A2684C" w:rsidP="00FA51CB">
            <w:pPr>
              <w:spacing w:line="360" w:lineRule="auto"/>
              <w:rPr>
                <w:b/>
                <w:bCs/>
                <w:color w:val="000000" w:themeColor="text1"/>
                <w:sz w:val="20"/>
                <w:szCs w:val="20"/>
              </w:rPr>
            </w:pPr>
            <w:r w:rsidRPr="00F979D2">
              <w:rPr>
                <w:color w:val="000000" w:themeColor="text1"/>
                <w:sz w:val="20"/>
                <w:szCs w:val="20"/>
              </w:rPr>
              <w:t xml:space="preserve">Model Intercept Coefficient </w:t>
            </w:r>
            <w:r w:rsidRPr="00F979D2">
              <w:rPr>
                <w:color w:val="000000" w:themeColor="text1"/>
                <w:sz w:val="20"/>
                <w:szCs w:val="20"/>
              </w:rPr>
              <w:noBreakHyphen/>
              <w:t>5.</w:t>
            </w:r>
            <w:r w:rsidR="00217A97" w:rsidRPr="00F979D2">
              <w:rPr>
                <w:color w:val="000000" w:themeColor="text1"/>
                <w:sz w:val="20"/>
                <w:szCs w:val="20"/>
              </w:rPr>
              <w:t>69</w:t>
            </w:r>
            <w:r w:rsidRPr="00F979D2">
              <w:rPr>
                <w:color w:val="000000" w:themeColor="text1"/>
                <w:sz w:val="20"/>
                <w:szCs w:val="20"/>
              </w:rPr>
              <w:t xml:space="preserve"> (P&lt;0.001). Based on </w:t>
            </w:r>
            <w:r w:rsidR="00701416" w:rsidRPr="00F979D2">
              <w:rPr>
                <w:color w:val="000000" w:themeColor="text1"/>
                <w:sz w:val="20"/>
                <w:szCs w:val="20"/>
                <w:shd w:val="clear" w:color="auto" w:fill="F4F8F9"/>
              </w:rPr>
              <w:t>41,802</w:t>
            </w:r>
            <w:r w:rsidRPr="00F979D2">
              <w:rPr>
                <w:color w:val="000000" w:themeColor="text1"/>
                <w:sz w:val="20"/>
                <w:szCs w:val="20"/>
                <w:shd w:val="clear" w:color="auto" w:fill="F4F8F9"/>
              </w:rPr>
              <w:t xml:space="preserve"> </w:t>
            </w:r>
            <w:r w:rsidRPr="00F979D2">
              <w:rPr>
                <w:color w:val="000000" w:themeColor="text1"/>
                <w:sz w:val="20"/>
                <w:szCs w:val="20"/>
              </w:rPr>
              <w:t>observations (outcomes=</w:t>
            </w:r>
            <w:r w:rsidR="00701416" w:rsidRPr="00F979D2">
              <w:rPr>
                <w:color w:val="000000" w:themeColor="text1"/>
                <w:sz w:val="20"/>
                <w:szCs w:val="20"/>
              </w:rPr>
              <w:t>2123</w:t>
            </w:r>
            <w:r w:rsidRPr="00F979D2">
              <w:rPr>
                <w:color w:val="000000" w:themeColor="text1"/>
                <w:sz w:val="20"/>
                <w:szCs w:val="20"/>
              </w:rPr>
              <w:t xml:space="preserve"> TEEs</w:t>
            </w:r>
            <w:r w:rsidR="00701416" w:rsidRPr="00F979D2">
              <w:rPr>
                <w:color w:val="000000" w:themeColor="text1"/>
                <w:sz w:val="20"/>
                <w:szCs w:val="20"/>
              </w:rPr>
              <w:t>)</w:t>
            </w:r>
          </w:p>
        </w:tc>
      </w:tr>
    </w:tbl>
    <w:p w14:paraId="0322242E" w14:textId="77777777" w:rsidR="0082282E" w:rsidRDefault="0082282E" w:rsidP="0018480B">
      <w:pPr>
        <w:spacing w:line="360" w:lineRule="auto"/>
        <w:rPr>
          <w:color w:val="000000" w:themeColor="text1"/>
          <w:sz w:val="20"/>
          <w:szCs w:val="20"/>
        </w:rPr>
      </w:pPr>
    </w:p>
    <w:p w14:paraId="605B1CA7" w14:textId="77777777" w:rsidR="0082282E" w:rsidRDefault="0082282E" w:rsidP="0018480B">
      <w:pPr>
        <w:spacing w:line="360" w:lineRule="auto"/>
        <w:rPr>
          <w:color w:val="000000" w:themeColor="text1"/>
          <w:sz w:val="20"/>
          <w:szCs w:val="20"/>
        </w:rPr>
      </w:pPr>
    </w:p>
    <w:p w14:paraId="697C84AF" w14:textId="77777777" w:rsidR="0082282E" w:rsidRDefault="0082282E" w:rsidP="0018480B">
      <w:pPr>
        <w:spacing w:line="360" w:lineRule="auto"/>
        <w:rPr>
          <w:color w:val="000000" w:themeColor="text1"/>
          <w:sz w:val="20"/>
          <w:szCs w:val="20"/>
        </w:rPr>
      </w:pPr>
    </w:p>
    <w:p w14:paraId="39E44402" w14:textId="77777777" w:rsidR="0082282E" w:rsidRDefault="0082282E">
      <w:pPr>
        <w:rPr>
          <w:color w:val="000000" w:themeColor="text1"/>
          <w:sz w:val="20"/>
          <w:szCs w:val="20"/>
        </w:rPr>
      </w:pPr>
      <w:r>
        <w:rPr>
          <w:color w:val="000000" w:themeColor="text1"/>
          <w:sz w:val="20"/>
          <w:szCs w:val="20"/>
        </w:rPr>
        <w:br w:type="page"/>
      </w:r>
    </w:p>
    <w:p w14:paraId="4AA16D48" w14:textId="2D92DACD" w:rsidR="0099176B" w:rsidRPr="00435DE6" w:rsidRDefault="0099176B" w:rsidP="00FA51CB">
      <w:pPr>
        <w:spacing w:line="360" w:lineRule="auto"/>
        <w:rPr>
          <w:color w:val="000000" w:themeColor="text1"/>
          <w:sz w:val="20"/>
          <w:szCs w:val="20"/>
        </w:rPr>
      </w:pPr>
      <w:r>
        <w:rPr>
          <w:color w:val="000000" w:themeColor="text1"/>
          <w:sz w:val="20"/>
          <w:szCs w:val="20"/>
        </w:rPr>
        <w:lastRenderedPageBreak/>
        <w:t xml:space="preserve">Supplementary Table </w:t>
      </w:r>
      <w:r w:rsidR="00797FBC">
        <w:rPr>
          <w:color w:val="000000" w:themeColor="text1"/>
          <w:sz w:val="20"/>
          <w:szCs w:val="20"/>
        </w:rPr>
        <w:t>1</w:t>
      </w:r>
      <w:r w:rsidRPr="00435DE6">
        <w:rPr>
          <w:color w:val="000000" w:themeColor="text1"/>
          <w:sz w:val="20"/>
          <w:szCs w:val="20"/>
        </w:rPr>
        <w:t xml:space="preserve">: Detailed clinical characteristics for participants with </w:t>
      </w:r>
      <w:proofErr w:type="spellStart"/>
      <w:r w:rsidRPr="00435DE6">
        <w:rPr>
          <w:color w:val="000000" w:themeColor="text1"/>
          <w:sz w:val="20"/>
          <w:szCs w:val="20"/>
        </w:rPr>
        <w:t>IVIg</w:t>
      </w:r>
      <w:proofErr w:type="spellEnd"/>
      <w:r w:rsidRPr="00435DE6">
        <w:rPr>
          <w:color w:val="000000" w:themeColor="text1"/>
          <w:sz w:val="20"/>
          <w:szCs w:val="20"/>
        </w:rPr>
        <w:t xml:space="preserve"> exposure</w:t>
      </w:r>
    </w:p>
    <w:tbl>
      <w:tblPr>
        <w:tblStyle w:val="TableGrid"/>
        <w:tblW w:w="4064" w:type="pct"/>
        <w:tblLook w:val="04A0" w:firstRow="1" w:lastRow="0" w:firstColumn="1" w:lastColumn="0" w:noHBand="0" w:noVBand="1"/>
      </w:tblPr>
      <w:tblGrid>
        <w:gridCol w:w="3396"/>
        <w:gridCol w:w="3970"/>
      </w:tblGrid>
      <w:tr w:rsidR="0099176B" w:rsidRPr="00435DE6" w14:paraId="0E8070D2" w14:textId="77777777" w:rsidTr="00CA6874">
        <w:trPr>
          <w:trHeight w:val="340"/>
        </w:trPr>
        <w:tc>
          <w:tcPr>
            <w:tcW w:w="5000" w:type="pct"/>
            <w:gridSpan w:val="2"/>
          </w:tcPr>
          <w:p w14:paraId="2DEA3F05" w14:textId="77777777" w:rsidR="0099176B" w:rsidRPr="00435DE6" w:rsidRDefault="0099176B" w:rsidP="00FA51CB">
            <w:pPr>
              <w:spacing w:line="360" w:lineRule="auto"/>
              <w:rPr>
                <w:b/>
                <w:bCs/>
                <w:color w:val="000000" w:themeColor="text1"/>
                <w:sz w:val="20"/>
                <w:szCs w:val="20"/>
              </w:rPr>
            </w:pPr>
            <w:r w:rsidRPr="00435DE6">
              <w:rPr>
                <w:b/>
                <w:bCs/>
                <w:color w:val="000000" w:themeColor="text1"/>
                <w:sz w:val="20"/>
                <w:szCs w:val="20"/>
              </w:rPr>
              <w:t xml:space="preserve">Characteristics of </w:t>
            </w:r>
            <w:proofErr w:type="spellStart"/>
            <w:r w:rsidRPr="00435DE6">
              <w:rPr>
                <w:b/>
                <w:bCs/>
                <w:color w:val="000000" w:themeColor="text1"/>
                <w:sz w:val="20"/>
                <w:szCs w:val="20"/>
              </w:rPr>
              <w:t>IVIg</w:t>
            </w:r>
            <w:proofErr w:type="spellEnd"/>
            <w:r w:rsidRPr="00435DE6">
              <w:rPr>
                <w:b/>
                <w:bCs/>
                <w:color w:val="000000" w:themeColor="text1"/>
                <w:sz w:val="20"/>
                <w:szCs w:val="20"/>
              </w:rPr>
              <w:t xml:space="preserve"> Cohort (n=130)</w:t>
            </w:r>
          </w:p>
        </w:tc>
      </w:tr>
      <w:tr w:rsidR="0099176B" w:rsidRPr="00435DE6" w14:paraId="15716AEC" w14:textId="77777777" w:rsidTr="00CA6874">
        <w:trPr>
          <w:trHeight w:val="340"/>
        </w:trPr>
        <w:tc>
          <w:tcPr>
            <w:tcW w:w="2305" w:type="pct"/>
          </w:tcPr>
          <w:p w14:paraId="7074DF22" w14:textId="77777777" w:rsidR="0099176B" w:rsidRPr="00435DE6" w:rsidRDefault="0099176B" w:rsidP="00FA51CB">
            <w:pPr>
              <w:spacing w:line="360" w:lineRule="auto"/>
              <w:rPr>
                <w:color w:val="000000" w:themeColor="text1"/>
                <w:sz w:val="20"/>
                <w:szCs w:val="20"/>
              </w:rPr>
            </w:pPr>
            <w:r w:rsidRPr="00435DE6">
              <w:rPr>
                <w:color w:val="000000" w:themeColor="text1"/>
                <w:sz w:val="20"/>
                <w:szCs w:val="20"/>
              </w:rPr>
              <w:t>Median (IQR range) age (years)</w:t>
            </w:r>
          </w:p>
        </w:tc>
        <w:tc>
          <w:tcPr>
            <w:tcW w:w="2695" w:type="pct"/>
          </w:tcPr>
          <w:p w14:paraId="4EA11A0E" w14:textId="77777777" w:rsidR="0099176B" w:rsidRPr="00435DE6" w:rsidRDefault="0099176B" w:rsidP="00FA51CB">
            <w:pPr>
              <w:spacing w:line="360" w:lineRule="auto"/>
              <w:rPr>
                <w:color w:val="000000" w:themeColor="text1"/>
                <w:sz w:val="20"/>
                <w:szCs w:val="20"/>
              </w:rPr>
            </w:pPr>
            <w:r w:rsidRPr="00435DE6">
              <w:rPr>
                <w:color w:val="000000" w:themeColor="text1"/>
                <w:sz w:val="20"/>
                <w:szCs w:val="20"/>
              </w:rPr>
              <w:t>61.72 (13.0)</w:t>
            </w:r>
          </w:p>
        </w:tc>
      </w:tr>
      <w:tr w:rsidR="0099176B" w:rsidRPr="00435DE6" w14:paraId="2B6D6C74" w14:textId="77777777" w:rsidTr="00CA6874">
        <w:trPr>
          <w:trHeight w:val="340"/>
        </w:trPr>
        <w:tc>
          <w:tcPr>
            <w:tcW w:w="2305" w:type="pct"/>
          </w:tcPr>
          <w:p w14:paraId="3B1F9F6D" w14:textId="77777777" w:rsidR="0099176B" w:rsidRPr="00435DE6" w:rsidRDefault="0099176B" w:rsidP="00FA51CB">
            <w:pPr>
              <w:spacing w:line="360" w:lineRule="auto"/>
              <w:rPr>
                <w:color w:val="000000" w:themeColor="text1"/>
                <w:sz w:val="20"/>
                <w:szCs w:val="20"/>
              </w:rPr>
            </w:pPr>
            <w:r w:rsidRPr="00435DE6">
              <w:rPr>
                <w:color w:val="000000" w:themeColor="text1"/>
                <w:sz w:val="20"/>
                <w:szCs w:val="20"/>
              </w:rPr>
              <w:t>Sex (Male)</w:t>
            </w:r>
          </w:p>
        </w:tc>
        <w:tc>
          <w:tcPr>
            <w:tcW w:w="2695" w:type="pct"/>
          </w:tcPr>
          <w:p w14:paraId="4733DB35" w14:textId="77777777" w:rsidR="0099176B" w:rsidRPr="00435DE6" w:rsidRDefault="0099176B" w:rsidP="00FA51CB">
            <w:pPr>
              <w:spacing w:line="360" w:lineRule="auto"/>
              <w:rPr>
                <w:color w:val="000000" w:themeColor="text1"/>
                <w:sz w:val="20"/>
                <w:szCs w:val="20"/>
              </w:rPr>
            </w:pPr>
            <w:r w:rsidRPr="00435DE6">
              <w:rPr>
                <w:color w:val="000000" w:themeColor="text1"/>
                <w:sz w:val="20"/>
                <w:szCs w:val="20"/>
              </w:rPr>
              <w:t>57 (43.8%)</w:t>
            </w:r>
          </w:p>
        </w:tc>
      </w:tr>
      <w:tr w:rsidR="0099176B" w:rsidRPr="00435DE6" w14:paraId="1B99C6CD" w14:textId="77777777" w:rsidTr="00CA6874">
        <w:trPr>
          <w:trHeight w:val="340"/>
        </w:trPr>
        <w:tc>
          <w:tcPr>
            <w:tcW w:w="2305" w:type="pct"/>
          </w:tcPr>
          <w:p w14:paraId="1FE65CB5" w14:textId="77777777" w:rsidR="0099176B" w:rsidRPr="00435DE6" w:rsidRDefault="0099176B" w:rsidP="00FA51CB">
            <w:pPr>
              <w:spacing w:line="360" w:lineRule="auto"/>
              <w:rPr>
                <w:color w:val="000000" w:themeColor="text1"/>
                <w:sz w:val="20"/>
                <w:szCs w:val="20"/>
              </w:rPr>
            </w:pPr>
            <w:r w:rsidRPr="00435DE6">
              <w:rPr>
                <w:color w:val="000000" w:themeColor="text1"/>
                <w:sz w:val="20"/>
                <w:szCs w:val="20"/>
              </w:rPr>
              <w:t xml:space="preserve">Indication for </w:t>
            </w:r>
            <w:proofErr w:type="spellStart"/>
            <w:r w:rsidRPr="00435DE6">
              <w:rPr>
                <w:color w:val="000000" w:themeColor="text1"/>
                <w:sz w:val="20"/>
                <w:szCs w:val="20"/>
              </w:rPr>
              <w:t>IVIg</w:t>
            </w:r>
            <w:proofErr w:type="spellEnd"/>
            <w:r w:rsidRPr="00435DE6">
              <w:rPr>
                <w:color w:val="000000" w:themeColor="text1"/>
                <w:sz w:val="20"/>
                <w:szCs w:val="20"/>
              </w:rPr>
              <w:t xml:space="preserve"> Identified</w:t>
            </w:r>
          </w:p>
        </w:tc>
        <w:tc>
          <w:tcPr>
            <w:tcW w:w="2695" w:type="pct"/>
          </w:tcPr>
          <w:p w14:paraId="637F58EE" w14:textId="77777777" w:rsidR="0099176B" w:rsidRPr="00435DE6" w:rsidRDefault="0099176B" w:rsidP="00FA51CB">
            <w:pPr>
              <w:spacing w:line="360" w:lineRule="auto"/>
              <w:rPr>
                <w:color w:val="000000" w:themeColor="text1"/>
                <w:sz w:val="20"/>
                <w:szCs w:val="20"/>
              </w:rPr>
            </w:pPr>
            <w:r w:rsidRPr="00435DE6">
              <w:rPr>
                <w:color w:val="000000" w:themeColor="text1"/>
                <w:sz w:val="20"/>
                <w:szCs w:val="20"/>
              </w:rPr>
              <w:t>96 (73.8%)</w:t>
            </w:r>
          </w:p>
          <w:p w14:paraId="27837FC0" w14:textId="77777777" w:rsidR="0099176B" w:rsidRPr="00435DE6" w:rsidRDefault="0099176B" w:rsidP="00FA51CB">
            <w:pPr>
              <w:spacing w:line="360" w:lineRule="auto"/>
              <w:rPr>
                <w:color w:val="000000" w:themeColor="text1"/>
                <w:sz w:val="20"/>
                <w:szCs w:val="20"/>
              </w:rPr>
            </w:pPr>
            <w:r w:rsidRPr="00435DE6">
              <w:rPr>
                <w:color w:val="000000" w:themeColor="text1"/>
                <w:sz w:val="20"/>
                <w:szCs w:val="20"/>
              </w:rPr>
              <w:t>Haematological- 49</w:t>
            </w:r>
          </w:p>
          <w:p w14:paraId="7AC8A1B1" w14:textId="77777777" w:rsidR="0099176B" w:rsidRPr="00435DE6" w:rsidRDefault="0099176B" w:rsidP="00FA51CB">
            <w:pPr>
              <w:pStyle w:val="ListParagraph"/>
              <w:numPr>
                <w:ilvl w:val="0"/>
                <w:numId w:val="3"/>
              </w:numPr>
              <w:tabs>
                <w:tab w:val="left" w:pos="314"/>
              </w:tabs>
              <w:spacing w:line="360" w:lineRule="auto"/>
              <w:ind w:left="0" w:firstLine="0"/>
              <w:rPr>
                <w:color w:val="000000" w:themeColor="text1"/>
                <w:sz w:val="20"/>
                <w:szCs w:val="20"/>
              </w:rPr>
            </w:pPr>
            <w:r w:rsidRPr="00435DE6">
              <w:rPr>
                <w:color w:val="000000" w:themeColor="text1"/>
                <w:sz w:val="20"/>
                <w:szCs w:val="20"/>
              </w:rPr>
              <w:t>Thrombocytopenia- 26</w:t>
            </w:r>
          </w:p>
          <w:p w14:paraId="7DF0054C" w14:textId="77777777" w:rsidR="0099176B" w:rsidRPr="00435DE6" w:rsidRDefault="0099176B" w:rsidP="00FA51CB">
            <w:pPr>
              <w:pStyle w:val="ListParagraph"/>
              <w:numPr>
                <w:ilvl w:val="0"/>
                <w:numId w:val="3"/>
              </w:numPr>
              <w:tabs>
                <w:tab w:val="left" w:pos="314"/>
              </w:tabs>
              <w:spacing w:line="360" w:lineRule="auto"/>
              <w:ind w:left="0" w:firstLine="0"/>
              <w:rPr>
                <w:color w:val="000000" w:themeColor="text1"/>
                <w:sz w:val="20"/>
                <w:szCs w:val="20"/>
              </w:rPr>
            </w:pPr>
            <w:r w:rsidRPr="00435DE6">
              <w:rPr>
                <w:color w:val="000000" w:themeColor="text1"/>
                <w:sz w:val="20"/>
                <w:szCs w:val="20"/>
              </w:rPr>
              <w:t>Immunodeficiency- 23</w:t>
            </w:r>
          </w:p>
          <w:p w14:paraId="7C083A81" w14:textId="77777777" w:rsidR="0099176B" w:rsidRPr="00435DE6" w:rsidRDefault="0099176B" w:rsidP="00FA51CB">
            <w:pPr>
              <w:spacing w:line="360" w:lineRule="auto"/>
              <w:rPr>
                <w:color w:val="000000" w:themeColor="text1"/>
                <w:sz w:val="20"/>
                <w:szCs w:val="20"/>
              </w:rPr>
            </w:pPr>
            <w:r w:rsidRPr="00435DE6">
              <w:rPr>
                <w:color w:val="000000" w:themeColor="text1"/>
                <w:sz w:val="20"/>
                <w:szCs w:val="20"/>
              </w:rPr>
              <w:t>Neurological- 43</w:t>
            </w:r>
          </w:p>
          <w:p w14:paraId="62B9577B" w14:textId="77777777" w:rsidR="0099176B" w:rsidRPr="00435DE6" w:rsidRDefault="0099176B" w:rsidP="00FA51CB">
            <w:pPr>
              <w:pStyle w:val="ListParagraph"/>
              <w:numPr>
                <w:ilvl w:val="0"/>
                <w:numId w:val="4"/>
              </w:numPr>
              <w:tabs>
                <w:tab w:val="left" w:pos="314"/>
              </w:tabs>
              <w:spacing w:line="360" w:lineRule="auto"/>
              <w:ind w:left="0" w:firstLine="0"/>
              <w:rPr>
                <w:color w:val="000000" w:themeColor="text1"/>
                <w:sz w:val="20"/>
                <w:szCs w:val="20"/>
              </w:rPr>
            </w:pPr>
            <w:r w:rsidRPr="00435DE6">
              <w:rPr>
                <w:color w:val="000000" w:themeColor="text1"/>
                <w:sz w:val="20"/>
                <w:szCs w:val="20"/>
              </w:rPr>
              <w:t>Myasthenia Gravis- 15</w:t>
            </w:r>
          </w:p>
          <w:p w14:paraId="7B5DE3D2" w14:textId="77777777" w:rsidR="0099176B" w:rsidRPr="00435DE6" w:rsidRDefault="0099176B" w:rsidP="00FA51CB">
            <w:pPr>
              <w:pStyle w:val="ListParagraph"/>
              <w:numPr>
                <w:ilvl w:val="0"/>
                <w:numId w:val="4"/>
              </w:numPr>
              <w:tabs>
                <w:tab w:val="left" w:pos="314"/>
              </w:tabs>
              <w:spacing w:line="360" w:lineRule="auto"/>
              <w:ind w:left="0" w:firstLine="0"/>
              <w:rPr>
                <w:color w:val="000000" w:themeColor="text1"/>
                <w:sz w:val="20"/>
                <w:szCs w:val="20"/>
              </w:rPr>
            </w:pPr>
            <w:r w:rsidRPr="00435DE6">
              <w:rPr>
                <w:color w:val="000000" w:themeColor="text1"/>
                <w:sz w:val="20"/>
                <w:szCs w:val="20"/>
              </w:rPr>
              <w:t>Guillain-Barre Syndrome- 10</w:t>
            </w:r>
          </w:p>
          <w:p w14:paraId="5BF9DCD5" w14:textId="77777777" w:rsidR="0099176B" w:rsidRPr="00435DE6" w:rsidRDefault="0099176B" w:rsidP="00FA51CB">
            <w:pPr>
              <w:pStyle w:val="ListParagraph"/>
              <w:numPr>
                <w:ilvl w:val="0"/>
                <w:numId w:val="4"/>
              </w:numPr>
              <w:tabs>
                <w:tab w:val="left" w:pos="314"/>
              </w:tabs>
              <w:spacing w:line="360" w:lineRule="auto"/>
              <w:ind w:left="0" w:firstLine="0"/>
              <w:rPr>
                <w:color w:val="000000" w:themeColor="text1"/>
                <w:sz w:val="20"/>
                <w:szCs w:val="20"/>
              </w:rPr>
            </w:pPr>
            <w:r w:rsidRPr="00435DE6">
              <w:rPr>
                <w:color w:val="000000" w:themeColor="text1"/>
                <w:sz w:val="20"/>
                <w:szCs w:val="20"/>
              </w:rPr>
              <w:t>Other- 18</w:t>
            </w:r>
          </w:p>
        </w:tc>
      </w:tr>
      <w:tr w:rsidR="0099176B" w:rsidRPr="00435DE6" w14:paraId="562BD4CB" w14:textId="77777777" w:rsidTr="00CA6874">
        <w:trPr>
          <w:trHeight w:val="340"/>
        </w:trPr>
        <w:tc>
          <w:tcPr>
            <w:tcW w:w="2305" w:type="pct"/>
          </w:tcPr>
          <w:p w14:paraId="756C5DC4" w14:textId="77777777" w:rsidR="0099176B" w:rsidRPr="00435DE6" w:rsidRDefault="0099176B" w:rsidP="00FA51CB">
            <w:pPr>
              <w:spacing w:line="360" w:lineRule="auto"/>
              <w:rPr>
                <w:color w:val="000000" w:themeColor="text1"/>
                <w:sz w:val="20"/>
                <w:szCs w:val="20"/>
              </w:rPr>
            </w:pPr>
            <w:r w:rsidRPr="00435DE6">
              <w:rPr>
                <w:color w:val="000000" w:themeColor="text1"/>
                <w:sz w:val="20"/>
                <w:szCs w:val="20"/>
              </w:rPr>
              <w:t>Ever Smoked</w:t>
            </w:r>
          </w:p>
          <w:p w14:paraId="59562A5A" w14:textId="77777777" w:rsidR="0099176B" w:rsidRPr="00435DE6" w:rsidRDefault="0099176B" w:rsidP="00FA51CB">
            <w:pPr>
              <w:spacing w:line="360" w:lineRule="auto"/>
              <w:ind w:left="320"/>
              <w:rPr>
                <w:color w:val="000000" w:themeColor="text1"/>
                <w:sz w:val="20"/>
                <w:szCs w:val="20"/>
              </w:rPr>
            </w:pPr>
            <w:r w:rsidRPr="00435DE6">
              <w:rPr>
                <w:color w:val="000000" w:themeColor="text1"/>
                <w:sz w:val="20"/>
                <w:szCs w:val="20"/>
              </w:rPr>
              <w:t>Current Smoker</w:t>
            </w:r>
          </w:p>
        </w:tc>
        <w:tc>
          <w:tcPr>
            <w:tcW w:w="2695" w:type="pct"/>
          </w:tcPr>
          <w:p w14:paraId="59A3AC2A" w14:textId="77777777" w:rsidR="0099176B" w:rsidRPr="00435DE6" w:rsidRDefault="0099176B" w:rsidP="00FA51CB">
            <w:pPr>
              <w:spacing w:line="360" w:lineRule="auto"/>
              <w:rPr>
                <w:color w:val="000000" w:themeColor="text1"/>
                <w:sz w:val="20"/>
                <w:szCs w:val="20"/>
              </w:rPr>
            </w:pPr>
            <w:r w:rsidRPr="00435DE6">
              <w:rPr>
                <w:color w:val="000000" w:themeColor="text1"/>
                <w:sz w:val="20"/>
                <w:szCs w:val="20"/>
              </w:rPr>
              <w:t>59 (45.4%)</w:t>
            </w:r>
          </w:p>
          <w:p w14:paraId="7710AF8E" w14:textId="77777777" w:rsidR="0099176B" w:rsidRPr="00435DE6" w:rsidRDefault="0099176B" w:rsidP="00FA51CB">
            <w:pPr>
              <w:spacing w:line="360" w:lineRule="auto"/>
              <w:rPr>
                <w:color w:val="000000" w:themeColor="text1"/>
                <w:sz w:val="20"/>
                <w:szCs w:val="20"/>
              </w:rPr>
            </w:pPr>
            <w:r w:rsidRPr="00435DE6">
              <w:rPr>
                <w:color w:val="000000" w:themeColor="text1"/>
                <w:sz w:val="20"/>
                <w:szCs w:val="20"/>
              </w:rPr>
              <w:t>16 (12.3%)</w:t>
            </w:r>
          </w:p>
        </w:tc>
      </w:tr>
      <w:tr w:rsidR="0099176B" w:rsidRPr="00435DE6" w14:paraId="7AE1AB36" w14:textId="77777777" w:rsidTr="00CA6874">
        <w:trPr>
          <w:trHeight w:val="340"/>
        </w:trPr>
        <w:tc>
          <w:tcPr>
            <w:tcW w:w="2305" w:type="pct"/>
          </w:tcPr>
          <w:p w14:paraId="6A8F5379" w14:textId="77777777" w:rsidR="0099176B" w:rsidRPr="00435DE6" w:rsidRDefault="0099176B" w:rsidP="00FA51CB">
            <w:pPr>
              <w:spacing w:line="360" w:lineRule="auto"/>
              <w:rPr>
                <w:color w:val="000000" w:themeColor="text1"/>
                <w:sz w:val="20"/>
                <w:szCs w:val="20"/>
              </w:rPr>
            </w:pPr>
            <w:r w:rsidRPr="00435DE6">
              <w:rPr>
                <w:color w:val="000000" w:themeColor="text1"/>
                <w:sz w:val="20"/>
                <w:szCs w:val="20"/>
              </w:rPr>
              <w:t>Diabetes</w:t>
            </w:r>
          </w:p>
        </w:tc>
        <w:tc>
          <w:tcPr>
            <w:tcW w:w="2695" w:type="pct"/>
          </w:tcPr>
          <w:p w14:paraId="17824019" w14:textId="77777777" w:rsidR="0099176B" w:rsidRPr="00435DE6" w:rsidRDefault="0099176B" w:rsidP="00FA51CB">
            <w:pPr>
              <w:spacing w:line="360" w:lineRule="auto"/>
              <w:rPr>
                <w:color w:val="000000" w:themeColor="text1"/>
                <w:sz w:val="20"/>
                <w:szCs w:val="20"/>
              </w:rPr>
            </w:pPr>
            <w:r w:rsidRPr="00435DE6">
              <w:rPr>
                <w:color w:val="000000" w:themeColor="text1"/>
                <w:sz w:val="20"/>
                <w:szCs w:val="20"/>
              </w:rPr>
              <w:t xml:space="preserve"> 10 (7.7%)</w:t>
            </w:r>
          </w:p>
        </w:tc>
      </w:tr>
      <w:tr w:rsidR="0099176B" w:rsidRPr="00435DE6" w14:paraId="2CBBBC86" w14:textId="77777777" w:rsidTr="00CA6874">
        <w:trPr>
          <w:trHeight w:val="340"/>
        </w:trPr>
        <w:tc>
          <w:tcPr>
            <w:tcW w:w="2305" w:type="pct"/>
          </w:tcPr>
          <w:p w14:paraId="3E72364C" w14:textId="77777777" w:rsidR="0099176B" w:rsidRPr="00435DE6" w:rsidRDefault="0099176B" w:rsidP="00FA51CB">
            <w:pPr>
              <w:spacing w:line="360" w:lineRule="auto"/>
              <w:rPr>
                <w:color w:val="000000" w:themeColor="text1"/>
                <w:sz w:val="20"/>
                <w:szCs w:val="20"/>
              </w:rPr>
            </w:pPr>
            <w:r w:rsidRPr="00435DE6">
              <w:rPr>
                <w:color w:val="000000" w:themeColor="text1"/>
                <w:sz w:val="20"/>
                <w:szCs w:val="20"/>
              </w:rPr>
              <w:t>Hypertension</w:t>
            </w:r>
          </w:p>
        </w:tc>
        <w:tc>
          <w:tcPr>
            <w:tcW w:w="2695" w:type="pct"/>
          </w:tcPr>
          <w:p w14:paraId="3E99C8DE" w14:textId="77777777" w:rsidR="0099176B" w:rsidRPr="00435DE6" w:rsidRDefault="0099176B" w:rsidP="00FA51CB">
            <w:pPr>
              <w:spacing w:line="360" w:lineRule="auto"/>
              <w:rPr>
                <w:color w:val="000000" w:themeColor="text1"/>
                <w:sz w:val="20"/>
                <w:szCs w:val="20"/>
              </w:rPr>
            </w:pPr>
            <w:r w:rsidRPr="00435DE6">
              <w:rPr>
                <w:color w:val="000000" w:themeColor="text1"/>
                <w:sz w:val="20"/>
                <w:szCs w:val="20"/>
              </w:rPr>
              <w:t>44 (33.8%)</w:t>
            </w:r>
          </w:p>
        </w:tc>
      </w:tr>
      <w:tr w:rsidR="0099176B" w:rsidRPr="00435DE6" w14:paraId="274B1913" w14:textId="77777777" w:rsidTr="00CA6874">
        <w:trPr>
          <w:trHeight w:val="340"/>
        </w:trPr>
        <w:tc>
          <w:tcPr>
            <w:tcW w:w="2305" w:type="pct"/>
          </w:tcPr>
          <w:p w14:paraId="393C2C48" w14:textId="77777777" w:rsidR="0099176B" w:rsidRPr="00435DE6" w:rsidRDefault="0099176B" w:rsidP="00FA51CB">
            <w:pPr>
              <w:spacing w:line="360" w:lineRule="auto"/>
              <w:rPr>
                <w:color w:val="000000" w:themeColor="text1"/>
                <w:sz w:val="20"/>
                <w:szCs w:val="20"/>
              </w:rPr>
            </w:pPr>
            <w:r w:rsidRPr="00435DE6">
              <w:rPr>
                <w:color w:val="000000" w:themeColor="text1"/>
                <w:sz w:val="20"/>
                <w:szCs w:val="20"/>
              </w:rPr>
              <w:t>Hypercholesterolemia</w:t>
            </w:r>
          </w:p>
        </w:tc>
        <w:tc>
          <w:tcPr>
            <w:tcW w:w="2695" w:type="pct"/>
          </w:tcPr>
          <w:p w14:paraId="547BAA8F" w14:textId="77777777" w:rsidR="0099176B" w:rsidRPr="00435DE6" w:rsidRDefault="0099176B" w:rsidP="00FA51CB">
            <w:pPr>
              <w:spacing w:line="360" w:lineRule="auto"/>
              <w:rPr>
                <w:color w:val="000000" w:themeColor="text1"/>
                <w:sz w:val="20"/>
                <w:szCs w:val="20"/>
              </w:rPr>
            </w:pPr>
            <w:r w:rsidRPr="00435DE6">
              <w:rPr>
                <w:color w:val="000000" w:themeColor="text1"/>
                <w:sz w:val="20"/>
                <w:szCs w:val="20"/>
              </w:rPr>
              <w:t xml:space="preserve"> 17 (13.1%)</w:t>
            </w:r>
          </w:p>
        </w:tc>
      </w:tr>
      <w:tr w:rsidR="0099176B" w:rsidRPr="00435DE6" w14:paraId="1C963C7C" w14:textId="77777777" w:rsidTr="00CA6874">
        <w:trPr>
          <w:trHeight w:val="340"/>
        </w:trPr>
        <w:tc>
          <w:tcPr>
            <w:tcW w:w="2305" w:type="pct"/>
          </w:tcPr>
          <w:p w14:paraId="070DC1AD" w14:textId="77777777" w:rsidR="0099176B" w:rsidRPr="00435DE6" w:rsidRDefault="0099176B" w:rsidP="00FA51CB">
            <w:pPr>
              <w:spacing w:line="360" w:lineRule="auto"/>
              <w:rPr>
                <w:color w:val="000000" w:themeColor="text1"/>
                <w:sz w:val="20"/>
                <w:szCs w:val="20"/>
              </w:rPr>
            </w:pPr>
            <w:r w:rsidRPr="00435DE6">
              <w:rPr>
                <w:color w:val="000000" w:themeColor="text1"/>
                <w:sz w:val="20"/>
                <w:szCs w:val="20"/>
              </w:rPr>
              <w:t>Past History of Arterial or Venous Thromboembolic Disease</w:t>
            </w:r>
          </w:p>
        </w:tc>
        <w:tc>
          <w:tcPr>
            <w:tcW w:w="2695" w:type="pct"/>
          </w:tcPr>
          <w:p w14:paraId="35CBC02C" w14:textId="77777777" w:rsidR="0099176B" w:rsidRPr="00435DE6" w:rsidRDefault="0099176B" w:rsidP="00FA51CB">
            <w:pPr>
              <w:spacing w:line="360" w:lineRule="auto"/>
              <w:rPr>
                <w:color w:val="000000" w:themeColor="text1"/>
                <w:sz w:val="20"/>
                <w:szCs w:val="20"/>
              </w:rPr>
            </w:pPr>
            <w:r w:rsidRPr="00435DE6">
              <w:rPr>
                <w:color w:val="000000" w:themeColor="text1"/>
                <w:sz w:val="20"/>
                <w:szCs w:val="20"/>
              </w:rPr>
              <w:t>14 (10.8%)</w:t>
            </w:r>
          </w:p>
          <w:p w14:paraId="649825E8" w14:textId="77777777" w:rsidR="0099176B" w:rsidRPr="00435DE6" w:rsidRDefault="0099176B" w:rsidP="00FA51CB">
            <w:pPr>
              <w:spacing w:line="360" w:lineRule="auto"/>
              <w:rPr>
                <w:color w:val="000000" w:themeColor="text1"/>
                <w:sz w:val="20"/>
                <w:szCs w:val="20"/>
              </w:rPr>
            </w:pPr>
            <w:r w:rsidRPr="00435DE6">
              <w:rPr>
                <w:color w:val="000000" w:themeColor="text1"/>
                <w:sz w:val="20"/>
                <w:szCs w:val="20"/>
              </w:rPr>
              <w:t>8/14- myocardial infarctions</w:t>
            </w:r>
          </w:p>
          <w:p w14:paraId="3BF331E3" w14:textId="77777777" w:rsidR="0099176B" w:rsidRPr="00435DE6" w:rsidRDefault="0099176B" w:rsidP="00FA51CB">
            <w:pPr>
              <w:spacing w:line="360" w:lineRule="auto"/>
              <w:rPr>
                <w:color w:val="000000" w:themeColor="text1"/>
                <w:sz w:val="20"/>
                <w:szCs w:val="20"/>
              </w:rPr>
            </w:pPr>
            <w:r w:rsidRPr="00435DE6">
              <w:rPr>
                <w:color w:val="000000" w:themeColor="text1"/>
                <w:sz w:val="20"/>
                <w:szCs w:val="20"/>
              </w:rPr>
              <w:t>4/14- pulmonary emboli</w:t>
            </w:r>
          </w:p>
          <w:p w14:paraId="7BCDADEC" w14:textId="77777777" w:rsidR="0099176B" w:rsidRPr="00435DE6" w:rsidRDefault="0099176B" w:rsidP="00FA51CB">
            <w:pPr>
              <w:spacing w:line="360" w:lineRule="auto"/>
              <w:rPr>
                <w:color w:val="000000" w:themeColor="text1"/>
                <w:sz w:val="20"/>
                <w:szCs w:val="20"/>
              </w:rPr>
            </w:pPr>
            <w:r w:rsidRPr="00435DE6">
              <w:rPr>
                <w:color w:val="000000" w:themeColor="text1"/>
                <w:sz w:val="20"/>
                <w:szCs w:val="20"/>
              </w:rPr>
              <w:t>2/14- cerebral infarction</w:t>
            </w:r>
          </w:p>
        </w:tc>
      </w:tr>
      <w:tr w:rsidR="0099176B" w:rsidRPr="00435DE6" w14:paraId="4A4BA8D7" w14:textId="77777777" w:rsidTr="00CA6874">
        <w:trPr>
          <w:trHeight w:val="340"/>
        </w:trPr>
        <w:tc>
          <w:tcPr>
            <w:tcW w:w="2305" w:type="pct"/>
          </w:tcPr>
          <w:p w14:paraId="4A9B1D5D" w14:textId="77777777" w:rsidR="0099176B" w:rsidRPr="00435DE6" w:rsidRDefault="0099176B" w:rsidP="00FA51CB">
            <w:pPr>
              <w:spacing w:line="360" w:lineRule="auto"/>
              <w:rPr>
                <w:i/>
                <w:iCs/>
                <w:color w:val="000000" w:themeColor="text1"/>
                <w:sz w:val="20"/>
                <w:szCs w:val="20"/>
              </w:rPr>
            </w:pPr>
            <w:r w:rsidRPr="00435DE6">
              <w:rPr>
                <w:color w:val="000000" w:themeColor="text1"/>
                <w:sz w:val="20"/>
                <w:szCs w:val="20"/>
              </w:rPr>
              <w:t xml:space="preserve">Cancer </w:t>
            </w:r>
          </w:p>
        </w:tc>
        <w:tc>
          <w:tcPr>
            <w:tcW w:w="2695" w:type="pct"/>
          </w:tcPr>
          <w:p w14:paraId="3BC25B17" w14:textId="77777777" w:rsidR="0099176B" w:rsidRPr="00435DE6" w:rsidRDefault="0099176B" w:rsidP="00FA51CB">
            <w:pPr>
              <w:spacing w:line="360" w:lineRule="auto"/>
              <w:rPr>
                <w:color w:val="000000" w:themeColor="text1"/>
                <w:sz w:val="20"/>
                <w:szCs w:val="20"/>
              </w:rPr>
            </w:pPr>
            <w:r w:rsidRPr="00435DE6">
              <w:rPr>
                <w:color w:val="000000" w:themeColor="text1"/>
                <w:sz w:val="20"/>
                <w:szCs w:val="20"/>
              </w:rPr>
              <w:t xml:space="preserve">45 </w:t>
            </w:r>
          </w:p>
          <w:p w14:paraId="2A2D672F" w14:textId="77777777" w:rsidR="0099176B" w:rsidRPr="00435DE6" w:rsidRDefault="0099176B" w:rsidP="00FA51CB">
            <w:pPr>
              <w:spacing w:line="360" w:lineRule="auto"/>
              <w:rPr>
                <w:color w:val="000000" w:themeColor="text1"/>
                <w:sz w:val="20"/>
                <w:szCs w:val="20"/>
              </w:rPr>
            </w:pPr>
            <w:r w:rsidRPr="00435DE6">
              <w:rPr>
                <w:color w:val="000000" w:themeColor="text1"/>
                <w:sz w:val="20"/>
                <w:szCs w:val="20"/>
              </w:rPr>
              <w:t>Solid Organ- 10</w:t>
            </w:r>
          </w:p>
          <w:p w14:paraId="2ADC4A25" w14:textId="77777777" w:rsidR="0099176B" w:rsidRPr="00435DE6" w:rsidRDefault="0099176B" w:rsidP="00FA51CB">
            <w:pPr>
              <w:spacing w:line="360" w:lineRule="auto"/>
              <w:rPr>
                <w:color w:val="000000" w:themeColor="text1"/>
                <w:sz w:val="20"/>
                <w:szCs w:val="20"/>
              </w:rPr>
            </w:pPr>
            <w:r w:rsidRPr="00435DE6">
              <w:rPr>
                <w:color w:val="000000" w:themeColor="text1"/>
                <w:sz w:val="20"/>
                <w:szCs w:val="20"/>
              </w:rPr>
              <w:t>Malignant Melanoma- 4</w:t>
            </w:r>
          </w:p>
          <w:p w14:paraId="60153FA3" w14:textId="77777777" w:rsidR="0099176B" w:rsidRPr="00435DE6" w:rsidRDefault="0099176B" w:rsidP="00FA51CB">
            <w:pPr>
              <w:spacing w:line="360" w:lineRule="auto"/>
              <w:rPr>
                <w:color w:val="000000" w:themeColor="text1"/>
                <w:sz w:val="20"/>
                <w:szCs w:val="20"/>
              </w:rPr>
            </w:pPr>
            <w:r w:rsidRPr="00435DE6">
              <w:rPr>
                <w:color w:val="000000" w:themeColor="text1"/>
                <w:sz w:val="20"/>
                <w:szCs w:val="20"/>
              </w:rPr>
              <w:t>Haematological- 23</w:t>
            </w:r>
          </w:p>
          <w:p w14:paraId="2A373405" w14:textId="77777777" w:rsidR="0099176B" w:rsidRPr="00435DE6" w:rsidRDefault="0099176B" w:rsidP="00FA51CB">
            <w:pPr>
              <w:pStyle w:val="ListParagraph"/>
              <w:numPr>
                <w:ilvl w:val="0"/>
                <w:numId w:val="4"/>
              </w:numPr>
              <w:tabs>
                <w:tab w:val="left" w:pos="314"/>
              </w:tabs>
              <w:spacing w:line="360" w:lineRule="auto"/>
              <w:ind w:left="0" w:firstLine="0"/>
              <w:rPr>
                <w:color w:val="000000" w:themeColor="text1"/>
                <w:sz w:val="20"/>
                <w:szCs w:val="20"/>
              </w:rPr>
            </w:pPr>
            <w:r w:rsidRPr="00435DE6">
              <w:rPr>
                <w:color w:val="000000" w:themeColor="text1"/>
                <w:sz w:val="20"/>
                <w:szCs w:val="20"/>
              </w:rPr>
              <w:t>CLL- 20</w:t>
            </w:r>
          </w:p>
          <w:p w14:paraId="22D37B8F" w14:textId="77777777" w:rsidR="0099176B" w:rsidRPr="00435DE6" w:rsidRDefault="0099176B" w:rsidP="00FA51CB">
            <w:pPr>
              <w:pStyle w:val="ListParagraph"/>
              <w:numPr>
                <w:ilvl w:val="0"/>
                <w:numId w:val="4"/>
              </w:numPr>
              <w:tabs>
                <w:tab w:val="left" w:pos="314"/>
              </w:tabs>
              <w:spacing w:line="360" w:lineRule="auto"/>
              <w:ind w:left="0" w:firstLine="0"/>
              <w:rPr>
                <w:color w:val="000000" w:themeColor="text1"/>
                <w:sz w:val="20"/>
                <w:szCs w:val="20"/>
              </w:rPr>
            </w:pPr>
            <w:r w:rsidRPr="00435DE6">
              <w:rPr>
                <w:color w:val="000000" w:themeColor="text1"/>
                <w:sz w:val="20"/>
                <w:szCs w:val="20"/>
              </w:rPr>
              <w:t>Hodgkin’s Lymphoma- 1</w:t>
            </w:r>
          </w:p>
          <w:p w14:paraId="2637EB53" w14:textId="77777777" w:rsidR="0099176B" w:rsidRPr="00435DE6" w:rsidRDefault="0099176B" w:rsidP="00FA51CB">
            <w:pPr>
              <w:pStyle w:val="ListParagraph"/>
              <w:numPr>
                <w:ilvl w:val="0"/>
                <w:numId w:val="4"/>
              </w:numPr>
              <w:tabs>
                <w:tab w:val="left" w:pos="314"/>
              </w:tabs>
              <w:spacing w:line="360" w:lineRule="auto"/>
              <w:ind w:left="0" w:firstLine="0"/>
              <w:rPr>
                <w:color w:val="000000" w:themeColor="text1"/>
                <w:sz w:val="20"/>
                <w:szCs w:val="20"/>
              </w:rPr>
            </w:pPr>
            <w:r w:rsidRPr="00435DE6">
              <w:rPr>
                <w:color w:val="000000" w:themeColor="text1"/>
                <w:sz w:val="20"/>
                <w:szCs w:val="20"/>
              </w:rPr>
              <w:t>Non-Hodgkin’s Lymphoma- 2</w:t>
            </w:r>
          </w:p>
        </w:tc>
      </w:tr>
      <w:tr w:rsidR="0099176B" w:rsidRPr="00435DE6" w14:paraId="106F5829" w14:textId="77777777" w:rsidTr="00CA6874">
        <w:trPr>
          <w:trHeight w:val="340"/>
        </w:trPr>
        <w:tc>
          <w:tcPr>
            <w:tcW w:w="2305" w:type="pct"/>
          </w:tcPr>
          <w:p w14:paraId="53992A34" w14:textId="77777777" w:rsidR="0099176B" w:rsidRPr="00435DE6" w:rsidRDefault="0099176B" w:rsidP="00FA51CB">
            <w:pPr>
              <w:spacing w:line="360" w:lineRule="auto"/>
              <w:rPr>
                <w:color w:val="000000" w:themeColor="text1"/>
                <w:sz w:val="20"/>
                <w:szCs w:val="20"/>
              </w:rPr>
            </w:pPr>
            <w:r w:rsidRPr="00435DE6">
              <w:rPr>
                <w:color w:val="000000" w:themeColor="text1"/>
                <w:sz w:val="20"/>
                <w:szCs w:val="20"/>
              </w:rPr>
              <w:t>Current Medications</w:t>
            </w:r>
          </w:p>
        </w:tc>
        <w:tc>
          <w:tcPr>
            <w:tcW w:w="2695" w:type="pct"/>
          </w:tcPr>
          <w:p w14:paraId="35F4EE86" w14:textId="77777777" w:rsidR="0099176B" w:rsidRPr="00435DE6" w:rsidRDefault="0099176B" w:rsidP="00FA51CB">
            <w:pPr>
              <w:spacing w:line="360" w:lineRule="auto"/>
              <w:rPr>
                <w:color w:val="000000" w:themeColor="text1"/>
                <w:sz w:val="20"/>
                <w:szCs w:val="20"/>
              </w:rPr>
            </w:pPr>
          </w:p>
        </w:tc>
      </w:tr>
      <w:tr w:rsidR="0099176B" w:rsidRPr="00435DE6" w14:paraId="245168BE" w14:textId="77777777" w:rsidTr="00CA6874">
        <w:trPr>
          <w:trHeight w:val="340"/>
        </w:trPr>
        <w:tc>
          <w:tcPr>
            <w:tcW w:w="2305" w:type="pct"/>
          </w:tcPr>
          <w:p w14:paraId="1A95C954" w14:textId="77777777" w:rsidR="0099176B" w:rsidRPr="00435DE6" w:rsidRDefault="0099176B" w:rsidP="00FA51CB">
            <w:pPr>
              <w:spacing w:line="360" w:lineRule="auto"/>
              <w:ind w:left="309"/>
              <w:rPr>
                <w:color w:val="000000" w:themeColor="text1"/>
                <w:sz w:val="20"/>
                <w:szCs w:val="20"/>
              </w:rPr>
            </w:pPr>
            <w:r w:rsidRPr="00435DE6">
              <w:rPr>
                <w:color w:val="000000" w:themeColor="text1"/>
                <w:sz w:val="20"/>
                <w:szCs w:val="20"/>
              </w:rPr>
              <w:t>Antiplatelet</w:t>
            </w:r>
          </w:p>
        </w:tc>
        <w:tc>
          <w:tcPr>
            <w:tcW w:w="2695" w:type="pct"/>
          </w:tcPr>
          <w:p w14:paraId="7F596A56" w14:textId="77777777" w:rsidR="0099176B" w:rsidRPr="00435DE6" w:rsidRDefault="0099176B" w:rsidP="00FA51CB">
            <w:pPr>
              <w:spacing w:line="360" w:lineRule="auto"/>
              <w:rPr>
                <w:color w:val="000000" w:themeColor="text1"/>
                <w:sz w:val="20"/>
                <w:szCs w:val="20"/>
              </w:rPr>
            </w:pPr>
            <w:r w:rsidRPr="00435DE6">
              <w:rPr>
                <w:color w:val="000000" w:themeColor="text1"/>
                <w:sz w:val="20"/>
                <w:szCs w:val="20"/>
              </w:rPr>
              <w:t>25 (19.2%)</w:t>
            </w:r>
          </w:p>
        </w:tc>
      </w:tr>
      <w:tr w:rsidR="0099176B" w:rsidRPr="00435DE6" w14:paraId="175F79A4" w14:textId="77777777" w:rsidTr="00CA6874">
        <w:trPr>
          <w:trHeight w:val="340"/>
        </w:trPr>
        <w:tc>
          <w:tcPr>
            <w:tcW w:w="2305" w:type="pct"/>
          </w:tcPr>
          <w:p w14:paraId="622C1278" w14:textId="77777777" w:rsidR="0099176B" w:rsidRPr="00435DE6" w:rsidRDefault="0099176B" w:rsidP="00FA51CB">
            <w:pPr>
              <w:spacing w:line="360" w:lineRule="auto"/>
              <w:ind w:left="309"/>
              <w:rPr>
                <w:color w:val="000000" w:themeColor="text1"/>
                <w:sz w:val="20"/>
                <w:szCs w:val="20"/>
              </w:rPr>
            </w:pPr>
            <w:r w:rsidRPr="00435DE6">
              <w:rPr>
                <w:color w:val="000000" w:themeColor="text1"/>
                <w:sz w:val="20"/>
                <w:szCs w:val="20"/>
              </w:rPr>
              <w:t xml:space="preserve">Lipid-lowering </w:t>
            </w:r>
          </w:p>
        </w:tc>
        <w:tc>
          <w:tcPr>
            <w:tcW w:w="2695" w:type="pct"/>
          </w:tcPr>
          <w:p w14:paraId="4FCD7071" w14:textId="77777777" w:rsidR="0099176B" w:rsidRPr="00435DE6" w:rsidRDefault="0099176B" w:rsidP="00FA51CB">
            <w:pPr>
              <w:spacing w:line="360" w:lineRule="auto"/>
              <w:rPr>
                <w:color w:val="000000" w:themeColor="text1"/>
                <w:sz w:val="20"/>
                <w:szCs w:val="20"/>
              </w:rPr>
            </w:pPr>
            <w:r w:rsidRPr="00435DE6">
              <w:rPr>
                <w:color w:val="000000" w:themeColor="text1"/>
                <w:sz w:val="20"/>
                <w:szCs w:val="20"/>
              </w:rPr>
              <w:t xml:space="preserve"> 120 (92.3%)</w:t>
            </w:r>
          </w:p>
        </w:tc>
      </w:tr>
      <w:tr w:rsidR="0099176B" w:rsidRPr="00435DE6" w14:paraId="5663DA14" w14:textId="77777777" w:rsidTr="00CA6874">
        <w:trPr>
          <w:trHeight w:val="340"/>
        </w:trPr>
        <w:tc>
          <w:tcPr>
            <w:tcW w:w="2305" w:type="pct"/>
          </w:tcPr>
          <w:p w14:paraId="44CA5335" w14:textId="77777777" w:rsidR="0099176B" w:rsidRPr="00435DE6" w:rsidRDefault="0099176B" w:rsidP="00FA51CB">
            <w:pPr>
              <w:spacing w:line="360" w:lineRule="auto"/>
              <w:ind w:left="309"/>
              <w:rPr>
                <w:color w:val="000000" w:themeColor="text1"/>
                <w:sz w:val="20"/>
                <w:szCs w:val="20"/>
              </w:rPr>
            </w:pPr>
            <w:r w:rsidRPr="00435DE6">
              <w:rPr>
                <w:color w:val="000000" w:themeColor="text1"/>
                <w:sz w:val="20"/>
                <w:szCs w:val="20"/>
              </w:rPr>
              <w:t>Antihypertensives</w:t>
            </w:r>
          </w:p>
        </w:tc>
        <w:tc>
          <w:tcPr>
            <w:tcW w:w="2695" w:type="pct"/>
          </w:tcPr>
          <w:p w14:paraId="20E6EECC" w14:textId="77777777" w:rsidR="0099176B" w:rsidRPr="00435DE6" w:rsidRDefault="0099176B" w:rsidP="00FA51CB">
            <w:pPr>
              <w:spacing w:line="360" w:lineRule="auto"/>
              <w:rPr>
                <w:color w:val="000000" w:themeColor="text1"/>
                <w:sz w:val="20"/>
                <w:szCs w:val="20"/>
              </w:rPr>
            </w:pPr>
            <w:r w:rsidRPr="00435DE6">
              <w:rPr>
                <w:color w:val="000000" w:themeColor="text1"/>
                <w:sz w:val="20"/>
                <w:szCs w:val="20"/>
              </w:rPr>
              <w:t xml:space="preserve"> 21 (16.2%)</w:t>
            </w:r>
          </w:p>
        </w:tc>
      </w:tr>
      <w:tr w:rsidR="0099176B" w:rsidRPr="00435DE6" w14:paraId="53A2980E" w14:textId="77777777" w:rsidTr="00CA6874">
        <w:trPr>
          <w:trHeight w:val="340"/>
        </w:trPr>
        <w:tc>
          <w:tcPr>
            <w:tcW w:w="2305" w:type="pct"/>
          </w:tcPr>
          <w:p w14:paraId="4FB22687" w14:textId="77777777" w:rsidR="0099176B" w:rsidRPr="00435DE6" w:rsidRDefault="0099176B" w:rsidP="00FA51CB">
            <w:pPr>
              <w:spacing w:line="360" w:lineRule="auto"/>
              <w:ind w:left="309"/>
              <w:rPr>
                <w:color w:val="000000" w:themeColor="text1"/>
                <w:sz w:val="20"/>
                <w:szCs w:val="20"/>
              </w:rPr>
            </w:pPr>
            <w:r w:rsidRPr="00435DE6">
              <w:rPr>
                <w:color w:val="000000" w:themeColor="text1"/>
                <w:sz w:val="20"/>
                <w:szCs w:val="20"/>
              </w:rPr>
              <w:t>Insulin</w:t>
            </w:r>
          </w:p>
        </w:tc>
        <w:tc>
          <w:tcPr>
            <w:tcW w:w="2695" w:type="pct"/>
          </w:tcPr>
          <w:p w14:paraId="007CED27" w14:textId="77777777" w:rsidR="0099176B" w:rsidRPr="00435DE6" w:rsidRDefault="0099176B" w:rsidP="00FA51CB">
            <w:pPr>
              <w:spacing w:line="360" w:lineRule="auto"/>
              <w:rPr>
                <w:color w:val="000000" w:themeColor="text1"/>
                <w:sz w:val="20"/>
                <w:szCs w:val="20"/>
              </w:rPr>
            </w:pPr>
            <w:r w:rsidRPr="00435DE6">
              <w:rPr>
                <w:color w:val="000000" w:themeColor="text1"/>
                <w:sz w:val="20"/>
                <w:szCs w:val="20"/>
              </w:rPr>
              <w:t xml:space="preserve"> 0</w:t>
            </w:r>
          </w:p>
        </w:tc>
      </w:tr>
      <w:tr w:rsidR="0099176B" w:rsidRPr="00435DE6" w14:paraId="509D84F8" w14:textId="77777777" w:rsidTr="00CA6874">
        <w:trPr>
          <w:trHeight w:val="340"/>
        </w:trPr>
        <w:tc>
          <w:tcPr>
            <w:tcW w:w="2305" w:type="pct"/>
          </w:tcPr>
          <w:p w14:paraId="1FB03558" w14:textId="77777777" w:rsidR="0099176B" w:rsidRPr="00435DE6" w:rsidRDefault="0099176B" w:rsidP="00FA51CB">
            <w:pPr>
              <w:spacing w:line="360" w:lineRule="auto"/>
              <w:ind w:left="309"/>
              <w:rPr>
                <w:color w:val="000000" w:themeColor="text1"/>
                <w:sz w:val="20"/>
                <w:szCs w:val="20"/>
              </w:rPr>
            </w:pPr>
            <w:r w:rsidRPr="00435DE6">
              <w:rPr>
                <w:color w:val="000000" w:themeColor="text1"/>
                <w:sz w:val="20"/>
                <w:szCs w:val="20"/>
              </w:rPr>
              <w:t>Oral hypoglycaemics</w:t>
            </w:r>
          </w:p>
        </w:tc>
        <w:tc>
          <w:tcPr>
            <w:tcW w:w="2695" w:type="pct"/>
          </w:tcPr>
          <w:p w14:paraId="45FB3142" w14:textId="77777777" w:rsidR="0099176B" w:rsidRPr="00435DE6" w:rsidRDefault="0099176B" w:rsidP="00FA51CB">
            <w:pPr>
              <w:spacing w:line="360" w:lineRule="auto"/>
              <w:rPr>
                <w:color w:val="000000" w:themeColor="text1"/>
                <w:sz w:val="20"/>
                <w:szCs w:val="20"/>
              </w:rPr>
            </w:pPr>
            <w:r w:rsidRPr="00435DE6">
              <w:rPr>
                <w:color w:val="000000" w:themeColor="text1"/>
                <w:sz w:val="20"/>
                <w:szCs w:val="20"/>
              </w:rPr>
              <w:t xml:space="preserve"> 0</w:t>
            </w:r>
          </w:p>
        </w:tc>
      </w:tr>
      <w:tr w:rsidR="0099176B" w:rsidRPr="00435DE6" w14:paraId="296B1BB2" w14:textId="77777777" w:rsidTr="00CA6874">
        <w:trPr>
          <w:trHeight w:val="340"/>
        </w:trPr>
        <w:tc>
          <w:tcPr>
            <w:tcW w:w="2305" w:type="pct"/>
          </w:tcPr>
          <w:p w14:paraId="46030FAF" w14:textId="77777777" w:rsidR="0099176B" w:rsidRPr="00435DE6" w:rsidRDefault="0099176B" w:rsidP="00FA51CB">
            <w:pPr>
              <w:spacing w:line="360" w:lineRule="auto"/>
              <w:rPr>
                <w:color w:val="000000" w:themeColor="text1"/>
                <w:sz w:val="20"/>
                <w:szCs w:val="20"/>
              </w:rPr>
            </w:pPr>
            <w:r w:rsidRPr="00435DE6">
              <w:rPr>
                <w:color w:val="000000" w:themeColor="text1"/>
                <w:sz w:val="20"/>
                <w:szCs w:val="20"/>
              </w:rPr>
              <w:t>Incidence Cases of Arterial or Venous Thromboembolic Disease</w:t>
            </w:r>
          </w:p>
        </w:tc>
        <w:tc>
          <w:tcPr>
            <w:tcW w:w="2695" w:type="pct"/>
          </w:tcPr>
          <w:p w14:paraId="7E7D947F" w14:textId="77777777" w:rsidR="0099176B" w:rsidRPr="00435DE6" w:rsidRDefault="0099176B" w:rsidP="00FA51CB">
            <w:pPr>
              <w:spacing w:line="360" w:lineRule="auto"/>
              <w:rPr>
                <w:color w:val="000000" w:themeColor="text1"/>
                <w:sz w:val="20"/>
                <w:szCs w:val="20"/>
              </w:rPr>
            </w:pPr>
            <w:r w:rsidRPr="00435DE6">
              <w:rPr>
                <w:color w:val="000000" w:themeColor="text1"/>
                <w:sz w:val="20"/>
                <w:szCs w:val="20"/>
              </w:rPr>
              <w:t>10 (7.7%)</w:t>
            </w:r>
          </w:p>
          <w:p w14:paraId="32B6C9DE" w14:textId="77777777" w:rsidR="0099176B" w:rsidRPr="00435DE6" w:rsidRDefault="0099176B" w:rsidP="00FA51CB">
            <w:pPr>
              <w:spacing w:line="360" w:lineRule="auto"/>
              <w:rPr>
                <w:color w:val="000000" w:themeColor="text1"/>
                <w:sz w:val="20"/>
                <w:szCs w:val="20"/>
              </w:rPr>
            </w:pPr>
            <w:r w:rsidRPr="00435DE6">
              <w:rPr>
                <w:color w:val="000000" w:themeColor="text1"/>
                <w:sz w:val="20"/>
                <w:szCs w:val="20"/>
              </w:rPr>
              <w:t>3/10= myocardial infarctions, 2= pulmonary emboli, 3= cerebral infarction, 2= Other</w:t>
            </w:r>
          </w:p>
        </w:tc>
      </w:tr>
    </w:tbl>
    <w:p w14:paraId="0D125189" w14:textId="77777777" w:rsidR="0099176B" w:rsidRPr="00397C2B" w:rsidRDefault="0099176B" w:rsidP="00FA51CB">
      <w:pPr>
        <w:spacing w:line="360" w:lineRule="auto"/>
        <w:rPr>
          <w:color w:val="000000" w:themeColor="text1"/>
        </w:rPr>
      </w:pPr>
    </w:p>
    <w:p w14:paraId="3412A71A" w14:textId="48F1A543" w:rsidR="0064065A" w:rsidRDefault="0064065A">
      <w:pPr>
        <w:rPr>
          <w:rFonts w:eastAsiaTheme="minorHAnsi"/>
          <w:b/>
          <w:bCs/>
          <w:color w:val="000000" w:themeColor="text1"/>
          <w:lang w:val="en-GB" w:eastAsia="en-US"/>
        </w:rPr>
      </w:pPr>
      <w:r>
        <w:rPr>
          <w:rFonts w:eastAsiaTheme="minorHAnsi"/>
          <w:b/>
          <w:bCs/>
          <w:color w:val="000000" w:themeColor="text1"/>
          <w:lang w:val="en-GB" w:eastAsia="en-US"/>
        </w:rPr>
        <w:br w:type="page"/>
      </w:r>
    </w:p>
    <w:p w14:paraId="51FF52DE" w14:textId="2A6F9F1D" w:rsidR="00F04FAF" w:rsidRDefault="00F04FAF" w:rsidP="00F04FAF">
      <w:pPr>
        <w:spacing w:line="360" w:lineRule="auto"/>
        <w:rPr>
          <w:color w:val="000000" w:themeColor="text1"/>
          <w:sz w:val="20"/>
          <w:szCs w:val="20"/>
        </w:rPr>
      </w:pPr>
      <w:r>
        <w:rPr>
          <w:color w:val="000000" w:themeColor="text1"/>
          <w:sz w:val="20"/>
          <w:szCs w:val="20"/>
        </w:rPr>
        <w:lastRenderedPageBreak/>
        <w:t>Supplementary Table 2</w:t>
      </w:r>
      <w:r w:rsidRPr="00435DE6">
        <w:rPr>
          <w:color w:val="000000" w:themeColor="text1"/>
          <w:sz w:val="20"/>
          <w:szCs w:val="20"/>
        </w:rPr>
        <w:t xml:space="preserve">: </w:t>
      </w:r>
      <w:r w:rsidRPr="00387A91">
        <w:rPr>
          <w:color w:val="000000" w:themeColor="text1"/>
          <w:sz w:val="20"/>
          <w:szCs w:val="20"/>
        </w:rPr>
        <w:t xml:space="preserve">Multivariate model of arterial or venous thromboembolic disease in the UK Biobank </w:t>
      </w:r>
      <w:r w:rsidR="00F35CFB">
        <w:rPr>
          <w:color w:val="000000" w:themeColor="text1"/>
          <w:sz w:val="20"/>
          <w:szCs w:val="20"/>
        </w:rPr>
        <w:t>datasets</w:t>
      </w:r>
      <w:r>
        <w:rPr>
          <w:color w:val="000000" w:themeColor="text1"/>
          <w:sz w:val="20"/>
          <w:szCs w:val="20"/>
        </w:rPr>
        <w:t xml:space="preserve"> </w:t>
      </w:r>
      <w:r w:rsidRPr="00CE4D33">
        <w:rPr>
          <w:i/>
          <w:iCs/>
          <w:color w:val="000000" w:themeColor="text1"/>
          <w:sz w:val="20"/>
          <w:szCs w:val="20"/>
        </w:rPr>
        <w:t>without</w:t>
      </w:r>
      <w:r>
        <w:rPr>
          <w:color w:val="000000" w:themeColor="text1"/>
          <w:sz w:val="20"/>
          <w:szCs w:val="20"/>
        </w:rPr>
        <w:t xml:space="preserve"> </w:t>
      </w:r>
      <w:r w:rsidR="00600693">
        <w:rPr>
          <w:color w:val="000000" w:themeColor="text1"/>
          <w:sz w:val="20"/>
          <w:szCs w:val="20"/>
        </w:rPr>
        <w:t>a history</w:t>
      </w:r>
      <w:r>
        <w:rPr>
          <w:color w:val="000000" w:themeColor="text1"/>
          <w:sz w:val="20"/>
          <w:szCs w:val="20"/>
        </w:rPr>
        <w:t xml:space="preserve"> of TEE</w:t>
      </w:r>
    </w:p>
    <w:p w14:paraId="7C8FD634" w14:textId="35199049" w:rsidR="00F04FAF" w:rsidRDefault="00F04FAF" w:rsidP="00F04FAF">
      <w:pPr>
        <w:spacing w:line="360" w:lineRule="auto"/>
        <w:rPr>
          <w:color w:val="000000" w:themeColor="text1"/>
          <w:sz w:val="20"/>
          <w:szCs w:val="20"/>
        </w:rPr>
      </w:pPr>
    </w:p>
    <w:tbl>
      <w:tblPr>
        <w:tblStyle w:val="TableGrid"/>
        <w:tblW w:w="8789" w:type="dxa"/>
        <w:tblInd w:w="-5" w:type="dxa"/>
        <w:tblLayout w:type="fixed"/>
        <w:tblCellMar>
          <w:top w:w="28" w:type="dxa"/>
          <w:left w:w="28" w:type="dxa"/>
          <w:bottom w:w="28" w:type="dxa"/>
          <w:right w:w="57" w:type="dxa"/>
        </w:tblCellMar>
        <w:tblLook w:val="04A0" w:firstRow="1" w:lastRow="0" w:firstColumn="1" w:lastColumn="0" w:noHBand="0" w:noVBand="1"/>
      </w:tblPr>
      <w:tblGrid>
        <w:gridCol w:w="2552"/>
        <w:gridCol w:w="709"/>
        <w:gridCol w:w="1134"/>
        <w:gridCol w:w="1134"/>
        <w:gridCol w:w="850"/>
        <w:gridCol w:w="1134"/>
        <w:gridCol w:w="1276"/>
      </w:tblGrid>
      <w:tr w:rsidR="00600693" w:rsidRPr="00F979D2" w14:paraId="750D99E9" w14:textId="77777777" w:rsidTr="00CE4D33">
        <w:trPr>
          <w:trHeight w:val="340"/>
        </w:trPr>
        <w:tc>
          <w:tcPr>
            <w:tcW w:w="2552" w:type="dxa"/>
          </w:tcPr>
          <w:p w14:paraId="08AA423A" w14:textId="77777777" w:rsidR="00600693" w:rsidRPr="00F979D2" w:rsidRDefault="00600693" w:rsidP="00CE4D33">
            <w:pPr>
              <w:adjustRightInd w:val="0"/>
              <w:spacing w:line="360" w:lineRule="auto"/>
              <w:rPr>
                <w:b/>
                <w:bCs/>
                <w:color w:val="000000" w:themeColor="text1"/>
                <w:sz w:val="20"/>
                <w:szCs w:val="20"/>
              </w:rPr>
            </w:pPr>
          </w:p>
        </w:tc>
        <w:tc>
          <w:tcPr>
            <w:tcW w:w="2977" w:type="dxa"/>
            <w:gridSpan w:val="3"/>
          </w:tcPr>
          <w:p w14:paraId="5C9A18DE" w14:textId="0F276498" w:rsidR="00600693" w:rsidRPr="00F979D2" w:rsidRDefault="009E5852" w:rsidP="00CE4D33">
            <w:pPr>
              <w:adjustRightInd w:val="0"/>
              <w:spacing w:line="360" w:lineRule="auto"/>
              <w:rPr>
                <w:b/>
                <w:bCs/>
                <w:color w:val="000000" w:themeColor="text1"/>
                <w:sz w:val="20"/>
                <w:szCs w:val="20"/>
              </w:rPr>
            </w:pPr>
            <w:r>
              <w:rPr>
                <w:b/>
                <w:bCs/>
                <w:color w:val="000000" w:themeColor="text1"/>
                <w:sz w:val="20"/>
                <w:szCs w:val="20"/>
              </w:rPr>
              <w:t>Dataset</w:t>
            </w:r>
            <w:r w:rsidR="00600693">
              <w:rPr>
                <w:b/>
                <w:bCs/>
                <w:color w:val="000000" w:themeColor="text1"/>
                <w:sz w:val="20"/>
                <w:szCs w:val="20"/>
              </w:rPr>
              <w:t xml:space="preserve"> 1</w:t>
            </w:r>
            <w:r>
              <w:rPr>
                <w:b/>
                <w:bCs/>
                <w:color w:val="000000" w:themeColor="text1"/>
                <w:sz w:val="20"/>
                <w:szCs w:val="20"/>
              </w:rPr>
              <w:t>, Model 1</w:t>
            </w:r>
          </w:p>
        </w:tc>
        <w:tc>
          <w:tcPr>
            <w:tcW w:w="3260" w:type="dxa"/>
            <w:gridSpan w:val="3"/>
          </w:tcPr>
          <w:p w14:paraId="357C1A66" w14:textId="2E3F3125" w:rsidR="00600693" w:rsidRPr="00CE4D33" w:rsidRDefault="009E5852" w:rsidP="00CE4D33">
            <w:pPr>
              <w:spacing w:line="360" w:lineRule="auto"/>
              <w:rPr>
                <w:b/>
                <w:bCs/>
                <w:color w:val="000000" w:themeColor="text1"/>
                <w:sz w:val="20"/>
                <w:szCs w:val="20"/>
              </w:rPr>
            </w:pPr>
            <w:r>
              <w:rPr>
                <w:b/>
                <w:bCs/>
                <w:color w:val="000000" w:themeColor="text1"/>
                <w:sz w:val="20"/>
                <w:szCs w:val="20"/>
              </w:rPr>
              <w:t xml:space="preserve">Dataset 2, </w:t>
            </w:r>
            <w:r w:rsidR="00600693">
              <w:rPr>
                <w:b/>
                <w:bCs/>
                <w:color w:val="000000" w:themeColor="text1"/>
                <w:sz w:val="20"/>
                <w:szCs w:val="20"/>
              </w:rPr>
              <w:t>Model 3</w:t>
            </w:r>
          </w:p>
        </w:tc>
      </w:tr>
      <w:tr w:rsidR="00600693" w:rsidRPr="00F979D2" w14:paraId="5B389C0E" w14:textId="77777777" w:rsidTr="00CE4D33">
        <w:trPr>
          <w:trHeight w:val="340"/>
        </w:trPr>
        <w:tc>
          <w:tcPr>
            <w:tcW w:w="2552" w:type="dxa"/>
          </w:tcPr>
          <w:p w14:paraId="25D67E33" w14:textId="77777777" w:rsidR="00600693" w:rsidRPr="00F979D2" w:rsidRDefault="00600693" w:rsidP="00CE4D33">
            <w:pPr>
              <w:adjustRightInd w:val="0"/>
              <w:spacing w:line="360" w:lineRule="auto"/>
              <w:rPr>
                <w:b/>
                <w:bCs/>
                <w:color w:val="000000" w:themeColor="text1"/>
                <w:sz w:val="20"/>
                <w:szCs w:val="20"/>
              </w:rPr>
            </w:pPr>
            <w:r w:rsidRPr="00F979D2">
              <w:rPr>
                <w:b/>
                <w:bCs/>
                <w:color w:val="000000" w:themeColor="text1"/>
                <w:sz w:val="20"/>
                <w:szCs w:val="20"/>
              </w:rPr>
              <w:t>Variable</w:t>
            </w:r>
          </w:p>
        </w:tc>
        <w:tc>
          <w:tcPr>
            <w:tcW w:w="709" w:type="dxa"/>
          </w:tcPr>
          <w:p w14:paraId="30B43C6D" w14:textId="77777777" w:rsidR="00600693" w:rsidRPr="00F979D2" w:rsidRDefault="00600693" w:rsidP="00CE4D33">
            <w:pPr>
              <w:adjustRightInd w:val="0"/>
              <w:spacing w:line="360" w:lineRule="auto"/>
              <w:rPr>
                <w:b/>
                <w:bCs/>
                <w:color w:val="000000" w:themeColor="text1"/>
                <w:sz w:val="20"/>
                <w:szCs w:val="20"/>
              </w:rPr>
            </w:pPr>
            <w:r w:rsidRPr="00F979D2">
              <w:rPr>
                <w:b/>
                <w:bCs/>
                <w:color w:val="000000" w:themeColor="text1"/>
                <w:sz w:val="20"/>
                <w:szCs w:val="20"/>
              </w:rPr>
              <w:t>OR</w:t>
            </w:r>
          </w:p>
        </w:tc>
        <w:tc>
          <w:tcPr>
            <w:tcW w:w="1134" w:type="dxa"/>
          </w:tcPr>
          <w:p w14:paraId="0D7EE988" w14:textId="77777777" w:rsidR="00600693" w:rsidRPr="00F979D2" w:rsidRDefault="00600693" w:rsidP="00CE4D33">
            <w:pPr>
              <w:adjustRightInd w:val="0"/>
              <w:spacing w:line="360" w:lineRule="auto"/>
              <w:rPr>
                <w:b/>
                <w:bCs/>
                <w:color w:val="000000" w:themeColor="text1"/>
                <w:sz w:val="20"/>
                <w:szCs w:val="20"/>
              </w:rPr>
            </w:pPr>
            <w:r w:rsidRPr="00F979D2">
              <w:rPr>
                <w:b/>
                <w:bCs/>
                <w:color w:val="000000" w:themeColor="text1"/>
                <w:sz w:val="20"/>
                <w:szCs w:val="20"/>
              </w:rPr>
              <w:t>95% CI</w:t>
            </w:r>
          </w:p>
        </w:tc>
        <w:tc>
          <w:tcPr>
            <w:tcW w:w="1134" w:type="dxa"/>
          </w:tcPr>
          <w:p w14:paraId="58D1C844" w14:textId="77777777" w:rsidR="00600693" w:rsidRPr="00F979D2" w:rsidRDefault="00600693" w:rsidP="00CE4D33">
            <w:pPr>
              <w:adjustRightInd w:val="0"/>
              <w:spacing w:line="360" w:lineRule="auto"/>
              <w:rPr>
                <w:b/>
                <w:bCs/>
                <w:color w:val="000000" w:themeColor="text1"/>
                <w:sz w:val="20"/>
                <w:szCs w:val="20"/>
              </w:rPr>
            </w:pPr>
            <w:r w:rsidRPr="00F979D2">
              <w:rPr>
                <w:b/>
                <w:bCs/>
                <w:color w:val="000000" w:themeColor="text1"/>
                <w:sz w:val="20"/>
                <w:szCs w:val="20"/>
              </w:rPr>
              <w:t>P-value</w:t>
            </w:r>
          </w:p>
        </w:tc>
        <w:tc>
          <w:tcPr>
            <w:tcW w:w="850" w:type="dxa"/>
          </w:tcPr>
          <w:p w14:paraId="02FCCBF2" w14:textId="77777777" w:rsidR="00600693" w:rsidRPr="00F979D2" w:rsidRDefault="00600693" w:rsidP="00CE4D33">
            <w:pPr>
              <w:spacing w:line="360" w:lineRule="auto"/>
              <w:rPr>
                <w:sz w:val="20"/>
                <w:szCs w:val="20"/>
              </w:rPr>
            </w:pPr>
            <w:r w:rsidRPr="00F979D2">
              <w:rPr>
                <w:b/>
                <w:bCs/>
                <w:color w:val="000000" w:themeColor="text1"/>
                <w:sz w:val="20"/>
                <w:szCs w:val="20"/>
              </w:rPr>
              <w:t>OR</w:t>
            </w:r>
          </w:p>
        </w:tc>
        <w:tc>
          <w:tcPr>
            <w:tcW w:w="1134" w:type="dxa"/>
          </w:tcPr>
          <w:p w14:paraId="3728C454" w14:textId="77777777" w:rsidR="00600693" w:rsidRPr="00F979D2" w:rsidRDefault="00600693" w:rsidP="00CE4D33">
            <w:pPr>
              <w:spacing w:line="360" w:lineRule="auto"/>
              <w:rPr>
                <w:sz w:val="20"/>
                <w:szCs w:val="20"/>
              </w:rPr>
            </w:pPr>
            <w:r w:rsidRPr="00F979D2">
              <w:rPr>
                <w:b/>
                <w:bCs/>
                <w:color w:val="000000" w:themeColor="text1"/>
                <w:sz w:val="20"/>
                <w:szCs w:val="20"/>
              </w:rPr>
              <w:t>95% CI</w:t>
            </w:r>
          </w:p>
        </w:tc>
        <w:tc>
          <w:tcPr>
            <w:tcW w:w="1276" w:type="dxa"/>
          </w:tcPr>
          <w:p w14:paraId="320093F3" w14:textId="77777777" w:rsidR="00600693" w:rsidRPr="00F979D2" w:rsidRDefault="00600693" w:rsidP="00CE4D33">
            <w:pPr>
              <w:spacing w:line="360" w:lineRule="auto"/>
              <w:rPr>
                <w:sz w:val="20"/>
                <w:szCs w:val="20"/>
              </w:rPr>
            </w:pPr>
            <w:r w:rsidRPr="00F979D2">
              <w:rPr>
                <w:b/>
                <w:bCs/>
                <w:color w:val="000000" w:themeColor="text1"/>
                <w:sz w:val="20"/>
                <w:szCs w:val="20"/>
              </w:rPr>
              <w:t>P-value</w:t>
            </w:r>
          </w:p>
        </w:tc>
      </w:tr>
      <w:tr w:rsidR="00600693" w:rsidRPr="00F979D2" w14:paraId="7EBB0714" w14:textId="77777777" w:rsidTr="00CE4D33">
        <w:trPr>
          <w:trHeight w:val="340"/>
        </w:trPr>
        <w:tc>
          <w:tcPr>
            <w:tcW w:w="2552" w:type="dxa"/>
          </w:tcPr>
          <w:p w14:paraId="25C7A991" w14:textId="77777777" w:rsidR="00600693" w:rsidRPr="00F979D2" w:rsidRDefault="00600693" w:rsidP="00CE4D33">
            <w:pPr>
              <w:adjustRightInd w:val="0"/>
              <w:spacing w:line="360" w:lineRule="auto"/>
              <w:rPr>
                <w:color w:val="000000" w:themeColor="text1"/>
                <w:sz w:val="20"/>
                <w:szCs w:val="20"/>
              </w:rPr>
            </w:pPr>
            <w:r w:rsidRPr="00F979D2">
              <w:rPr>
                <w:color w:val="000000" w:themeColor="text1"/>
                <w:sz w:val="20"/>
                <w:szCs w:val="20"/>
              </w:rPr>
              <w:t>Age</w:t>
            </w:r>
          </w:p>
        </w:tc>
        <w:tc>
          <w:tcPr>
            <w:tcW w:w="709" w:type="dxa"/>
          </w:tcPr>
          <w:p w14:paraId="77C0E967" w14:textId="48C52434" w:rsidR="00600693" w:rsidRPr="00F979D2" w:rsidRDefault="00600693" w:rsidP="00CE4D33">
            <w:pPr>
              <w:adjustRightInd w:val="0"/>
              <w:spacing w:line="360" w:lineRule="auto"/>
              <w:rPr>
                <w:color w:val="000000" w:themeColor="text1"/>
                <w:sz w:val="20"/>
                <w:szCs w:val="20"/>
              </w:rPr>
            </w:pPr>
            <w:r w:rsidRPr="00F979D2">
              <w:rPr>
                <w:color w:val="000000" w:themeColor="text1"/>
                <w:sz w:val="20"/>
                <w:szCs w:val="20"/>
              </w:rPr>
              <w:t>1.0</w:t>
            </w:r>
            <w:r w:rsidR="00BC7C80">
              <w:rPr>
                <w:color w:val="000000" w:themeColor="text1"/>
                <w:sz w:val="20"/>
                <w:szCs w:val="20"/>
              </w:rPr>
              <w:t>7</w:t>
            </w:r>
          </w:p>
        </w:tc>
        <w:tc>
          <w:tcPr>
            <w:tcW w:w="1134" w:type="dxa"/>
          </w:tcPr>
          <w:p w14:paraId="3EC70A6E" w14:textId="227EC44D" w:rsidR="00600693" w:rsidRPr="00F979D2" w:rsidRDefault="00600693" w:rsidP="00CE4D33">
            <w:pPr>
              <w:adjustRightInd w:val="0"/>
              <w:spacing w:line="360" w:lineRule="auto"/>
              <w:rPr>
                <w:color w:val="000000" w:themeColor="text1"/>
                <w:sz w:val="20"/>
                <w:szCs w:val="20"/>
              </w:rPr>
            </w:pPr>
            <w:r w:rsidRPr="00F979D2">
              <w:rPr>
                <w:color w:val="000000" w:themeColor="text1"/>
                <w:sz w:val="20"/>
                <w:szCs w:val="20"/>
              </w:rPr>
              <w:t>1.0</w:t>
            </w:r>
            <w:r w:rsidR="005E7B98">
              <w:rPr>
                <w:color w:val="000000" w:themeColor="text1"/>
                <w:sz w:val="20"/>
                <w:szCs w:val="20"/>
              </w:rPr>
              <w:t>6</w:t>
            </w:r>
            <w:r w:rsidRPr="00F979D2">
              <w:rPr>
                <w:color w:val="000000" w:themeColor="text1"/>
                <w:sz w:val="20"/>
                <w:szCs w:val="20"/>
              </w:rPr>
              <w:t>-1.0</w:t>
            </w:r>
            <w:r w:rsidR="005E7B98">
              <w:rPr>
                <w:color w:val="000000" w:themeColor="text1"/>
                <w:sz w:val="20"/>
                <w:szCs w:val="20"/>
              </w:rPr>
              <w:t>7</w:t>
            </w:r>
          </w:p>
        </w:tc>
        <w:tc>
          <w:tcPr>
            <w:tcW w:w="1134" w:type="dxa"/>
          </w:tcPr>
          <w:p w14:paraId="74E7FB18" w14:textId="77777777" w:rsidR="00600693" w:rsidRPr="00F979D2" w:rsidRDefault="00600693" w:rsidP="00CE4D33">
            <w:pPr>
              <w:adjustRightInd w:val="0"/>
              <w:spacing w:line="360" w:lineRule="auto"/>
              <w:rPr>
                <w:color w:val="000000" w:themeColor="text1"/>
                <w:sz w:val="20"/>
                <w:szCs w:val="20"/>
              </w:rPr>
            </w:pPr>
            <w:r w:rsidRPr="00F979D2">
              <w:rPr>
                <w:color w:val="000000" w:themeColor="text1"/>
                <w:sz w:val="20"/>
                <w:szCs w:val="20"/>
              </w:rPr>
              <w:t>&lt;0.001</w:t>
            </w:r>
          </w:p>
        </w:tc>
        <w:tc>
          <w:tcPr>
            <w:tcW w:w="850" w:type="dxa"/>
          </w:tcPr>
          <w:p w14:paraId="0298BF75" w14:textId="44AE68DF" w:rsidR="00600693" w:rsidRPr="00F979D2" w:rsidRDefault="006217A7" w:rsidP="00CE4D33">
            <w:pPr>
              <w:spacing w:line="360" w:lineRule="auto"/>
              <w:rPr>
                <w:sz w:val="20"/>
                <w:szCs w:val="20"/>
              </w:rPr>
            </w:pPr>
            <w:r>
              <w:rPr>
                <w:color w:val="000000" w:themeColor="text1"/>
                <w:sz w:val="20"/>
                <w:szCs w:val="20"/>
              </w:rPr>
              <w:t>1.08</w:t>
            </w:r>
          </w:p>
        </w:tc>
        <w:tc>
          <w:tcPr>
            <w:tcW w:w="1134" w:type="dxa"/>
          </w:tcPr>
          <w:p w14:paraId="38F5A92C" w14:textId="44D6BA81" w:rsidR="00600693" w:rsidRPr="00F979D2" w:rsidRDefault="006217A7" w:rsidP="00CE4D33">
            <w:pPr>
              <w:spacing w:line="360" w:lineRule="auto"/>
              <w:rPr>
                <w:sz w:val="20"/>
                <w:szCs w:val="20"/>
              </w:rPr>
            </w:pPr>
            <w:r>
              <w:rPr>
                <w:color w:val="000000" w:themeColor="text1"/>
                <w:sz w:val="20"/>
                <w:szCs w:val="20"/>
              </w:rPr>
              <w:t>1.07-1.08</w:t>
            </w:r>
          </w:p>
        </w:tc>
        <w:tc>
          <w:tcPr>
            <w:tcW w:w="1276" w:type="dxa"/>
          </w:tcPr>
          <w:p w14:paraId="4367C345" w14:textId="77777777" w:rsidR="00600693" w:rsidRPr="00F979D2" w:rsidRDefault="00600693" w:rsidP="00CE4D33">
            <w:pPr>
              <w:spacing w:line="360" w:lineRule="auto"/>
              <w:rPr>
                <w:sz w:val="20"/>
                <w:szCs w:val="20"/>
              </w:rPr>
            </w:pPr>
            <w:r w:rsidRPr="00F979D2">
              <w:rPr>
                <w:color w:val="000000" w:themeColor="text1"/>
                <w:sz w:val="20"/>
                <w:szCs w:val="20"/>
              </w:rPr>
              <w:t>&lt;0.001</w:t>
            </w:r>
          </w:p>
        </w:tc>
      </w:tr>
      <w:tr w:rsidR="00600693" w:rsidRPr="00F979D2" w14:paraId="37155DB6" w14:textId="77777777" w:rsidTr="00CE4D33">
        <w:trPr>
          <w:trHeight w:val="340"/>
        </w:trPr>
        <w:tc>
          <w:tcPr>
            <w:tcW w:w="2552" w:type="dxa"/>
          </w:tcPr>
          <w:p w14:paraId="680B8260" w14:textId="77777777" w:rsidR="00600693" w:rsidRPr="00F979D2" w:rsidRDefault="00600693" w:rsidP="00CE4D33">
            <w:pPr>
              <w:adjustRightInd w:val="0"/>
              <w:spacing w:line="360" w:lineRule="auto"/>
              <w:rPr>
                <w:color w:val="000000" w:themeColor="text1"/>
                <w:sz w:val="20"/>
                <w:szCs w:val="20"/>
              </w:rPr>
            </w:pPr>
            <w:r w:rsidRPr="00F979D2">
              <w:rPr>
                <w:color w:val="000000" w:themeColor="text1"/>
                <w:sz w:val="20"/>
                <w:szCs w:val="20"/>
              </w:rPr>
              <w:t>Sex (Male)</w:t>
            </w:r>
          </w:p>
        </w:tc>
        <w:tc>
          <w:tcPr>
            <w:tcW w:w="709" w:type="dxa"/>
          </w:tcPr>
          <w:p w14:paraId="1C957D4F" w14:textId="4919435A" w:rsidR="00600693" w:rsidRPr="00F979D2" w:rsidRDefault="00BC7C80" w:rsidP="00CE4D33">
            <w:pPr>
              <w:adjustRightInd w:val="0"/>
              <w:spacing w:line="360" w:lineRule="auto"/>
              <w:rPr>
                <w:color w:val="000000" w:themeColor="text1"/>
                <w:sz w:val="20"/>
                <w:szCs w:val="20"/>
              </w:rPr>
            </w:pPr>
            <w:r>
              <w:rPr>
                <w:color w:val="000000" w:themeColor="text1"/>
                <w:sz w:val="20"/>
                <w:szCs w:val="20"/>
              </w:rPr>
              <w:t>1.99</w:t>
            </w:r>
          </w:p>
        </w:tc>
        <w:tc>
          <w:tcPr>
            <w:tcW w:w="1134" w:type="dxa"/>
          </w:tcPr>
          <w:p w14:paraId="2DF510C6" w14:textId="1979E4FE" w:rsidR="00600693" w:rsidRPr="00F979D2" w:rsidRDefault="00600693" w:rsidP="00CE4D33">
            <w:pPr>
              <w:adjustRightInd w:val="0"/>
              <w:spacing w:line="360" w:lineRule="auto"/>
              <w:rPr>
                <w:color w:val="000000" w:themeColor="text1"/>
                <w:sz w:val="20"/>
                <w:szCs w:val="20"/>
              </w:rPr>
            </w:pPr>
            <w:r w:rsidRPr="00F979D2">
              <w:rPr>
                <w:color w:val="000000" w:themeColor="text1"/>
                <w:sz w:val="20"/>
                <w:szCs w:val="20"/>
              </w:rPr>
              <w:t>1.</w:t>
            </w:r>
            <w:r w:rsidR="005E7B98">
              <w:rPr>
                <w:color w:val="000000" w:themeColor="text1"/>
                <w:sz w:val="20"/>
                <w:szCs w:val="20"/>
              </w:rPr>
              <w:t>92</w:t>
            </w:r>
            <w:r w:rsidRPr="00F979D2">
              <w:rPr>
                <w:color w:val="000000" w:themeColor="text1"/>
                <w:sz w:val="20"/>
                <w:szCs w:val="20"/>
              </w:rPr>
              <w:t>-</w:t>
            </w:r>
            <w:r w:rsidR="005E7B98">
              <w:rPr>
                <w:color w:val="000000" w:themeColor="text1"/>
                <w:sz w:val="20"/>
                <w:szCs w:val="20"/>
              </w:rPr>
              <w:t>2.06</w:t>
            </w:r>
          </w:p>
        </w:tc>
        <w:tc>
          <w:tcPr>
            <w:tcW w:w="1134" w:type="dxa"/>
          </w:tcPr>
          <w:p w14:paraId="2D9143F0" w14:textId="77777777" w:rsidR="00600693" w:rsidRPr="00F979D2" w:rsidRDefault="00600693" w:rsidP="00CE4D33">
            <w:pPr>
              <w:adjustRightInd w:val="0"/>
              <w:spacing w:line="360" w:lineRule="auto"/>
              <w:rPr>
                <w:color w:val="000000" w:themeColor="text1"/>
                <w:sz w:val="20"/>
                <w:szCs w:val="20"/>
              </w:rPr>
            </w:pPr>
            <w:r w:rsidRPr="00F979D2">
              <w:rPr>
                <w:color w:val="000000" w:themeColor="text1"/>
                <w:sz w:val="20"/>
                <w:szCs w:val="20"/>
              </w:rPr>
              <w:t>&lt;0.001</w:t>
            </w:r>
          </w:p>
        </w:tc>
        <w:tc>
          <w:tcPr>
            <w:tcW w:w="850" w:type="dxa"/>
          </w:tcPr>
          <w:p w14:paraId="38E81705" w14:textId="4684A769" w:rsidR="00600693" w:rsidRPr="00F979D2" w:rsidRDefault="006217A7" w:rsidP="00CE4D33">
            <w:pPr>
              <w:spacing w:line="360" w:lineRule="auto"/>
              <w:rPr>
                <w:sz w:val="20"/>
                <w:szCs w:val="20"/>
              </w:rPr>
            </w:pPr>
            <w:r>
              <w:rPr>
                <w:color w:val="000000" w:themeColor="text1"/>
                <w:sz w:val="20"/>
                <w:szCs w:val="20"/>
              </w:rPr>
              <w:t>5.50</w:t>
            </w:r>
          </w:p>
        </w:tc>
        <w:tc>
          <w:tcPr>
            <w:tcW w:w="1134" w:type="dxa"/>
          </w:tcPr>
          <w:p w14:paraId="3AC7E393" w14:textId="3FEAD85E" w:rsidR="00600693" w:rsidRPr="00F979D2" w:rsidRDefault="006217A7" w:rsidP="00CE4D33">
            <w:pPr>
              <w:spacing w:line="360" w:lineRule="auto"/>
              <w:rPr>
                <w:sz w:val="20"/>
                <w:szCs w:val="20"/>
              </w:rPr>
            </w:pPr>
            <w:r>
              <w:rPr>
                <w:color w:val="000000" w:themeColor="text1"/>
                <w:sz w:val="20"/>
                <w:szCs w:val="20"/>
              </w:rPr>
              <w:t>3.99-7.58</w:t>
            </w:r>
          </w:p>
        </w:tc>
        <w:tc>
          <w:tcPr>
            <w:tcW w:w="1276" w:type="dxa"/>
          </w:tcPr>
          <w:p w14:paraId="21724031" w14:textId="77777777" w:rsidR="00600693" w:rsidRPr="00F979D2" w:rsidRDefault="00600693" w:rsidP="00CE4D33">
            <w:pPr>
              <w:spacing w:line="360" w:lineRule="auto"/>
              <w:rPr>
                <w:sz w:val="20"/>
                <w:szCs w:val="20"/>
              </w:rPr>
            </w:pPr>
            <w:r w:rsidRPr="00F979D2">
              <w:rPr>
                <w:color w:val="000000" w:themeColor="text1"/>
                <w:sz w:val="20"/>
                <w:szCs w:val="20"/>
              </w:rPr>
              <w:t>&lt;0.001</w:t>
            </w:r>
          </w:p>
        </w:tc>
      </w:tr>
      <w:tr w:rsidR="00600693" w:rsidRPr="00F979D2" w14:paraId="37E6D658" w14:textId="77777777" w:rsidTr="00CE4D33">
        <w:trPr>
          <w:trHeight w:val="340"/>
        </w:trPr>
        <w:tc>
          <w:tcPr>
            <w:tcW w:w="2552" w:type="dxa"/>
          </w:tcPr>
          <w:p w14:paraId="49B8D4A6" w14:textId="77777777" w:rsidR="00600693" w:rsidRPr="00F979D2" w:rsidRDefault="00600693" w:rsidP="00CE4D33">
            <w:pPr>
              <w:adjustRightInd w:val="0"/>
              <w:spacing w:line="360" w:lineRule="auto"/>
              <w:rPr>
                <w:color w:val="000000" w:themeColor="text1"/>
                <w:sz w:val="20"/>
                <w:szCs w:val="20"/>
              </w:rPr>
            </w:pPr>
            <w:r w:rsidRPr="00F979D2">
              <w:rPr>
                <w:color w:val="000000" w:themeColor="text1"/>
                <w:sz w:val="20"/>
                <w:szCs w:val="20"/>
              </w:rPr>
              <w:t>Ever Smoked</w:t>
            </w:r>
          </w:p>
        </w:tc>
        <w:tc>
          <w:tcPr>
            <w:tcW w:w="709" w:type="dxa"/>
          </w:tcPr>
          <w:p w14:paraId="52C2D3B9" w14:textId="272D9720" w:rsidR="00600693" w:rsidRPr="00F979D2" w:rsidRDefault="00600693" w:rsidP="00CE4D33">
            <w:pPr>
              <w:adjustRightInd w:val="0"/>
              <w:spacing w:line="360" w:lineRule="auto"/>
              <w:rPr>
                <w:color w:val="000000" w:themeColor="text1"/>
                <w:sz w:val="20"/>
                <w:szCs w:val="20"/>
              </w:rPr>
            </w:pPr>
            <w:r w:rsidRPr="00F979D2">
              <w:rPr>
                <w:color w:val="000000" w:themeColor="text1"/>
                <w:sz w:val="20"/>
                <w:szCs w:val="20"/>
              </w:rPr>
              <w:t>1</w:t>
            </w:r>
            <w:r w:rsidR="00BC7C80">
              <w:rPr>
                <w:color w:val="000000" w:themeColor="text1"/>
                <w:sz w:val="20"/>
                <w:szCs w:val="20"/>
              </w:rPr>
              <w:t>.28</w:t>
            </w:r>
          </w:p>
        </w:tc>
        <w:tc>
          <w:tcPr>
            <w:tcW w:w="1134" w:type="dxa"/>
          </w:tcPr>
          <w:p w14:paraId="17413DDF" w14:textId="62D01F96" w:rsidR="00600693" w:rsidRPr="00F979D2" w:rsidRDefault="00600693" w:rsidP="00CE4D33">
            <w:pPr>
              <w:adjustRightInd w:val="0"/>
              <w:spacing w:line="360" w:lineRule="auto"/>
              <w:rPr>
                <w:color w:val="000000" w:themeColor="text1"/>
                <w:sz w:val="20"/>
                <w:szCs w:val="20"/>
              </w:rPr>
            </w:pPr>
            <w:r w:rsidRPr="00F979D2">
              <w:rPr>
                <w:color w:val="000000" w:themeColor="text1"/>
                <w:sz w:val="20"/>
                <w:szCs w:val="20"/>
              </w:rPr>
              <w:t>1.</w:t>
            </w:r>
            <w:r w:rsidR="005E7B98">
              <w:rPr>
                <w:color w:val="000000" w:themeColor="text1"/>
                <w:sz w:val="20"/>
                <w:szCs w:val="20"/>
              </w:rPr>
              <w:t>24-1.33</w:t>
            </w:r>
          </w:p>
        </w:tc>
        <w:tc>
          <w:tcPr>
            <w:tcW w:w="1134" w:type="dxa"/>
          </w:tcPr>
          <w:p w14:paraId="3CEF4970" w14:textId="77777777" w:rsidR="00600693" w:rsidRPr="00F979D2" w:rsidRDefault="00600693" w:rsidP="00CE4D33">
            <w:pPr>
              <w:adjustRightInd w:val="0"/>
              <w:spacing w:line="360" w:lineRule="auto"/>
              <w:rPr>
                <w:color w:val="000000" w:themeColor="text1"/>
                <w:sz w:val="20"/>
                <w:szCs w:val="20"/>
              </w:rPr>
            </w:pPr>
            <w:r w:rsidRPr="00F979D2">
              <w:rPr>
                <w:color w:val="000000" w:themeColor="text1"/>
                <w:sz w:val="20"/>
                <w:szCs w:val="20"/>
              </w:rPr>
              <w:t>&lt;0.001</w:t>
            </w:r>
          </w:p>
        </w:tc>
        <w:tc>
          <w:tcPr>
            <w:tcW w:w="850" w:type="dxa"/>
          </w:tcPr>
          <w:p w14:paraId="42E114B8" w14:textId="5CF19905" w:rsidR="00600693" w:rsidRPr="00F979D2" w:rsidRDefault="006217A7" w:rsidP="00CE4D33">
            <w:pPr>
              <w:spacing w:line="360" w:lineRule="auto"/>
              <w:rPr>
                <w:sz w:val="20"/>
                <w:szCs w:val="20"/>
              </w:rPr>
            </w:pPr>
            <w:r>
              <w:rPr>
                <w:color w:val="000000" w:themeColor="text1"/>
                <w:sz w:val="20"/>
                <w:szCs w:val="20"/>
              </w:rPr>
              <w:t>1.16</w:t>
            </w:r>
          </w:p>
        </w:tc>
        <w:tc>
          <w:tcPr>
            <w:tcW w:w="1134" w:type="dxa"/>
          </w:tcPr>
          <w:p w14:paraId="4FE4B82D" w14:textId="67F7CC8D" w:rsidR="00600693" w:rsidRPr="00F979D2" w:rsidRDefault="006217A7" w:rsidP="00CE4D33">
            <w:pPr>
              <w:spacing w:line="360" w:lineRule="auto"/>
              <w:rPr>
                <w:sz w:val="20"/>
                <w:szCs w:val="20"/>
              </w:rPr>
            </w:pPr>
            <w:r>
              <w:rPr>
                <w:color w:val="000000" w:themeColor="text1"/>
                <w:sz w:val="20"/>
                <w:szCs w:val="20"/>
              </w:rPr>
              <w:t>1.05-1.29</w:t>
            </w:r>
          </w:p>
        </w:tc>
        <w:tc>
          <w:tcPr>
            <w:tcW w:w="1276" w:type="dxa"/>
          </w:tcPr>
          <w:p w14:paraId="147A6E51" w14:textId="7F8C053A" w:rsidR="00600693" w:rsidRPr="00F979D2" w:rsidRDefault="00600693" w:rsidP="00CE4D33">
            <w:pPr>
              <w:spacing w:line="360" w:lineRule="auto"/>
              <w:rPr>
                <w:sz w:val="20"/>
                <w:szCs w:val="20"/>
              </w:rPr>
            </w:pPr>
            <w:r w:rsidRPr="00F979D2">
              <w:rPr>
                <w:color w:val="000000" w:themeColor="text1"/>
                <w:sz w:val="20"/>
                <w:szCs w:val="20"/>
              </w:rPr>
              <w:t>0.</w:t>
            </w:r>
            <w:r w:rsidR="00D44D6F">
              <w:rPr>
                <w:color w:val="000000" w:themeColor="text1"/>
                <w:sz w:val="20"/>
                <w:szCs w:val="20"/>
              </w:rPr>
              <w:t>003</w:t>
            </w:r>
          </w:p>
        </w:tc>
      </w:tr>
      <w:tr w:rsidR="00600693" w:rsidRPr="00F979D2" w14:paraId="061CA43B" w14:textId="77777777" w:rsidTr="00CE4D33">
        <w:trPr>
          <w:trHeight w:val="340"/>
        </w:trPr>
        <w:tc>
          <w:tcPr>
            <w:tcW w:w="2552" w:type="dxa"/>
          </w:tcPr>
          <w:p w14:paraId="2DB9BB4C" w14:textId="77777777" w:rsidR="00600693" w:rsidRPr="00F979D2" w:rsidRDefault="00600693" w:rsidP="00CE4D33">
            <w:pPr>
              <w:adjustRightInd w:val="0"/>
              <w:spacing w:line="360" w:lineRule="auto"/>
              <w:rPr>
                <w:color w:val="000000" w:themeColor="text1"/>
                <w:sz w:val="20"/>
                <w:szCs w:val="20"/>
              </w:rPr>
            </w:pPr>
            <w:r w:rsidRPr="00F979D2">
              <w:rPr>
                <w:color w:val="000000" w:themeColor="text1"/>
                <w:sz w:val="20"/>
                <w:szCs w:val="20"/>
              </w:rPr>
              <w:t>Diabetes</w:t>
            </w:r>
          </w:p>
        </w:tc>
        <w:tc>
          <w:tcPr>
            <w:tcW w:w="709" w:type="dxa"/>
          </w:tcPr>
          <w:p w14:paraId="49531778" w14:textId="7247A3C0" w:rsidR="00600693" w:rsidRPr="00F979D2" w:rsidRDefault="00600693" w:rsidP="00CE4D33">
            <w:pPr>
              <w:adjustRightInd w:val="0"/>
              <w:spacing w:line="360" w:lineRule="auto"/>
              <w:rPr>
                <w:color w:val="000000" w:themeColor="text1"/>
                <w:sz w:val="20"/>
                <w:szCs w:val="20"/>
              </w:rPr>
            </w:pPr>
            <w:r w:rsidRPr="00F979D2">
              <w:rPr>
                <w:color w:val="000000" w:themeColor="text1"/>
                <w:sz w:val="20"/>
                <w:szCs w:val="20"/>
              </w:rPr>
              <w:t>1.</w:t>
            </w:r>
            <w:r w:rsidR="00BC7C80">
              <w:rPr>
                <w:color w:val="000000" w:themeColor="text1"/>
                <w:sz w:val="20"/>
                <w:szCs w:val="20"/>
              </w:rPr>
              <w:t>22</w:t>
            </w:r>
          </w:p>
        </w:tc>
        <w:tc>
          <w:tcPr>
            <w:tcW w:w="1134" w:type="dxa"/>
          </w:tcPr>
          <w:p w14:paraId="13B82DAA" w14:textId="40D80784" w:rsidR="00600693" w:rsidRPr="00F979D2" w:rsidRDefault="005E7B98" w:rsidP="00CE4D33">
            <w:pPr>
              <w:adjustRightInd w:val="0"/>
              <w:spacing w:line="360" w:lineRule="auto"/>
              <w:rPr>
                <w:color w:val="000000" w:themeColor="text1"/>
                <w:sz w:val="20"/>
                <w:szCs w:val="20"/>
              </w:rPr>
            </w:pPr>
            <w:r>
              <w:rPr>
                <w:color w:val="000000" w:themeColor="text1"/>
                <w:sz w:val="20"/>
                <w:szCs w:val="20"/>
              </w:rPr>
              <w:t>0.58-2.51</w:t>
            </w:r>
          </w:p>
        </w:tc>
        <w:tc>
          <w:tcPr>
            <w:tcW w:w="1134" w:type="dxa"/>
          </w:tcPr>
          <w:p w14:paraId="1BBC88C9" w14:textId="0B459542" w:rsidR="00600693" w:rsidRPr="00F979D2" w:rsidRDefault="00371454" w:rsidP="00CE4D33">
            <w:pPr>
              <w:adjustRightInd w:val="0"/>
              <w:spacing w:line="360" w:lineRule="auto"/>
              <w:rPr>
                <w:color w:val="000000" w:themeColor="text1"/>
                <w:sz w:val="20"/>
                <w:szCs w:val="20"/>
              </w:rPr>
            </w:pPr>
            <w:r>
              <w:rPr>
                <w:color w:val="000000" w:themeColor="text1"/>
                <w:sz w:val="20"/>
                <w:szCs w:val="20"/>
              </w:rPr>
              <w:t>0.34</w:t>
            </w:r>
          </w:p>
        </w:tc>
        <w:tc>
          <w:tcPr>
            <w:tcW w:w="850" w:type="dxa"/>
          </w:tcPr>
          <w:p w14:paraId="2AD83913" w14:textId="39BE6A5F" w:rsidR="00600693" w:rsidRPr="00F979D2" w:rsidRDefault="006217A7" w:rsidP="00CE4D33">
            <w:pPr>
              <w:spacing w:line="360" w:lineRule="auto"/>
              <w:rPr>
                <w:sz w:val="20"/>
                <w:szCs w:val="20"/>
              </w:rPr>
            </w:pPr>
            <w:r>
              <w:rPr>
                <w:color w:val="000000" w:themeColor="text1"/>
                <w:sz w:val="20"/>
                <w:szCs w:val="20"/>
              </w:rPr>
              <w:t>1.25</w:t>
            </w:r>
          </w:p>
        </w:tc>
        <w:tc>
          <w:tcPr>
            <w:tcW w:w="1134" w:type="dxa"/>
          </w:tcPr>
          <w:p w14:paraId="44124E44" w14:textId="7646BC73" w:rsidR="006217A7" w:rsidRPr="00CE4D33" w:rsidRDefault="006217A7" w:rsidP="00CE4D33">
            <w:pPr>
              <w:spacing w:line="360" w:lineRule="auto"/>
              <w:rPr>
                <w:color w:val="000000" w:themeColor="text1"/>
                <w:sz w:val="20"/>
                <w:szCs w:val="20"/>
              </w:rPr>
            </w:pPr>
            <w:r>
              <w:rPr>
                <w:color w:val="000000" w:themeColor="text1"/>
                <w:sz w:val="20"/>
                <w:szCs w:val="20"/>
              </w:rPr>
              <w:t>0.59-2.64</w:t>
            </w:r>
          </w:p>
        </w:tc>
        <w:tc>
          <w:tcPr>
            <w:tcW w:w="1276" w:type="dxa"/>
          </w:tcPr>
          <w:p w14:paraId="0D5161AB" w14:textId="33B12B52" w:rsidR="00600693" w:rsidRPr="00F979D2" w:rsidRDefault="00D44D6F" w:rsidP="00CE4D33">
            <w:pPr>
              <w:spacing w:line="360" w:lineRule="auto"/>
              <w:rPr>
                <w:sz w:val="20"/>
                <w:szCs w:val="20"/>
              </w:rPr>
            </w:pPr>
            <w:r>
              <w:rPr>
                <w:color w:val="000000" w:themeColor="text1"/>
                <w:sz w:val="20"/>
                <w:szCs w:val="20"/>
              </w:rPr>
              <w:t>0.55</w:t>
            </w:r>
          </w:p>
        </w:tc>
      </w:tr>
      <w:tr w:rsidR="00D44D6F" w:rsidRPr="00F979D2" w14:paraId="2BD4FA9F" w14:textId="77777777" w:rsidTr="00CE4D33">
        <w:trPr>
          <w:trHeight w:val="340"/>
        </w:trPr>
        <w:tc>
          <w:tcPr>
            <w:tcW w:w="2552" w:type="dxa"/>
          </w:tcPr>
          <w:p w14:paraId="13D52D60" w14:textId="77777777" w:rsidR="00D44D6F" w:rsidRPr="00F979D2" w:rsidRDefault="00D44D6F" w:rsidP="00D44D6F">
            <w:pPr>
              <w:adjustRightInd w:val="0"/>
              <w:spacing w:line="360" w:lineRule="auto"/>
              <w:rPr>
                <w:color w:val="000000" w:themeColor="text1"/>
                <w:sz w:val="20"/>
                <w:szCs w:val="20"/>
              </w:rPr>
            </w:pPr>
            <w:r w:rsidRPr="00F979D2">
              <w:rPr>
                <w:color w:val="000000" w:themeColor="text1"/>
                <w:sz w:val="20"/>
                <w:szCs w:val="20"/>
              </w:rPr>
              <w:t>Hypertension</w:t>
            </w:r>
          </w:p>
        </w:tc>
        <w:tc>
          <w:tcPr>
            <w:tcW w:w="709" w:type="dxa"/>
          </w:tcPr>
          <w:p w14:paraId="743A695B" w14:textId="7D0A5318" w:rsidR="00D44D6F" w:rsidRPr="00F979D2" w:rsidRDefault="00D44D6F" w:rsidP="00D44D6F">
            <w:pPr>
              <w:adjustRightInd w:val="0"/>
              <w:spacing w:line="360" w:lineRule="auto"/>
              <w:rPr>
                <w:color w:val="000000" w:themeColor="text1"/>
                <w:sz w:val="20"/>
                <w:szCs w:val="20"/>
              </w:rPr>
            </w:pPr>
            <w:r>
              <w:rPr>
                <w:color w:val="000000" w:themeColor="text1"/>
                <w:sz w:val="20"/>
                <w:szCs w:val="20"/>
              </w:rPr>
              <w:t>4.62</w:t>
            </w:r>
          </w:p>
        </w:tc>
        <w:tc>
          <w:tcPr>
            <w:tcW w:w="1134" w:type="dxa"/>
          </w:tcPr>
          <w:p w14:paraId="7FE8ABB6" w14:textId="4ACD9B29" w:rsidR="00D44D6F" w:rsidRPr="00F979D2" w:rsidRDefault="00D44D6F" w:rsidP="00D44D6F">
            <w:pPr>
              <w:adjustRightInd w:val="0"/>
              <w:spacing w:line="360" w:lineRule="auto"/>
              <w:rPr>
                <w:color w:val="000000" w:themeColor="text1"/>
                <w:sz w:val="20"/>
                <w:szCs w:val="20"/>
              </w:rPr>
            </w:pPr>
            <w:r>
              <w:rPr>
                <w:color w:val="000000" w:themeColor="text1"/>
                <w:sz w:val="20"/>
                <w:szCs w:val="20"/>
              </w:rPr>
              <w:t>3.24-6.56</w:t>
            </w:r>
          </w:p>
        </w:tc>
        <w:tc>
          <w:tcPr>
            <w:tcW w:w="1134" w:type="dxa"/>
          </w:tcPr>
          <w:p w14:paraId="1C105570" w14:textId="77777777" w:rsidR="00D44D6F" w:rsidRPr="00F979D2" w:rsidRDefault="00D44D6F" w:rsidP="00D44D6F">
            <w:pPr>
              <w:adjustRightInd w:val="0"/>
              <w:spacing w:line="360" w:lineRule="auto"/>
              <w:rPr>
                <w:color w:val="000000" w:themeColor="text1"/>
                <w:sz w:val="20"/>
                <w:szCs w:val="20"/>
              </w:rPr>
            </w:pPr>
            <w:r w:rsidRPr="00F979D2">
              <w:rPr>
                <w:color w:val="000000" w:themeColor="text1"/>
                <w:sz w:val="20"/>
                <w:szCs w:val="20"/>
              </w:rPr>
              <w:t>&lt;0.001</w:t>
            </w:r>
          </w:p>
        </w:tc>
        <w:tc>
          <w:tcPr>
            <w:tcW w:w="850" w:type="dxa"/>
          </w:tcPr>
          <w:p w14:paraId="39AA67F4" w14:textId="4A7E63D9" w:rsidR="00D44D6F" w:rsidRPr="00F979D2" w:rsidRDefault="006217A7" w:rsidP="00D44D6F">
            <w:pPr>
              <w:spacing w:line="360" w:lineRule="auto"/>
              <w:rPr>
                <w:sz w:val="20"/>
                <w:szCs w:val="20"/>
              </w:rPr>
            </w:pPr>
            <w:r>
              <w:rPr>
                <w:color w:val="000000" w:themeColor="text1"/>
                <w:sz w:val="20"/>
                <w:szCs w:val="20"/>
              </w:rPr>
              <w:t>3.90</w:t>
            </w:r>
          </w:p>
        </w:tc>
        <w:tc>
          <w:tcPr>
            <w:tcW w:w="1134" w:type="dxa"/>
          </w:tcPr>
          <w:p w14:paraId="5962D34E" w14:textId="4B2DE531" w:rsidR="00D44D6F" w:rsidRPr="00F979D2" w:rsidRDefault="006217A7" w:rsidP="00D44D6F">
            <w:pPr>
              <w:spacing w:line="360" w:lineRule="auto"/>
              <w:rPr>
                <w:sz w:val="20"/>
                <w:szCs w:val="20"/>
              </w:rPr>
            </w:pPr>
            <w:r>
              <w:rPr>
                <w:color w:val="000000" w:themeColor="text1"/>
                <w:sz w:val="20"/>
                <w:szCs w:val="20"/>
              </w:rPr>
              <w:t>2.70-5.63</w:t>
            </w:r>
          </w:p>
        </w:tc>
        <w:tc>
          <w:tcPr>
            <w:tcW w:w="1276" w:type="dxa"/>
          </w:tcPr>
          <w:p w14:paraId="3F51451B" w14:textId="6FD4C53C" w:rsidR="00D44D6F" w:rsidRPr="00F979D2" w:rsidRDefault="00D44D6F" w:rsidP="00D44D6F">
            <w:pPr>
              <w:spacing w:line="360" w:lineRule="auto"/>
              <w:rPr>
                <w:sz w:val="20"/>
                <w:szCs w:val="20"/>
              </w:rPr>
            </w:pPr>
            <w:r w:rsidRPr="00F979D2">
              <w:rPr>
                <w:color w:val="000000" w:themeColor="text1"/>
                <w:sz w:val="20"/>
                <w:szCs w:val="20"/>
              </w:rPr>
              <w:t>&lt;0.001</w:t>
            </w:r>
          </w:p>
        </w:tc>
      </w:tr>
      <w:tr w:rsidR="00D44D6F" w:rsidRPr="00F979D2" w14:paraId="1407861C" w14:textId="77777777" w:rsidTr="00CE4D33">
        <w:trPr>
          <w:trHeight w:val="340"/>
        </w:trPr>
        <w:tc>
          <w:tcPr>
            <w:tcW w:w="2552" w:type="dxa"/>
          </w:tcPr>
          <w:p w14:paraId="249F6920" w14:textId="77777777" w:rsidR="00D44D6F" w:rsidRPr="00F979D2" w:rsidRDefault="00D44D6F" w:rsidP="00D44D6F">
            <w:pPr>
              <w:adjustRightInd w:val="0"/>
              <w:spacing w:line="360" w:lineRule="auto"/>
              <w:rPr>
                <w:color w:val="000000" w:themeColor="text1"/>
                <w:sz w:val="20"/>
                <w:szCs w:val="20"/>
              </w:rPr>
            </w:pPr>
            <w:r w:rsidRPr="00F979D2">
              <w:rPr>
                <w:color w:val="000000" w:themeColor="text1"/>
                <w:sz w:val="20"/>
                <w:szCs w:val="20"/>
              </w:rPr>
              <w:t>Hypercholesterolemia</w:t>
            </w:r>
          </w:p>
        </w:tc>
        <w:tc>
          <w:tcPr>
            <w:tcW w:w="709" w:type="dxa"/>
          </w:tcPr>
          <w:p w14:paraId="1290AF6B" w14:textId="15DA988C" w:rsidR="00D44D6F" w:rsidRPr="00F979D2" w:rsidRDefault="00D44D6F" w:rsidP="00D44D6F">
            <w:pPr>
              <w:adjustRightInd w:val="0"/>
              <w:spacing w:line="360" w:lineRule="auto"/>
              <w:rPr>
                <w:color w:val="000000" w:themeColor="text1"/>
                <w:sz w:val="20"/>
                <w:szCs w:val="20"/>
              </w:rPr>
            </w:pPr>
            <w:r>
              <w:rPr>
                <w:color w:val="000000" w:themeColor="text1"/>
                <w:sz w:val="20"/>
                <w:szCs w:val="20"/>
              </w:rPr>
              <w:t>2.93</w:t>
            </w:r>
          </w:p>
        </w:tc>
        <w:tc>
          <w:tcPr>
            <w:tcW w:w="1134" w:type="dxa"/>
          </w:tcPr>
          <w:p w14:paraId="53A65797" w14:textId="436704A1" w:rsidR="00D44D6F" w:rsidRPr="00F979D2" w:rsidRDefault="00D44D6F" w:rsidP="00D44D6F">
            <w:pPr>
              <w:adjustRightInd w:val="0"/>
              <w:spacing w:line="360" w:lineRule="auto"/>
              <w:rPr>
                <w:color w:val="000000" w:themeColor="text1"/>
                <w:sz w:val="20"/>
                <w:szCs w:val="20"/>
              </w:rPr>
            </w:pPr>
            <w:r>
              <w:rPr>
                <w:color w:val="000000" w:themeColor="text1"/>
                <w:sz w:val="20"/>
                <w:szCs w:val="20"/>
              </w:rPr>
              <w:t>1.63-5.20</w:t>
            </w:r>
          </w:p>
        </w:tc>
        <w:tc>
          <w:tcPr>
            <w:tcW w:w="1134" w:type="dxa"/>
          </w:tcPr>
          <w:p w14:paraId="2F7B0CC8" w14:textId="48618237" w:rsidR="00D44D6F" w:rsidRPr="00F979D2" w:rsidRDefault="00D44D6F" w:rsidP="00D44D6F">
            <w:pPr>
              <w:adjustRightInd w:val="0"/>
              <w:spacing w:line="360" w:lineRule="auto"/>
              <w:rPr>
                <w:color w:val="000000" w:themeColor="text1"/>
                <w:sz w:val="20"/>
                <w:szCs w:val="20"/>
              </w:rPr>
            </w:pPr>
            <w:r w:rsidRPr="00F979D2">
              <w:rPr>
                <w:color w:val="000000" w:themeColor="text1"/>
                <w:sz w:val="20"/>
                <w:szCs w:val="20"/>
              </w:rPr>
              <w:t>&lt;0.001</w:t>
            </w:r>
          </w:p>
        </w:tc>
        <w:tc>
          <w:tcPr>
            <w:tcW w:w="850" w:type="dxa"/>
          </w:tcPr>
          <w:p w14:paraId="1EA60EBA" w14:textId="5F060C81" w:rsidR="00D44D6F" w:rsidRPr="00F979D2" w:rsidRDefault="006217A7" w:rsidP="00D44D6F">
            <w:pPr>
              <w:spacing w:line="360" w:lineRule="auto"/>
              <w:rPr>
                <w:sz w:val="20"/>
                <w:szCs w:val="20"/>
              </w:rPr>
            </w:pPr>
            <w:r>
              <w:rPr>
                <w:color w:val="000000" w:themeColor="text1"/>
                <w:sz w:val="20"/>
                <w:szCs w:val="20"/>
              </w:rPr>
              <w:t>2.52</w:t>
            </w:r>
          </w:p>
        </w:tc>
        <w:tc>
          <w:tcPr>
            <w:tcW w:w="1134" w:type="dxa"/>
          </w:tcPr>
          <w:p w14:paraId="638FC6A4" w14:textId="3A949F8D" w:rsidR="00D44D6F" w:rsidRPr="00F979D2" w:rsidRDefault="006217A7" w:rsidP="00D44D6F">
            <w:pPr>
              <w:spacing w:line="360" w:lineRule="auto"/>
              <w:rPr>
                <w:sz w:val="20"/>
                <w:szCs w:val="20"/>
              </w:rPr>
            </w:pPr>
            <w:r>
              <w:rPr>
                <w:color w:val="000000" w:themeColor="text1"/>
                <w:sz w:val="20"/>
                <w:szCs w:val="20"/>
              </w:rPr>
              <w:t>1.56-4.06</w:t>
            </w:r>
          </w:p>
        </w:tc>
        <w:tc>
          <w:tcPr>
            <w:tcW w:w="1276" w:type="dxa"/>
          </w:tcPr>
          <w:p w14:paraId="1DC46FF3" w14:textId="51B1BA52" w:rsidR="00D44D6F" w:rsidRPr="00F979D2" w:rsidRDefault="00D44D6F" w:rsidP="00D44D6F">
            <w:pPr>
              <w:spacing w:line="360" w:lineRule="auto"/>
              <w:rPr>
                <w:sz w:val="20"/>
                <w:szCs w:val="20"/>
              </w:rPr>
            </w:pPr>
            <w:r w:rsidRPr="00F979D2">
              <w:rPr>
                <w:color w:val="000000" w:themeColor="text1"/>
                <w:sz w:val="20"/>
                <w:szCs w:val="20"/>
              </w:rPr>
              <w:t>&lt;0.001</w:t>
            </w:r>
          </w:p>
        </w:tc>
      </w:tr>
      <w:tr w:rsidR="00D44D6F" w:rsidRPr="00F979D2" w14:paraId="102CE000" w14:textId="77777777" w:rsidTr="00CE4D33">
        <w:trPr>
          <w:trHeight w:val="340"/>
        </w:trPr>
        <w:tc>
          <w:tcPr>
            <w:tcW w:w="2552" w:type="dxa"/>
          </w:tcPr>
          <w:p w14:paraId="7FB0A8EC" w14:textId="77777777" w:rsidR="00D44D6F" w:rsidRPr="00F979D2" w:rsidRDefault="00D44D6F" w:rsidP="00D44D6F">
            <w:pPr>
              <w:adjustRightInd w:val="0"/>
              <w:spacing w:line="360" w:lineRule="auto"/>
              <w:rPr>
                <w:color w:val="000000" w:themeColor="text1"/>
                <w:sz w:val="20"/>
                <w:szCs w:val="20"/>
              </w:rPr>
            </w:pPr>
            <w:r w:rsidRPr="00F979D2">
              <w:rPr>
                <w:color w:val="000000" w:themeColor="text1"/>
                <w:sz w:val="20"/>
                <w:szCs w:val="20"/>
              </w:rPr>
              <w:t>Cancer</w:t>
            </w:r>
          </w:p>
        </w:tc>
        <w:tc>
          <w:tcPr>
            <w:tcW w:w="709" w:type="dxa"/>
            <w:shd w:val="clear" w:color="auto" w:fill="auto"/>
          </w:tcPr>
          <w:p w14:paraId="374D7440" w14:textId="2D144EEF" w:rsidR="00D44D6F" w:rsidRPr="00F979D2" w:rsidRDefault="00D44D6F" w:rsidP="00D44D6F">
            <w:pPr>
              <w:adjustRightInd w:val="0"/>
              <w:spacing w:line="360" w:lineRule="auto"/>
              <w:rPr>
                <w:color w:val="000000" w:themeColor="text1"/>
                <w:sz w:val="20"/>
                <w:szCs w:val="20"/>
              </w:rPr>
            </w:pPr>
            <w:r>
              <w:rPr>
                <w:color w:val="000000" w:themeColor="text1"/>
                <w:sz w:val="20"/>
                <w:szCs w:val="20"/>
              </w:rPr>
              <w:t>1.98</w:t>
            </w:r>
          </w:p>
        </w:tc>
        <w:tc>
          <w:tcPr>
            <w:tcW w:w="1134" w:type="dxa"/>
            <w:shd w:val="clear" w:color="auto" w:fill="auto"/>
          </w:tcPr>
          <w:p w14:paraId="3171814F" w14:textId="60B7236B" w:rsidR="00D44D6F" w:rsidRPr="00F979D2" w:rsidRDefault="00D44D6F" w:rsidP="00D44D6F">
            <w:pPr>
              <w:adjustRightInd w:val="0"/>
              <w:spacing w:line="360" w:lineRule="auto"/>
              <w:rPr>
                <w:color w:val="000000" w:themeColor="text1"/>
                <w:sz w:val="20"/>
                <w:szCs w:val="20"/>
              </w:rPr>
            </w:pPr>
            <w:r>
              <w:rPr>
                <w:color w:val="000000" w:themeColor="text1"/>
                <w:sz w:val="20"/>
                <w:szCs w:val="20"/>
              </w:rPr>
              <w:t>1.89-2.07</w:t>
            </w:r>
          </w:p>
        </w:tc>
        <w:tc>
          <w:tcPr>
            <w:tcW w:w="1134" w:type="dxa"/>
          </w:tcPr>
          <w:p w14:paraId="6A7A872B" w14:textId="77777777" w:rsidR="00D44D6F" w:rsidRPr="00F979D2" w:rsidRDefault="00D44D6F" w:rsidP="00D44D6F">
            <w:pPr>
              <w:adjustRightInd w:val="0"/>
              <w:spacing w:line="360" w:lineRule="auto"/>
              <w:rPr>
                <w:color w:val="000000" w:themeColor="text1"/>
                <w:sz w:val="20"/>
                <w:szCs w:val="20"/>
              </w:rPr>
            </w:pPr>
            <w:r w:rsidRPr="00F979D2">
              <w:rPr>
                <w:color w:val="000000" w:themeColor="text1"/>
                <w:sz w:val="20"/>
                <w:szCs w:val="20"/>
              </w:rPr>
              <w:t>&lt;0.001</w:t>
            </w:r>
          </w:p>
        </w:tc>
        <w:tc>
          <w:tcPr>
            <w:tcW w:w="850" w:type="dxa"/>
          </w:tcPr>
          <w:p w14:paraId="79A063CB" w14:textId="7BF352AA" w:rsidR="00D44D6F" w:rsidRPr="00F979D2" w:rsidRDefault="006217A7" w:rsidP="00D44D6F">
            <w:pPr>
              <w:spacing w:line="360" w:lineRule="auto"/>
              <w:rPr>
                <w:sz w:val="20"/>
                <w:szCs w:val="20"/>
              </w:rPr>
            </w:pPr>
            <w:r>
              <w:rPr>
                <w:color w:val="000000" w:themeColor="text1"/>
                <w:sz w:val="20"/>
                <w:szCs w:val="20"/>
              </w:rPr>
              <w:t>2.00</w:t>
            </w:r>
          </w:p>
        </w:tc>
        <w:tc>
          <w:tcPr>
            <w:tcW w:w="1134" w:type="dxa"/>
          </w:tcPr>
          <w:p w14:paraId="19216786" w14:textId="3CB2D223" w:rsidR="00D44D6F" w:rsidRPr="00F979D2" w:rsidRDefault="006217A7" w:rsidP="00D44D6F">
            <w:pPr>
              <w:spacing w:line="360" w:lineRule="auto"/>
              <w:rPr>
                <w:sz w:val="20"/>
                <w:szCs w:val="20"/>
              </w:rPr>
            </w:pPr>
            <w:r>
              <w:rPr>
                <w:color w:val="000000" w:themeColor="text1"/>
                <w:sz w:val="20"/>
                <w:szCs w:val="20"/>
              </w:rPr>
              <w:t>1.91-2.09</w:t>
            </w:r>
          </w:p>
        </w:tc>
        <w:tc>
          <w:tcPr>
            <w:tcW w:w="1276" w:type="dxa"/>
          </w:tcPr>
          <w:p w14:paraId="318D2E10" w14:textId="77777777" w:rsidR="00D44D6F" w:rsidRPr="00F979D2" w:rsidRDefault="00D44D6F" w:rsidP="00D44D6F">
            <w:pPr>
              <w:spacing w:line="360" w:lineRule="auto"/>
              <w:rPr>
                <w:sz w:val="20"/>
                <w:szCs w:val="20"/>
              </w:rPr>
            </w:pPr>
            <w:r w:rsidRPr="00F979D2">
              <w:rPr>
                <w:color w:val="000000" w:themeColor="text1"/>
                <w:sz w:val="20"/>
                <w:szCs w:val="20"/>
              </w:rPr>
              <w:t>&lt;0.001</w:t>
            </w:r>
          </w:p>
        </w:tc>
      </w:tr>
      <w:tr w:rsidR="00D44D6F" w:rsidRPr="00BC7C80" w14:paraId="28C5BEE2" w14:textId="77777777" w:rsidTr="00CE4D33">
        <w:trPr>
          <w:trHeight w:val="340"/>
        </w:trPr>
        <w:tc>
          <w:tcPr>
            <w:tcW w:w="2552" w:type="dxa"/>
            <w:shd w:val="clear" w:color="auto" w:fill="auto"/>
          </w:tcPr>
          <w:p w14:paraId="249A1EB8" w14:textId="77777777" w:rsidR="00D44D6F" w:rsidRPr="00CE4D33" w:rsidRDefault="00D44D6F" w:rsidP="00D44D6F">
            <w:pPr>
              <w:adjustRightInd w:val="0"/>
              <w:spacing w:line="360" w:lineRule="auto"/>
              <w:rPr>
                <w:color w:val="000000" w:themeColor="text1"/>
                <w:sz w:val="20"/>
                <w:szCs w:val="20"/>
              </w:rPr>
            </w:pPr>
            <w:proofErr w:type="spellStart"/>
            <w:r w:rsidRPr="00CE4D33">
              <w:rPr>
                <w:color w:val="000000" w:themeColor="text1"/>
                <w:sz w:val="20"/>
                <w:szCs w:val="20"/>
              </w:rPr>
              <w:t>IVIg</w:t>
            </w:r>
            <w:proofErr w:type="spellEnd"/>
          </w:p>
        </w:tc>
        <w:tc>
          <w:tcPr>
            <w:tcW w:w="709" w:type="dxa"/>
            <w:shd w:val="clear" w:color="auto" w:fill="auto"/>
          </w:tcPr>
          <w:p w14:paraId="47992D98" w14:textId="65F4DC86" w:rsidR="00D44D6F" w:rsidRPr="00CE4D33" w:rsidRDefault="00D44D6F" w:rsidP="00D44D6F">
            <w:pPr>
              <w:adjustRightInd w:val="0"/>
              <w:spacing w:line="360" w:lineRule="auto"/>
              <w:rPr>
                <w:color w:val="000000" w:themeColor="text1"/>
                <w:sz w:val="20"/>
                <w:szCs w:val="20"/>
              </w:rPr>
            </w:pPr>
            <w:r w:rsidRPr="00CE4D33">
              <w:rPr>
                <w:color w:val="000000" w:themeColor="text1"/>
                <w:sz w:val="20"/>
                <w:szCs w:val="20"/>
              </w:rPr>
              <w:t>0.7</w:t>
            </w:r>
            <w:r>
              <w:rPr>
                <w:color w:val="000000" w:themeColor="text1"/>
                <w:sz w:val="20"/>
                <w:szCs w:val="20"/>
              </w:rPr>
              <w:t>6</w:t>
            </w:r>
          </w:p>
        </w:tc>
        <w:tc>
          <w:tcPr>
            <w:tcW w:w="1134" w:type="dxa"/>
            <w:shd w:val="clear" w:color="auto" w:fill="auto"/>
          </w:tcPr>
          <w:p w14:paraId="5A76F543" w14:textId="46BA543D" w:rsidR="00D44D6F" w:rsidRPr="00CE4D33" w:rsidRDefault="00D44D6F" w:rsidP="00D44D6F">
            <w:pPr>
              <w:adjustRightInd w:val="0"/>
              <w:spacing w:line="360" w:lineRule="auto"/>
              <w:rPr>
                <w:color w:val="000000" w:themeColor="text1"/>
                <w:sz w:val="20"/>
                <w:szCs w:val="20"/>
              </w:rPr>
            </w:pPr>
            <w:r>
              <w:rPr>
                <w:color w:val="000000" w:themeColor="text1"/>
                <w:sz w:val="20"/>
                <w:szCs w:val="20"/>
              </w:rPr>
              <w:t>0.18-2.04</w:t>
            </w:r>
          </w:p>
        </w:tc>
        <w:tc>
          <w:tcPr>
            <w:tcW w:w="1134" w:type="dxa"/>
            <w:shd w:val="clear" w:color="auto" w:fill="auto"/>
          </w:tcPr>
          <w:p w14:paraId="20ABEB66" w14:textId="565D636B" w:rsidR="00D44D6F" w:rsidRPr="00CE4D33" w:rsidRDefault="00D44D6F" w:rsidP="00D44D6F">
            <w:pPr>
              <w:adjustRightInd w:val="0"/>
              <w:spacing w:line="360" w:lineRule="auto"/>
              <w:rPr>
                <w:color w:val="000000" w:themeColor="text1"/>
                <w:sz w:val="20"/>
                <w:szCs w:val="20"/>
              </w:rPr>
            </w:pPr>
            <w:r w:rsidRPr="00CE4D33">
              <w:rPr>
                <w:color w:val="000000" w:themeColor="text1"/>
                <w:sz w:val="20"/>
                <w:szCs w:val="20"/>
              </w:rPr>
              <w:t>0.</w:t>
            </w:r>
            <w:r>
              <w:rPr>
                <w:color w:val="000000" w:themeColor="text1"/>
                <w:sz w:val="20"/>
                <w:szCs w:val="20"/>
              </w:rPr>
              <w:t>61</w:t>
            </w:r>
          </w:p>
        </w:tc>
        <w:tc>
          <w:tcPr>
            <w:tcW w:w="850" w:type="dxa"/>
          </w:tcPr>
          <w:p w14:paraId="7E727CA5" w14:textId="7CCAC809" w:rsidR="00D44D6F" w:rsidRPr="00BC7C80" w:rsidRDefault="006217A7" w:rsidP="00D44D6F">
            <w:pPr>
              <w:spacing w:line="360" w:lineRule="auto"/>
              <w:rPr>
                <w:sz w:val="20"/>
                <w:szCs w:val="20"/>
              </w:rPr>
            </w:pPr>
            <w:r>
              <w:rPr>
                <w:color w:val="000000" w:themeColor="text1"/>
                <w:sz w:val="20"/>
                <w:szCs w:val="20"/>
              </w:rPr>
              <w:t>0.79</w:t>
            </w:r>
          </w:p>
        </w:tc>
        <w:tc>
          <w:tcPr>
            <w:tcW w:w="1134" w:type="dxa"/>
          </w:tcPr>
          <w:p w14:paraId="0924C8EB" w14:textId="071FE517" w:rsidR="00D44D6F" w:rsidRPr="00BC7C80" w:rsidRDefault="006217A7" w:rsidP="00D44D6F">
            <w:pPr>
              <w:spacing w:line="360" w:lineRule="auto"/>
              <w:rPr>
                <w:sz w:val="20"/>
                <w:szCs w:val="20"/>
              </w:rPr>
            </w:pPr>
            <w:r>
              <w:rPr>
                <w:color w:val="000000" w:themeColor="text1"/>
                <w:sz w:val="20"/>
                <w:szCs w:val="20"/>
              </w:rPr>
              <w:t>0.25-2.54</w:t>
            </w:r>
          </w:p>
        </w:tc>
        <w:tc>
          <w:tcPr>
            <w:tcW w:w="1276" w:type="dxa"/>
          </w:tcPr>
          <w:p w14:paraId="633CA654" w14:textId="4423DC20" w:rsidR="00D44D6F" w:rsidRPr="00BC7C80" w:rsidRDefault="00D44D6F" w:rsidP="00D44D6F">
            <w:pPr>
              <w:spacing w:line="360" w:lineRule="auto"/>
              <w:rPr>
                <w:sz w:val="20"/>
                <w:szCs w:val="20"/>
              </w:rPr>
            </w:pPr>
            <w:r w:rsidRPr="00CE4D33">
              <w:rPr>
                <w:color w:val="000000" w:themeColor="text1"/>
                <w:sz w:val="20"/>
                <w:szCs w:val="20"/>
              </w:rPr>
              <w:t>0.</w:t>
            </w:r>
            <w:r>
              <w:rPr>
                <w:color w:val="000000" w:themeColor="text1"/>
                <w:sz w:val="20"/>
                <w:szCs w:val="20"/>
              </w:rPr>
              <w:t>70</w:t>
            </w:r>
          </w:p>
        </w:tc>
      </w:tr>
      <w:tr w:rsidR="00E5182C" w:rsidRPr="00F979D2" w14:paraId="48318C3D" w14:textId="77777777" w:rsidTr="00CE4D33">
        <w:trPr>
          <w:trHeight w:val="340"/>
        </w:trPr>
        <w:tc>
          <w:tcPr>
            <w:tcW w:w="2552" w:type="dxa"/>
            <w:shd w:val="clear" w:color="auto" w:fill="auto"/>
          </w:tcPr>
          <w:p w14:paraId="453899D3" w14:textId="77777777" w:rsidR="00E5182C" w:rsidRPr="00F979D2" w:rsidRDefault="00E5182C" w:rsidP="00E5182C">
            <w:pPr>
              <w:adjustRightInd w:val="0"/>
              <w:spacing w:line="360" w:lineRule="auto"/>
              <w:rPr>
                <w:b/>
                <w:bCs/>
                <w:color w:val="000000" w:themeColor="text1"/>
                <w:sz w:val="20"/>
                <w:szCs w:val="20"/>
              </w:rPr>
            </w:pPr>
            <w:r w:rsidRPr="00F979D2">
              <w:rPr>
                <w:color w:val="000000" w:themeColor="text1"/>
                <w:sz w:val="20"/>
                <w:szCs w:val="20"/>
              </w:rPr>
              <w:t>Age x hypertension*</w:t>
            </w:r>
          </w:p>
        </w:tc>
        <w:tc>
          <w:tcPr>
            <w:tcW w:w="709" w:type="dxa"/>
            <w:shd w:val="clear" w:color="auto" w:fill="auto"/>
          </w:tcPr>
          <w:p w14:paraId="2772168F" w14:textId="77777777" w:rsidR="00E5182C" w:rsidRPr="00F979D2" w:rsidRDefault="00E5182C" w:rsidP="00E5182C">
            <w:pPr>
              <w:adjustRightInd w:val="0"/>
              <w:spacing w:line="360" w:lineRule="auto"/>
              <w:rPr>
                <w:b/>
                <w:bCs/>
                <w:color w:val="000000" w:themeColor="text1"/>
                <w:sz w:val="20"/>
                <w:szCs w:val="20"/>
              </w:rPr>
            </w:pPr>
            <w:r w:rsidRPr="00F979D2">
              <w:rPr>
                <w:color w:val="000000" w:themeColor="text1"/>
                <w:sz w:val="20"/>
                <w:szCs w:val="20"/>
              </w:rPr>
              <w:t>0.98</w:t>
            </w:r>
          </w:p>
        </w:tc>
        <w:tc>
          <w:tcPr>
            <w:tcW w:w="1134" w:type="dxa"/>
            <w:shd w:val="clear" w:color="auto" w:fill="auto"/>
          </w:tcPr>
          <w:p w14:paraId="5ED83CCC" w14:textId="0CA4E865" w:rsidR="00E5182C" w:rsidRPr="00F979D2" w:rsidRDefault="00E5182C" w:rsidP="00E5182C">
            <w:pPr>
              <w:adjustRightInd w:val="0"/>
              <w:spacing w:line="360" w:lineRule="auto"/>
              <w:rPr>
                <w:b/>
                <w:bCs/>
                <w:color w:val="000000" w:themeColor="text1"/>
                <w:sz w:val="20"/>
                <w:szCs w:val="20"/>
              </w:rPr>
            </w:pPr>
            <w:r>
              <w:rPr>
                <w:color w:val="000000" w:themeColor="text1"/>
                <w:sz w:val="20"/>
                <w:szCs w:val="20"/>
              </w:rPr>
              <w:t>0.98-0.99</w:t>
            </w:r>
          </w:p>
        </w:tc>
        <w:tc>
          <w:tcPr>
            <w:tcW w:w="1134" w:type="dxa"/>
            <w:shd w:val="clear" w:color="auto" w:fill="auto"/>
          </w:tcPr>
          <w:p w14:paraId="28A13793" w14:textId="01016F8C" w:rsidR="00E5182C" w:rsidRPr="00F979D2" w:rsidRDefault="00E5182C" w:rsidP="00E5182C">
            <w:pPr>
              <w:adjustRightInd w:val="0"/>
              <w:spacing w:line="360" w:lineRule="auto"/>
              <w:rPr>
                <w:b/>
                <w:bCs/>
                <w:color w:val="000000" w:themeColor="text1"/>
                <w:sz w:val="20"/>
                <w:szCs w:val="20"/>
              </w:rPr>
            </w:pPr>
            <w:r w:rsidRPr="00F979D2">
              <w:rPr>
                <w:color w:val="000000" w:themeColor="text1"/>
                <w:sz w:val="20"/>
                <w:szCs w:val="20"/>
              </w:rPr>
              <w:t>&lt;0.001</w:t>
            </w:r>
          </w:p>
        </w:tc>
        <w:tc>
          <w:tcPr>
            <w:tcW w:w="850" w:type="dxa"/>
          </w:tcPr>
          <w:p w14:paraId="4BDDD798" w14:textId="7B5E2E15" w:rsidR="00E5182C" w:rsidRPr="00CE4D33" w:rsidRDefault="00953A6D" w:rsidP="00E5182C">
            <w:pPr>
              <w:spacing w:line="360" w:lineRule="auto"/>
              <w:rPr>
                <w:color w:val="000000" w:themeColor="text1"/>
                <w:sz w:val="20"/>
                <w:szCs w:val="20"/>
              </w:rPr>
            </w:pPr>
            <w:r w:rsidRPr="00CE4D33">
              <w:rPr>
                <w:color w:val="000000" w:themeColor="text1"/>
                <w:sz w:val="20"/>
                <w:szCs w:val="20"/>
              </w:rPr>
              <w:t>0.98</w:t>
            </w:r>
          </w:p>
        </w:tc>
        <w:tc>
          <w:tcPr>
            <w:tcW w:w="1134" w:type="dxa"/>
          </w:tcPr>
          <w:p w14:paraId="18A4D037" w14:textId="3E00E7A9" w:rsidR="00E5182C" w:rsidRPr="00CE4D33" w:rsidRDefault="00953A6D" w:rsidP="00E5182C">
            <w:pPr>
              <w:spacing w:line="360" w:lineRule="auto"/>
              <w:rPr>
                <w:color w:val="000000" w:themeColor="text1"/>
                <w:sz w:val="20"/>
                <w:szCs w:val="20"/>
              </w:rPr>
            </w:pPr>
            <w:r w:rsidRPr="00CE4D33">
              <w:rPr>
                <w:color w:val="000000" w:themeColor="text1"/>
                <w:sz w:val="20"/>
                <w:szCs w:val="20"/>
              </w:rPr>
              <w:t>0.98-0.99</w:t>
            </w:r>
          </w:p>
        </w:tc>
        <w:tc>
          <w:tcPr>
            <w:tcW w:w="1276" w:type="dxa"/>
          </w:tcPr>
          <w:p w14:paraId="05D49A56" w14:textId="0BACAAA8" w:rsidR="00E5182C" w:rsidRPr="00F979D2" w:rsidRDefault="00E5182C" w:rsidP="00E5182C">
            <w:pPr>
              <w:spacing w:line="360" w:lineRule="auto"/>
              <w:rPr>
                <w:b/>
                <w:bCs/>
                <w:color w:val="000000" w:themeColor="text1"/>
                <w:sz w:val="20"/>
                <w:szCs w:val="20"/>
              </w:rPr>
            </w:pPr>
            <w:r w:rsidRPr="00F979D2">
              <w:rPr>
                <w:color w:val="000000" w:themeColor="text1"/>
                <w:sz w:val="20"/>
                <w:szCs w:val="20"/>
              </w:rPr>
              <w:t>&lt;0.001</w:t>
            </w:r>
          </w:p>
        </w:tc>
      </w:tr>
      <w:tr w:rsidR="00E5182C" w:rsidRPr="00F979D2" w14:paraId="6B2D89AC" w14:textId="77777777" w:rsidTr="00CE4D33">
        <w:trPr>
          <w:trHeight w:val="340"/>
        </w:trPr>
        <w:tc>
          <w:tcPr>
            <w:tcW w:w="2552" w:type="dxa"/>
            <w:shd w:val="clear" w:color="auto" w:fill="auto"/>
          </w:tcPr>
          <w:p w14:paraId="3E76E090" w14:textId="425C7D80" w:rsidR="00E5182C" w:rsidRPr="00F979D2" w:rsidRDefault="00E5182C" w:rsidP="00E5182C">
            <w:pPr>
              <w:adjustRightInd w:val="0"/>
              <w:spacing w:line="360" w:lineRule="auto"/>
              <w:rPr>
                <w:color w:val="000000" w:themeColor="text1"/>
                <w:sz w:val="20"/>
                <w:szCs w:val="20"/>
              </w:rPr>
            </w:pPr>
            <w:r>
              <w:rPr>
                <w:color w:val="000000" w:themeColor="text1"/>
                <w:sz w:val="20"/>
                <w:szCs w:val="20"/>
              </w:rPr>
              <w:t>Age x hypercholesterolemia*</w:t>
            </w:r>
          </w:p>
        </w:tc>
        <w:tc>
          <w:tcPr>
            <w:tcW w:w="709" w:type="dxa"/>
            <w:shd w:val="clear" w:color="auto" w:fill="auto"/>
          </w:tcPr>
          <w:p w14:paraId="7191D9EA" w14:textId="668B6202" w:rsidR="00E5182C" w:rsidRPr="00F979D2" w:rsidRDefault="00E5182C" w:rsidP="00E5182C">
            <w:pPr>
              <w:adjustRightInd w:val="0"/>
              <w:spacing w:line="360" w:lineRule="auto"/>
              <w:rPr>
                <w:color w:val="000000" w:themeColor="text1"/>
                <w:sz w:val="20"/>
                <w:szCs w:val="20"/>
              </w:rPr>
            </w:pPr>
            <w:r>
              <w:rPr>
                <w:color w:val="000000" w:themeColor="text1"/>
                <w:sz w:val="20"/>
                <w:szCs w:val="20"/>
              </w:rPr>
              <w:t>0.98</w:t>
            </w:r>
          </w:p>
        </w:tc>
        <w:tc>
          <w:tcPr>
            <w:tcW w:w="1134" w:type="dxa"/>
            <w:shd w:val="clear" w:color="auto" w:fill="auto"/>
          </w:tcPr>
          <w:p w14:paraId="0361CB8A" w14:textId="31F55D9B" w:rsidR="00E5182C" w:rsidRPr="00F979D2" w:rsidRDefault="00E5182C" w:rsidP="00E5182C">
            <w:pPr>
              <w:adjustRightInd w:val="0"/>
              <w:spacing w:line="360" w:lineRule="auto"/>
              <w:rPr>
                <w:color w:val="000000" w:themeColor="text1"/>
                <w:sz w:val="20"/>
                <w:szCs w:val="20"/>
              </w:rPr>
            </w:pPr>
            <w:r>
              <w:rPr>
                <w:color w:val="000000" w:themeColor="text1"/>
                <w:sz w:val="20"/>
                <w:szCs w:val="20"/>
              </w:rPr>
              <w:t>0.98-0.99</w:t>
            </w:r>
          </w:p>
        </w:tc>
        <w:tc>
          <w:tcPr>
            <w:tcW w:w="1134" w:type="dxa"/>
            <w:shd w:val="clear" w:color="auto" w:fill="auto"/>
          </w:tcPr>
          <w:p w14:paraId="59CA2567" w14:textId="35D436C2" w:rsidR="00E5182C" w:rsidRPr="00F979D2" w:rsidRDefault="00E5182C" w:rsidP="00E5182C">
            <w:pPr>
              <w:adjustRightInd w:val="0"/>
              <w:spacing w:line="360" w:lineRule="auto"/>
              <w:rPr>
                <w:color w:val="000000" w:themeColor="text1"/>
                <w:sz w:val="20"/>
                <w:szCs w:val="20"/>
              </w:rPr>
            </w:pPr>
            <w:r w:rsidRPr="00F979D2">
              <w:rPr>
                <w:color w:val="000000" w:themeColor="text1"/>
                <w:sz w:val="20"/>
                <w:szCs w:val="20"/>
              </w:rPr>
              <w:t>&lt;0.001</w:t>
            </w:r>
          </w:p>
        </w:tc>
        <w:tc>
          <w:tcPr>
            <w:tcW w:w="850" w:type="dxa"/>
          </w:tcPr>
          <w:p w14:paraId="3B09CA11" w14:textId="6AD2A1A9" w:rsidR="00E5182C" w:rsidRPr="00CE4D33" w:rsidRDefault="00953A6D" w:rsidP="00E5182C">
            <w:pPr>
              <w:spacing w:line="360" w:lineRule="auto"/>
              <w:rPr>
                <w:color w:val="000000" w:themeColor="text1"/>
                <w:sz w:val="20"/>
                <w:szCs w:val="20"/>
              </w:rPr>
            </w:pPr>
            <w:r>
              <w:rPr>
                <w:color w:val="000000" w:themeColor="text1"/>
                <w:sz w:val="20"/>
                <w:szCs w:val="20"/>
              </w:rPr>
              <w:t>0.98</w:t>
            </w:r>
          </w:p>
        </w:tc>
        <w:tc>
          <w:tcPr>
            <w:tcW w:w="1134" w:type="dxa"/>
          </w:tcPr>
          <w:p w14:paraId="0199CC5D" w14:textId="0770EC7D" w:rsidR="00E5182C" w:rsidRPr="00CE4D33" w:rsidRDefault="00953A6D" w:rsidP="00E5182C">
            <w:pPr>
              <w:spacing w:line="360" w:lineRule="auto"/>
              <w:rPr>
                <w:color w:val="000000" w:themeColor="text1"/>
                <w:sz w:val="20"/>
                <w:szCs w:val="20"/>
              </w:rPr>
            </w:pPr>
            <w:r>
              <w:rPr>
                <w:color w:val="000000" w:themeColor="text1"/>
                <w:sz w:val="20"/>
                <w:szCs w:val="20"/>
              </w:rPr>
              <w:t>0.98-0.99</w:t>
            </w:r>
          </w:p>
        </w:tc>
        <w:tc>
          <w:tcPr>
            <w:tcW w:w="1276" w:type="dxa"/>
          </w:tcPr>
          <w:p w14:paraId="0441CBA1" w14:textId="78E267F4" w:rsidR="00E5182C" w:rsidRPr="00F979D2" w:rsidRDefault="00E5182C" w:rsidP="00E5182C">
            <w:pPr>
              <w:spacing w:line="360" w:lineRule="auto"/>
              <w:rPr>
                <w:b/>
                <w:bCs/>
                <w:color w:val="000000" w:themeColor="text1"/>
                <w:sz w:val="20"/>
                <w:szCs w:val="20"/>
              </w:rPr>
            </w:pPr>
            <w:r w:rsidRPr="00F979D2">
              <w:rPr>
                <w:color w:val="000000" w:themeColor="text1"/>
                <w:sz w:val="20"/>
                <w:szCs w:val="20"/>
              </w:rPr>
              <w:t>&lt;0.001</w:t>
            </w:r>
          </w:p>
        </w:tc>
      </w:tr>
      <w:tr w:rsidR="00E5182C" w:rsidRPr="00F979D2" w14:paraId="7F6E75C4" w14:textId="77777777" w:rsidTr="00CE4D33">
        <w:trPr>
          <w:trHeight w:val="340"/>
        </w:trPr>
        <w:tc>
          <w:tcPr>
            <w:tcW w:w="2552" w:type="dxa"/>
            <w:shd w:val="clear" w:color="auto" w:fill="auto"/>
          </w:tcPr>
          <w:p w14:paraId="3B6FCDE2" w14:textId="0F300A92" w:rsidR="00E5182C" w:rsidRPr="00F979D2" w:rsidRDefault="00E5182C" w:rsidP="00E5182C">
            <w:pPr>
              <w:adjustRightInd w:val="0"/>
              <w:spacing w:line="360" w:lineRule="auto"/>
              <w:rPr>
                <w:color w:val="000000" w:themeColor="text1"/>
                <w:sz w:val="20"/>
                <w:szCs w:val="20"/>
              </w:rPr>
            </w:pPr>
            <w:r>
              <w:rPr>
                <w:color w:val="000000" w:themeColor="text1"/>
                <w:sz w:val="20"/>
                <w:szCs w:val="20"/>
              </w:rPr>
              <w:t>Age x diabetes*</w:t>
            </w:r>
          </w:p>
        </w:tc>
        <w:tc>
          <w:tcPr>
            <w:tcW w:w="709" w:type="dxa"/>
            <w:shd w:val="clear" w:color="auto" w:fill="auto"/>
          </w:tcPr>
          <w:p w14:paraId="4B3A1C8F" w14:textId="6E0C3053" w:rsidR="00E5182C" w:rsidRPr="00F979D2" w:rsidRDefault="00E5182C" w:rsidP="00E5182C">
            <w:pPr>
              <w:adjustRightInd w:val="0"/>
              <w:spacing w:line="360" w:lineRule="auto"/>
              <w:rPr>
                <w:color w:val="000000" w:themeColor="text1"/>
                <w:sz w:val="20"/>
                <w:szCs w:val="20"/>
              </w:rPr>
            </w:pPr>
            <w:r>
              <w:rPr>
                <w:color w:val="000000" w:themeColor="text1"/>
                <w:sz w:val="20"/>
                <w:szCs w:val="20"/>
              </w:rPr>
              <w:t>1.00</w:t>
            </w:r>
          </w:p>
        </w:tc>
        <w:tc>
          <w:tcPr>
            <w:tcW w:w="1134" w:type="dxa"/>
            <w:shd w:val="clear" w:color="auto" w:fill="auto"/>
          </w:tcPr>
          <w:p w14:paraId="0F668267" w14:textId="03266656" w:rsidR="00E5182C" w:rsidRPr="00F979D2" w:rsidRDefault="00E5182C" w:rsidP="00E5182C">
            <w:pPr>
              <w:adjustRightInd w:val="0"/>
              <w:spacing w:line="360" w:lineRule="auto"/>
              <w:rPr>
                <w:color w:val="000000" w:themeColor="text1"/>
                <w:sz w:val="20"/>
                <w:szCs w:val="20"/>
              </w:rPr>
            </w:pPr>
            <w:r>
              <w:rPr>
                <w:color w:val="000000" w:themeColor="text1"/>
                <w:sz w:val="20"/>
                <w:szCs w:val="20"/>
              </w:rPr>
              <w:t>0.99-1.02</w:t>
            </w:r>
          </w:p>
        </w:tc>
        <w:tc>
          <w:tcPr>
            <w:tcW w:w="1134" w:type="dxa"/>
            <w:shd w:val="clear" w:color="auto" w:fill="auto"/>
          </w:tcPr>
          <w:p w14:paraId="6AA564D5" w14:textId="2211D75A" w:rsidR="00E5182C" w:rsidRPr="00F979D2" w:rsidRDefault="00E5182C" w:rsidP="00E5182C">
            <w:pPr>
              <w:adjustRightInd w:val="0"/>
              <w:spacing w:line="360" w:lineRule="auto"/>
              <w:rPr>
                <w:color w:val="000000" w:themeColor="text1"/>
                <w:sz w:val="20"/>
                <w:szCs w:val="20"/>
              </w:rPr>
            </w:pPr>
            <w:r>
              <w:rPr>
                <w:color w:val="000000" w:themeColor="text1"/>
                <w:sz w:val="20"/>
                <w:szCs w:val="20"/>
              </w:rPr>
              <w:t>0.50</w:t>
            </w:r>
          </w:p>
        </w:tc>
        <w:tc>
          <w:tcPr>
            <w:tcW w:w="850" w:type="dxa"/>
          </w:tcPr>
          <w:p w14:paraId="661A4127" w14:textId="489BC0D1" w:rsidR="00E5182C" w:rsidRPr="00CE4D33" w:rsidRDefault="00953A6D" w:rsidP="00E5182C">
            <w:pPr>
              <w:spacing w:line="360" w:lineRule="auto"/>
              <w:rPr>
                <w:color w:val="000000" w:themeColor="text1"/>
                <w:sz w:val="20"/>
                <w:szCs w:val="20"/>
              </w:rPr>
            </w:pPr>
            <w:r>
              <w:rPr>
                <w:color w:val="000000" w:themeColor="text1"/>
                <w:sz w:val="20"/>
                <w:szCs w:val="20"/>
              </w:rPr>
              <w:t>1.00</w:t>
            </w:r>
          </w:p>
        </w:tc>
        <w:tc>
          <w:tcPr>
            <w:tcW w:w="1134" w:type="dxa"/>
          </w:tcPr>
          <w:p w14:paraId="18426616" w14:textId="24B09BF6" w:rsidR="00E5182C" w:rsidRPr="00CE4D33" w:rsidRDefault="00953A6D" w:rsidP="00E5182C">
            <w:pPr>
              <w:spacing w:line="360" w:lineRule="auto"/>
              <w:rPr>
                <w:color w:val="000000" w:themeColor="text1"/>
                <w:sz w:val="20"/>
                <w:szCs w:val="20"/>
              </w:rPr>
            </w:pPr>
            <w:r>
              <w:rPr>
                <w:color w:val="000000" w:themeColor="text1"/>
                <w:sz w:val="20"/>
                <w:szCs w:val="20"/>
              </w:rPr>
              <w:t>0.99-1.02</w:t>
            </w:r>
          </w:p>
        </w:tc>
        <w:tc>
          <w:tcPr>
            <w:tcW w:w="1276" w:type="dxa"/>
          </w:tcPr>
          <w:p w14:paraId="46532991" w14:textId="13D10EB4" w:rsidR="00E5182C" w:rsidRPr="00CE4D33" w:rsidRDefault="000763D2" w:rsidP="00E5182C">
            <w:pPr>
              <w:spacing w:line="360" w:lineRule="auto"/>
              <w:rPr>
                <w:color w:val="000000" w:themeColor="text1"/>
                <w:sz w:val="20"/>
                <w:szCs w:val="20"/>
              </w:rPr>
            </w:pPr>
            <w:r>
              <w:rPr>
                <w:color w:val="000000" w:themeColor="text1"/>
                <w:sz w:val="20"/>
                <w:szCs w:val="20"/>
              </w:rPr>
              <w:t>0.61</w:t>
            </w:r>
          </w:p>
        </w:tc>
      </w:tr>
      <w:tr w:rsidR="00D44536" w:rsidRPr="00F979D2" w14:paraId="2E8C851B" w14:textId="77777777" w:rsidTr="00FF0445">
        <w:trPr>
          <w:trHeight w:val="340"/>
        </w:trPr>
        <w:tc>
          <w:tcPr>
            <w:tcW w:w="2552" w:type="dxa"/>
            <w:shd w:val="clear" w:color="auto" w:fill="auto"/>
          </w:tcPr>
          <w:p w14:paraId="042148ED" w14:textId="1357252F" w:rsidR="00D44536" w:rsidRDefault="00D44536" w:rsidP="00D44536">
            <w:pPr>
              <w:adjustRightInd w:val="0"/>
              <w:spacing w:line="360" w:lineRule="auto"/>
              <w:rPr>
                <w:color w:val="000000" w:themeColor="text1"/>
                <w:sz w:val="20"/>
                <w:szCs w:val="20"/>
              </w:rPr>
            </w:pPr>
            <w:r>
              <w:rPr>
                <w:color w:val="000000" w:themeColor="text1"/>
                <w:sz w:val="20"/>
                <w:szCs w:val="20"/>
              </w:rPr>
              <w:t xml:space="preserve">Age x </w:t>
            </w:r>
            <w:bookmarkStart w:id="1" w:name="_GoBack"/>
            <w:r>
              <w:rPr>
                <w:color w:val="000000" w:themeColor="text1"/>
                <w:sz w:val="20"/>
                <w:szCs w:val="20"/>
              </w:rPr>
              <w:t>sex</w:t>
            </w:r>
            <w:bookmarkEnd w:id="1"/>
            <w:r>
              <w:rPr>
                <w:color w:val="000000" w:themeColor="text1"/>
                <w:sz w:val="20"/>
                <w:szCs w:val="20"/>
              </w:rPr>
              <w:t>*</w:t>
            </w:r>
          </w:p>
        </w:tc>
        <w:tc>
          <w:tcPr>
            <w:tcW w:w="709" w:type="dxa"/>
            <w:shd w:val="clear" w:color="auto" w:fill="auto"/>
          </w:tcPr>
          <w:p w14:paraId="0BF75B75" w14:textId="77777777" w:rsidR="00D44536" w:rsidRDefault="00D44536" w:rsidP="00D44536">
            <w:pPr>
              <w:adjustRightInd w:val="0"/>
              <w:spacing w:line="360" w:lineRule="auto"/>
              <w:rPr>
                <w:color w:val="000000" w:themeColor="text1"/>
                <w:sz w:val="20"/>
                <w:szCs w:val="20"/>
              </w:rPr>
            </w:pPr>
          </w:p>
        </w:tc>
        <w:tc>
          <w:tcPr>
            <w:tcW w:w="1134" w:type="dxa"/>
            <w:shd w:val="clear" w:color="auto" w:fill="auto"/>
          </w:tcPr>
          <w:p w14:paraId="2B7C4330" w14:textId="77777777" w:rsidR="00D44536" w:rsidRDefault="00D44536" w:rsidP="00D44536">
            <w:pPr>
              <w:adjustRightInd w:val="0"/>
              <w:spacing w:line="360" w:lineRule="auto"/>
              <w:rPr>
                <w:color w:val="000000" w:themeColor="text1"/>
                <w:sz w:val="20"/>
                <w:szCs w:val="20"/>
              </w:rPr>
            </w:pPr>
          </w:p>
        </w:tc>
        <w:tc>
          <w:tcPr>
            <w:tcW w:w="1134" w:type="dxa"/>
            <w:shd w:val="clear" w:color="auto" w:fill="auto"/>
          </w:tcPr>
          <w:p w14:paraId="592A5E4E" w14:textId="77777777" w:rsidR="00D44536" w:rsidRDefault="00D44536" w:rsidP="00D44536">
            <w:pPr>
              <w:adjustRightInd w:val="0"/>
              <w:spacing w:line="360" w:lineRule="auto"/>
              <w:rPr>
                <w:color w:val="000000" w:themeColor="text1"/>
                <w:sz w:val="20"/>
                <w:szCs w:val="20"/>
              </w:rPr>
            </w:pPr>
          </w:p>
        </w:tc>
        <w:tc>
          <w:tcPr>
            <w:tcW w:w="850" w:type="dxa"/>
          </w:tcPr>
          <w:p w14:paraId="4970B652" w14:textId="68338E67" w:rsidR="00D44536" w:rsidRDefault="00D44536" w:rsidP="00D44536">
            <w:pPr>
              <w:spacing w:line="360" w:lineRule="auto"/>
              <w:rPr>
                <w:color w:val="000000" w:themeColor="text1"/>
                <w:sz w:val="20"/>
                <w:szCs w:val="20"/>
              </w:rPr>
            </w:pPr>
            <w:r>
              <w:rPr>
                <w:color w:val="000000" w:themeColor="text1"/>
                <w:sz w:val="20"/>
                <w:szCs w:val="20"/>
              </w:rPr>
              <w:t>0.98</w:t>
            </w:r>
          </w:p>
        </w:tc>
        <w:tc>
          <w:tcPr>
            <w:tcW w:w="1134" w:type="dxa"/>
          </w:tcPr>
          <w:p w14:paraId="040F356B" w14:textId="091A3FF2" w:rsidR="00D44536" w:rsidRDefault="00D44536" w:rsidP="00D44536">
            <w:pPr>
              <w:spacing w:line="360" w:lineRule="auto"/>
              <w:rPr>
                <w:color w:val="000000" w:themeColor="text1"/>
                <w:sz w:val="20"/>
                <w:szCs w:val="20"/>
              </w:rPr>
            </w:pPr>
            <w:r>
              <w:rPr>
                <w:color w:val="000000" w:themeColor="text1"/>
                <w:sz w:val="20"/>
                <w:szCs w:val="20"/>
              </w:rPr>
              <w:t>0.98-0.99</w:t>
            </w:r>
          </w:p>
        </w:tc>
        <w:tc>
          <w:tcPr>
            <w:tcW w:w="1276" w:type="dxa"/>
          </w:tcPr>
          <w:p w14:paraId="5681043D" w14:textId="3CF0FA7E" w:rsidR="00D44536" w:rsidRDefault="00D44536" w:rsidP="00D44536">
            <w:pPr>
              <w:spacing w:line="360" w:lineRule="auto"/>
              <w:rPr>
                <w:color w:val="000000" w:themeColor="text1"/>
                <w:sz w:val="20"/>
                <w:szCs w:val="20"/>
              </w:rPr>
            </w:pPr>
            <w:r w:rsidRPr="00F979D2">
              <w:rPr>
                <w:color w:val="000000" w:themeColor="text1"/>
                <w:sz w:val="20"/>
                <w:szCs w:val="20"/>
              </w:rPr>
              <w:t>&lt;0.001</w:t>
            </w:r>
          </w:p>
        </w:tc>
      </w:tr>
      <w:tr w:rsidR="00D44536" w:rsidRPr="00F979D2" w14:paraId="694E7F55" w14:textId="77777777" w:rsidTr="00CE4D33">
        <w:trPr>
          <w:trHeight w:val="340"/>
        </w:trPr>
        <w:tc>
          <w:tcPr>
            <w:tcW w:w="2552" w:type="dxa"/>
            <w:shd w:val="clear" w:color="auto" w:fill="auto"/>
          </w:tcPr>
          <w:p w14:paraId="2FDDE670" w14:textId="77777777" w:rsidR="00D44536" w:rsidRPr="00F979D2" w:rsidRDefault="00D44536" w:rsidP="00D44536">
            <w:pPr>
              <w:adjustRightInd w:val="0"/>
              <w:spacing w:line="360" w:lineRule="auto"/>
              <w:rPr>
                <w:color w:val="000000" w:themeColor="text1"/>
                <w:sz w:val="20"/>
                <w:szCs w:val="20"/>
              </w:rPr>
            </w:pPr>
          </w:p>
        </w:tc>
        <w:tc>
          <w:tcPr>
            <w:tcW w:w="2977" w:type="dxa"/>
            <w:gridSpan w:val="3"/>
            <w:shd w:val="clear" w:color="auto" w:fill="auto"/>
          </w:tcPr>
          <w:p w14:paraId="6EDE2E34" w14:textId="2B39654C" w:rsidR="00D44536" w:rsidRPr="00F979D2" w:rsidRDefault="00D44536" w:rsidP="00D44536">
            <w:pPr>
              <w:adjustRightInd w:val="0"/>
              <w:spacing w:line="360" w:lineRule="auto"/>
              <w:rPr>
                <w:color w:val="000000" w:themeColor="text1"/>
                <w:sz w:val="20"/>
                <w:szCs w:val="20"/>
              </w:rPr>
            </w:pPr>
            <w:r w:rsidRPr="00F979D2">
              <w:rPr>
                <w:color w:val="000000" w:themeColor="text1"/>
                <w:sz w:val="20"/>
                <w:szCs w:val="20"/>
              </w:rPr>
              <w:t xml:space="preserve">Model Intercept Coefficient </w:t>
            </w:r>
            <w:r w:rsidRPr="00F979D2">
              <w:rPr>
                <w:color w:val="000000" w:themeColor="text1"/>
                <w:sz w:val="20"/>
                <w:szCs w:val="20"/>
              </w:rPr>
              <w:noBreakHyphen/>
            </w:r>
            <w:r>
              <w:rPr>
                <w:color w:val="000000" w:themeColor="text1"/>
                <w:sz w:val="20"/>
                <w:szCs w:val="20"/>
              </w:rPr>
              <w:t>8.07</w:t>
            </w:r>
            <w:r w:rsidRPr="00F979D2">
              <w:rPr>
                <w:color w:val="000000" w:themeColor="text1"/>
                <w:sz w:val="20"/>
                <w:szCs w:val="20"/>
              </w:rPr>
              <w:t xml:space="preserve"> (P&lt;0.001). Based on </w:t>
            </w:r>
            <w:r>
              <w:rPr>
                <w:color w:val="000000" w:themeColor="text1"/>
                <w:sz w:val="20"/>
                <w:szCs w:val="20"/>
                <w:shd w:val="clear" w:color="auto" w:fill="F4F8F9"/>
              </w:rPr>
              <w:t>421 475</w:t>
            </w:r>
            <w:r w:rsidRPr="00F979D2">
              <w:rPr>
                <w:color w:val="000000" w:themeColor="text1"/>
                <w:sz w:val="20"/>
                <w:szCs w:val="20"/>
                <w:shd w:val="clear" w:color="auto" w:fill="F4F8F9"/>
              </w:rPr>
              <w:t xml:space="preserve"> </w:t>
            </w:r>
            <w:r w:rsidRPr="00F979D2">
              <w:rPr>
                <w:color w:val="000000" w:themeColor="text1"/>
                <w:sz w:val="20"/>
                <w:szCs w:val="20"/>
              </w:rPr>
              <w:t>observations (outcomes=</w:t>
            </w:r>
            <w:r>
              <w:rPr>
                <w:color w:val="000000" w:themeColor="text1"/>
                <w:sz w:val="20"/>
                <w:szCs w:val="20"/>
              </w:rPr>
              <w:t>12 799</w:t>
            </w:r>
            <w:r w:rsidRPr="00F979D2">
              <w:rPr>
                <w:color w:val="000000" w:themeColor="text1"/>
                <w:sz w:val="20"/>
                <w:szCs w:val="20"/>
              </w:rPr>
              <w:t xml:space="preserve"> TEEs)</w:t>
            </w:r>
          </w:p>
        </w:tc>
        <w:tc>
          <w:tcPr>
            <w:tcW w:w="3260" w:type="dxa"/>
            <w:gridSpan w:val="3"/>
          </w:tcPr>
          <w:p w14:paraId="5C9F60B9" w14:textId="7104B182" w:rsidR="00D44536" w:rsidRPr="00F979D2" w:rsidRDefault="00D44536" w:rsidP="00D44536">
            <w:pPr>
              <w:spacing w:line="360" w:lineRule="auto"/>
              <w:rPr>
                <w:b/>
                <w:bCs/>
                <w:color w:val="000000" w:themeColor="text1"/>
                <w:sz w:val="20"/>
                <w:szCs w:val="20"/>
              </w:rPr>
            </w:pPr>
            <w:r w:rsidRPr="00F979D2">
              <w:rPr>
                <w:color w:val="000000" w:themeColor="text1"/>
                <w:sz w:val="20"/>
                <w:szCs w:val="20"/>
              </w:rPr>
              <w:t xml:space="preserve">Model Intercept Coefficient </w:t>
            </w:r>
            <w:r w:rsidRPr="00F979D2">
              <w:rPr>
                <w:color w:val="000000" w:themeColor="text1"/>
                <w:sz w:val="20"/>
                <w:szCs w:val="20"/>
              </w:rPr>
              <w:noBreakHyphen/>
            </w:r>
            <w:r>
              <w:rPr>
                <w:color w:val="000000" w:themeColor="text1"/>
                <w:sz w:val="20"/>
                <w:szCs w:val="20"/>
              </w:rPr>
              <w:t>8.58</w:t>
            </w:r>
            <w:r w:rsidRPr="00F979D2">
              <w:rPr>
                <w:color w:val="000000" w:themeColor="text1"/>
                <w:sz w:val="20"/>
                <w:szCs w:val="20"/>
              </w:rPr>
              <w:t xml:space="preserve"> (P&lt;0.001). Based on </w:t>
            </w:r>
            <w:r w:rsidRPr="00F979D2">
              <w:rPr>
                <w:color w:val="000000" w:themeColor="text1"/>
                <w:sz w:val="20"/>
                <w:szCs w:val="20"/>
                <w:shd w:val="clear" w:color="auto" w:fill="F4F8F9"/>
              </w:rPr>
              <w:t>41</w:t>
            </w:r>
            <w:r w:rsidR="005F1D18">
              <w:rPr>
                <w:color w:val="000000" w:themeColor="text1"/>
                <w:sz w:val="20"/>
                <w:szCs w:val="20"/>
                <w:shd w:val="clear" w:color="auto" w:fill="F4F8F9"/>
              </w:rPr>
              <w:t xml:space="preserve">2 769 </w:t>
            </w:r>
            <w:r w:rsidRPr="00F979D2">
              <w:rPr>
                <w:color w:val="000000" w:themeColor="text1"/>
                <w:sz w:val="20"/>
                <w:szCs w:val="20"/>
              </w:rPr>
              <w:t>observations (outcomes=</w:t>
            </w:r>
            <w:r w:rsidR="005F1D18">
              <w:rPr>
                <w:color w:val="000000" w:themeColor="text1"/>
                <w:sz w:val="20"/>
                <w:szCs w:val="20"/>
              </w:rPr>
              <w:t>12 333</w:t>
            </w:r>
            <w:r w:rsidRPr="00F979D2">
              <w:rPr>
                <w:color w:val="000000" w:themeColor="text1"/>
                <w:sz w:val="20"/>
                <w:szCs w:val="20"/>
              </w:rPr>
              <w:t xml:space="preserve"> TEEs)</w:t>
            </w:r>
          </w:p>
        </w:tc>
      </w:tr>
    </w:tbl>
    <w:p w14:paraId="30C1230D" w14:textId="77777777" w:rsidR="00F04FAF" w:rsidRPr="00387A91" w:rsidRDefault="00F04FAF" w:rsidP="00F04FAF">
      <w:pPr>
        <w:spacing w:line="360" w:lineRule="auto"/>
        <w:rPr>
          <w:color w:val="000000" w:themeColor="text1"/>
          <w:sz w:val="20"/>
          <w:szCs w:val="20"/>
        </w:rPr>
      </w:pPr>
    </w:p>
    <w:p w14:paraId="0012F483" w14:textId="4B1AFA3F" w:rsidR="00024B4F" w:rsidRDefault="00024B4F" w:rsidP="00F04FAF">
      <w:pPr>
        <w:spacing w:line="360" w:lineRule="auto"/>
        <w:rPr>
          <w:rFonts w:eastAsiaTheme="minorHAnsi"/>
          <w:b/>
          <w:bCs/>
          <w:color w:val="000000" w:themeColor="text1"/>
          <w:lang w:val="en-GB" w:eastAsia="en-US"/>
        </w:rPr>
      </w:pPr>
      <w:r>
        <w:rPr>
          <w:rFonts w:eastAsiaTheme="minorHAnsi"/>
          <w:b/>
          <w:bCs/>
          <w:color w:val="000000" w:themeColor="text1"/>
          <w:lang w:val="en-GB" w:eastAsia="en-US"/>
        </w:rPr>
        <w:br w:type="page"/>
      </w:r>
    </w:p>
    <w:p w14:paraId="6AE83CBE" w14:textId="77777777" w:rsidR="00FA2DCD" w:rsidRPr="00FA2DCD" w:rsidRDefault="005978DF" w:rsidP="00CE4D33">
      <w:pPr>
        <w:pStyle w:val="EndNoteBibliography"/>
        <w:spacing w:line="360" w:lineRule="auto"/>
        <w:ind w:left="720" w:hanging="720"/>
        <w:rPr>
          <w:noProof/>
        </w:rPr>
      </w:pPr>
      <w:r>
        <w:rPr>
          <w:rFonts w:eastAsiaTheme="minorHAnsi"/>
          <w:b/>
          <w:bCs/>
          <w:color w:val="000000" w:themeColor="text1"/>
          <w:lang w:eastAsia="en-US"/>
        </w:rPr>
        <w:lastRenderedPageBreak/>
        <w:fldChar w:fldCharType="begin"/>
      </w:r>
      <w:r>
        <w:rPr>
          <w:rFonts w:eastAsiaTheme="minorHAnsi"/>
          <w:b/>
          <w:bCs/>
          <w:color w:val="000000" w:themeColor="text1"/>
          <w:lang w:eastAsia="en-US"/>
        </w:rPr>
        <w:instrText xml:space="preserve"> ADDIN EN.REFLIST </w:instrText>
      </w:r>
      <w:r>
        <w:rPr>
          <w:rFonts w:eastAsiaTheme="minorHAnsi"/>
          <w:b/>
          <w:bCs/>
          <w:color w:val="000000" w:themeColor="text1"/>
          <w:lang w:eastAsia="en-US"/>
        </w:rPr>
        <w:fldChar w:fldCharType="separate"/>
      </w:r>
      <w:r w:rsidR="00FA2DCD" w:rsidRPr="00FA2DCD">
        <w:rPr>
          <w:noProof/>
        </w:rPr>
        <w:t>1.</w:t>
      </w:r>
      <w:r w:rsidR="00FA2DCD" w:rsidRPr="00FA2DCD">
        <w:rPr>
          <w:noProof/>
        </w:rPr>
        <w:tab/>
        <w:t xml:space="preserve">Daniel GW, Menis M, Sridhar G, et al. Immune globulins and thrombotic adverse events as recorded in a large administrative database in 2008 through 2010. </w:t>
      </w:r>
      <w:r w:rsidR="00FA2DCD" w:rsidRPr="00FA2DCD">
        <w:rPr>
          <w:i/>
          <w:noProof/>
        </w:rPr>
        <w:t xml:space="preserve">Transfusion. </w:t>
      </w:r>
      <w:r w:rsidR="00FA2DCD" w:rsidRPr="00FA2DCD">
        <w:rPr>
          <w:noProof/>
        </w:rPr>
        <w:t>2012;52(10):2113-2121.</w:t>
      </w:r>
    </w:p>
    <w:p w14:paraId="07B32200" w14:textId="77777777" w:rsidR="00FA2DCD" w:rsidRPr="00FA2DCD" w:rsidRDefault="00FA2DCD" w:rsidP="00CE4D33">
      <w:pPr>
        <w:pStyle w:val="EndNoteBibliography"/>
        <w:spacing w:line="360" w:lineRule="auto"/>
        <w:ind w:left="720" w:hanging="720"/>
        <w:rPr>
          <w:noProof/>
        </w:rPr>
      </w:pPr>
      <w:r w:rsidRPr="00FA2DCD">
        <w:rPr>
          <w:noProof/>
        </w:rPr>
        <w:t>2.</w:t>
      </w:r>
      <w:r w:rsidRPr="00FA2DCD">
        <w:rPr>
          <w:noProof/>
        </w:rPr>
        <w:tab/>
        <w:t>Blumberg L. FDA Safety Communication : New boxed warning for thrombosis related to human immune globulin. In:2013:1-3.</w:t>
      </w:r>
    </w:p>
    <w:p w14:paraId="7AB796DE" w14:textId="77777777" w:rsidR="00FA2DCD" w:rsidRPr="00FA2DCD" w:rsidRDefault="00FA2DCD" w:rsidP="00CE4D33">
      <w:pPr>
        <w:pStyle w:val="EndNoteBibliography"/>
        <w:spacing w:line="360" w:lineRule="auto"/>
        <w:ind w:left="720" w:hanging="720"/>
        <w:rPr>
          <w:noProof/>
        </w:rPr>
      </w:pPr>
      <w:r w:rsidRPr="00FA2DCD">
        <w:rPr>
          <w:noProof/>
        </w:rPr>
        <w:t>3.</w:t>
      </w:r>
      <w:r w:rsidRPr="00FA2DCD">
        <w:rPr>
          <w:noProof/>
        </w:rPr>
        <w:tab/>
        <w:t xml:space="preserve">Kapoor M, Spillane J, Englezou C, et al. Thromboembolic risk with IVIg: Incidence and risk factors in patients with inflammatory neuropathy. </w:t>
      </w:r>
      <w:r w:rsidRPr="00FA2DCD">
        <w:rPr>
          <w:i/>
          <w:noProof/>
        </w:rPr>
        <w:t xml:space="preserve">Neurology. </w:t>
      </w:r>
      <w:r w:rsidRPr="00FA2DCD">
        <w:rPr>
          <w:noProof/>
        </w:rPr>
        <w:t>2020;94(6):e635-e638.</w:t>
      </w:r>
    </w:p>
    <w:p w14:paraId="7121082C" w14:textId="77777777" w:rsidR="00FA2DCD" w:rsidRPr="00FA2DCD" w:rsidRDefault="00FA2DCD" w:rsidP="00CE4D33">
      <w:pPr>
        <w:pStyle w:val="EndNoteBibliography"/>
        <w:spacing w:line="360" w:lineRule="auto"/>
        <w:ind w:left="720" w:hanging="720"/>
        <w:rPr>
          <w:noProof/>
        </w:rPr>
      </w:pPr>
      <w:r w:rsidRPr="00FA2DCD">
        <w:rPr>
          <w:noProof/>
        </w:rPr>
        <w:t>4.</w:t>
      </w:r>
      <w:r w:rsidRPr="00FA2DCD">
        <w:rPr>
          <w:noProof/>
        </w:rPr>
        <w:tab/>
        <w:t xml:space="preserve">National Institute for Health and Care E. </w:t>
      </w:r>
      <w:r w:rsidRPr="00FA2DCD">
        <w:rPr>
          <w:i/>
          <w:noProof/>
        </w:rPr>
        <w:t xml:space="preserve">Identification and assessment of cardiovascular disease risk. </w:t>
      </w:r>
      <w:r w:rsidRPr="00FA2DCD">
        <w:rPr>
          <w:noProof/>
        </w:rPr>
        <w:t>2021.</w:t>
      </w:r>
    </w:p>
    <w:p w14:paraId="50D29208" w14:textId="77777777" w:rsidR="00FA2DCD" w:rsidRPr="00FA2DCD" w:rsidRDefault="00FA2DCD" w:rsidP="00CE4D33">
      <w:pPr>
        <w:pStyle w:val="EndNoteBibliography"/>
        <w:spacing w:line="360" w:lineRule="auto"/>
        <w:ind w:left="720" w:hanging="720"/>
        <w:rPr>
          <w:noProof/>
        </w:rPr>
      </w:pPr>
      <w:r w:rsidRPr="00FA2DCD">
        <w:rPr>
          <w:noProof/>
        </w:rPr>
        <w:t>5.</w:t>
      </w:r>
      <w:r w:rsidRPr="00FA2DCD">
        <w:rPr>
          <w:noProof/>
        </w:rPr>
        <w:tab/>
        <w:t xml:space="preserve">Hippisley-Cox J, Coupland C, Vinogradova Y, et al. Predicting cardiovascular risk in England and Wales: prospective derivation and validation of QRISK2. </w:t>
      </w:r>
      <w:r w:rsidRPr="00FA2DCD">
        <w:rPr>
          <w:i/>
          <w:noProof/>
        </w:rPr>
        <w:t xml:space="preserve">BMJ. </w:t>
      </w:r>
      <w:r w:rsidRPr="00FA2DCD">
        <w:rPr>
          <w:noProof/>
        </w:rPr>
        <w:t>2008;336(7659):1475-1482.</w:t>
      </w:r>
    </w:p>
    <w:p w14:paraId="61B10673" w14:textId="77777777" w:rsidR="00FA2DCD" w:rsidRPr="00FA2DCD" w:rsidRDefault="00FA2DCD" w:rsidP="00CE4D33">
      <w:pPr>
        <w:pStyle w:val="EndNoteBibliography"/>
        <w:spacing w:line="360" w:lineRule="auto"/>
        <w:ind w:left="720" w:hanging="720"/>
        <w:rPr>
          <w:noProof/>
        </w:rPr>
      </w:pPr>
      <w:r w:rsidRPr="00FA2DCD">
        <w:rPr>
          <w:noProof/>
        </w:rPr>
        <w:t>6.</w:t>
      </w:r>
      <w:r w:rsidRPr="00FA2DCD">
        <w:rPr>
          <w:noProof/>
        </w:rPr>
        <w:tab/>
        <w:t xml:space="preserve">Tran HA, Gibbs H, Merriman E, et al. New guidelines from the Thrombosis and Haemostasis Society of Australia and New Zealand for the diagnosis and management of venous thromboembolism. </w:t>
      </w:r>
      <w:r w:rsidRPr="00FA2DCD">
        <w:rPr>
          <w:i/>
          <w:noProof/>
        </w:rPr>
        <w:t xml:space="preserve">Med J Aust. </w:t>
      </w:r>
      <w:r w:rsidRPr="00FA2DCD">
        <w:rPr>
          <w:noProof/>
        </w:rPr>
        <w:t>2019;210(5):227-235.</w:t>
      </w:r>
    </w:p>
    <w:p w14:paraId="10BEE380" w14:textId="77777777" w:rsidR="00FA2DCD" w:rsidRPr="00FA2DCD" w:rsidRDefault="00FA2DCD" w:rsidP="00CE4D33">
      <w:pPr>
        <w:pStyle w:val="EndNoteBibliography"/>
        <w:spacing w:line="360" w:lineRule="auto"/>
        <w:ind w:left="720" w:hanging="720"/>
        <w:rPr>
          <w:noProof/>
        </w:rPr>
      </w:pPr>
      <w:r w:rsidRPr="00FA2DCD">
        <w:rPr>
          <w:noProof/>
        </w:rPr>
        <w:t>7.</w:t>
      </w:r>
      <w:r w:rsidRPr="00FA2DCD">
        <w:rPr>
          <w:noProof/>
        </w:rPr>
        <w:tab/>
        <w:t xml:space="preserve">Collins R. What makes UK Biobank special? </w:t>
      </w:r>
      <w:r w:rsidRPr="00FA2DCD">
        <w:rPr>
          <w:i/>
          <w:noProof/>
        </w:rPr>
        <w:t xml:space="preserve">The Lancet. </w:t>
      </w:r>
      <w:r w:rsidRPr="00FA2DCD">
        <w:rPr>
          <w:noProof/>
        </w:rPr>
        <w:t>2012;379(9822):1173-1174.</w:t>
      </w:r>
    </w:p>
    <w:p w14:paraId="21902166" w14:textId="77777777" w:rsidR="00FA2DCD" w:rsidRPr="00FA2DCD" w:rsidRDefault="00FA2DCD" w:rsidP="00CE4D33">
      <w:pPr>
        <w:pStyle w:val="EndNoteBibliography"/>
        <w:spacing w:line="360" w:lineRule="auto"/>
        <w:ind w:left="720" w:hanging="720"/>
        <w:rPr>
          <w:noProof/>
        </w:rPr>
      </w:pPr>
      <w:r w:rsidRPr="00FA2DCD">
        <w:rPr>
          <w:noProof/>
        </w:rPr>
        <w:t>8.</w:t>
      </w:r>
      <w:r w:rsidRPr="00FA2DCD">
        <w:rPr>
          <w:noProof/>
        </w:rPr>
        <w:tab/>
        <w:t xml:space="preserve">Palmer LJ. UK Biobank: bank on it. </w:t>
      </w:r>
      <w:r w:rsidRPr="00FA2DCD">
        <w:rPr>
          <w:i/>
          <w:noProof/>
        </w:rPr>
        <w:t xml:space="preserve">Lancet. </w:t>
      </w:r>
      <w:r w:rsidRPr="00FA2DCD">
        <w:rPr>
          <w:noProof/>
        </w:rPr>
        <w:t>2007;369(9578):1980-1982.</w:t>
      </w:r>
    </w:p>
    <w:p w14:paraId="108DA538" w14:textId="77777777" w:rsidR="00FA2DCD" w:rsidRPr="00FA2DCD" w:rsidRDefault="00FA2DCD" w:rsidP="00CE4D33">
      <w:pPr>
        <w:pStyle w:val="EndNoteBibliography"/>
        <w:spacing w:line="360" w:lineRule="auto"/>
        <w:ind w:left="720" w:hanging="720"/>
        <w:rPr>
          <w:noProof/>
        </w:rPr>
      </w:pPr>
      <w:r w:rsidRPr="00FA2DCD">
        <w:rPr>
          <w:noProof/>
        </w:rPr>
        <w:t>9.</w:t>
      </w:r>
      <w:r w:rsidRPr="00FA2DCD">
        <w:rPr>
          <w:noProof/>
        </w:rPr>
        <w:tab/>
        <w:t xml:space="preserve">Sudlow C, Gallacher J, Allen N, et al. UK biobank: an open access resource for identifying the causes of a wide range of complex diseases of middle and old age. </w:t>
      </w:r>
      <w:r w:rsidRPr="00FA2DCD">
        <w:rPr>
          <w:i/>
          <w:noProof/>
        </w:rPr>
        <w:t xml:space="preserve">PLoS Med. </w:t>
      </w:r>
      <w:r w:rsidRPr="00FA2DCD">
        <w:rPr>
          <w:noProof/>
        </w:rPr>
        <w:t>2015;12(3):e1001779.</w:t>
      </w:r>
    </w:p>
    <w:p w14:paraId="682A2199" w14:textId="77777777" w:rsidR="00FA2DCD" w:rsidRPr="00FA2DCD" w:rsidRDefault="00FA2DCD" w:rsidP="00CE4D33">
      <w:pPr>
        <w:pStyle w:val="EndNoteBibliography"/>
        <w:spacing w:line="360" w:lineRule="auto"/>
        <w:ind w:left="720" w:hanging="720"/>
        <w:rPr>
          <w:noProof/>
        </w:rPr>
      </w:pPr>
      <w:r w:rsidRPr="00FA2DCD">
        <w:rPr>
          <w:noProof/>
        </w:rPr>
        <w:t>10.</w:t>
      </w:r>
      <w:r w:rsidRPr="00FA2DCD">
        <w:rPr>
          <w:noProof/>
        </w:rPr>
        <w:tab/>
        <w:t xml:space="preserve">Fry A, Littlejohns TJ, Sudlow C, et al. Comparison of Sociodemographic and Health-Related Characteristics of UK Biobank Participants With Those of the General Population. </w:t>
      </w:r>
      <w:r w:rsidRPr="00FA2DCD">
        <w:rPr>
          <w:i/>
          <w:noProof/>
        </w:rPr>
        <w:t xml:space="preserve">Am J Epidemiol. </w:t>
      </w:r>
      <w:r w:rsidRPr="00FA2DCD">
        <w:rPr>
          <w:noProof/>
        </w:rPr>
        <w:t>2017;186(9):1026-1034.</w:t>
      </w:r>
    </w:p>
    <w:p w14:paraId="3F14006B" w14:textId="77777777" w:rsidR="00FA2DCD" w:rsidRPr="00FA2DCD" w:rsidRDefault="00FA2DCD" w:rsidP="00CE4D33">
      <w:pPr>
        <w:pStyle w:val="EndNoteBibliography"/>
        <w:spacing w:line="360" w:lineRule="auto"/>
        <w:ind w:left="720" w:hanging="720"/>
        <w:rPr>
          <w:noProof/>
        </w:rPr>
      </w:pPr>
      <w:r w:rsidRPr="00FA2DCD">
        <w:rPr>
          <w:noProof/>
        </w:rPr>
        <w:t>11.</w:t>
      </w:r>
      <w:r w:rsidRPr="00FA2DCD">
        <w:rPr>
          <w:noProof/>
        </w:rPr>
        <w:tab/>
        <w:t xml:space="preserve">WHO. International statistical classification of diseases and related health problems ICD-10: instruction manual. </w:t>
      </w:r>
      <w:r w:rsidRPr="00FA2DCD">
        <w:rPr>
          <w:i/>
          <w:noProof/>
        </w:rPr>
        <w:t xml:space="preserve">WORLD HEALTH ORGANIZATION -WHO nternational statistical classification of diseases and related health problems ICD-10: instruction manual. </w:t>
      </w:r>
      <w:r w:rsidRPr="00FA2DCD">
        <w:rPr>
          <w:noProof/>
        </w:rPr>
        <w:t>2016;2:252-252.</w:t>
      </w:r>
    </w:p>
    <w:p w14:paraId="4EABF08D" w14:textId="77777777" w:rsidR="00FA2DCD" w:rsidRPr="00FA2DCD" w:rsidRDefault="00FA2DCD" w:rsidP="00CE4D33">
      <w:pPr>
        <w:pStyle w:val="EndNoteBibliography"/>
        <w:spacing w:line="360" w:lineRule="auto"/>
        <w:ind w:left="720" w:hanging="720"/>
        <w:rPr>
          <w:noProof/>
        </w:rPr>
      </w:pPr>
      <w:r w:rsidRPr="00FA2DCD">
        <w:rPr>
          <w:noProof/>
        </w:rPr>
        <w:t>12.</w:t>
      </w:r>
      <w:r w:rsidRPr="00FA2DCD">
        <w:rPr>
          <w:noProof/>
        </w:rPr>
        <w:tab/>
        <w:t xml:space="preserve">Collins GS, Ogundimu EO, Cook JA, Manach YL, Altman DG. Quantifying the impact of different approaches for handling continuous predictors on the performance of a prognostic model. </w:t>
      </w:r>
      <w:r w:rsidRPr="00FA2DCD">
        <w:rPr>
          <w:i/>
          <w:noProof/>
        </w:rPr>
        <w:t xml:space="preserve">Stat Med. </w:t>
      </w:r>
      <w:r w:rsidRPr="00FA2DCD">
        <w:rPr>
          <w:noProof/>
        </w:rPr>
        <w:t>2016;35(23):4124-4135.</w:t>
      </w:r>
    </w:p>
    <w:p w14:paraId="4748F171" w14:textId="77777777" w:rsidR="00FA2DCD" w:rsidRPr="00FA2DCD" w:rsidRDefault="00FA2DCD" w:rsidP="00CE4D33">
      <w:pPr>
        <w:pStyle w:val="EndNoteBibliography"/>
        <w:spacing w:line="360" w:lineRule="auto"/>
        <w:ind w:left="720" w:hanging="720"/>
        <w:rPr>
          <w:noProof/>
        </w:rPr>
      </w:pPr>
      <w:r w:rsidRPr="00FA2DCD">
        <w:rPr>
          <w:noProof/>
        </w:rPr>
        <w:t>13.</w:t>
      </w:r>
      <w:r w:rsidRPr="00FA2DCD">
        <w:rPr>
          <w:noProof/>
        </w:rPr>
        <w:tab/>
        <w:t xml:space="preserve">Collins GS, Reitsma JB, Altman DG, Moons KG. Transparent Reporting of a multivariable prediction model for Individual Prognosis Or Diagnosis (TRIPOD): the TRIPOD Statement. </w:t>
      </w:r>
      <w:r w:rsidRPr="00FA2DCD">
        <w:rPr>
          <w:i/>
          <w:noProof/>
        </w:rPr>
        <w:t xml:space="preserve">Br J Surg. </w:t>
      </w:r>
      <w:r w:rsidRPr="00FA2DCD">
        <w:rPr>
          <w:noProof/>
        </w:rPr>
        <w:t>2015;102(3):148-158.</w:t>
      </w:r>
    </w:p>
    <w:p w14:paraId="1903B627" w14:textId="77777777" w:rsidR="00FA2DCD" w:rsidRPr="00FA2DCD" w:rsidRDefault="00FA2DCD" w:rsidP="00CE4D33">
      <w:pPr>
        <w:pStyle w:val="EndNoteBibliography"/>
        <w:spacing w:line="360" w:lineRule="auto"/>
        <w:ind w:left="720" w:hanging="720"/>
        <w:rPr>
          <w:noProof/>
        </w:rPr>
      </w:pPr>
      <w:r w:rsidRPr="00FA2DCD">
        <w:rPr>
          <w:noProof/>
        </w:rPr>
        <w:lastRenderedPageBreak/>
        <w:t>14.</w:t>
      </w:r>
      <w:r w:rsidRPr="00FA2DCD">
        <w:rPr>
          <w:noProof/>
        </w:rPr>
        <w:tab/>
        <w:t xml:space="preserve">Steyerberg EW, Harrell FE, Jr., Borsboom GJ, Eijkemans MJ, Vergouwe Y, Habbema JD. Internal validation of predictive models: efficiency of some procedures for logistic regression analysis. </w:t>
      </w:r>
      <w:r w:rsidRPr="00FA2DCD">
        <w:rPr>
          <w:i/>
          <w:noProof/>
        </w:rPr>
        <w:t xml:space="preserve">J Clin Epidemiol. </w:t>
      </w:r>
      <w:r w:rsidRPr="00FA2DCD">
        <w:rPr>
          <w:noProof/>
        </w:rPr>
        <w:t>2001;54(8):774-781.</w:t>
      </w:r>
    </w:p>
    <w:p w14:paraId="15F239D5" w14:textId="77777777" w:rsidR="00FA2DCD" w:rsidRPr="00FA2DCD" w:rsidRDefault="00FA2DCD" w:rsidP="00CE4D33">
      <w:pPr>
        <w:pStyle w:val="EndNoteBibliography"/>
        <w:spacing w:line="360" w:lineRule="auto"/>
        <w:ind w:left="720" w:hanging="720"/>
        <w:rPr>
          <w:noProof/>
        </w:rPr>
      </w:pPr>
      <w:r w:rsidRPr="00FA2DCD">
        <w:rPr>
          <w:noProof/>
        </w:rPr>
        <w:t>15.</w:t>
      </w:r>
      <w:r w:rsidRPr="00FA2DCD">
        <w:rPr>
          <w:noProof/>
        </w:rPr>
        <w:tab/>
        <w:t xml:space="preserve">Brier GW. Verification of Forecasts Expressed in Terms of Probability. </w:t>
      </w:r>
      <w:r w:rsidRPr="00FA2DCD">
        <w:rPr>
          <w:i/>
          <w:noProof/>
        </w:rPr>
        <w:t xml:space="preserve">Monthly Weather Review. </w:t>
      </w:r>
      <w:r w:rsidRPr="00FA2DCD">
        <w:rPr>
          <w:noProof/>
        </w:rPr>
        <w:t>1950;78(1):1-3.</w:t>
      </w:r>
    </w:p>
    <w:p w14:paraId="33AAAEAE" w14:textId="77777777" w:rsidR="00FA2DCD" w:rsidRPr="00FA2DCD" w:rsidRDefault="00FA2DCD" w:rsidP="00CE4D33">
      <w:pPr>
        <w:pStyle w:val="EndNoteBibliography"/>
        <w:spacing w:line="360" w:lineRule="auto"/>
        <w:ind w:left="720" w:hanging="720"/>
        <w:rPr>
          <w:noProof/>
        </w:rPr>
      </w:pPr>
      <w:r w:rsidRPr="00FA2DCD">
        <w:rPr>
          <w:noProof/>
        </w:rPr>
        <w:t>16.</w:t>
      </w:r>
      <w:r w:rsidRPr="00FA2DCD">
        <w:rPr>
          <w:noProof/>
        </w:rPr>
        <w:tab/>
        <w:t xml:space="preserve">Huang Y, Li W, Macheret F, Gabriel RA, Ohno-Machado L. A tutorial on calibration measurements and calibration models for clinical prediction models. </w:t>
      </w:r>
      <w:r w:rsidRPr="00FA2DCD">
        <w:rPr>
          <w:i/>
          <w:noProof/>
        </w:rPr>
        <w:t xml:space="preserve">J Am Med Inform Assoc. </w:t>
      </w:r>
      <w:r w:rsidRPr="00FA2DCD">
        <w:rPr>
          <w:noProof/>
        </w:rPr>
        <w:t>2020;27(4):621-633.</w:t>
      </w:r>
    </w:p>
    <w:p w14:paraId="225E37FA" w14:textId="77777777" w:rsidR="00FA2DCD" w:rsidRPr="00FA2DCD" w:rsidRDefault="00FA2DCD" w:rsidP="00CE4D33">
      <w:pPr>
        <w:pStyle w:val="EndNoteBibliography"/>
        <w:spacing w:line="360" w:lineRule="auto"/>
        <w:ind w:left="720" w:hanging="720"/>
        <w:rPr>
          <w:noProof/>
        </w:rPr>
      </w:pPr>
      <w:r w:rsidRPr="00FA2DCD">
        <w:rPr>
          <w:noProof/>
        </w:rPr>
        <w:t>17.</w:t>
      </w:r>
      <w:r w:rsidRPr="00FA2DCD">
        <w:rPr>
          <w:noProof/>
        </w:rPr>
        <w:tab/>
        <w:t xml:space="preserve">Guo Y, Tian X, Wang X, Xiao Z. Adverse Effects of Immunoglobulin Therapy. </w:t>
      </w:r>
      <w:r w:rsidRPr="00FA2DCD">
        <w:rPr>
          <w:i/>
          <w:noProof/>
        </w:rPr>
        <w:t xml:space="preserve">Front Immunol. </w:t>
      </w:r>
      <w:r w:rsidRPr="00FA2DCD">
        <w:rPr>
          <w:noProof/>
        </w:rPr>
        <w:t>2018;9(JUN):1299.</w:t>
      </w:r>
    </w:p>
    <w:p w14:paraId="0C8D3AC4" w14:textId="77777777" w:rsidR="00FA2DCD" w:rsidRPr="00FA2DCD" w:rsidRDefault="00FA2DCD" w:rsidP="00CE4D33">
      <w:pPr>
        <w:pStyle w:val="EndNoteBibliography"/>
        <w:spacing w:line="360" w:lineRule="auto"/>
        <w:ind w:left="720" w:hanging="720"/>
        <w:rPr>
          <w:noProof/>
        </w:rPr>
      </w:pPr>
      <w:r w:rsidRPr="00FA2DCD">
        <w:rPr>
          <w:noProof/>
        </w:rPr>
        <w:t>18.</w:t>
      </w:r>
      <w:r w:rsidRPr="00FA2DCD">
        <w:rPr>
          <w:noProof/>
        </w:rPr>
        <w:tab/>
        <w:t xml:space="preserve">Ammann EM, Jones MP, Link BK, et al. Intravenous immune globulin and thromboembolic adverse events in patients with hematologic malignancy. </w:t>
      </w:r>
      <w:r w:rsidRPr="00FA2DCD">
        <w:rPr>
          <w:i/>
          <w:noProof/>
        </w:rPr>
        <w:t xml:space="preserve">Blood. </w:t>
      </w:r>
      <w:r w:rsidRPr="00FA2DCD">
        <w:rPr>
          <w:noProof/>
        </w:rPr>
        <w:t>2016;127(2):200-207.</w:t>
      </w:r>
    </w:p>
    <w:p w14:paraId="1EC42262" w14:textId="77777777" w:rsidR="00FA2DCD" w:rsidRPr="00FA2DCD" w:rsidRDefault="00FA2DCD" w:rsidP="00CE4D33">
      <w:pPr>
        <w:pStyle w:val="EndNoteBibliography"/>
        <w:spacing w:line="360" w:lineRule="auto"/>
        <w:ind w:left="720" w:hanging="720"/>
        <w:rPr>
          <w:noProof/>
        </w:rPr>
      </w:pPr>
      <w:r w:rsidRPr="00FA2DCD">
        <w:rPr>
          <w:noProof/>
        </w:rPr>
        <w:t>19.</w:t>
      </w:r>
      <w:r w:rsidRPr="00FA2DCD">
        <w:rPr>
          <w:noProof/>
        </w:rPr>
        <w:tab/>
        <w:t xml:space="preserve">Vucic S, Chong PS, Dawson KT, Cudkowicz M, Cros D. Thromboembolic complications of intravenous immunoglobulin treatment. </w:t>
      </w:r>
      <w:r w:rsidRPr="00FA2DCD">
        <w:rPr>
          <w:i/>
          <w:noProof/>
        </w:rPr>
        <w:t xml:space="preserve">Eur Neurol. </w:t>
      </w:r>
      <w:r w:rsidRPr="00FA2DCD">
        <w:rPr>
          <w:noProof/>
        </w:rPr>
        <w:t>2004;52(3):141-144.</w:t>
      </w:r>
    </w:p>
    <w:p w14:paraId="7A9AA4F4" w14:textId="77777777" w:rsidR="00FA2DCD" w:rsidRPr="00FA2DCD" w:rsidRDefault="00FA2DCD" w:rsidP="00CE4D33">
      <w:pPr>
        <w:pStyle w:val="EndNoteBibliography"/>
        <w:spacing w:line="360" w:lineRule="auto"/>
        <w:ind w:left="720" w:hanging="720"/>
        <w:rPr>
          <w:noProof/>
        </w:rPr>
      </w:pPr>
      <w:r w:rsidRPr="00FA2DCD">
        <w:rPr>
          <w:noProof/>
        </w:rPr>
        <w:t>20.</w:t>
      </w:r>
      <w:r w:rsidRPr="00FA2DCD">
        <w:rPr>
          <w:noProof/>
        </w:rPr>
        <w:tab/>
        <w:t xml:space="preserve">Caress JB, Cartwright MS, Donofrio PD, Peacock JE, Jr. The clinical features of 16 cases of stroke associated with administration of IVIg. </w:t>
      </w:r>
      <w:r w:rsidRPr="00FA2DCD">
        <w:rPr>
          <w:i/>
          <w:noProof/>
        </w:rPr>
        <w:t xml:space="preserve">Neurology. </w:t>
      </w:r>
      <w:r w:rsidRPr="00FA2DCD">
        <w:rPr>
          <w:noProof/>
        </w:rPr>
        <w:t>2003;60(11):1822-1824.</w:t>
      </w:r>
    </w:p>
    <w:p w14:paraId="01906A4E" w14:textId="77777777" w:rsidR="00FA2DCD" w:rsidRPr="00FA2DCD" w:rsidRDefault="00FA2DCD" w:rsidP="00CE4D33">
      <w:pPr>
        <w:pStyle w:val="EndNoteBibliography"/>
        <w:spacing w:line="360" w:lineRule="auto"/>
        <w:ind w:left="720" w:hanging="720"/>
        <w:rPr>
          <w:noProof/>
        </w:rPr>
      </w:pPr>
      <w:r w:rsidRPr="00FA2DCD">
        <w:rPr>
          <w:noProof/>
        </w:rPr>
        <w:t>21.</w:t>
      </w:r>
      <w:r w:rsidRPr="00FA2DCD">
        <w:rPr>
          <w:noProof/>
        </w:rPr>
        <w:tab/>
        <w:t xml:space="preserve">Steinberger BA, Ford SM, Coleman TA. Intravenous immunoglobulin therapy results in post-infusional hyperproteinemia, increased serum viscosity, and pseudohyponatremia. </w:t>
      </w:r>
      <w:r w:rsidRPr="00FA2DCD">
        <w:rPr>
          <w:i/>
          <w:noProof/>
        </w:rPr>
        <w:t xml:space="preserve">Am J Hematol. </w:t>
      </w:r>
      <w:r w:rsidRPr="00FA2DCD">
        <w:rPr>
          <w:noProof/>
        </w:rPr>
        <w:t>2003;73(2):97-100.</w:t>
      </w:r>
    </w:p>
    <w:p w14:paraId="5AEE0AC6" w14:textId="77777777" w:rsidR="00FA2DCD" w:rsidRPr="00FA2DCD" w:rsidRDefault="00FA2DCD" w:rsidP="00CE4D33">
      <w:pPr>
        <w:pStyle w:val="EndNoteBibliography"/>
        <w:spacing w:line="360" w:lineRule="auto"/>
        <w:ind w:left="720" w:hanging="720"/>
        <w:rPr>
          <w:noProof/>
        </w:rPr>
      </w:pPr>
      <w:r w:rsidRPr="00FA2DCD">
        <w:rPr>
          <w:noProof/>
        </w:rPr>
        <w:t>22.</w:t>
      </w:r>
      <w:r w:rsidRPr="00FA2DCD">
        <w:rPr>
          <w:noProof/>
        </w:rPr>
        <w:tab/>
        <w:t xml:space="preserve">Bentley P, Rosso M, Sadnicka A, Israeli-Korn S, Laffan M, Sharma P. Intravenous immunoglobulin increases plasma viscosity without parallel rise in blood pressure. </w:t>
      </w:r>
      <w:r w:rsidRPr="00FA2DCD">
        <w:rPr>
          <w:i/>
          <w:noProof/>
        </w:rPr>
        <w:t xml:space="preserve">J Clin Pharm Ther. </w:t>
      </w:r>
      <w:r w:rsidRPr="00FA2DCD">
        <w:rPr>
          <w:noProof/>
        </w:rPr>
        <w:t>2012;37(3):286-290.</w:t>
      </w:r>
    </w:p>
    <w:p w14:paraId="62437AFF" w14:textId="77777777" w:rsidR="00FA2DCD" w:rsidRPr="00FA2DCD" w:rsidRDefault="00FA2DCD" w:rsidP="00CE4D33">
      <w:pPr>
        <w:pStyle w:val="EndNoteBibliography"/>
        <w:spacing w:line="360" w:lineRule="auto"/>
        <w:ind w:left="720" w:hanging="720"/>
        <w:rPr>
          <w:noProof/>
        </w:rPr>
      </w:pPr>
      <w:r w:rsidRPr="00FA2DCD">
        <w:rPr>
          <w:noProof/>
        </w:rPr>
        <w:t>23.</w:t>
      </w:r>
      <w:r w:rsidRPr="00FA2DCD">
        <w:rPr>
          <w:noProof/>
        </w:rPr>
        <w:tab/>
        <w:t xml:space="preserve">Nguyen A, Repesse Y, Ebbo M, et al. IVIg increases interleukin-11 levels, which in turn contribute to increased platelets, VWF and FVIII in mice and humans. </w:t>
      </w:r>
      <w:r w:rsidRPr="00FA2DCD">
        <w:rPr>
          <w:i/>
          <w:noProof/>
        </w:rPr>
        <w:t xml:space="preserve">Clin Exp Immunol. </w:t>
      </w:r>
      <w:r w:rsidRPr="00FA2DCD">
        <w:rPr>
          <w:noProof/>
        </w:rPr>
        <w:t>2021;204(2):258-266.</w:t>
      </w:r>
    </w:p>
    <w:p w14:paraId="1670F9FA" w14:textId="77777777" w:rsidR="00FA2DCD" w:rsidRPr="00FA2DCD" w:rsidRDefault="00FA2DCD" w:rsidP="00CE4D33">
      <w:pPr>
        <w:pStyle w:val="EndNoteBibliography"/>
        <w:spacing w:line="360" w:lineRule="auto"/>
        <w:ind w:left="720" w:hanging="720"/>
        <w:rPr>
          <w:noProof/>
        </w:rPr>
      </w:pPr>
      <w:r w:rsidRPr="00FA2DCD">
        <w:rPr>
          <w:noProof/>
        </w:rPr>
        <w:t>24.</w:t>
      </w:r>
      <w:r w:rsidRPr="00FA2DCD">
        <w:rPr>
          <w:noProof/>
        </w:rPr>
        <w:tab/>
        <w:t xml:space="preserve">Lapointe BM, Herx LM, Gill V, Metz LM, Kubes P. IVIg therapy in brain inflammation: etiology-dependent differential effects on leucocyte recruitment. </w:t>
      </w:r>
      <w:r w:rsidRPr="00FA2DCD">
        <w:rPr>
          <w:i/>
          <w:noProof/>
        </w:rPr>
        <w:t xml:space="preserve">Brain. </w:t>
      </w:r>
      <w:r w:rsidRPr="00FA2DCD">
        <w:rPr>
          <w:noProof/>
        </w:rPr>
        <w:t>2004;127(Pt 12):2649-2656.</w:t>
      </w:r>
    </w:p>
    <w:p w14:paraId="21939513" w14:textId="77777777" w:rsidR="00FA2DCD" w:rsidRPr="00FA2DCD" w:rsidRDefault="00FA2DCD" w:rsidP="00CE4D33">
      <w:pPr>
        <w:pStyle w:val="EndNoteBibliography"/>
        <w:spacing w:line="360" w:lineRule="auto"/>
        <w:ind w:left="720" w:hanging="720"/>
        <w:rPr>
          <w:noProof/>
        </w:rPr>
      </w:pPr>
      <w:r w:rsidRPr="00FA2DCD">
        <w:rPr>
          <w:noProof/>
        </w:rPr>
        <w:t>25.</w:t>
      </w:r>
      <w:r w:rsidRPr="00FA2DCD">
        <w:rPr>
          <w:noProof/>
        </w:rPr>
        <w:tab/>
        <w:t xml:space="preserve">Vitiello G, Emmi G, Silvestri E, Di Scala G, Palterer B, Parronchi P. Intravenous immunoglobulin therapy: a snapshot for the internist. </w:t>
      </w:r>
      <w:r w:rsidRPr="00FA2DCD">
        <w:rPr>
          <w:i/>
          <w:noProof/>
        </w:rPr>
        <w:t xml:space="preserve">Intern Emerg Med. </w:t>
      </w:r>
      <w:r w:rsidRPr="00FA2DCD">
        <w:rPr>
          <w:noProof/>
        </w:rPr>
        <w:t>2019;14(7):1041-1049.</w:t>
      </w:r>
    </w:p>
    <w:p w14:paraId="3ED9CC56" w14:textId="77777777" w:rsidR="00FA2DCD" w:rsidRPr="00FA2DCD" w:rsidRDefault="00FA2DCD" w:rsidP="00CE4D33">
      <w:pPr>
        <w:pStyle w:val="EndNoteBibliography"/>
        <w:spacing w:line="360" w:lineRule="auto"/>
        <w:ind w:left="720" w:hanging="720"/>
        <w:rPr>
          <w:noProof/>
        </w:rPr>
      </w:pPr>
      <w:r w:rsidRPr="00FA2DCD">
        <w:rPr>
          <w:noProof/>
        </w:rPr>
        <w:lastRenderedPageBreak/>
        <w:t>26.</w:t>
      </w:r>
      <w:r w:rsidRPr="00FA2DCD">
        <w:rPr>
          <w:noProof/>
        </w:rPr>
        <w:tab/>
        <w:t xml:space="preserve">Lunemann JD, Nimmerjahn F, Dalakas MC. Intravenous immunoglobulin in neurology--mode of action and clinical efficacy. </w:t>
      </w:r>
      <w:r w:rsidRPr="00FA2DCD">
        <w:rPr>
          <w:i/>
          <w:noProof/>
        </w:rPr>
        <w:t xml:space="preserve">Nat Rev Neurol. </w:t>
      </w:r>
      <w:r w:rsidRPr="00FA2DCD">
        <w:rPr>
          <w:noProof/>
        </w:rPr>
        <w:t>2015;11(2):80-89.</w:t>
      </w:r>
    </w:p>
    <w:p w14:paraId="776F50CD" w14:textId="77777777" w:rsidR="00FA2DCD" w:rsidRPr="00FA2DCD" w:rsidRDefault="00FA2DCD" w:rsidP="00CE4D33">
      <w:pPr>
        <w:pStyle w:val="EndNoteBibliography"/>
        <w:spacing w:line="360" w:lineRule="auto"/>
        <w:ind w:left="720" w:hanging="720"/>
        <w:rPr>
          <w:noProof/>
        </w:rPr>
      </w:pPr>
      <w:r w:rsidRPr="00FA2DCD">
        <w:rPr>
          <w:noProof/>
        </w:rPr>
        <w:t>27.</w:t>
      </w:r>
      <w:r w:rsidRPr="00FA2DCD">
        <w:rPr>
          <w:noProof/>
        </w:rPr>
        <w:tab/>
        <w:t xml:space="preserve">Bansilal S, Castellano JM, Fuster V. Global burden of CVD: focus on secondary prevention of cardiovascular disease. </w:t>
      </w:r>
      <w:r w:rsidRPr="00FA2DCD">
        <w:rPr>
          <w:i/>
          <w:noProof/>
        </w:rPr>
        <w:t xml:space="preserve">Int J Cardiol. </w:t>
      </w:r>
      <w:r w:rsidRPr="00FA2DCD">
        <w:rPr>
          <w:noProof/>
        </w:rPr>
        <w:t>2015;201 Suppl 1:S1-7.</w:t>
      </w:r>
    </w:p>
    <w:p w14:paraId="414E07D5" w14:textId="77777777" w:rsidR="00FA2DCD" w:rsidRPr="00FA2DCD" w:rsidRDefault="00FA2DCD" w:rsidP="00CE4D33">
      <w:pPr>
        <w:pStyle w:val="EndNoteBibliography"/>
        <w:spacing w:line="360" w:lineRule="auto"/>
        <w:ind w:left="720" w:hanging="720"/>
        <w:rPr>
          <w:noProof/>
        </w:rPr>
      </w:pPr>
      <w:r w:rsidRPr="00FA2DCD">
        <w:rPr>
          <w:noProof/>
        </w:rPr>
        <w:t>28.</w:t>
      </w:r>
      <w:r w:rsidRPr="00FA2DCD">
        <w:rPr>
          <w:noProof/>
        </w:rPr>
        <w:tab/>
        <w:t xml:space="preserve">Kleindorfer DO, Towfighi A, Chaturvedi S, et al. 2021 Guideline for the Prevention of Stroke in Patients With Stroke and Transient Ischemic Attack: A Guideline From the American Heart Association/American Stroke Association. </w:t>
      </w:r>
      <w:r w:rsidRPr="00FA2DCD">
        <w:rPr>
          <w:i/>
          <w:noProof/>
        </w:rPr>
        <w:t xml:space="preserve">Stroke. </w:t>
      </w:r>
      <w:r w:rsidRPr="00FA2DCD">
        <w:rPr>
          <w:noProof/>
        </w:rPr>
        <w:t>2021;52(7):e364-e467.</w:t>
      </w:r>
    </w:p>
    <w:p w14:paraId="734FDE80" w14:textId="77777777" w:rsidR="00FA2DCD" w:rsidRPr="00FA2DCD" w:rsidRDefault="00FA2DCD" w:rsidP="00CE4D33">
      <w:pPr>
        <w:pStyle w:val="EndNoteBibliography"/>
        <w:spacing w:line="360" w:lineRule="auto"/>
        <w:ind w:left="720" w:hanging="720"/>
        <w:rPr>
          <w:noProof/>
        </w:rPr>
      </w:pPr>
      <w:r w:rsidRPr="00FA2DCD">
        <w:rPr>
          <w:noProof/>
        </w:rPr>
        <w:t>29.</w:t>
      </w:r>
      <w:r w:rsidRPr="00FA2DCD">
        <w:rPr>
          <w:noProof/>
        </w:rPr>
        <w:tab/>
        <w:t xml:space="preserve">Roshandel G, Khoshnia M, Poustchi H, et al. Effectiveness of polypill for primary and secondary prevention of cardiovascular diseases (PolyIran): a pragmatic, cluster-randomised trial. </w:t>
      </w:r>
      <w:r w:rsidRPr="00FA2DCD">
        <w:rPr>
          <w:i/>
          <w:noProof/>
        </w:rPr>
        <w:t xml:space="preserve">Lancet. </w:t>
      </w:r>
      <w:r w:rsidRPr="00FA2DCD">
        <w:rPr>
          <w:noProof/>
        </w:rPr>
        <w:t>2019;394(10199):672-683.</w:t>
      </w:r>
    </w:p>
    <w:p w14:paraId="7B334129" w14:textId="77777777" w:rsidR="00FA2DCD" w:rsidRPr="00FA2DCD" w:rsidRDefault="00FA2DCD" w:rsidP="00CE4D33">
      <w:pPr>
        <w:pStyle w:val="EndNoteBibliography"/>
        <w:spacing w:line="360" w:lineRule="auto"/>
        <w:ind w:left="720" w:hanging="720"/>
        <w:rPr>
          <w:noProof/>
        </w:rPr>
      </w:pPr>
      <w:r w:rsidRPr="00FA2DCD">
        <w:rPr>
          <w:noProof/>
        </w:rPr>
        <w:t>30.</w:t>
      </w:r>
      <w:r w:rsidRPr="00FA2DCD">
        <w:rPr>
          <w:noProof/>
        </w:rPr>
        <w:tab/>
        <w:t xml:space="preserve">Iecovich E, Biderman A. Concordance between self-reported and physician-reported chronic co-morbidity among disabled older adults. </w:t>
      </w:r>
      <w:r w:rsidRPr="00FA2DCD">
        <w:rPr>
          <w:i/>
          <w:noProof/>
        </w:rPr>
        <w:t xml:space="preserve">Can J Aging. </w:t>
      </w:r>
      <w:r w:rsidRPr="00FA2DCD">
        <w:rPr>
          <w:noProof/>
        </w:rPr>
        <w:t>2013;32(3):287-297.</w:t>
      </w:r>
    </w:p>
    <w:p w14:paraId="4E89A770" w14:textId="3FA26EF0" w:rsidR="009A5268" w:rsidRDefault="005978DF">
      <w:pPr>
        <w:spacing w:line="360" w:lineRule="auto"/>
        <w:rPr>
          <w:rFonts w:eastAsiaTheme="minorHAnsi"/>
          <w:b/>
          <w:bCs/>
          <w:color w:val="000000" w:themeColor="text1"/>
          <w:lang w:val="en-GB" w:eastAsia="en-US"/>
        </w:rPr>
      </w:pPr>
      <w:r>
        <w:rPr>
          <w:rFonts w:eastAsiaTheme="minorHAnsi"/>
          <w:b/>
          <w:bCs/>
          <w:color w:val="000000" w:themeColor="text1"/>
          <w:lang w:val="en-GB" w:eastAsia="en-US"/>
        </w:rPr>
        <w:fldChar w:fldCharType="end"/>
      </w:r>
    </w:p>
    <w:p w14:paraId="05F5BEB9" w14:textId="1882DF42" w:rsidR="00A10FED" w:rsidRPr="00947F3D" w:rsidRDefault="00A10FED" w:rsidP="00CE4D33">
      <w:pPr>
        <w:spacing w:line="360" w:lineRule="auto"/>
        <w:rPr>
          <w:rFonts w:eastAsiaTheme="minorHAnsi"/>
          <w:b/>
          <w:bCs/>
          <w:color w:val="000000" w:themeColor="text1"/>
          <w:lang w:val="en-GB" w:eastAsia="en-US"/>
        </w:rPr>
      </w:pPr>
    </w:p>
    <w:sectPr w:rsidR="00A10FED" w:rsidRPr="00947F3D" w:rsidSect="00FC019F">
      <w:footerReference w:type="even" r:id="rId8"/>
      <w:footerReference w:type="default" r:id="rId9"/>
      <w:pgSz w:w="11906" w:h="16838"/>
      <w:pgMar w:top="1440" w:right="1394"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99FB25" w16cex:dateUtc="2021-07-14T23:09:00Z"/>
  <w16cex:commentExtensible w16cex:durableId="252B7B26" w16cex:dateUtc="2021-11-01T21:53:00Z"/>
  <w16cex:commentExtensible w16cex:durableId="2458BE65" w16cex:dateUtc="2021-05-26T02:32:00Z"/>
  <w16cex:commentExtensible w16cex:durableId="24974577" w16cex:dateUtc="2021-07-12T21:49:00Z"/>
  <w16cex:commentExtensible w16cex:durableId="251BC77D" w16cex:dateUtc="2021-10-21T10:03:00Z"/>
  <w16cex:commentExtensible w16cex:durableId="2458BFD9" w16cex:dateUtc="2021-05-26T02:38:00Z"/>
  <w16cex:commentExtensible w16cex:durableId="251BC7E7" w16cex:dateUtc="2021-10-21T10:05:00Z"/>
  <w16cex:commentExtensible w16cex:durableId="24F368B4" w16cex:dateUtc="2021-09-16T22:34:00Z"/>
  <w16cex:commentExtensible w16cex:durableId="251BC813" w16cex:dateUtc="2021-10-21T10:05:00Z"/>
  <w16cex:commentExtensible w16cex:durableId="251EBE5D" w16cex:dateUtc="2021-10-23T06:01:00Z"/>
  <w16cex:commentExtensible w16cex:durableId="2523D001" w16cex:dateUtc="2021-05-26T02:38:00Z"/>
  <w16cex:commentExtensible w16cex:durableId="2523D000" w16cex:dateUtc="2021-10-21T10:05:00Z"/>
  <w16cex:commentExtensible w16cex:durableId="2458C0D8" w16cex:dateUtc="2021-05-26T02:43:00Z"/>
  <w16cex:commentExtensible w16cex:durableId="24974692" w16cex:dateUtc="2021-07-12T21:54:00Z"/>
  <w16cex:commentExtensible w16cex:durableId="251BC914" w16cex:dateUtc="2021-10-21T10:10:00Z"/>
  <w16cex:commentExtensible w16cex:durableId="24F368B7" w16cex:dateUtc="2021-09-16T22:32:00Z"/>
  <w16cex:commentExtensible w16cex:durableId="251BC964" w16cex:dateUtc="2021-10-21T10:11:00Z"/>
  <w16cex:commentExtensible w16cex:durableId="251EBE7F" w16cex:dateUtc="2021-10-23T06:01:00Z"/>
  <w16cex:commentExtensible w16cex:durableId="252B8918" w16cex:dateUtc="2021-11-01T22:53:00Z"/>
  <w16cex:commentExtensible w16cex:durableId="252B89F9" w16cex:dateUtc="2021-11-01T22:57:00Z"/>
  <w16cex:commentExtensible w16cex:durableId="251069A9" w16cex:dateUtc="2021-10-12T19:08:00Z"/>
  <w16cex:commentExtensible w16cex:durableId="2525174F" w16cex:dateUtc="2021-10-28T01:34:00Z"/>
  <w16cex:commentExtensible w16cex:durableId="24974EA3" w16cex:dateUtc="2021-07-12T22:28:00Z"/>
  <w16cex:commentExtensible w16cex:durableId="25251582" w16cex:dateUtc="2021-10-28T01:26:00Z"/>
  <w16cex:commentExtensible w16cex:durableId="252B8437" w16cex:dateUtc="2021-11-01T22:32:00Z"/>
  <w16cex:commentExtensible w16cex:durableId="252B88F4" w16cex:dateUtc="2021-11-01T22:52:00Z"/>
  <w16cex:commentExtensible w16cex:durableId="25106E53" w16cex:dateUtc="2021-10-12T19:28:00Z"/>
  <w16cex:commentExtensible w16cex:durableId="24F36F4B" w16cex:dateUtc="2021-09-20T19:36:00Z"/>
  <w16cex:commentExtensible w16cex:durableId="250F3F58" w16cex:dateUtc="2021-10-11T21:55:00Z"/>
  <w16cex:commentExtensible w16cex:durableId="251BD2A8" w16cex:dateUtc="2021-10-21T10:51:00Z"/>
  <w16cex:commentExtensible w16cex:durableId="251EC189" w16cex:dateUtc="2021-10-23T06:14:00Z"/>
  <w16cex:commentExtensible w16cex:durableId="24DCC4E5" w16cex:dateUtc="2021-09-03T05:59:00Z"/>
  <w16cex:commentExtensible w16cex:durableId="24DCC4D1" w16cex:dateUtc="2021-09-03T05:59:00Z"/>
  <w16cex:commentExtensible w16cex:durableId="250F40CE" w16cex:dateUtc="2021-10-11T22:01:00Z"/>
  <w16cex:commentExtensible w16cex:durableId="25106F7F" w16cex:dateUtc="2021-10-12T19:33:00Z"/>
  <w16cex:commentExtensible w16cex:durableId="251EC6EF" w16cex:dateUtc="2021-10-23T06:37:00Z"/>
  <w16cex:commentExtensible w16cex:durableId="251BD495" w16cex:dateUtc="2021-10-21T10:59:00Z"/>
  <w16cex:commentExtensible w16cex:durableId="251EC707" w16cex:dateUtc="2021-10-23T06:38:00Z"/>
  <w16cex:commentExtensible w16cex:durableId="251EC94C" w16cex:dateUtc="2021-10-21T10:32:00Z"/>
  <w16cex:commentExtensible w16cex:durableId="251EC94B" w16cex:dateUtc="2021-10-23T06:42:00Z"/>
  <w16cex:commentExtensible w16cex:durableId="251EC94A" w16cex:dateUtc="2021-10-23T06:46:00Z"/>
  <w16cex:commentExtensible w16cex:durableId="252B7CAB" w16cex:dateUtc="2021-11-01T22:00:00Z"/>
  <w16cex:commentExtensible w16cex:durableId="252B808D" w16cex:dateUtc="2021-11-01T22:17:00Z"/>
  <w16cex:commentExtensible w16cex:durableId="252B7F6A" w16cex:dateUtc="2021-11-01T22:12:00Z"/>
  <w16cex:commentExtensible w16cex:durableId="24DCBE3F" w16cex:dateUtc="2021-09-03T05:31:00Z"/>
  <w16cex:commentExtensible w16cex:durableId="24DCC638" w16cex:dateUtc="2021-09-03T06:05:00Z"/>
  <w16cex:commentExtensible w16cex:durableId="24DCC65E" w16cex:dateUtc="2021-09-03T06:05:00Z"/>
  <w16cex:commentExtensible w16cex:durableId="252B89B8" w16cex:dateUtc="2021-11-01T22:5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E4BABB" w14:textId="77777777" w:rsidR="00CE4D33" w:rsidRDefault="00CE4D33" w:rsidP="00565CEB">
      <w:r>
        <w:separator/>
      </w:r>
    </w:p>
  </w:endnote>
  <w:endnote w:type="continuationSeparator" w:id="0">
    <w:p w14:paraId="0C2274D2" w14:textId="77777777" w:rsidR="00CE4D33" w:rsidRDefault="00CE4D33" w:rsidP="00565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00212764"/>
      <w:docPartObj>
        <w:docPartGallery w:val="Page Numbers (Bottom of Page)"/>
        <w:docPartUnique/>
      </w:docPartObj>
    </w:sdtPr>
    <w:sdtContent>
      <w:p w14:paraId="268BC07B" w14:textId="4A79D06C" w:rsidR="00CE4D33" w:rsidRDefault="00CE4D33" w:rsidP="00D901E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F9AF3E6" w14:textId="77777777" w:rsidR="00CE4D33" w:rsidRDefault="00CE4D33" w:rsidP="00D901E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sz w:val="20"/>
        <w:szCs w:val="20"/>
      </w:rPr>
      <w:id w:val="-1710952892"/>
      <w:docPartObj>
        <w:docPartGallery w:val="Page Numbers (Bottom of Page)"/>
        <w:docPartUnique/>
      </w:docPartObj>
    </w:sdtPr>
    <w:sdtContent>
      <w:p w14:paraId="37694F57" w14:textId="35245294" w:rsidR="00CE4D33" w:rsidRPr="00D901E9" w:rsidRDefault="00CE4D33" w:rsidP="00D901E9">
        <w:pPr>
          <w:pStyle w:val="Footer"/>
          <w:framePr w:wrap="none" w:vAnchor="text" w:hAnchor="margin" w:xAlign="right" w:y="1"/>
          <w:rPr>
            <w:rStyle w:val="PageNumber"/>
            <w:sz w:val="20"/>
            <w:szCs w:val="20"/>
          </w:rPr>
        </w:pPr>
        <w:r w:rsidRPr="00D901E9">
          <w:rPr>
            <w:rStyle w:val="PageNumber"/>
            <w:sz w:val="20"/>
            <w:szCs w:val="20"/>
          </w:rPr>
          <w:fldChar w:fldCharType="begin"/>
        </w:r>
        <w:r w:rsidRPr="00D901E9">
          <w:rPr>
            <w:rStyle w:val="PageNumber"/>
            <w:sz w:val="20"/>
            <w:szCs w:val="20"/>
          </w:rPr>
          <w:instrText xml:space="preserve"> PAGE </w:instrText>
        </w:r>
        <w:r w:rsidRPr="00D901E9">
          <w:rPr>
            <w:rStyle w:val="PageNumber"/>
            <w:sz w:val="20"/>
            <w:szCs w:val="20"/>
          </w:rPr>
          <w:fldChar w:fldCharType="separate"/>
        </w:r>
        <w:r>
          <w:rPr>
            <w:rStyle w:val="PageNumber"/>
            <w:noProof/>
            <w:sz w:val="20"/>
            <w:szCs w:val="20"/>
          </w:rPr>
          <w:t>1</w:t>
        </w:r>
        <w:r w:rsidRPr="00D901E9">
          <w:rPr>
            <w:rStyle w:val="PageNumber"/>
            <w:sz w:val="20"/>
            <w:szCs w:val="20"/>
          </w:rPr>
          <w:fldChar w:fldCharType="end"/>
        </w:r>
      </w:p>
    </w:sdtContent>
  </w:sdt>
  <w:p w14:paraId="3E0A97AB" w14:textId="77777777" w:rsidR="00CE4D33" w:rsidRPr="00D901E9" w:rsidRDefault="00CE4D33" w:rsidP="00D901E9">
    <w:pPr>
      <w:pStyle w:val="Footer"/>
      <w:ind w:right="36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20E556" w14:textId="77777777" w:rsidR="00CE4D33" w:rsidRDefault="00CE4D33" w:rsidP="00565CEB">
      <w:r>
        <w:separator/>
      </w:r>
    </w:p>
  </w:footnote>
  <w:footnote w:type="continuationSeparator" w:id="0">
    <w:p w14:paraId="53B78F9D" w14:textId="77777777" w:rsidR="00CE4D33" w:rsidRDefault="00CE4D33" w:rsidP="00565C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459FE"/>
    <w:multiLevelType w:val="multilevel"/>
    <w:tmpl w:val="435EB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8F7CB3"/>
    <w:multiLevelType w:val="hybridMultilevel"/>
    <w:tmpl w:val="A31283C0"/>
    <w:lvl w:ilvl="0" w:tplc="08090001">
      <w:start w:val="16"/>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926B6A"/>
    <w:multiLevelType w:val="hybridMultilevel"/>
    <w:tmpl w:val="43AC9900"/>
    <w:lvl w:ilvl="0" w:tplc="01CADED6">
      <w:start w:val="9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155093"/>
    <w:multiLevelType w:val="multilevel"/>
    <w:tmpl w:val="DC02E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EB4066"/>
    <w:multiLevelType w:val="hybridMultilevel"/>
    <w:tmpl w:val="846ED1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290ED5"/>
    <w:multiLevelType w:val="multilevel"/>
    <w:tmpl w:val="5E5A1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1EE2791"/>
    <w:multiLevelType w:val="hybridMultilevel"/>
    <w:tmpl w:val="63A2DBD0"/>
    <w:lvl w:ilvl="0" w:tplc="01CADED6">
      <w:start w:val="9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364D88"/>
    <w:multiLevelType w:val="hybridMultilevel"/>
    <w:tmpl w:val="D7928A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E6F55AB"/>
    <w:multiLevelType w:val="hybridMultilevel"/>
    <w:tmpl w:val="86DACF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2"/>
  </w:num>
  <w:num w:numId="5">
    <w:abstractNumId w:val="5"/>
  </w:num>
  <w:num w:numId="6">
    <w:abstractNumId w:val="1"/>
  </w:num>
  <w:num w:numId="7">
    <w:abstractNumId w:val="7"/>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0&lt;/Enabled&gt;&lt;ScanUnformatted&gt;1&lt;/ScanUnformatted&gt;&lt;ScanChanges&gt;1&lt;/ScanChanges&gt;&lt;Suspended&gt;1&lt;/Suspended&gt;&lt;/ENInstantFormat&gt;"/>
    <w:docVar w:name="EN.Layout" w:val="&lt;ENLayout&gt;&lt;Style&gt;JAMA&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pzfzppefd2ew9ez2v0pws9hva9sear9wpf9&quot;&gt;My EndNote Library&lt;record-ids&gt;&lt;item&gt;100&lt;/item&gt;&lt;item&gt;245&lt;/item&gt;&lt;item&gt;443&lt;/item&gt;&lt;item&gt;5714&lt;/item&gt;&lt;item&gt;6571&lt;/item&gt;&lt;item&gt;6576&lt;/item&gt;&lt;item&gt;6767&lt;/item&gt;&lt;item&gt;6795&lt;/item&gt;&lt;item&gt;6851&lt;/item&gt;&lt;item&gt;8618&lt;/item&gt;&lt;item&gt;8673&lt;/item&gt;&lt;item&gt;8768&lt;/item&gt;&lt;item&gt;8776&lt;/item&gt;&lt;item&gt;8805&lt;/item&gt;&lt;item&gt;8830&lt;/item&gt;&lt;item&gt;8832&lt;/item&gt;&lt;item&gt;8864&lt;/item&gt;&lt;item&gt;9010&lt;/item&gt;&lt;item&gt;9035&lt;/item&gt;&lt;item&gt;9050&lt;/item&gt;&lt;item&gt;9072&lt;/item&gt;&lt;item&gt;9149&lt;/item&gt;&lt;item&gt;12829&lt;/item&gt;&lt;item&gt;12835&lt;/item&gt;&lt;item&gt;12836&lt;/item&gt;&lt;item&gt;12841&lt;/item&gt;&lt;item&gt;12876&lt;/item&gt;&lt;item&gt;13068&lt;/item&gt;&lt;item&gt;13071&lt;/item&gt;&lt;item&gt;13072&lt;/item&gt;&lt;/record-ids&gt;&lt;/item&gt;&lt;/Libraries&gt;"/>
  </w:docVars>
  <w:rsids>
    <w:rsidRoot w:val="00E016FF"/>
    <w:rsid w:val="00003D49"/>
    <w:rsid w:val="00004954"/>
    <w:rsid w:val="0000507E"/>
    <w:rsid w:val="000066F0"/>
    <w:rsid w:val="00011CA1"/>
    <w:rsid w:val="000144D1"/>
    <w:rsid w:val="00016148"/>
    <w:rsid w:val="0001637D"/>
    <w:rsid w:val="000225C7"/>
    <w:rsid w:val="00023793"/>
    <w:rsid w:val="00024B4F"/>
    <w:rsid w:val="00024E35"/>
    <w:rsid w:val="000308C9"/>
    <w:rsid w:val="0003132F"/>
    <w:rsid w:val="00032424"/>
    <w:rsid w:val="0003260F"/>
    <w:rsid w:val="000341D3"/>
    <w:rsid w:val="00034D1D"/>
    <w:rsid w:val="00034DD0"/>
    <w:rsid w:val="0003683F"/>
    <w:rsid w:val="00036C2F"/>
    <w:rsid w:val="000372E8"/>
    <w:rsid w:val="0004257D"/>
    <w:rsid w:val="00042588"/>
    <w:rsid w:val="00045490"/>
    <w:rsid w:val="0005063A"/>
    <w:rsid w:val="00052919"/>
    <w:rsid w:val="00053784"/>
    <w:rsid w:val="00055BFB"/>
    <w:rsid w:val="000563F0"/>
    <w:rsid w:val="00056FD4"/>
    <w:rsid w:val="00057297"/>
    <w:rsid w:val="0005732B"/>
    <w:rsid w:val="00060BA1"/>
    <w:rsid w:val="000676F7"/>
    <w:rsid w:val="000717BF"/>
    <w:rsid w:val="00072421"/>
    <w:rsid w:val="0007283B"/>
    <w:rsid w:val="00075F96"/>
    <w:rsid w:val="000763D2"/>
    <w:rsid w:val="00077D1E"/>
    <w:rsid w:val="00087941"/>
    <w:rsid w:val="000919C0"/>
    <w:rsid w:val="000959BA"/>
    <w:rsid w:val="00095BF7"/>
    <w:rsid w:val="00096751"/>
    <w:rsid w:val="00096D2B"/>
    <w:rsid w:val="000971B8"/>
    <w:rsid w:val="0009722F"/>
    <w:rsid w:val="000975F3"/>
    <w:rsid w:val="000A2C4F"/>
    <w:rsid w:val="000A58BF"/>
    <w:rsid w:val="000B0278"/>
    <w:rsid w:val="000B2156"/>
    <w:rsid w:val="000B2320"/>
    <w:rsid w:val="000B2D37"/>
    <w:rsid w:val="000B33F5"/>
    <w:rsid w:val="000B54F0"/>
    <w:rsid w:val="000C1A0B"/>
    <w:rsid w:val="000C2DFC"/>
    <w:rsid w:val="000C446C"/>
    <w:rsid w:val="000C54ED"/>
    <w:rsid w:val="000C652A"/>
    <w:rsid w:val="000D1F6A"/>
    <w:rsid w:val="000D1FDA"/>
    <w:rsid w:val="000D6BA1"/>
    <w:rsid w:val="000D7553"/>
    <w:rsid w:val="000D7AAB"/>
    <w:rsid w:val="000E09FE"/>
    <w:rsid w:val="000E0D76"/>
    <w:rsid w:val="000E2886"/>
    <w:rsid w:val="000E725C"/>
    <w:rsid w:val="000F02A1"/>
    <w:rsid w:val="000F4F38"/>
    <w:rsid w:val="0010035E"/>
    <w:rsid w:val="00101F4A"/>
    <w:rsid w:val="00103A1A"/>
    <w:rsid w:val="0010446F"/>
    <w:rsid w:val="001117C6"/>
    <w:rsid w:val="00111BB8"/>
    <w:rsid w:val="001122DC"/>
    <w:rsid w:val="0011371E"/>
    <w:rsid w:val="001137B6"/>
    <w:rsid w:val="00114E20"/>
    <w:rsid w:val="0012185B"/>
    <w:rsid w:val="001269D3"/>
    <w:rsid w:val="0012707C"/>
    <w:rsid w:val="00127932"/>
    <w:rsid w:val="00131800"/>
    <w:rsid w:val="00131F1D"/>
    <w:rsid w:val="00132526"/>
    <w:rsid w:val="00134BBC"/>
    <w:rsid w:val="00134E77"/>
    <w:rsid w:val="00140048"/>
    <w:rsid w:val="00141FA9"/>
    <w:rsid w:val="00143240"/>
    <w:rsid w:val="00143503"/>
    <w:rsid w:val="001437FF"/>
    <w:rsid w:val="00144C0D"/>
    <w:rsid w:val="00150DCF"/>
    <w:rsid w:val="001525AD"/>
    <w:rsid w:val="00155943"/>
    <w:rsid w:val="00157F72"/>
    <w:rsid w:val="00160896"/>
    <w:rsid w:val="00160DE7"/>
    <w:rsid w:val="0016208E"/>
    <w:rsid w:val="001642C1"/>
    <w:rsid w:val="0016605D"/>
    <w:rsid w:val="00167F50"/>
    <w:rsid w:val="00172710"/>
    <w:rsid w:val="00172D29"/>
    <w:rsid w:val="0017329A"/>
    <w:rsid w:val="0017358D"/>
    <w:rsid w:val="00174407"/>
    <w:rsid w:val="001751B9"/>
    <w:rsid w:val="00175AAB"/>
    <w:rsid w:val="0018244B"/>
    <w:rsid w:val="0018295E"/>
    <w:rsid w:val="0018480B"/>
    <w:rsid w:val="001850F2"/>
    <w:rsid w:val="00190371"/>
    <w:rsid w:val="00192410"/>
    <w:rsid w:val="00192A5D"/>
    <w:rsid w:val="00194D65"/>
    <w:rsid w:val="001961BA"/>
    <w:rsid w:val="001971F1"/>
    <w:rsid w:val="001A7CB9"/>
    <w:rsid w:val="001B07A9"/>
    <w:rsid w:val="001B0B40"/>
    <w:rsid w:val="001B2464"/>
    <w:rsid w:val="001B586D"/>
    <w:rsid w:val="001B5940"/>
    <w:rsid w:val="001C01B6"/>
    <w:rsid w:val="001C05E2"/>
    <w:rsid w:val="001C07D8"/>
    <w:rsid w:val="001C11A0"/>
    <w:rsid w:val="001C1636"/>
    <w:rsid w:val="001C1E17"/>
    <w:rsid w:val="001C29FF"/>
    <w:rsid w:val="001C3619"/>
    <w:rsid w:val="001C5C48"/>
    <w:rsid w:val="001D04A1"/>
    <w:rsid w:val="001D0C77"/>
    <w:rsid w:val="001D28DC"/>
    <w:rsid w:val="001D29CA"/>
    <w:rsid w:val="001D3263"/>
    <w:rsid w:val="001D4D28"/>
    <w:rsid w:val="001E0ABE"/>
    <w:rsid w:val="001E2BCD"/>
    <w:rsid w:val="001E59C0"/>
    <w:rsid w:val="001F196F"/>
    <w:rsid w:val="001F42EF"/>
    <w:rsid w:val="002003C6"/>
    <w:rsid w:val="00200E79"/>
    <w:rsid w:val="00201824"/>
    <w:rsid w:val="00202D77"/>
    <w:rsid w:val="002033D2"/>
    <w:rsid w:val="00204101"/>
    <w:rsid w:val="002050C2"/>
    <w:rsid w:val="00206F09"/>
    <w:rsid w:val="00211045"/>
    <w:rsid w:val="002122D0"/>
    <w:rsid w:val="0021640C"/>
    <w:rsid w:val="002171B8"/>
    <w:rsid w:val="00217A97"/>
    <w:rsid w:val="00217DA4"/>
    <w:rsid w:val="00220E61"/>
    <w:rsid w:val="0022634B"/>
    <w:rsid w:val="002266ED"/>
    <w:rsid w:val="0023616C"/>
    <w:rsid w:val="002408F2"/>
    <w:rsid w:val="00240AAF"/>
    <w:rsid w:val="00241C39"/>
    <w:rsid w:val="002454B9"/>
    <w:rsid w:val="00246A09"/>
    <w:rsid w:val="00246AA1"/>
    <w:rsid w:val="00250AD2"/>
    <w:rsid w:val="00251855"/>
    <w:rsid w:val="002522CE"/>
    <w:rsid w:val="00252B83"/>
    <w:rsid w:val="00256799"/>
    <w:rsid w:val="00257045"/>
    <w:rsid w:val="00263515"/>
    <w:rsid w:val="002718D1"/>
    <w:rsid w:val="002722EE"/>
    <w:rsid w:val="00272345"/>
    <w:rsid w:val="00273485"/>
    <w:rsid w:val="00273BED"/>
    <w:rsid w:val="002743ED"/>
    <w:rsid w:val="0027444C"/>
    <w:rsid w:val="00274CDD"/>
    <w:rsid w:val="002771B1"/>
    <w:rsid w:val="002775C1"/>
    <w:rsid w:val="00284C29"/>
    <w:rsid w:val="00284F49"/>
    <w:rsid w:val="002856E7"/>
    <w:rsid w:val="0028654B"/>
    <w:rsid w:val="0028659A"/>
    <w:rsid w:val="00286F39"/>
    <w:rsid w:val="00292B4A"/>
    <w:rsid w:val="0029542B"/>
    <w:rsid w:val="00295898"/>
    <w:rsid w:val="00296770"/>
    <w:rsid w:val="002A1B31"/>
    <w:rsid w:val="002A2F0D"/>
    <w:rsid w:val="002A6BDA"/>
    <w:rsid w:val="002B117F"/>
    <w:rsid w:val="002B1F26"/>
    <w:rsid w:val="002B295D"/>
    <w:rsid w:val="002B51CB"/>
    <w:rsid w:val="002B5841"/>
    <w:rsid w:val="002B59FC"/>
    <w:rsid w:val="002B5FEC"/>
    <w:rsid w:val="002B60AC"/>
    <w:rsid w:val="002C224B"/>
    <w:rsid w:val="002C2A7A"/>
    <w:rsid w:val="002C3CA9"/>
    <w:rsid w:val="002C505B"/>
    <w:rsid w:val="002C63D8"/>
    <w:rsid w:val="002D0ACF"/>
    <w:rsid w:val="002D2547"/>
    <w:rsid w:val="002D2D1B"/>
    <w:rsid w:val="002D52AA"/>
    <w:rsid w:val="002D79E8"/>
    <w:rsid w:val="002D7FD7"/>
    <w:rsid w:val="002E0EAB"/>
    <w:rsid w:val="002E1400"/>
    <w:rsid w:val="002E5F0E"/>
    <w:rsid w:val="002F099A"/>
    <w:rsid w:val="002F0B46"/>
    <w:rsid w:val="002F0D6E"/>
    <w:rsid w:val="002F19DB"/>
    <w:rsid w:val="002F7D52"/>
    <w:rsid w:val="0030252F"/>
    <w:rsid w:val="003026EB"/>
    <w:rsid w:val="003034D0"/>
    <w:rsid w:val="003052E9"/>
    <w:rsid w:val="00306848"/>
    <w:rsid w:val="0031558A"/>
    <w:rsid w:val="003209AC"/>
    <w:rsid w:val="00326311"/>
    <w:rsid w:val="00327E7C"/>
    <w:rsid w:val="00330345"/>
    <w:rsid w:val="00331BA4"/>
    <w:rsid w:val="00333B6F"/>
    <w:rsid w:val="00333B80"/>
    <w:rsid w:val="0034033E"/>
    <w:rsid w:val="0034276F"/>
    <w:rsid w:val="0034464E"/>
    <w:rsid w:val="00350B67"/>
    <w:rsid w:val="00353682"/>
    <w:rsid w:val="00354D85"/>
    <w:rsid w:val="003566C0"/>
    <w:rsid w:val="00356957"/>
    <w:rsid w:val="0035718F"/>
    <w:rsid w:val="0036048A"/>
    <w:rsid w:val="0036150D"/>
    <w:rsid w:val="00363C45"/>
    <w:rsid w:val="00365E88"/>
    <w:rsid w:val="0036663C"/>
    <w:rsid w:val="003710C5"/>
    <w:rsid w:val="00371454"/>
    <w:rsid w:val="0037251D"/>
    <w:rsid w:val="00372649"/>
    <w:rsid w:val="00373E07"/>
    <w:rsid w:val="00375580"/>
    <w:rsid w:val="00381558"/>
    <w:rsid w:val="0038395D"/>
    <w:rsid w:val="00383F60"/>
    <w:rsid w:val="00387A91"/>
    <w:rsid w:val="0039033F"/>
    <w:rsid w:val="00390E9F"/>
    <w:rsid w:val="003910A5"/>
    <w:rsid w:val="00392342"/>
    <w:rsid w:val="00395CC1"/>
    <w:rsid w:val="003962A4"/>
    <w:rsid w:val="00396F86"/>
    <w:rsid w:val="00397B3F"/>
    <w:rsid w:val="00397C2B"/>
    <w:rsid w:val="003A3842"/>
    <w:rsid w:val="003A477C"/>
    <w:rsid w:val="003A50CE"/>
    <w:rsid w:val="003A60A1"/>
    <w:rsid w:val="003B27A3"/>
    <w:rsid w:val="003B2EA8"/>
    <w:rsid w:val="003B37B2"/>
    <w:rsid w:val="003B4CE7"/>
    <w:rsid w:val="003B4DB1"/>
    <w:rsid w:val="003B51BF"/>
    <w:rsid w:val="003C0A73"/>
    <w:rsid w:val="003C35B6"/>
    <w:rsid w:val="003C3A6B"/>
    <w:rsid w:val="003C3E90"/>
    <w:rsid w:val="003C6099"/>
    <w:rsid w:val="003C6BCE"/>
    <w:rsid w:val="003D2352"/>
    <w:rsid w:val="003E1334"/>
    <w:rsid w:val="003E5AF8"/>
    <w:rsid w:val="003E5C6E"/>
    <w:rsid w:val="003E748C"/>
    <w:rsid w:val="003E7B14"/>
    <w:rsid w:val="003F033B"/>
    <w:rsid w:val="003F1726"/>
    <w:rsid w:val="003F22FA"/>
    <w:rsid w:val="003F3FFB"/>
    <w:rsid w:val="003F4B1C"/>
    <w:rsid w:val="003F61E9"/>
    <w:rsid w:val="003F68CF"/>
    <w:rsid w:val="003F6D6B"/>
    <w:rsid w:val="003F73A6"/>
    <w:rsid w:val="00401199"/>
    <w:rsid w:val="00405E61"/>
    <w:rsid w:val="00406DF7"/>
    <w:rsid w:val="00416337"/>
    <w:rsid w:val="00416A5B"/>
    <w:rsid w:val="00420912"/>
    <w:rsid w:val="00420C1E"/>
    <w:rsid w:val="004223D4"/>
    <w:rsid w:val="00430D58"/>
    <w:rsid w:val="00431ED4"/>
    <w:rsid w:val="00432A59"/>
    <w:rsid w:val="004336F7"/>
    <w:rsid w:val="00435DE6"/>
    <w:rsid w:val="0043614D"/>
    <w:rsid w:val="0043685A"/>
    <w:rsid w:val="004369B1"/>
    <w:rsid w:val="00436F27"/>
    <w:rsid w:val="004405BE"/>
    <w:rsid w:val="00441BCF"/>
    <w:rsid w:val="00446818"/>
    <w:rsid w:val="0044766D"/>
    <w:rsid w:val="00452256"/>
    <w:rsid w:val="004523B2"/>
    <w:rsid w:val="00453105"/>
    <w:rsid w:val="00456E27"/>
    <w:rsid w:val="0046017A"/>
    <w:rsid w:val="00461D22"/>
    <w:rsid w:val="00463996"/>
    <w:rsid w:val="00465087"/>
    <w:rsid w:val="004666E2"/>
    <w:rsid w:val="004678DF"/>
    <w:rsid w:val="00470504"/>
    <w:rsid w:val="0047068D"/>
    <w:rsid w:val="004739CD"/>
    <w:rsid w:val="00475A3C"/>
    <w:rsid w:val="00475B9C"/>
    <w:rsid w:val="0047707C"/>
    <w:rsid w:val="00477B8A"/>
    <w:rsid w:val="004807FB"/>
    <w:rsid w:val="0048370F"/>
    <w:rsid w:val="00484A15"/>
    <w:rsid w:val="00486957"/>
    <w:rsid w:val="00486B06"/>
    <w:rsid w:val="004876EF"/>
    <w:rsid w:val="00491C20"/>
    <w:rsid w:val="004924BA"/>
    <w:rsid w:val="00492A77"/>
    <w:rsid w:val="00494751"/>
    <w:rsid w:val="00497C8A"/>
    <w:rsid w:val="004A09AB"/>
    <w:rsid w:val="004A20F8"/>
    <w:rsid w:val="004A441F"/>
    <w:rsid w:val="004A523E"/>
    <w:rsid w:val="004A62D9"/>
    <w:rsid w:val="004A65D3"/>
    <w:rsid w:val="004B3B45"/>
    <w:rsid w:val="004B4639"/>
    <w:rsid w:val="004B5481"/>
    <w:rsid w:val="004C6FEC"/>
    <w:rsid w:val="004D0A4B"/>
    <w:rsid w:val="004D0AE6"/>
    <w:rsid w:val="004D1EA1"/>
    <w:rsid w:val="004D28B4"/>
    <w:rsid w:val="004D458C"/>
    <w:rsid w:val="004D4A3C"/>
    <w:rsid w:val="004D4CD9"/>
    <w:rsid w:val="004D6736"/>
    <w:rsid w:val="004E2FD7"/>
    <w:rsid w:val="004E3BE4"/>
    <w:rsid w:val="004E47D8"/>
    <w:rsid w:val="004E4BB3"/>
    <w:rsid w:val="004E7198"/>
    <w:rsid w:val="004E780E"/>
    <w:rsid w:val="004F0E21"/>
    <w:rsid w:val="004F29A5"/>
    <w:rsid w:val="004F2DA3"/>
    <w:rsid w:val="004F3AB6"/>
    <w:rsid w:val="004F55A2"/>
    <w:rsid w:val="004F5EF9"/>
    <w:rsid w:val="004F7008"/>
    <w:rsid w:val="004F707F"/>
    <w:rsid w:val="004F7A27"/>
    <w:rsid w:val="004F7FB2"/>
    <w:rsid w:val="0050139F"/>
    <w:rsid w:val="00503736"/>
    <w:rsid w:val="005044F0"/>
    <w:rsid w:val="00504584"/>
    <w:rsid w:val="00504F12"/>
    <w:rsid w:val="00510E7C"/>
    <w:rsid w:val="0051153E"/>
    <w:rsid w:val="00513AFF"/>
    <w:rsid w:val="00515093"/>
    <w:rsid w:val="0052112E"/>
    <w:rsid w:val="00521AE5"/>
    <w:rsid w:val="00521BE6"/>
    <w:rsid w:val="00522F6A"/>
    <w:rsid w:val="005307DD"/>
    <w:rsid w:val="005309E8"/>
    <w:rsid w:val="00531389"/>
    <w:rsid w:val="00532426"/>
    <w:rsid w:val="00532F1C"/>
    <w:rsid w:val="0053511B"/>
    <w:rsid w:val="00536103"/>
    <w:rsid w:val="00543710"/>
    <w:rsid w:val="00547B12"/>
    <w:rsid w:val="0055256A"/>
    <w:rsid w:val="00552684"/>
    <w:rsid w:val="00554B45"/>
    <w:rsid w:val="00556726"/>
    <w:rsid w:val="00556A50"/>
    <w:rsid w:val="0055716A"/>
    <w:rsid w:val="00561805"/>
    <w:rsid w:val="0056204D"/>
    <w:rsid w:val="005652B4"/>
    <w:rsid w:val="00565CEB"/>
    <w:rsid w:val="00567902"/>
    <w:rsid w:val="00571F44"/>
    <w:rsid w:val="005730B3"/>
    <w:rsid w:val="00573164"/>
    <w:rsid w:val="00574643"/>
    <w:rsid w:val="00575530"/>
    <w:rsid w:val="0057571F"/>
    <w:rsid w:val="00576E5D"/>
    <w:rsid w:val="00584A34"/>
    <w:rsid w:val="0058562D"/>
    <w:rsid w:val="005862CE"/>
    <w:rsid w:val="00587D28"/>
    <w:rsid w:val="00590080"/>
    <w:rsid w:val="005910BE"/>
    <w:rsid w:val="0059277E"/>
    <w:rsid w:val="00593514"/>
    <w:rsid w:val="005940C1"/>
    <w:rsid w:val="0059531C"/>
    <w:rsid w:val="005978DF"/>
    <w:rsid w:val="005A39A1"/>
    <w:rsid w:val="005A4EAD"/>
    <w:rsid w:val="005B0906"/>
    <w:rsid w:val="005B28D1"/>
    <w:rsid w:val="005B35C2"/>
    <w:rsid w:val="005B689B"/>
    <w:rsid w:val="005B6C20"/>
    <w:rsid w:val="005B6DA7"/>
    <w:rsid w:val="005C0657"/>
    <w:rsid w:val="005C7870"/>
    <w:rsid w:val="005C7F83"/>
    <w:rsid w:val="005D2E68"/>
    <w:rsid w:val="005D434B"/>
    <w:rsid w:val="005D5702"/>
    <w:rsid w:val="005D645A"/>
    <w:rsid w:val="005D7492"/>
    <w:rsid w:val="005E0882"/>
    <w:rsid w:val="005E2DFA"/>
    <w:rsid w:val="005E3D85"/>
    <w:rsid w:val="005E626C"/>
    <w:rsid w:val="005E66BF"/>
    <w:rsid w:val="005E7B98"/>
    <w:rsid w:val="005F1D18"/>
    <w:rsid w:val="005F5173"/>
    <w:rsid w:val="005F5A8D"/>
    <w:rsid w:val="005F5FAE"/>
    <w:rsid w:val="005F6B07"/>
    <w:rsid w:val="005F6EFF"/>
    <w:rsid w:val="00600693"/>
    <w:rsid w:val="00601332"/>
    <w:rsid w:val="0060172D"/>
    <w:rsid w:val="00603A94"/>
    <w:rsid w:val="006048C7"/>
    <w:rsid w:val="00605614"/>
    <w:rsid w:val="00607C1C"/>
    <w:rsid w:val="00610B79"/>
    <w:rsid w:val="006112B4"/>
    <w:rsid w:val="006141B6"/>
    <w:rsid w:val="00614B1D"/>
    <w:rsid w:val="0061650C"/>
    <w:rsid w:val="00616F37"/>
    <w:rsid w:val="006217A7"/>
    <w:rsid w:val="00621CFA"/>
    <w:rsid w:val="006265B4"/>
    <w:rsid w:val="00626DCF"/>
    <w:rsid w:val="00630F73"/>
    <w:rsid w:val="006311F5"/>
    <w:rsid w:val="006314F5"/>
    <w:rsid w:val="006316BF"/>
    <w:rsid w:val="00635EBB"/>
    <w:rsid w:val="0063608D"/>
    <w:rsid w:val="0064065A"/>
    <w:rsid w:val="006454AC"/>
    <w:rsid w:val="00646621"/>
    <w:rsid w:val="00661D7A"/>
    <w:rsid w:val="00661DC2"/>
    <w:rsid w:val="00664843"/>
    <w:rsid w:val="00671DA3"/>
    <w:rsid w:val="00673077"/>
    <w:rsid w:val="0067427D"/>
    <w:rsid w:val="006773AE"/>
    <w:rsid w:val="006812E3"/>
    <w:rsid w:val="00681E16"/>
    <w:rsid w:val="00684BD2"/>
    <w:rsid w:val="00685E1A"/>
    <w:rsid w:val="00693ABC"/>
    <w:rsid w:val="006942AF"/>
    <w:rsid w:val="00694F47"/>
    <w:rsid w:val="00696A65"/>
    <w:rsid w:val="006A4BFD"/>
    <w:rsid w:val="006A5384"/>
    <w:rsid w:val="006A7DEA"/>
    <w:rsid w:val="006B0962"/>
    <w:rsid w:val="006B24B8"/>
    <w:rsid w:val="006B43F8"/>
    <w:rsid w:val="006B520B"/>
    <w:rsid w:val="006B6A2B"/>
    <w:rsid w:val="006C2AAA"/>
    <w:rsid w:val="006C3377"/>
    <w:rsid w:val="006C7DDD"/>
    <w:rsid w:val="006D090E"/>
    <w:rsid w:val="006D2935"/>
    <w:rsid w:val="006D4779"/>
    <w:rsid w:val="006D4B4E"/>
    <w:rsid w:val="006E7205"/>
    <w:rsid w:val="006E7821"/>
    <w:rsid w:val="006E7957"/>
    <w:rsid w:val="006F0EF2"/>
    <w:rsid w:val="006F15CC"/>
    <w:rsid w:val="006F2883"/>
    <w:rsid w:val="006F3A6E"/>
    <w:rsid w:val="006F52D0"/>
    <w:rsid w:val="006F5EEE"/>
    <w:rsid w:val="006F66AC"/>
    <w:rsid w:val="006F7971"/>
    <w:rsid w:val="007003C6"/>
    <w:rsid w:val="00700402"/>
    <w:rsid w:val="0070068A"/>
    <w:rsid w:val="007010CD"/>
    <w:rsid w:val="00701416"/>
    <w:rsid w:val="0070601D"/>
    <w:rsid w:val="00706074"/>
    <w:rsid w:val="007075D6"/>
    <w:rsid w:val="00707EFA"/>
    <w:rsid w:val="0071120B"/>
    <w:rsid w:val="00712FAA"/>
    <w:rsid w:val="007132D4"/>
    <w:rsid w:val="00713E7D"/>
    <w:rsid w:val="0072180C"/>
    <w:rsid w:val="00721B21"/>
    <w:rsid w:val="0072229F"/>
    <w:rsid w:val="00722C45"/>
    <w:rsid w:val="00723026"/>
    <w:rsid w:val="00723745"/>
    <w:rsid w:val="00724133"/>
    <w:rsid w:val="00726F5D"/>
    <w:rsid w:val="00730315"/>
    <w:rsid w:val="00731A99"/>
    <w:rsid w:val="00732EC9"/>
    <w:rsid w:val="0073362B"/>
    <w:rsid w:val="007346AD"/>
    <w:rsid w:val="00734F89"/>
    <w:rsid w:val="00735FB0"/>
    <w:rsid w:val="00737927"/>
    <w:rsid w:val="00741DD4"/>
    <w:rsid w:val="00744E52"/>
    <w:rsid w:val="0074709F"/>
    <w:rsid w:val="00751F15"/>
    <w:rsid w:val="007524F1"/>
    <w:rsid w:val="0075393F"/>
    <w:rsid w:val="0075696F"/>
    <w:rsid w:val="00757330"/>
    <w:rsid w:val="00757431"/>
    <w:rsid w:val="0075760D"/>
    <w:rsid w:val="00761C78"/>
    <w:rsid w:val="0076453E"/>
    <w:rsid w:val="00764A55"/>
    <w:rsid w:val="00764D41"/>
    <w:rsid w:val="00766259"/>
    <w:rsid w:val="00767F7F"/>
    <w:rsid w:val="0077013E"/>
    <w:rsid w:val="00771774"/>
    <w:rsid w:val="00774324"/>
    <w:rsid w:val="007754A9"/>
    <w:rsid w:val="00777524"/>
    <w:rsid w:val="0078018A"/>
    <w:rsid w:val="00783D48"/>
    <w:rsid w:val="007843E3"/>
    <w:rsid w:val="00785705"/>
    <w:rsid w:val="00786951"/>
    <w:rsid w:val="0079137E"/>
    <w:rsid w:val="007927E9"/>
    <w:rsid w:val="007939D0"/>
    <w:rsid w:val="007965B5"/>
    <w:rsid w:val="00796FC7"/>
    <w:rsid w:val="00796FEE"/>
    <w:rsid w:val="00797478"/>
    <w:rsid w:val="00797FBC"/>
    <w:rsid w:val="007A519C"/>
    <w:rsid w:val="007A5FA5"/>
    <w:rsid w:val="007A6BEA"/>
    <w:rsid w:val="007A7839"/>
    <w:rsid w:val="007B0960"/>
    <w:rsid w:val="007B3AE5"/>
    <w:rsid w:val="007B4DE2"/>
    <w:rsid w:val="007B55EB"/>
    <w:rsid w:val="007B61A5"/>
    <w:rsid w:val="007B6F31"/>
    <w:rsid w:val="007B7049"/>
    <w:rsid w:val="007C1EE9"/>
    <w:rsid w:val="007C2C24"/>
    <w:rsid w:val="007C6EEC"/>
    <w:rsid w:val="007C7FA9"/>
    <w:rsid w:val="007D0748"/>
    <w:rsid w:val="007D1E00"/>
    <w:rsid w:val="007D5DEE"/>
    <w:rsid w:val="007D75AC"/>
    <w:rsid w:val="007E258A"/>
    <w:rsid w:val="007E2A23"/>
    <w:rsid w:val="007F382C"/>
    <w:rsid w:val="007F5393"/>
    <w:rsid w:val="00805E09"/>
    <w:rsid w:val="00806B6D"/>
    <w:rsid w:val="008102A7"/>
    <w:rsid w:val="00811729"/>
    <w:rsid w:val="00814197"/>
    <w:rsid w:val="0081532A"/>
    <w:rsid w:val="0081552E"/>
    <w:rsid w:val="008173E7"/>
    <w:rsid w:val="0082049E"/>
    <w:rsid w:val="0082282E"/>
    <w:rsid w:val="00823116"/>
    <w:rsid w:val="00823B91"/>
    <w:rsid w:val="00824AC3"/>
    <w:rsid w:val="00824ADA"/>
    <w:rsid w:val="008260A0"/>
    <w:rsid w:val="00826D63"/>
    <w:rsid w:val="008277E4"/>
    <w:rsid w:val="00832318"/>
    <w:rsid w:val="00834169"/>
    <w:rsid w:val="00840876"/>
    <w:rsid w:val="008459C0"/>
    <w:rsid w:val="008501E6"/>
    <w:rsid w:val="0085539D"/>
    <w:rsid w:val="0085597D"/>
    <w:rsid w:val="008574D2"/>
    <w:rsid w:val="00857586"/>
    <w:rsid w:val="008606D4"/>
    <w:rsid w:val="00863BDE"/>
    <w:rsid w:val="00864396"/>
    <w:rsid w:val="00864E5A"/>
    <w:rsid w:val="00865569"/>
    <w:rsid w:val="008655CE"/>
    <w:rsid w:val="008673E6"/>
    <w:rsid w:val="00867B99"/>
    <w:rsid w:val="008714E6"/>
    <w:rsid w:val="00873FB2"/>
    <w:rsid w:val="008756E3"/>
    <w:rsid w:val="00876B06"/>
    <w:rsid w:val="0087750C"/>
    <w:rsid w:val="00880C3E"/>
    <w:rsid w:val="0088149B"/>
    <w:rsid w:val="00884E0E"/>
    <w:rsid w:val="008860BB"/>
    <w:rsid w:val="00891796"/>
    <w:rsid w:val="008922D8"/>
    <w:rsid w:val="00893369"/>
    <w:rsid w:val="008943A1"/>
    <w:rsid w:val="008950C7"/>
    <w:rsid w:val="008974E9"/>
    <w:rsid w:val="008A0E1F"/>
    <w:rsid w:val="008A1771"/>
    <w:rsid w:val="008A192C"/>
    <w:rsid w:val="008A208F"/>
    <w:rsid w:val="008A3C43"/>
    <w:rsid w:val="008A4ED5"/>
    <w:rsid w:val="008B1AB9"/>
    <w:rsid w:val="008B3362"/>
    <w:rsid w:val="008B3D2F"/>
    <w:rsid w:val="008B3EC0"/>
    <w:rsid w:val="008B4542"/>
    <w:rsid w:val="008B6152"/>
    <w:rsid w:val="008B7B7F"/>
    <w:rsid w:val="008C11E1"/>
    <w:rsid w:val="008C21CD"/>
    <w:rsid w:val="008C2483"/>
    <w:rsid w:val="008D3631"/>
    <w:rsid w:val="008D5BA7"/>
    <w:rsid w:val="008D6F38"/>
    <w:rsid w:val="008E7358"/>
    <w:rsid w:val="008F6296"/>
    <w:rsid w:val="008F6AE6"/>
    <w:rsid w:val="008F71C4"/>
    <w:rsid w:val="00900D49"/>
    <w:rsid w:val="009018D0"/>
    <w:rsid w:val="00902CAF"/>
    <w:rsid w:val="00906613"/>
    <w:rsid w:val="0090762B"/>
    <w:rsid w:val="0090765B"/>
    <w:rsid w:val="00911146"/>
    <w:rsid w:val="00911161"/>
    <w:rsid w:val="00911B40"/>
    <w:rsid w:val="00914060"/>
    <w:rsid w:val="009159DB"/>
    <w:rsid w:val="009170F0"/>
    <w:rsid w:val="009176B9"/>
    <w:rsid w:val="00921574"/>
    <w:rsid w:val="0092342F"/>
    <w:rsid w:val="00923746"/>
    <w:rsid w:val="00923BEE"/>
    <w:rsid w:val="0092513F"/>
    <w:rsid w:val="009252D6"/>
    <w:rsid w:val="009258D6"/>
    <w:rsid w:val="00926628"/>
    <w:rsid w:val="00930CCA"/>
    <w:rsid w:val="00930FD8"/>
    <w:rsid w:val="009339C6"/>
    <w:rsid w:val="00934452"/>
    <w:rsid w:val="0093451E"/>
    <w:rsid w:val="00935C32"/>
    <w:rsid w:val="00935D07"/>
    <w:rsid w:val="00936C38"/>
    <w:rsid w:val="00941B31"/>
    <w:rsid w:val="0094274B"/>
    <w:rsid w:val="00942EE9"/>
    <w:rsid w:val="00943BFA"/>
    <w:rsid w:val="009458F9"/>
    <w:rsid w:val="00947718"/>
    <w:rsid w:val="00947826"/>
    <w:rsid w:val="00947F3D"/>
    <w:rsid w:val="0095035D"/>
    <w:rsid w:val="00951C93"/>
    <w:rsid w:val="00952567"/>
    <w:rsid w:val="00953630"/>
    <w:rsid w:val="009538D5"/>
    <w:rsid w:val="00953A6D"/>
    <w:rsid w:val="00954717"/>
    <w:rsid w:val="00954E84"/>
    <w:rsid w:val="0095591F"/>
    <w:rsid w:val="00956899"/>
    <w:rsid w:val="009618FA"/>
    <w:rsid w:val="00961F0B"/>
    <w:rsid w:val="00962BCF"/>
    <w:rsid w:val="00967B6E"/>
    <w:rsid w:val="00967F18"/>
    <w:rsid w:val="009727CE"/>
    <w:rsid w:val="00972E63"/>
    <w:rsid w:val="00974127"/>
    <w:rsid w:val="00975547"/>
    <w:rsid w:val="00975F57"/>
    <w:rsid w:val="00976F6F"/>
    <w:rsid w:val="009817F9"/>
    <w:rsid w:val="009838A3"/>
    <w:rsid w:val="00985039"/>
    <w:rsid w:val="00985BFF"/>
    <w:rsid w:val="0099176B"/>
    <w:rsid w:val="00991E9B"/>
    <w:rsid w:val="00995698"/>
    <w:rsid w:val="009956C5"/>
    <w:rsid w:val="00995BBE"/>
    <w:rsid w:val="009A27CA"/>
    <w:rsid w:val="009A2BF0"/>
    <w:rsid w:val="009A39E0"/>
    <w:rsid w:val="009A45C9"/>
    <w:rsid w:val="009A5268"/>
    <w:rsid w:val="009B16A1"/>
    <w:rsid w:val="009B2070"/>
    <w:rsid w:val="009B6841"/>
    <w:rsid w:val="009B7EE0"/>
    <w:rsid w:val="009C2726"/>
    <w:rsid w:val="009C53CC"/>
    <w:rsid w:val="009C6023"/>
    <w:rsid w:val="009D37ED"/>
    <w:rsid w:val="009D7007"/>
    <w:rsid w:val="009E13BF"/>
    <w:rsid w:val="009E14FA"/>
    <w:rsid w:val="009E190E"/>
    <w:rsid w:val="009E27DD"/>
    <w:rsid w:val="009E5852"/>
    <w:rsid w:val="009E6040"/>
    <w:rsid w:val="009E6054"/>
    <w:rsid w:val="009F7223"/>
    <w:rsid w:val="00A008A0"/>
    <w:rsid w:val="00A00996"/>
    <w:rsid w:val="00A00DCB"/>
    <w:rsid w:val="00A04375"/>
    <w:rsid w:val="00A04458"/>
    <w:rsid w:val="00A06278"/>
    <w:rsid w:val="00A06D72"/>
    <w:rsid w:val="00A10089"/>
    <w:rsid w:val="00A10B51"/>
    <w:rsid w:val="00A10F79"/>
    <w:rsid w:val="00A10FED"/>
    <w:rsid w:val="00A111BB"/>
    <w:rsid w:val="00A11E26"/>
    <w:rsid w:val="00A15153"/>
    <w:rsid w:val="00A26142"/>
    <w:rsid w:val="00A2684C"/>
    <w:rsid w:val="00A27B94"/>
    <w:rsid w:val="00A27D9D"/>
    <w:rsid w:val="00A27F83"/>
    <w:rsid w:val="00A315B9"/>
    <w:rsid w:val="00A3246E"/>
    <w:rsid w:val="00A32A72"/>
    <w:rsid w:val="00A32D17"/>
    <w:rsid w:val="00A34B44"/>
    <w:rsid w:val="00A374DA"/>
    <w:rsid w:val="00A37CD0"/>
    <w:rsid w:val="00A40028"/>
    <w:rsid w:val="00A415FF"/>
    <w:rsid w:val="00A44D73"/>
    <w:rsid w:val="00A44DE9"/>
    <w:rsid w:val="00A44EC1"/>
    <w:rsid w:val="00A45D98"/>
    <w:rsid w:val="00A50783"/>
    <w:rsid w:val="00A5245D"/>
    <w:rsid w:val="00A53CF5"/>
    <w:rsid w:val="00A56415"/>
    <w:rsid w:val="00A56FE3"/>
    <w:rsid w:val="00A575A6"/>
    <w:rsid w:val="00A577DB"/>
    <w:rsid w:val="00A614CB"/>
    <w:rsid w:val="00A61A73"/>
    <w:rsid w:val="00A62CD2"/>
    <w:rsid w:val="00A651EF"/>
    <w:rsid w:val="00A65E4D"/>
    <w:rsid w:val="00A709E5"/>
    <w:rsid w:val="00A70A1E"/>
    <w:rsid w:val="00A70C76"/>
    <w:rsid w:val="00A71BD6"/>
    <w:rsid w:val="00A73978"/>
    <w:rsid w:val="00A73E81"/>
    <w:rsid w:val="00A74017"/>
    <w:rsid w:val="00A75214"/>
    <w:rsid w:val="00A7643E"/>
    <w:rsid w:val="00A77632"/>
    <w:rsid w:val="00A81246"/>
    <w:rsid w:val="00A842BA"/>
    <w:rsid w:val="00A86A59"/>
    <w:rsid w:val="00A87E42"/>
    <w:rsid w:val="00A90525"/>
    <w:rsid w:val="00A9123C"/>
    <w:rsid w:val="00A9150F"/>
    <w:rsid w:val="00A9710A"/>
    <w:rsid w:val="00A971C7"/>
    <w:rsid w:val="00AA156E"/>
    <w:rsid w:val="00AA19CC"/>
    <w:rsid w:val="00AA1F15"/>
    <w:rsid w:val="00AA2B34"/>
    <w:rsid w:val="00AA2ED8"/>
    <w:rsid w:val="00AA37AA"/>
    <w:rsid w:val="00AA3F90"/>
    <w:rsid w:val="00AA4890"/>
    <w:rsid w:val="00AA756A"/>
    <w:rsid w:val="00AB0579"/>
    <w:rsid w:val="00AB26CF"/>
    <w:rsid w:val="00AB4172"/>
    <w:rsid w:val="00AB566C"/>
    <w:rsid w:val="00AB6080"/>
    <w:rsid w:val="00AB6180"/>
    <w:rsid w:val="00AC0466"/>
    <w:rsid w:val="00AC309A"/>
    <w:rsid w:val="00AC7879"/>
    <w:rsid w:val="00AC7F94"/>
    <w:rsid w:val="00AD0244"/>
    <w:rsid w:val="00AD32E9"/>
    <w:rsid w:val="00AD4A64"/>
    <w:rsid w:val="00AD5E62"/>
    <w:rsid w:val="00AD7748"/>
    <w:rsid w:val="00AE2B12"/>
    <w:rsid w:val="00AE33EB"/>
    <w:rsid w:val="00AE39C9"/>
    <w:rsid w:val="00AE430D"/>
    <w:rsid w:val="00AE53AD"/>
    <w:rsid w:val="00AE6962"/>
    <w:rsid w:val="00AE6ED5"/>
    <w:rsid w:val="00AE7E1B"/>
    <w:rsid w:val="00AF2ED9"/>
    <w:rsid w:val="00AF5CA3"/>
    <w:rsid w:val="00B0027A"/>
    <w:rsid w:val="00B0220C"/>
    <w:rsid w:val="00B043E4"/>
    <w:rsid w:val="00B049AE"/>
    <w:rsid w:val="00B04F1A"/>
    <w:rsid w:val="00B06EFB"/>
    <w:rsid w:val="00B10AB3"/>
    <w:rsid w:val="00B12DDA"/>
    <w:rsid w:val="00B1705E"/>
    <w:rsid w:val="00B25858"/>
    <w:rsid w:val="00B26FA2"/>
    <w:rsid w:val="00B27E1F"/>
    <w:rsid w:val="00B34F29"/>
    <w:rsid w:val="00B36EE2"/>
    <w:rsid w:val="00B372AC"/>
    <w:rsid w:val="00B37792"/>
    <w:rsid w:val="00B40D10"/>
    <w:rsid w:val="00B4267E"/>
    <w:rsid w:val="00B478B3"/>
    <w:rsid w:val="00B47A9B"/>
    <w:rsid w:val="00B514E6"/>
    <w:rsid w:val="00B51C8B"/>
    <w:rsid w:val="00B5257B"/>
    <w:rsid w:val="00B52C7F"/>
    <w:rsid w:val="00B52FC4"/>
    <w:rsid w:val="00B54019"/>
    <w:rsid w:val="00B551A3"/>
    <w:rsid w:val="00B55F8A"/>
    <w:rsid w:val="00B56056"/>
    <w:rsid w:val="00B6069D"/>
    <w:rsid w:val="00B60710"/>
    <w:rsid w:val="00B644EB"/>
    <w:rsid w:val="00B65516"/>
    <w:rsid w:val="00B65E7B"/>
    <w:rsid w:val="00B66276"/>
    <w:rsid w:val="00B67E3A"/>
    <w:rsid w:val="00B716C4"/>
    <w:rsid w:val="00B74B8C"/>
    <w:rsid w:val="00B76DFC"/>
    <w:rsid w:val="00B801F1"/>
    <w:rsid w:val="00B81D42"/>
    <w:rsid w:val="00B85965"/>
    <w:rsid w:val="00B87382"/>
    <w:rsid w:val="00B8784A"/>
    <w:rsid w:val="00B87D03"/>
    <w:rsid w:val="00B9462B"/>
    <w:rsid w:val="00B956E5"/>
    <w:rsid w:val="00B96522"/>
    <w:rsid w:val="00B96849"/>
    <w:rsid w:val="00BA303D"/>
    <w:rsid w:val="00BA4548"/>
    <w:rsid w:val="00BA4A8D"/>
    <w:rsid w:val="00BA4AC7"/>
    <w:rsid w:val="00BA514A"/>
    <w:rsid w:val="00BA6586"/>
    <w:rsid w:val="00BA664A"/>
    <w:rsid w:val="00BA7379"/>
    <w:rsid w:val="00BA7E46"/>
    <w:rsid w:val="00BB20D3"/>
    <w:rsid w:val="00BB30F9"/>
    <w:rsid w:val="00BB50ED"/>
    <w:rsid w:val="00BB71C1"/>
    <w:rsid w:val="00BB79F6"/>
    <w:rsid w:val="00BB7C8B"/>
    <w:rsid w:val="00BC142F"/>
    <w:rsid w:val="00BC18F4"/>
    <w:rsid w:val="00BC1D06"/>
    <w:rsid w:val="00BC30DB"/>
    <w:rsid w:val="00BC3A2F"/>
    <w:rsid w:val="00BC3FB7"/>
    <w:rsid w:val="00BC4194"/>
    <w:rsid w:val="00BC4485"/>
    <w:rsid w:val="00BC59D7"/>
    <w:rsid w:val="00BC631E"/>
    <w:rsid w:val="00BC7C80"/>
    <w:rsid w:val="00BD0099"/>
    <w:rsid w:val="00BD0DDC"/>
    <w:rsid w:val="00BD3160"/>
    <w:rsid w:val="00BD4A0C"/>
    <w:rsid w:val="00BD4C46"/>
    <w:rsid w:val="00BD633B"/>
    <w:rsid w:val="00BE1920"/>
    <w:rsid w:val="00BE355F"/>
    <w:rsid w:val="00BE7763"/>
    <w:rsid w:val="00BF1C8C"/>
    <w:rsid w:val="00BF31A6"/>
    <w:rsid w:val="00BF4DA9"/>
    <w:rsid w:val="00BF54BF"/>
    <w:rsid w:val="00BF659F"/>
    <w:rsid w:val="00C002A4"/>
    <w:rsid w:val="00C00D3C"/>
    <w:rsid w:val="00C01222"/>
    <w:rsid w:val="00C02AAC"/>
    <w:rsid w:val="00C0326F"/>
    <w:rsid w:val="00C03851"/>
    <w:rsid w:val="00C061E9"/>
    <w:rsid w:val="00C11CC0"/>
    <w:rsid w:val="00C12043"/>
    <w:rsid w:val="00C1505E"/>
    <w:rsid w:val="00C15DD3"/>
    <w:rsid w:val="00C16CC2"/>
    <w:rsid w:val="00C16FA6"/>
    <w:rsid w:val="00C20A54"/>
    <w:rsid w:val="00C20FCF"/>
    <w:rsid w:val="00C23180"/>
    <w:rsid w:val="00C23455"/>
    <w:rsid w:val="00C23F59"/>
    <w:rsid w:val="00C259B1"/>
    <w:rsid w:val="00C2713D"/>
    <w:rsid w:val="00C30211"/>
    <w:rsid w:val="00C3063B"/>
    <w:rsid w:val="00C31D58"/>
    <w:rsid w:val="00C32543"/>
    <w:rsid w:val="00C33996"/>
    <w:rsid w:val="00C3521F"/>
    <w:rsid w:val="00C37629"/>
    <w:rsid w:val="00C41038"/>
    <w:rsid w:val="00C4230A"/>
    <w:rsid w:val="00C44C6D"/>
    <w:rsid w:val="00C454FB"/>
    <w:rsid w:val="00C51EA2"/>
    <w:rsid w:val="00C56F4C"/>
    <w:rsid w:val="00C60603"/>
    <w:rsid w:val="00C62222"/>
    <w:rsid w:val="00C65BDF"/>
    <w:rsid w:val="00C719F5"/>
    <w:rsid w:val="00C728A4"/>
    <w:rsid w:val="00C74068"/>
    <w:rsid w:val="00C741C7"/>
    <w:rsid w:val="00C75619"/>
    <w:rsid w:val="00C77159"/>
    <w:rsid w:val="00C77306"/>
    <w:rsid w:val="00C801E7"/>
    <w:rsid w:val="00C858A4"/>
    <w:rsid w:val="00C87773"/>
    <w:rsid w:val="00C906DF"/>
    <w:rsid w:val="00C91C12"/>
    <w:rsid w:val="00C945B7"/>
    <w:rsid w:val="00C94F3A"/>
    <w:rsid w:val="00C95E75"/>
    <w:rsid w:val="00C960BC"/>
    <w:rsid w:val="00C96625"/>
    <w:rsid w:val="00C97D59"/>
    <w:rsid w:val="00CA646F"/>
    <w:rsid w:val="00CA6874"/>
    <w:rsid w:val="00CB1811"/>
    <w:rsid w:val="00CB399A"/>
    <w:rsid w:val="00CB4F0E"/>
    <w:rsid w:val="00CB5474"/>
    <w:rsid w:val="00CB6DD6"/>
    <w:rsid w:val="00CB6F46"/>
    <w:rsid w:val="00CC1B80"/>
    <w:rsid w:val="00CC1B84"/>
    <w:rsid w:val="00CC3213"/>
    <w:rsid w:val="00CC5E5C"/>
    <w:rsid w:val="00CC775E"/>
    <w:rsid w:val="00CC7B80"/>
    <w:rsid w:val="00CD0F2F"/>
    <w:rsid w:val="00CD28A7"/>
    <w:rsid w:val="00CD716B"/>
    <w:rsid w:val="00CD7367"/>
    <w:rsid w:val="00CE3958"/>
    <w:rsid w:val="00CE40FE"/>
    <w:rsid w:val="00CE4D33"/>
    <w:rsid w:val="00CE682E"/>
    <w:rsid w:val="00CE747B"/>
    <w:rsid w:val="00CE7C83"/>
    <w:rsid w:val="00CF0C7D"/>
    <w:rsid w:val="00CF537E"/>
    <w:rsid w:val="00CF7E08"/>
    <w:rsid w:val="00D02BCB"/>
    <w:rsid w:val="00D042CC"/>
    <w:rsid w:val="00D060CF"/>
    <w:rsid w:val="00D07704"/>
    <w:rsid w:val="00D07FEF"/>
    <w:rsid w:val="00D1022C"/>
    <w:rsid w:val="00D13EA6"/>
    <w:rsid w:val="00D13EBB"/>
    <w:rsid w:val="00D152DF"/>
    <w:rsid w:val="00D1606E"/>
    <w:rsid w:val="00D16F73"/>
    <w:rsid w:val="00D177D9"/>
    <w:rsid w:val="00D215B5"/>
    <w:rsid w:val="00D229C8"/>
    <w:rsid w:val="00D25B7C"/>
    <w:rsid w:val="00D312E0"/>
    <w:rsid w:val="00D34102"/>
    <w:rsid w:val="00D36B35"/>
    <w:rsid w:val="00D3785C"/>
    <w:rsid w:val="00D37DB2"/>
    <w:rsid w:val="00D42059"/>
    <w:rsid w:val="00D423AB"/>
    <w:rsid w:val="00D43230"/>
    <w:rsid w:val="00D44536"/>
    <w:rsid w:val="00D44ADA"/>
    <w:rsid w:val="00D44D6F"/>
    <w:rsid w:val="00D45942"/>
    <w:rsid w:val="00D50CB7"/>
    <w:rsid w:val="00D5223C"/>
    <w:rsid w:val="00D523EE"/>
    <w:rsid w:val="00D529E1"/>
    <w:rsid w:val="00D55E12"/>
    <w:rsid w:val="00D56B03"/>
    <w:rsid w:val="00D6083A"/>
    <w:rsid w:val="00D63A07"/>
    <w:rsid w:val="00D63E26"/>
    <w:rsid w:val="00D65B2A"/>
    <w:rsid w:val="00D660C7"/>
    <w:rsid w:val="00D67426"/>
    <w:rsid w:val="00D676B6"/>
    <w:rsid w:val="00D6795B"/>
    <w:rsid w:val="00D74228"/>
    <w:rsid w:val="00D75EF3"/>
    <w:rsid w:val="00D77405"/>
    <w:rsid w:val="00D8457A"/>
    <w:rsid w:val="00D8538B"/>
    <w:rsid w:val="00D901E9"/>
    <w:rsid w:val="00D929EC"/>
    <w:rsid w:val="00D966D7"/>
    <w:rsid w:val="00D973B5"/>
    <w:rsid w:val="00DA06CC"/>
    <w:rsid w:val="00DA13B3"/>
    <w:rsid w:val="00DA245A"/>
    <w:rsid w:val="00DA2B8F"/>
    <w:rsid w:val="00DA6130"/>
    <w:rsid w:val="00DA67E7"/>
    <w:rsid w:val="00DB005A"/>
    <w:rsid w:val="00DB5260"/>
    <w:rsid w:val="00DB56F5"/>
    <w:rsid w:val="00DB6AEE"/>
    <w:rsid w:val="00DC06E2"/>
    <w:rsid w:val="00DC20E4"/>
    <w:rsid w:val="00DC4476"/>
    <w:rsid w:val="00DD0836"/>
    <w:rsid w:val="00DD0AEB"/>
    <w:rsid w:val="00DD0BAD"/>
    <w:rsid w:val="00DD0DF4"/>
    <w:rsid w:val="00DD2BD7"/>
    <w:rsid w:val="00DD45AF"/>
    <w:rsid w:val="00DD52CF"/>
    <w:rsid w:val="00DD5867"/>
    <w:rsid w:val="00DD5DAE"/>
    <w:rsid w:val="00DD6CE7"/>
    <w:rsid w:val="00DE0E6F"/>
    <w:rsid w:val="00DE2DD0"/>
    <w:rsid w:val="00DE35ED"/>
    <w:rsid w:val="00DF42AE"/>
    <w:rsid w:val="00DF739B"/>
    <w:rsid w:val="00E00067"/>
    <w:rsid w:val="00E016FF"/>
    <w:rsid w:val="00E04B18"/>
    <w:rsid w:val="00E07E69"/>
    <w:rsid w:val="00E103C8"/>
    <w:rsid w:val="00E11A5A"/>
    <w:rsid w:val="00E11E8F"/>
    <w:rsid w:val="00E12896"/>
    <w:rsid w:val="00E15BEE"/>
    <w:rsid w:val="00E15D93"/>
    <w:rsid w:val="00E17714"/>
    <w:rsid w:val="00E17E9A"/>
    <w:rsid w:val="00E21FBD"/>
    <w:rsid w:val="00E23462"/>
    <w:rsid w:val="00E241EE"/>
    <w:rsid w:val="00E27301"/>
    <w:rsid w:val="00E342FE"/>
    <w:rsid w:val="00E377C6"/>
    <w:rsid w:val="00E40CE3"/>
    <w:rsid w:val="00E43B3A"/>
    <w:rsid w:val="00E44117"/>
    <w:rsid w:val="00E44926"/>
    <w:rsid w:val="00E45EE5"/>
    <w:rsid w:val="00E466D4"/>
    <w:rsid w:val="00E4790F"/>
    <w:rsid w:val="00E5182C"/>
    <w:rsid w:val="00E52625"/>
    <w:rsid w:val="00E5282E"/>
    <w:rsid w:val="00E5425A"/>
    <w:rsid w:val="00E54830"/>
    <w:rsid w:val="00E56EC2"/>
    <w:rsid w:val="00E5736E"/>
    <w:rsid w:val="00E5748D"/>
    <w:rsid w:val="00E60847"/>
    <w:rsid w:val="00E62409"/>
    <w:rsid w:val="00E62733"/>
    <w:rsid w:val="00E64F17"/>
    <w:rsid w:val="00E675C9"/>
    <w:rsid w:val="00E704EE"/>
    <w:rsid w:val="00E705A2"/>
    <w:rsid w:val="00E709F3"/>
    <w:rsid w:val="00E70AE4"/>
    <w:rsid w:val="00E71C52"/>
    <w:rsid w:val="00E72087"/>
    <w:rsid w:val="00E72CCF"/>
    <w:rsid w:val="00E74105"/>
    <w:rsid w:val="00E748F1"/>
    <w:rsid w:val="00E74E50"/>
    <w:rsid w:val="00E7608C"/>
    <w:rsid w:val="00E766E9"/>
    <w:rsid w:val="00E84D68"/>
    <w:rsid w:val="00E8506A"/>
    <w:rsid w:val="00E877BF"/>
    <w:rsid w:val="00E91230"/>
    <w:rsid w:val="00E91BFB"/>
    <w:rsid w:val="00E91D60"/>
    <w:rsid w:val="00E93077"/>
    <w:rsid w:val="00EA1018"/>
    <w:rsid w:val="00EA1024"/>
    <w:rsid w:val="00EA3038"/>
    <w:rsid w:val="00EA4DB7"/>
    <w:rsid w:val="00EA6916"/>
    <w:rsid w:val="00EA769D"/>
    <w:rsid w:val="00EA7F98"/>
    <w:rsid w:val="00EB03C5"/>
    <w:rsid w:val="00EB16E3"/>
    <w:rsid w:val="00EB2CF6"/>
    <w:rsid w:val="00EC1ED6"/>
    <w:rsid w:val="00EC310D"/>
    <w:rsid w:val="00EC3A37"/>
    <w:rsid w:val="00EC5955"/>
    <w:rsid w:val="00EC5C76"/>
    <w:rsid w:val="00EC68F0"/>
    <w:rsid w:val="00EC6B4B"/>
    <w:rsid w:val="00ED1C36"/>
    <w:rsid w:val="00ED261B"/>
    <w:rsid w:val="00ED40F8"/>
    <w:rsid w:val="00ED44A4"/>
    <w:rsid w:val="00ED5FA9"/>
    <w:rsid w:val="00EE1195"/>
    <w:rsid w:val="00EE2EAB"/>
    <w:rsid w:val="00EE3E65"/>
    <w:rsid w:val="00EE4A4A"/>
    <w:rsid w:val="00EE68C9"/>
    <w:rsid w:val="00EF1A3B"/>
    <w:rsid w:val="00EF39E3"/>
    <w:rsid w:val="00EF6D8D"/>
    <w:rsid w:val="00EF6EA1"/>
    <w:rsid w:val="00EF6EA7"/>
    <w:rsid w:val="00F01D9D"/>
    <w:rsid w:val="00F04FAF"/>
    <w:rsid w:val="00F1001A"/>
    <w:rsid w:val="00F101F2"/>
    <w:rsid w:val="00F103A8"/>
    <w:rsid w:val="00F12EB8"/>
    <w:rsid w:val="00F1480F"/>
    <w:rsid w:val="00F1651E"/>
    <w:rsid w:val="00F17CB8"/>
    <w:rsid w:val="00F17DF5"/>
    <w:rsid w:val="00F20386"/>
    <w:rsid w:val="00F20FC3"/>
    <w:rsid w:val="00F21359"/>
    <w:rsid w:val="00F21442"/>
    <w:rsid w:val="00F219E0"/>
    <w:rsid w:val="00F21D21"/>
    <w:rsid w:val="00F24326"/>
    <w:rsid w:val="00F25713"/>
    <w:rsid w:val="00F26664"/>
    <w:rsid w:val="00F26D4B"/>
    <w:rsid w:val="00F3073C"/>
    <w:rsid w:val="00F32089"/>
    <w:rsid w:val="00F3553A"/>
    <w:rsid w:val="00F35CFB"/>
    <w:rsid w:val="00F43A24"/>
    <w:rsid w:val="00F4433E"/>
    <w:rsid w:val="00F47662"/>
    <w:rsid w:val="00F51839"/>
    <w:rsid w:val="00F535CD"/>
    <w:rsid w:val="00F535E8"/>
    <w:rsid w:val="00F53C8E"/>
    <w:rsid w:val="00F57242"/>
    <w:rsid w:val="00F578A4"/>
    <w:rsid w:val="00F61A73"/>
    <w:rsid w:val="00F62FEE"/>
    <w:rsid w:val="00F634EC"/>
    <w:rsid w:val="00F64D2E"/>
    <w:rsid w:val="00F6559B"/>
    <w:rsid w:val="00F65B44"/>
    <w:rsid w:val="00F66220"/>
    <w:rsid w:val="00F666BD"/>
    <w:rsid w:val="00F72AA3"/>
    <w:rsid w:val="00F743BF"/>
    <w:rsid w:val="00F7569F"/>
    <w:rsid w:val="00F777C5"/>
    <w:rsid w:val="00F77838"/>
    <w:rsid w:val="00F812BE"/>
    <w:rsid w:val="00F82C33"/>
    <w:rsid w:val="00F84894"/>
    <w:rsid w:val="00F85837"/>
    <w:rsid w:val="00F879F9"/>
    <w:rsid w:val="00F93847"/>
    <w:rsid w:val="00F93C1D"/>
    <w:rsid w:val="00F93EB0"/>
    <w:rsid w:val="00F95DB7"/>
    <w:rsid w:val="00F979D2"/>
    <w:rsid w:val="00F97A6C"/>
    <w:rsid w:val="00FA1653"/>
    <w:rsid w:val="00FA16CF"/>
    <w:rsid w:val="00FA1E20"/>
    <w:rsid w:val="00FA2DCD"/>
    <w:rsid w:val="00FA2DE6"/>
    <w:rsid w:val="00FA2ED7"/>
    <w:rsid w:val="00FA38FB"/>
    <w:rsid w:val="00FA391F"/>
    <w:rsid w:val="00FA3EF7"/>
    <w:rsid w:val="00FA4021"/>
    <w:rsid w:val="00FA51CB"/>
    <w:rsid w:val="00FA63E2"/>
    <w:rsid w:val="00FA6E01"/>
    <w:rsid w:val="00FA6E49"/>
    <w:rsid w:val="00FB1E5A"/>
    <w:rsid w:val="00FB1F93"/>
    <w:rsid w:val="00FB2230"/>
    <w:rsid w:val="00FB382E"/>
    <w:rsid w:val="00FB3D42"/>
    <w:rsid w:val="00FB5656"/>
    <w:rsid w:val="00FB5DC1"/>
    <w:rsid w:val="00FB7F4B"/>
    <w:rsid w:val="00FC019F"/>
    <w:rsid w:val="00FC01D6"/>
    <w:rsid w:val="00FC11B2"/>
    <w:rsid w:val="00FC1D74"/>
    <w:rsid w:val="00FC4767"/>
    <w:rsid w:val="00FC6DED"/>
    <w:rsid w:val="00FD002D"/>
    <w:rsid w:val="00FD0EB4"/>
    <w:rsid w:val="00FD2029"/>
    <w:rsid w:val="00FD245D"/>
    <w:rsid w:val="00FD72C2"/>
    <w:rsid w:val="00FE06DF"/>
    <w:rsid w:val="00FE0965"/>
    <w:rsid w:val="00FE3C62"/>
    <w:rsid w:val="00FE7634"/>
    <w:rsid w:val="00FE79B2"/>
    <w:rsid w:val="00FE7CF8"/>
    <w:rsid w:val="00FF0445"/>
    <w:rsid w:val="00FF0BA6"/>
    <w:rsid w:val="00FF32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FE960F"/>
  <w15:docId w15:val="{55534551-87D0-441F-B8C6-CB995D595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017A"/>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B06EFB"/>
    <w:pPr>
      <w:keepNext/>
      <w:keepLines/>
      <w:spacing w:before="240" w:line="259" w:lineRule="auto"/>
      <w:outlineLvl w:val="0"/>
    </w:pPr>
    <w:rPr>
      <w:rFonts w:asciiTheme="majorHAnsi" w:eastAsiaTheme="majorEastAsia" w:hAnsiTheme="majorHAnsi" w:cstheme="majorBidi"/>
      <w:color w:val="2F5496" w:themeColor="accent1" w:themeShade="BF"/>
      <w:sz w:val="32"/>
      <w:szCs w:val="32"/>
      <w:lang w:val="en-GB" w:eastAsia="en-US"/>
    </w:rPr>
  </w:style>
  <w:style w:type="paragraph" w:styleId="Heading2">
    <w:name w:val="heading 2"/>
    <w:basedOn w:val="Normal"/>
    <w:next w:val="Normal"/>
    <w:link w:val="Heading2Char"/>
    <w:uiPriority w:val="9"/>
    <w:unhideWhenUsed/>
    <w:qFormat/>
    <w:rsid w:val="00B06EFB"/>
    <w:pPr>
      <w:keepNext/>
      <w:keepLines/>
      <w:spacing w:before="40" w:line="259" w:lineRule="auto"/>
      <w:outlineLvl w:val="1"/>
    </w:pPr>
    <w:rPr>
      <w:rFonts w:asciiTheme="majorHAnsi" w:eastAsiaTheme="majorEastAsia" w:hAnsiTheme="majorHAnsi" w:cstheme="majorBidi"/>
      <w:color w:val="2F5496" w:themeColor="accent1" w:themeShade="BF"/>
      <w:sz w:val="26"/>
      <w:szCs w:val="26"/>
      <w:lang w:val="en-GB" w:eastAsia="en-US"/>
    </w:rPr>
  </w:style>
  <w:style w:type="paragraph" w:styleId="Heading3">
    <w:name w:val="heading 3"/>
    <w:basedOn w:val="Normal"/>
    <w:next w:val="Normal"/>
    <w:link w:val="Heading3Char"/>
    <w:uiPriority w:val="9"/>
    <w:semiHidden/>
    <w:unhideWhenUsed/>
    <w:qFormat/>
    <w:rsid w:val="00F4433E"/>
    <w:pPr>
      <w:keepNext/>
      <w:keepLines/>
      <w:spacing w:before="40" w:line="259" w:lineRule="auto"/>
      <w:outlineLvl w:val="2"/>
    </w:pPr>
    <w:rPr>
      <w:rFonts w:asciiTheme="majorHAnsi" w:eastAsiaTheme="majorEastAsia" w:hAnsiTheme="majorHAnsi" w:cstheme="majorBidi"/>
      <w:color w:val="1F3763" w:themeColor="accent1" w:themeShade="7F"/>
      <w:lang w:val="en-GB" w:eastAsia="en-US"/>
    </w:rPr>
  </w:style>
  <w:style w:type="paragraph" w:styleId="Heading4">
    <w:name w:val="heading 4"/>
    <w:basedOn w:val="Normal"/>
    <w:next w:val="Normal"/>
    <w:link w:val="Heading4Char"/>
    <w:uiPriority w:val="9"/>
    <w:semiHidden/>
    <w:unhideWhenUsed/>
    <w:qFormat/>
    <w:rsid w:val="00F4433E"/>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6EFB"/>
    <w:rPr>
      <w:rFonts w:asciiTheme="majorHAnsi" w:eastAsiaTheme="majorEastAsia" w:hAnsiTheme="majorHAnsi" w:cstheme="majorBidi"/>
      <w:color w:val="2F5496" w:themeColor="accent1" w:themeShade="BF"/>
      <w:sz w:val="32"/>
      <w:szCs w:val="32"/>
      <w:lang w:val="en-GB"/>
    </w:rPr>
  </w:style>
  <w:style w:type="character" w:customStyle="1" w:styleId="Heading2Char">
    <w:name w:val="Heading 2 Char"/>
    <w:basedOn w:val="DefaultParagraphFont"/>
    <w:link w:val="Heading2"/>
    <w:uiPriority w:val="9"/>
    <w:rsid w:val="00B06EFB"/>
    <w:rPr>
      <w:rFonts w:asciiTheme="majorHAnsi" w:eastAsiaTheme="majorEastAsia" w:hAnsiTheme="majorHAnsi" w:cstheme="majorBidi"/>
      <w:color w:val="2F5496" w:themeColor="accent1" w:themeShade="BF"/>
      <w:sz w:val="26"/>
      <w:szCs w:val="26"/>
      <w:lang w:val="en-GB"/>
    </w:rPr>
  </w:style>
  <w:style w:type="character" w:styleId="Strong">
    <w:name w:val="Strong"/>
    <w:basedOn w:val="DefaultParagraphFont"/>
    <w:uiPriority w:val="22"/>
    <w:qFormat/>
    <w:rsid w:val="00B51C8B"/>
    <w:rPr>
      <w:b/>
      <w:bCs/>
    </w:rPr>
  </w:style>
  <w:style w:type="character" w:customStyle="1" w:styleId="Heading3Char">
    <w:name w:val="Heading 3 Char"/>
    <w:basedOn w:val="DefaultParagraphFont"/>
    <w:link w:val="Heading3"/>
    <w:uiPriority w:val="9"/>
    <w:semiHidden/>
    <w:rsid w:val="00F4433E"/>
    <w:rPr>
      <w:rFonts w:asciiTheme="majorHAnsi" w:eastAsiaTheme="majorEastAsia" w:hAnsiTheme="majorHAnsi" w:cstheme="majorBidi"/>
      <w:color w:val="1F3763" w:themeColor="accent1" w:themeShade="7F"/>
      <w:lang w:val="en-GB"/>
    </w:rPr>
  </w:style>
  <w:style w:type="character" w:customStyle="1" w:styleId="Heading4Char">
    <w:name w:val="Heading 4 Char"/>
    <w:basedOn w:val="DefaultParagraphFont"/>
    <w:link w:val="Heading4"/>
    <w:uiPriority w:val="9"/>
    <w:semiHidden/>
    <w:rsid w:val="00F4433E"/>
    <w:rPr>
      <w:rFonts w:asciiTheme="majorHAnsi" w:eastAsiaTheme="majorEastAsia" w:hAnsiTheme="majorHAnsi" w:cstheme="majorBidi"/>
      <w:i/>
      <w:iCs/>
      <w:color w:val="2F5496" w:themeColor="accent1" w:themeShade="BF"/>
      <w:sz w:val="22"/>
      <w:szCs w:val="22"/>
      <w:lang w:val="en-GB"/>
    </w:rPr>
  </w:style>
  <w:style w:type="paragraph" w:styleId="NormalWeb">
    <w:name w:val="Normal (Web)"/>
    <w:basedOn w:val="Normal"/>
    <w:uiPriority w:val="99"/>
    <w:unhideWhenUsed/>
    <w:rsid w:val="00F4433E"/>
    <w:pPr>
      <w:spacing w:before="100" w:beforeAutospacing="1" w:after="100" w:afterAutospacing="1"/>
    </w:pPr>
  </w:style>
  <w:style w:type="character" w:styleId="Emphasis">
    <w:name w:val="Emphasis"/>
    <w:basedOn w:val="DefaultParagraphFont"/>
    <w:uiPriority w:val="20"/>
    <w:qFormat/>
    <w:rsid w:val="00F4433E"/>
    <w:rPr>
      <w:i/>
      <w:iCs/>
    </w:rPr>
  </w:style>
  <w:style w:type="character" w:styleId="Hyperlink">
    <w:name w:val="Hyperlink"/>
    <w:basedOn w:val="DefaultParagraphFont"/>
    <w:uiPriority w:val="99"/>
    <w:unhideWhenUsed/>
    <w:rsid w:val="00F4433E"/>
    <w:rPr>
      <w:color w:val="0000FF"/>
      <w:u w:val="single"/>
    </w:rPr>
  </w:style>
  <w:style w:type="table" w:styleId="TableGrid">
    <w:name w:val="Table Grid"/>
    <w:basedOn w:val="TableNormal"/>
    <w:uiPriority w:val="39"/>
    <w:rsid w:val="00D522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hDNormal">
    <w:name w:val="PhD Normal"/>
    <w:link w:val="PhDNormalChar"/>
    <w:qFormat/>
    <w:rsid w:val="0085597D"/>
    <w:pPr>
      <w:spacing w:after="120" w:line="360" w:lineRule="auto"/>
      <w:ind w:firstLine="567"/>
      <w:jc w:val="both"/>
    </w:pPr>
    <w:rPr>
      <w:rFonts w:ascii="Times New Roman" w:eastAsia="Times New Roman" w:hAnsi="Times New Roman" w:cs="Times New Roman"/>
      <w:szCs w:val="22"/>
    </w:rPr>
  </w:style>
  <w:style w:type="character" w:customStyle="1" w:styleId="PhDNormalChar">
    <w:name w:val="PhD Normal Char"/>
    <w:basedOn w:val="DefaultParagraphFont"/>
    <w:link w:val="PhDNormal"/>
    <w:rsid w:val="0085597D"/>
    <w:rPr>
      <w:rFonts w:ascii="Times New Roman" w:eastAsia="Times New Roman" w:hAnsi="Times New Roman" w:cs="Times New Roman"/>
      <w:szCs w:val="22"/>
    </w:rPr>
  </w:style>
  <w:style w:type="character" w:styleId="CommentReference">
    <w:name w:val="annotation reference"/>
    <w:basedOn w:val="DefaultParagraphFont"/>
    <w:uiPriority w:val="99"/>
    <w:semiHidden/>
    <w:unhideWhenUsed/>
    <w:rsid w:val="004666E2"/>
    <w:rPr>
      <w:sz w:val="16"/>
      <w:szCs w:val="16"/>
    </w:rPr>
  </w:style>
  <w:style w:type="paragraph" w:styleId="CommentText">
    <w:name w:val="annotation text"/>
    <w:basedOn w:val="Normal"/>
    <w:link w:val="CommentTextChar"/>
    <w:uiPriority w:val="99"/>
    <w:unhideWhenUsed/>
    <w:rsid w:val="004666E2"/>
    <w:rPr>
      <w:sz w:val="20"/>
      <w:szCs w:val="20"/>
    </w:rPr>
  </w:style>
  <w:style w:type="character" w:customStyle="1" w:styleId="CommentTextChar">
    <w:name w:val="Comment Text Char"/>
    <w:basedOn w:val="DefaultParagraphFont"/>
    <w:link w:val="CommentText"/>
    <w:uiPriority w:val="99"/>
    <w:rsid w:val="004666E2"/>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4666E2"/>
    <w:rPr>
      <w:b/>
      <w:bCs/>
    </w:rPr>
  </w:style>
  <w:style w:type="character" w:customStyle="1" w:styleId="CommentSubjectChar">
    <w:name w:val="Comment Subject Char"/>
    <w:basedOn w:val="CommentTextChar"/>
    <w:link w:val="CommentSubject"/>
    <w:uiPriority w:val="99"/>
    <w:semiHidden/>
    <w:rsid w:val="004666E2"/>
    <w:rPr>
      <w:rFonts w:ascii="Times New Roman" w:eastAsia="Times New Roman" w:hAnsi="Times New Roman" w:cs="Times New Roman"/>
      <w:b/>
      <w:bCs/>
      <w:sz w:val="20"/>
      <w:szCs w:val="20"/>
      <w:lang w:eastAsia="en-GB"/>
    </w:rPr>
  </w:style>
  <w:style w:type="character" w:styleId="FollowedHyperlink">
    <w:name w:val="FollowedHyperlink"/>
    <w:basedOn w:val="DefaultParagraphFont"/>
    <w:uiPriority w:val="99"/>
    <w:semiHidden/>
    <w:unhideWhenUsed/>
    <w:rsid w:val="00004954"/>
    <w:rPr>
      <w:color w:val="954F72" w:themeColor="followedHyperlink"/>
      <w:u w:val="single"/>
    </w:rPr>
  </w:style>
  <w:style w:type="paragraph" w:styleId="Revision">
    <w:name w:val="Revision"/>
    <w:hidden/>
    <w:uiPriority w:val="99"/>
    <w:semiHidden/>
    <w:rsid w:val="00F12EB8"/>
    <w:rPr>
      <w:rFonts w:ascii="Times New Roman" w:eastAsia="Times New Roman" w:hAnsi="Times New Roman" w:cs="Times New Roman"/>
      <w:lang w:eastAsia="en-GB"/>
    </w:rPr>
  </w:style>
  <w:style w:type="paragraph" w:styleId="ListParagraph">
    <w:name w:val="List Paragraph"/>
    <w:basedOn w:val="Normal"/>
    <w:qFormat/>
    <w:rsid w:val="00A842BA"/>
    <w:pPr>
      <w:ind w:left="720"/>
      <w:contextualSpacing/>
    </w:pPr>
  </w:style>
  <w:style w:type="paragraph" w:styleId="BalloonText">
    <w:name w:val="Balloon Text"/>
    <w:basedOn w:val="Normal"/>
    <w:link w:val="BalloonTextChar"/>
    <w:uiPriority w:val="99"/>
    <w:semiHidden/>
    <w:unhideWhenUsed/>
    <w:rsid w:val="00C33996"/>
    <w:rPr>
      <w:sz w:val="18"/>
      <w:szCs w:val="18"/>
    </w:rPr>
  </w:style>
  <w:style w:type="character" w:customStyle="1" w:styleId="BalloonTextChar">
    <w:name w:val="Balloon Text Char"/>
    <w:basedOn w:val="DefaultParagraphFont"/>
    <w:link w:val="BalloonText"/>
    <w:uiPriority w:val="99"/>
    <w:semiHidden/>
    <w:rsid w:val="00C33996"/>
    <w:rPr>
      <w:rFonts w:ascii="Times New Roman" w:eastAsia="Times New Roman" w:hAnsi="Times New Roman" w:cs="Times New Roman"/>
      <w:sz w:val="18"/>
      <w:szCs w:val="18"/>
      <w:lang w:eastAsia="en-GB"/>
    </w:rPr>
  </w:style>
  <w:style w:type="character" w:customStyle="1" w:styleId="UnresolvedMention1">
    <w:name w:val="Unresolved Mention1"/>
    <w:basedOn w:val="DefaultParagraphFont"/>
    <w:uiPriority w:val="99"/>
    <w:semiHidden/>
    <w:unhideWhenUsed/>
    <w:rsid w:val="00CD0F2F"/>
    <w:rPr>
      <w:color w:val="605E5C"/>
      <w:shd w:val="clear" w:color="auto" w:fill="E1DFDD"/>
    </w:rPr>
  </w:style>
  <w:style w:type="paragraph" w:styleId="Footer">
    <w:name w:val="footer"/>
    <w:basedOn w:val="Normal"/>
    <w:link w:val="FooterChar"/>
    <w:uiPriority w:val="99"/>
    <w:unhideWhenUsed/>
    <w:rsid w:val="00565CEB"/>
    <w:pPr>
      <w:tabs>
        <w:tab w:val="center" w:pos="4513"/>
        <w:tab w:val="right" w:pos="9026"/>
      </w:tabs>
    </w:pPr>
  </w:style>
  <w:style w:type="character" w:customStyle="1" w:styleId="FooterChar">
    <w:name w:val="Footer Char"/>
    <w:basedOn w:val="DefaultParagraphFont"/>
    <w:link w:val="Footer"/>
    <w:uiPriority w:val="99"/>
    <w:rsid w:val="00565CEB"/>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565CEB"/>
  </w:style>
  <w:style w:type="paragraph" w:styleId="Header">
    <w:name w:val="header"/>
    <w:basedOn w:val="Normal"/>
    <w:link w:val="HeaderChar"/>
    <w:uiPriority w:val="99"/>
    <w:unhideWhenUsed/>
    <w:rsid w:val="00565CEB"/>
    <w:pPr>
      <w:tabs>
        <w:tab w:val="center" w:pos="4513"/>
        <w:tab w:val="right" w:pos="9026"/>
      </w:tabs>
    </w:pPr>
  </w:style>
  <w:style w:type="character" w:customStyle="1" w:styleId="HeaderChar">
    <w:name w:val="Header Char"/>
    <w:basedOn w:val="DefaultParagraphFont"/>
    <w:link w:val="Header"/>
    <w:uiPriority w:val="99"/>
    <w:rsid w:val="00565CEB"/>
    <w:rPr>
      <w:rFonts w:ascii="Times New Roman" w:eastAsia="Times New Roman" w:hAnsi="Times New Roman" w:cs="Times New Roman"/>
      <w:lang w:eastAsia="en-GB"/>
    </w:rPr>
  </w:style>
  <w:style w:type="paragraph" w:customStyle="1" w:styleId="EndNoteBibliographyTitle">
    <w:name w:val="EndNote Bibliography Title"/>
    <w:basedOn w:val="Normal"/>
    <w:link w:val="EndNoteBibliographyTitleChar"/>
    <w:rsid w:val="00891796"/>
    <w:pPr>
      <w:jc w:val="center"/>
    </w:pPr>
    <w:rPr>
      <w:lang w:val="en-GB"/>
    </w:rPr>
  </w:style>
  <w:style w:type="character" w:customStyle="1" w:styleId="EndNoteBibliographyTitleChar">
    <w:name w:val="EndNote Bibliography Title Char"/>
    <w:basedOn w:val="PhDNormalChar"/>
    <w:link w:val="EndNoteBibliographyTitle"/>
    <w:rsid w:val="00891796"/>
    <w:rPr>
      <w:rFonts w:ascii="Times New Roman" w:eastAsia="Times New Roman" w:hAnsi="Times New Roman" w:cs="Times New Roman"/>
      <w:szCs w:val="22"/>
      <w:lang w:val="en-GB" w:eastAsia="en-GB"/>
    </w:rPr>
  </w:style>
  <w:style w:type="paragraph" w:customStyle="1" w:styleId="EndNoteBibliography">
    <w:name w:val="EndNote Bibliography"/>
    <w:basedOn w:val="Normal"/>
    <w:link w:val="EndNoteBibliographyChar"/>
    <w:rsid w:val="00891796"/>
    <w:rPr>
      <w:lang w:val="en-GB"/>
    </w:rPr>
  </w:style>
  <w:style w:type="character" w:customStyle="1" w:styleId="EndNoteBibliographyChar">
    <w:name w:val="EndNote Bibliography Char"/>
    <w:basedOn w:val="PhDNormalChar"/>
    <w:link w:val="EndNoteBibliography"/>
    <w:rsid w:val="00891796"/>
    <w:rPr>
      <w:rFonts w:ascii="Times New Roman" w:eastAsia="Times New Roman" w:hAnsi="Times New Roman" w:cs="Times New Roman"/>
      <w:szCs w:val="22"/>
      <w:lang w:val="en-GB" w:eastAsia="en-GB"/>
    </w:rPr>
  </w:style>
  <w:style w:type="paragraph" w:customStyle="1" w:styleId="Body">
    <w:name w:val="Body"/>
    <w:link w:val="BodyChar"/>
    <w:rsid w:val="0055256A"/>
    <w:pPr>
      <w:pBdr>
        <w:top w:val="nil"/>
        <w:left w:val="nil"/>
        <w:bottom w:val="nil"/>
        <w:right w:val="nil"/>
        <w:between w:val="nil"/>
        <w:bar w:val="nil"/>
      </w:pBdr>
    </w:pPr>
    <w:rPr>
      <w:rFonts w:ascii="Times New Roman" w:eastAsia="Arial Unicode MS" w:hAnsi="Times New Roman" w:cs="Arial Unicode MS"/>
      <w:color w:val="000000"/>
      <w:u w:color="000000"/>
      <w:bdr w:val="nil"/>
      <w:lang w:eastAsia="en-GB"/>
      <w14:textOutline w14:w="0" w14:cap="flat" w14:cmpd="sng" w14:algn="ctr">
        <w14:noFill/>
        <w14:prstDash w14:val="solid"/>
        <w14:bevel/>
      </w14:textOutline>
    </w:rPr>
  </w:style>
  <w:style w:type="character" w:customStyle="1" w:styleId="BodyChar">
    <w:name w:val="Body Char"/>
    <w:basedOn w:val="DefaultParagraphFont"/>
    <w:link w:val="Body"/>
    <w:rsid w:val="0055256A"/>
    <w:rPr>
      <w:rFonts w:ascii="Times New Roman" w:eastAsia="Arial Unicode MS" w:hAnsi="Times New Roman" w:cs="Arial Unicode MS"/>
      <w:color w:val="000000"/>
      <w:u w:color="000000"/>
      <w:bdr w:val="nil"/>
      <w:lang w:eastAsia="en-GB"/>
      <w14:textOutline w14:w="0" w14:cap="flat" w14:cmpd="sng" w14:algn="ctr">
        <w14:noFill/>
        <w14:prstDash w14:val="solid"/>
        <w14:bevel/>
      </w14:textOutline>
    </w:rPr>
  </w:style>
  <w:style w:type="character" w:customStyle="1" w:styleId="None">
    <w:name w:val="None"/>
    <w:rsid w:val="0055256A"/>
  </w:style>
  <w:style w:type="paragraph" w:styleId="EndnoteText">
    <w:name w:val="endnote text"/>
    <w:basedOn w:val="Normal"/>
    <w:link w:val="EndnoteTextChar"/>
    <w:uiPriority w:val="99"/>
    <w:semiHidden/>
    <w:unhideWhenUsed/>
    <w:rsid w:val="006F15CC"/>
    <w:rPr>
      <w:sz w:val="20"/>
      <w:szCs w:val="20"/>
    </w:rPr>
  </w:style>
  <w:style w:type="character" w:customStyle="1" w:styleId="EndnoteTextChar">
    <w:name w:val="Endnote Text Char"/>
    <w:basedOn w:val="DefaultParagraphFont"/>
    <w:link w:val="EndnoteText"/>
    <w:uiPriority w:val="99"/>
    <w:semiHidden/>
    <w:rsid w:val="006F15CC"/>
    <w:rPr>
      <w:rFonts w:ascii="Times New Roman" w:eastAsia="Times New Roman" w:hAnsi="Times New Roman" w:cs="Times New Roman"/>
      <w:sz w:val="20"/>
      <w:szCs w:val="20"/>
      <w:lang w:eastAsia="en-GB"/>
    </w:rPr>
  </w:style>
  <w:style w:type="character" w:styleId="EndnoteReference">
    <w:name w:val="endnote reference"/>
    <w:basedOn w:val="DefaultParagraphFont"/>
    <w:uiPriority w:val="99"/>
    <w:semiHidden/>
    <w:unhideWhenUsed/>
    <w:rsid w:val="006F15C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20164">
      <w:bodyDiv w:val="1"/>
      <w:marLeft w:val="0"/>
      <w:marRight w:val="0"/>
      <w:marTop w:val="0"/>
      <w:marBottom w:val="0"/>
      <w:divBdr>
        <w:top w:val="none" w:sz="0" w:space="0" w:color="auto"/>
        <w:left w:val="none" w:sz="0" w:space="0" w:color="auto"/>
        <w:bottom w:val="none" w:sz="0" w:space="0" w:color="auto"/>
        <w:right w:val="none" w:sz="0" w:space="0" w:color="auto"/>
      </w:divBdr>
    </w:div>
    <w:div w:id="21905763">
      <w:bodyDiv w:val="1"/>
      <w:marLeft w:val="0"/>
      <w:marRight w:val="0"/>
      <w:marTop w:val="0"/>
      <w:marBottom w:val="0"/>
      <w:divBdr>
        <w:top w:val="none" w:sz="0" w:space="0" w:color="auto"/>
        <w:left w:val="none" w:sz="0" w:space="0" w:color="auto"/>
        <w:bottom w:val="none" w:sz="0" w:space="0" w:color="auto"/>
        <w:right w:val="none" w:sz="0" w:space="0" w:color="auto"/>
      </w:divBdr>
    </w:div>
    <w:div w:id="65039060">
      <w:bodyDiv w:val="1"/>
      <w:marLeft w:val="0"/>
      <w:marRight w:val="0"/>
      <w:marTop w:val="0"/>
      <w:marBottom w:val="0"/>
      <w:divBdr>
        <w:top w:val="none" w:sz="0" w:space="0" w:color="auto"/>
        <w:left w:val="none" w:sz="0" w:space="0" w:color="auto"/>
        <w:bottom w:val="none" w:sz="0" w:space="0" w:color="auto"/>
        <w:right w:val="none" w:sz="0" w:space="0" w:color="auto"/>
      </w:divBdr>
    </w:div>
    <w:div w:id="97919272">
      <w:bodyDiv w:val="1"/>
      <w:marLeft w:val="0"/>
      <w:marRight w:val="0"/>
      <w:marTop w:val="0"/>
      <w:marBottom w:val="0"/>
      <w:divBdr>
        <w:top w:val="none" w:sz="0" w:space="0" w:color="auto"/>
        <w:left w:val="none" w:sz="0" w:space="0" w:color="auto"/>
        <w:bottom w:val="none" w:sz="0" w:space="0" w:color="auto"/>
        <w:right w:val="none" w:sz="0" w:space="0" w:color="auto"/>
      </w:divBdr>
    </w:div>
    <w:div w:id="100029792">
      <w:bodyDiv w:val="1"/>
      <w:marLeft w:val="0"/>
      <w:marRight w:val="0"/>
      <w:marTop w:val="0"/>
      <w:marBottom w:val="0"/>
      <w:divBdr>
        <w:top w:val="none" w:sz="0" w:space="0" w:color="auto"/>
        <w:left w:val="none" w:sz="0" w:space="0" w:color="auto"/>
        <w:bottom w:val="none" w:sz="0" w:space="0" w:color="auto"/>
        <w:right w:val="none" w:sz="0" w:space="0" w:color="auto"/>
      </w:divBdr>
      <w:divsChild>
        <w:div w:id="801732943">
          <w:marLeft w:val="0"/>
          <w:marRight w:val="0"/>
          <w:marTop w:val="0"/>
          <w:marBottom w:val="0"/>
          <w:divBdr>
            <w:top w:val="none" w:sz="0" w:space="0" w:color="auto"/>
            <w:left w:val="none" w:sz="0" w:space="0" w:color="auto"/>
            <w:bottom w:val="none" w:sz="0" w:space="0" w:color="auto"/>
            <w:right w:val="none" w:sz="0" w:space="0" w:color="auto"/>
          </w:divBdr>
          <w:divsChild>
            <w:div w:id="1605186691">
              <w:marLeft w:val="0"/>
              <w:marRight w:val="0"/>
              <w:marTop w:val="0"/>
              <w:marBottom w:val="0"/>
              <w:divBdr>
                <w:top w:val="none" w:sz="0" w:space="0" w:color="auto"/>
                <w:left w:val="none" w:sz="0" w:space="0" w:color="auto"/>
                <w:bottom w:val="none" w:sz="0" w:space="0" w:color="auto"/>
                <w:right w:val="none" w:sz="0" w:space="0" w:color="auto"/>
              </w:divBdr>
              <w:divsChild>
                <w:div w:id="1765104892">
                  <w:marLeft w:val="0"/>
                  <w:marRight w:val="0"/>
                  <w:marTop w:val="0"/>
                  <w:marBottom w:val="0"/>
                  <w:divBdr>
                    <w:top w:val="none" w:sz="0" w:space="0" w:color="auto"/>
                    <w:left w:val="none" w:sz="0" w:space="0" w:color="auto"/>
                    <w:bottom w:val="none" w:sz="0" w:space="0" w:color="auto"/>
                    <w:right w:val="none" w:sz="0" w:space="0" w:color="auto"/>
                  </w:divBdr>
                  <w:divsChild>
                    <w:div w:id="69835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22939">
      <w:bodyDiv w:val="1"/>
      <w:marLeft w:val="0"/>
      <w:marRight w:val="0"/>
      <w:marTop w:val="0"/>
      <w:marBottom w:val="0"/>
      <w:divBdr>
        <w:top w:val="none" w:sz="0" w:space="0" w:color="auto"/>
        <w:left w:val="none" w:sz="0" w:space="0" w:color="auto"/>
        <w:bottom w:val="none" w:sz="0" w:space="0" w:color="auto"/>
        <w:right w:val="none" w:sz="0" w:space="0" w:color="auto"/>
      </w:divBdr>
    </w:div>
    <w:div w:id="145779741">
      <w:bodyDiv w:val="1"/>
      <w:marLeft w:val="0"/>
      <w:marRight w:val="0"/>
      <w:marTop w:val="0"/>
      <w:marBottom w:val="0"/>
      <w:divBdr>
        <w:top w:val="none" w:sz="0" w:space="0" w:color="auto"/>
        <w:left w:val="none" w:sz="0" w:space="0" w:color="auto"/>
        <w:bottom w:val="none" w:sz="0" w:space="0" w:color="auto"/>
        <w:right w:val="none" w:sz="0" w:space="0" w:color="auto"/>
      </w:divBdr>
    </w:div>
    <w:div w:id="159203775">
      <w:bodyDiv w:val="1"/>
      <w:marLeft w:val="0"/>
      <w:marRight w:val="0"/>
      <w:marTop w:val="0"/>
      <w:marBottom w:val="0"/>
      <w:divBdr>
        <w:top w:val="none" w:sz="0" w:space="0" w:color="auto"/>
        <w:left w:val="none" w:sz="0" w:space="0" w:color="auto"/>
        <w:bottom w:val="none" w:sz="0" w:space="0" w:color="auto"/>
        <w:right w:val="none" w:sz="0" w:space="0" w:color="auto"/>
      </w:divBdr>
    </w:div>
    <w:div w:id="163201729">
      <w:bodyDiv w:val="1"/>
      <w:marLeft w:val="0"/>
      <w:marRight w:val="0"/>
      <w:marTop w:val="0"/>
      <w:marBottom w:val="0"/>
      <w:divBdr>
        <w:top w:val="none" w:sz="0" w:space="0" w:color="auto"/>
        <w:left w:val="none" w:sz="0" w:space="0" w:color="auto"/>
        <w:bottom w:val="none" w:sz="0" w:space="0" w:color="auto"/>
        <w:right w:val="none" w:sz="0" w:space="0" w:color="auto"/>
      </w:divBdr>
    </w:div>
    <w:div w:id="178469200">
      <w:bodyDiv w:val="1"/>
      <w:marLeft w:val="0"/>
      <w:marRight w:val="0"/>
      <w:marTop w:val="0"/>
      <w:marBottom w:val="0"/>
      <w:divBdr>
        <w:top w:val="none" w:sz="0" w:space="0" w:color="auto"/>
        <w:left w:val="none" w:sz="0" w:space="0" w:color="auto"/>
        <w:bottom w:val="none" w:sz="0" w:space="0" w:color="auto"/>
        <w:right w:val="none" w:sz="0" w:space="0" w:color="auto"/>
      </w:divBdr>
    </w:div>
    <w:div w:id="192570980">
      <w:bodyDiv w:val="1"/>
      <w:marLeft w:val="0"/>
      <w:marRight w:val="0"/>
      <w:marTop w:val="0"/>
      <w:marBottom w:val="0"/>
      <w:divBdr>
        <w:top w:val="none" w:sz="0" w:space="0" w:color="auto"/>
        <w:left w:val="none" w:sz="0" w:space="0" w:color="auto"/>
        <w:bottom w:val="none" w:sz="0" w:space="0" w:color="auto"/>
        <w:right w:val="none" w:sz="0" w:space="0" w:color="auto"/>
      </w:divBdr>
      <w:divsChild>
        <w:div w:id="1036004565">
          <w:marLeft w:val="0"/>
          <w:marRight w:val="0"/>
          <w:marTop w:val="0"/>
          <w:marBottom w:val="0"/>
          <w:divBdr>
            <w:top w:val="none" w:sz="0" w:space="0" w:color="auto"/>
            <w:left w:val="none" w:sz="0" w:space="0" w:color="auto"/>
            <w:bottom w:val="none" w:sz="0" w:space="0" w:color="auto"/>
            <w:right w:val="none" w:sz="0" w:space="0" w:color="auto"/>
          </w:divBdr>
          <w:divsChild>
            <w:div w:id="1700816511">
              <w:marLeft w:val="0"/>
              <w:marRight w:val="0"/>
              <w:marTop w:val="0"/>
              <w:marBottom w:val="0"/>
              <w:divBdr>
                <w:top w:val="none" w:sz="0" w:space="0" w:color="auto"/>
                <w:left w:val="none" w:sz="0" w:space="0" w:color="auto"/>
                <w:bottom w:val="none" w:sz="0" w:space="0" w:color="auto"/>
                <w:right w:val="none" w:sz="0" w:space="0" w:color="auto"/>
              </w:divBdr>
              <w:divsChild>
                <w:div w:id="1709645889">
                  <w:marLeft w:val="0"/>
                  <w:marRight w:val="0"/>
                  <w:marTop w:val="0"/>
                  <w:marBottom w:val="0"/>
                  <w:divBdr>
                    <w:top w:val="none" w:sz="0" w:space="0" w:color="auto"/>
                    <w:left w:val="none" w:sz="0" w:space="0" w:color="auto"/>
                    <w:bottom w:val="none" w:sz="0" w:space="0" w:color="auto"/>
                    <w:right w:val="none" w:sz="0" w:space="0" w:color="auto"/>
                  </w:divBdr>
                  <w:divsChild>
                    <w:div w:id="41401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51782">
      <w:bodyDiv w:val="1"/>
      <w:marLeft w:val="0"/>
      <w:marRight w:val="0"/>
      <w:marTop w:val="0"/>
      <w:marBottom w:val="0"/>
      <w:divBdr>
        <w:top w:val="none" w:sz="0" w:space="0" w:color="auto"/>
        <w:left w:val="none" w:sz="0" w:space="0" w:color="auto"/>
        <w:bottom w:val="none" w:sz="0" w:space="0" w:color="auto"/>
        <w:right w:val="none" w:sz="0" w:space="0" w:color="auto"/>
      </w:divBdr>
    </w:div>
    <w:div w:id="210115775">
      <w:bodyDiv w:val="1"/>
      <w:marLeft w:val="0"/>
      <w:marRight w:val="0"/>
      <w:marTop w:val="0"/>
      <w:marBottom w:val="0"/>
      <w:divBdr>
        <w:top w:val="none" w:sz="0" w:space="0" w:color="auto"/>
        <w:left w:val="none" w:sz="0" w:space="0" w:color="auto"/>
        <w:bottom w:val="none" w:sz="0" w:space="0" w:color="auto"/>
        <w:right w:val="none" w:sz="0" w:space="0" w:color="auto"/>
      </w:divBdr>
    </w:div>
    <w:div w:id="227613555">
      <w:bodyDiv w:val="1"/>
      <w:marLeft w:val="0"/>
      <w:marRight w:val="0"/>
      <w:marTop w:val="0"/>
      <w:marBottom w:val="0"/>
      <w:divBdr>
        <w:top w:val="none" w:sz="0" w:space="0" w:color="auto"/>
        <w:left w:val="none" w:sz="0" w:space="0" w:color="auto"/>
        <w:bottom w:val="none" w:sz="0" w:space="0" w:color="auto"/>
        <w:right w:val="none" w:sz="0" w:space="0" w:color="auto"/>
      </w:divBdr>
    </w:div>
    <w:div w:id="262231662">
      <w:bodyDiv w:val="1"/>
      <w:marLeft w:val="0"/>
      <w:marRight w:val="0"/>
      <w:marTop w:val="0"/>
      <w:marBottom w:val="0"/>
      <w:divBdr>
        <w:top w:val="none" w:sz="0" w:space="0" w:color="auto"/>
        <w:left w:val="none" w:sz="0" w:space="0" w:color="auto"/>
        <w:bottom w:val="none" w:sz="0" w:space="0" w:color="auto"/>
        <w:right w:val="none" w:sz="0" w:space="0" w:color="auto"/>
      </w:divBdr>
    </w:div>
    <w:div w:id="266347900">
      <w:bodyDiv w:val="1"/>
      <w:marLeft w:val="0"/>
      <w:marRight w:val="0"/>
      <w:marTop w:val="0"/>
      <w:marBottom w:val="0"/>
      <w:divBdr>
        <w:top w:val="none" w:sz="0" w:space="0" w:color="auto"/>
        <w:left w:val="none" w:sz="0" w:space="0" w:color="auto"/>
        <w:bottom w:val="none" w:sz="0" w:space="0" w:color="auto"/>
        <w:right w:val="none" w:sz="0" w:space="0" w:color="auto"/>
      </w:divBdr>
    </w:div>
    <w:div w:id="288829315">
      <w:bodyDiv w:val="1"/>
      <w:marLeft w:val="0"/>
      <w:marRight w:val="0"/>
      <w:marTop w:val="0"/>
      <w:marBottom w:val="0"/>
      <w:divBdr>
        <w:top w:val="none" w:sz="0" w:space="0" w:color="auto"/>
        <w:left w:val="none" w:sz="0" w:space="0" w:color="auto"/>
        <w:bottom w:val="none" w:sz="0" w:space="0" w:color="auto"/>
        <w:right w:val="none" w:sz="0" w:space="0" w:color="auto"/>
      </w:divBdr>
    </w:div>
    <w:div w:id="293103597">
      <w:bodyDiv w:val="1"/>
      <w:marLeft w:val="0"/>
      <w:marRight w:val="0"/>
      <w:marTop w:val="0"/>
      <w:marBottom w:val="0"/>
      <w:divBdr>
        <w:top w:val="none" w:sz="0" w:space="0" w:color="auto"/>
        <w:left w:val="none" w:sz="0" w:space="0" w:color="auto"/>
        <w:bottom w:val="none" w:sz="0" w:space="0" w:color="auto"/>
        <w:right w:val="none" w:sz="0" w:space="0" w:color="auto"/>
      </w:divBdr>
    </w:div>
    <w:div w:id="295719824">
      <w:bodyDiv w:val="1"/>
      <w:marLeft w:val="0"/>
      <w:marRight w:val="0"/>
      <w:marTop w:val="0"/>
      <w:marBottom w:val="0"/>
      <w:divBdr>
        <w:top w:val="none" w:sz="0" w:space="0" w:color="auto"/>
        <w:left w:val="none" w:sz="0" w:space="0" w:color="auto"/>
        <w:bottom w:val="none" w:sz="0" w:space="0" w:color="auto"/>
        <w:right w:val="none" w:sz="0" w:space="0" w:color="auto"/>
      </w:divBdr>
    </w:div>
    <w:div w:id="297734439">
      <w:bodyDiv w:val="1"/>
      <w:marLeft w:val="0"/>
      <w:marRight w:val="0"/>
      <w:marTop w:val="0"/>
      <w:marBottom w:val="0"/>
      <w:divBdr>
        <w:top w:val="none" w:sz="0" w:space="0" w:color="auto"/>
        <w:left w:val="none" w:sz="0" w:space="0" w:color="auto"/>
        <w:bottom w:val="none" w:sz="0" w:space="0" w:color="auto"/>
        <w:right w:val="none" w:sz="0" w:space="0" w:color="auto"/>
      </w:divBdr>
    </w:div>
    <w:div w:id="297878849">
      <w:bodyDiv w:val="1"/>
      <w:marLeft w:val="0"/>
      <w:marRight w:val="0"/>
      <w:marTop w:val="0"/>
      <w:marBottom w:val="0"/>
      <w:divBdr>
        <w:top w:val="none" w:sz="0" w:space="0" w:color="auto"/>
        <w:left w:val="none" w:sz="0" w:space="0" w:color="auto"/>
        <w:bottom w:val="none" w:sz="0" w:space="0" w:color="auto"/>
        <w:right w:val="none" w:sz="0" w:space="0" w:color="auto"/>
      </w:divBdr>
    </w:div>
    <w:div w:id="352151516">
      <w:bodyDiv w:val="1"/>
      <w:marLeft w:val="0"/>
      <w:marRight w:val="0"/>
      <w:marTop w:val="0"/>
      <w:marBottom w:val="0"/>
      <w:divBdr>
        <w:top w:val="none" w:sz="0" w:space="0" w:color="auto"/>
        <w:left w:val="none" w:sz="0" w:space="0" w:color="auto"/>
        <w:bottom w:val="none" w:sz="0" w:space="0" w:color="auto"/>
        <w:right w:val="none" w:sz="0" w:space="0" w:color="auto"/>
      </w:divBdr>
    </w:div>
    <w:div w:id="365373743">
      <w:bodyDiv w:val="1"/>
      <w:marLeft w:val="0"/>
      <w:marRight w:val="0"/>
      <w:marTop w:val="0"/>
      <w:marBottom w:val="0"/>
      <w:divBdr>
        <w:top w:val="none" w:sz="0" w:space="0" w:color="auto"/>
        <w:left w:val="none" w:sz="0" w:space="0" w:color="auto"/>
        <w:bottom w:val="none" w:sz="0" w:space="0" w:color="auto"/>
        <w:right w:val="none" w:sz="0" w:space="0" w:color="auto"/>
      </w:divBdr>
    </w:div>
    <w:div w:id="433522431">
      <w:bodyDiv w:val="1"/>
      <w:marLeft w:val="0"/>
      <w:marRight w:val="0"/>
      <w:marTop w:val="0"/>
      <w:marBottom w:val="0"/>
      <w:divBdr>
        <w:top w:val="none" w:sz="0" w:space="0" w:color="auto"/>
        <w:left w:val="none" w:sz="0" w:space="0" w:color="auto"/>
        <w:bottom w:val="none" w:sz="0" w:space="0" w:color="auto"/>
        <w:right w:val="none" w:sz="0" w:space="0" w:color="auto"/>
      </w:divBdr>
    </w:div>
    <w:div w:id="439180024">
      <w:bodyDiv w:val="1"/>
      <w:marLeft w:val="0"/>
      <w:marRight w:val="0"/>
      <w:marTop w:val="0"/>
      <w:marBottom w:val="0"/>
      <w:divBdr>
        <w:top w:val="none" w:sz="0" w:space="0" w:color="auto"/>
        <w:left w:val="none" w:sz="0" w:space="0" w:color="auto"/>
        <w:bottom w:val="none" w:sz="0" w:space="0" w:color="auto"/>
        <w:right w:val="none" w:sz="0" w:space="0" w:color="auto"/>
      </w:divBdr>
    </w:div>
    <w:div w:id="440339333">
      <w:bodyDiv w:val="1"/>
      <w:marLeft w:val="0"/>
      <w:marRight w:val="0"/>
      <w:marTop w:val="0"/>
      <w:marBottom w:val="0"/>
      <w:divBdr>
        <w:top w:val="none" w:sz="0" w:space="0" w:color="auto"/>
        <w:left w:val="none" w:sz="0" w:space="0" w:color="auto"/>
        <w:bottom w:val="none" w:sz="0" w:space="0" w:color="auto"/>
        <w:right w:val="none" w:sz="0" w:space="0" w:color="auto"/>
      </w:divBdr>
    </w:div>
    <w:div w:id="460341282">
      <w:bodyDiv w:val="1"/>
      <w:marLeft w:val="0"/>
      <w:marRight w:val="0"/>
      <w:marTop w:val="0"/>
      <w:marBottom w:val="0"/>
      <w:divBdr>
        <w:top w:val="none" w:sz="0" w:space="0" w:color="auto"/>
        <w:left w:val="none" w:sz="0" w:space="0" w:color="auto"/>
        <w:bottom w:val="none" w:sz="0" w:space="0" w:color="auto"/>
        <w:right w:val="none" w:sz="0" w:space="0" w:color="auto"/>
      </w:divBdr>
    </w:div>
    <w:div w:id="462961892">
      <w:bodyDiv w:val="1"/>
      <w:marLeft w:val="0"/>
      <w:marRight w:val="0"/>
      <w:marTop w:val="0"/>
      <w:marBottom w:val="0"/>
      <w:divBdr>
        <w:top w:val="none" w:sz="0" w:space="0" w:color="auto"/>
        <w:left w:val="none" w:sz="0" w:space="0" w:color="auto"/>
        <w:bottom w:val="none" w:sz="0" w:space="0" w:color="auto"/>
        <w:right w:val="none" w:sz="0" w:space="0" w:color="auto"/>
      </w:divBdr>
    </w:div>
    <w:div w:id="477696164">
      <w:bodyDiv w:val="1"/>
      <w:marLeft w:val="0"/>
      <w:marRight w:val="0"/>
      <w:marTop w:val="0"/>
      <w:marBottom w:val="0"/>
      <w:divBdr>
        <w:top w:val="none" w:sz="0" w:space="0" w:color="auto"/>
        <w:left w:val="none" w:sz="0" w:space="0" w:color="auto"/>
        <w:bottom w:val="none" w:sz="0" w:space="0" w:color="auto"/>
        <w:right w:val="none" w:sz="0" w:space="0" w:color="auto"/>
      </w:divBdr>
    </w:div>
    <w:div w:id="487012864">
      <w:bodyDiv w:val="1"/>
      <w:marLeft w:val="0"/>
      <w:marRight w:val="0"/>
      <w:marTop w:val="0"/>
      <w:marBottom w:val="0"/>
      <w:divBdr>
        <w:top w:val="none" w:sz="0" w:space="0" w:color="auto"/>
        <w:left w:val="none" w:sz="0" w:space="0" w:color="auto"/>
        <w:bottom w:val="none" w:sz="0" w:space="0" w:color="auto"/>
        <w:right w:val="none" w:sz="0" w:space="0" w:color="auto"/>
      </w:divBdr>
      <w:divsChild>
        <w:div w:id="1121995138">
          <w:marLeft w:val="0"/>
          <w:marRight w:val="0"/>
          <w:marTop w:val="0"/>
          <w:marBottom w:val="0"/>
          <w:divBdr>
            <w:top w:val="none" w:sz="0" w:space="0" w:color="auto"/>
            <w:left w:val="none" w:sz="0" w:space="0" w:color="auto"/>
            <w:bottom w:val="none" w:sz="0" w:space="0" w:color="auto"/>
            <w:right w:val="none" w:sz="0" w:space="0" w:color="auto"/>
          </w:divBdr>
          <w:divsChild>
            <w:div w:id="1562055276">
              <w:marLeft w:val="0"/>
              <w:marRight w:val="0"/>
              <w:marTop w:val="0"/>
              <w:marBottom w:val="0"/>
              <w:divBdr>
                <w:top w:val="none" w:sz="0" w:space="0" w:color="auto"/>
                <w:left w:val="none" w:sz="0" w:space="0" w:color="auto"/>
                <w:bottom w:val="none" w:sz="0" w:space="0" w:color="auto"/>
                <w:right w:val="none" w:sz="0" w:space="0" w:color="auto"/>
              </w:divBdr>
              <w:divsChild>
                <w:div w:id="2004115338">
                  <w:marLeft w:val="0"/>
                  <w:marRight w:val="0"/>
                  <w:marTop w:val="0"/>
                  <w:marBottom w:val="0"/>
                  <w:divBdr>
                    <w:top w:val="none" w:sz="0" w:space="0" w:color="auto"/>
                    <w:left w:val="none" w:sz="0" w:space="0" w:color="auto"/>
                    <w:bottom w:val="none" w:sz="0" w:space="0" w:color="auto"/>
                    <w:right w:val="none" w:sz="0" w:space="0" w:color="auto"/>
                  </w:divBdr>
                  <w:divsChild>
                    <w:div w:id="143597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175000">
      <w:bodyDiv w:val="1"/>
      <w:marLeft w:val="0"/>
      <w:marRight w:val="0"/>
      <w:marTop w:val="0"/>
      <w:marBottom w:val="0"/>
      <w:divBdr>
        <w:top w:val="none" w:sz="0" w:space="0" w:color="auto"/>
        <w:left w:val="none" w:sz="0" w:space="0" w:color="auto"/>
        <w:bottom w:val="none" w:sz="0" w:space="0" w:color="auto"/>
        <w:right w:val="none" w:sz="0" w:space="0" w:color="auto"/>
      </w:divBdr>
    </w:div>
    <w:div w:id="549079700">
      <w:bodyDiv w:val="1"/>
      <w:marLeft w:val="0"/>
      <w:marRight w:val="0"/>
      <w:marTop w:val="0"/>
      <w:marBottom w:val="0"/>
      <w:divBdr>
        <w:top w:val="none" w:sz="0" w:space="0" w:color="auto"/>
        <w:left w:val="none" w:sz="0" w:space="0" w:color="auto"/>
        <w:bottom w:val="none" w:sz="0" w:space="0" w:color="auto"/>
        <w:right w:val="none" w:sz="0" w:space="0" w:color="auto"/>
      </w:divBdr>
    </w:div>
    <w:div w:id="549803893">
      <w:bodyDiv w:val="1"/>
      <w:marLeft w:val="0"/>
      <w:marRight w:val="0"/>
      <w:marTop w:val="0"/>
      <w:marBottom w:val="0"/>
      <w:divBdr>
        <w:top w:val="none" w:sz="0" w:space="0" w:color="auto"/>
        <w:left w:val="none" w:sz="0" w:space="0" w:color="auto"/>
        <w:bottom w:val="none" w:sz="0" w:space="0" w:color="auto"/>
        <w:right w:val="none" w:sz="0" w:space="0" w:color="auto"/>
      </w:divBdr>
    </w:div>
    <w:div w:id="551774579">
      <w:bodyDiv w:val="1"/>
      <w:marLeft w:val="0"/>
      <w:marRight w:val="0"/>
      <w:marTop w:val="0"/>
      <w:marBottom w:val="0"/>
      <w:divBdr>
        <w:top w:val="none" w:sz="0" w:space="0" w:color="auto"/>
        <w:left w:val="none" w:sz="0" w:space="0" w:color="auto"/>
        <w:bottom w:val="none" w:sz="0" w:space="0" w:color="auto"/>
        <w:right w:val="none" w:sz="0" w:space="0" w:color="auto"/>
      </w:divBdr>
    </w:div>
    <w:div w:id="590895597">
      <w:bodyDiv w:val="1"/>
      <w:marLeft w:val="0"/>
      <w:marRight w:val="0"/>
      <w:marTop w:val="0"/>
      <w:marBottom w:val="0"/>
      <w:divBdr>
        <w:top w:val="none" w:sz="0" w:space="0" w:color="auto"/>
        <w:left w:val="none" w:sz="0" w:space="0" w:color="auto"/>
        <w:bottom w:val="none" w:sz="0" w:space="0" w:color="auto"/>
        <w:right w:val="none" w:sz="0" w:space="0" w:color="auto"/>
      </w:divBdr>
    </w:div>
    <w:div w:id="591552467">
      <w:bodyDiv w:val="1"/>
      <w:marLeft w:val="0"/>
      <w:marRight w:val="0"/>
      <w:marTop w:val="0"/>
      <w:marBottom w:val="0"/>
      <w:divBdr>
        <w:top w:val="none" w:sz="0" w:space="0" w:color="auto"/>
        <w:left w:val="none" w:sz="0" w:space="0" w:color="auto"/>
        <w:bottom w:val="none" w:sz="0" w:space="0" w:color="auto"/>
        <w:right w:val="none" w:sz="0" w:space="0" w:color="auto"/>
      </w:divBdr>
    </w:div>
    <w:div w:id="609625207">
      <w:bodyDiv w:val="1"/>
      <w:marLeft w:val="0"/>
      <w:marRight w:val="0"/>
      <w:marTop w:val="0"/>
      <w:marBottom w:val="0"/>
      <w:divBdr>
        <w:top w:val="none" w:sz="0" w:space="0" w:color="auto"/>
        <w:left w:val="none" w:sz="0" w:space="0" w:color="auto"/>
        <w:bottom w:val="none" w:sz="0" w:space="0" w:color="auto"/>
        <w:right w:val="none" w:sz="0" w:space="0" w:color="auto"/>
      </w:divBdr>
    </w:div>
    <w:div w:id="636646945">
      <w:bodyDiv w:val="1"/>
      <w:marLeft w:val="0"/>
      <w:marRight w:val="0"/>
      <w:marTop w:val="0"/>
      <w:marBottom w:val="0"/>
      <w:divBdr>
        <w:top w:val="none" w:sz="0" w:space="0" w:color="auto"/>
        <w:left w:val="none" w:sz="0" w:space="0" w:color="auto"/>
        <w:bottom w:val="none" w:sz="0" w:space="0" w:color="auto"/>
        <w:right w:val="none" w:sz="0" w:space="0" w:color="auto"/>
      </w:divBdr>
    </w:div>
    <w:div w:id="648022609">
      <w:bodyDiv w:val="1"/>
      <w:marLeft w:val="0"/>
      <w:marRight w:val="0"/>
      <w:marTop w:val="0"/>
      <w:marBottom w:val="0"/>
      <w:divBdr>
        <w:top w:val="none" w:sz="0" w:space="0" w:color="auto"/>
        <w:left w:val="none" w:sz="0" w:space="0" w:color="auto"/>
        <w:bottom w:val="none" w:sz="0" w:space="0" w:color="auto"/>
        <w:right w:val="none" w:sz="0" w:space="0" w:color="auto"/>
      </w:divBdr>
    </w:div>
    <w:div w:id="651909789">
      <w:bodyDiv w:val="1"/>
      <w:marLeft w:val="0"/>
      <w:marRight w:val="0"/>
      <w:marTop w:val="0"/>
      <w:marBottom w:val="0"/>
      <w:divBdr>
        <w:top w:val="none" w:sz="0" w:space="0" w:color="auto"/>
        <w:left w:val="none" w:sz="0" w:space="0" w:color="auto"/>
        <w:bottom w:val="none" w:sz="0" w:space="0" w:color="auto"/>
        <w:right w:val="none" w:sz="0" w:space="0" w:color="auto"/>
      </w:divBdr>
    </w:div>
    <w:div w:id="666444935">
      <w:bodyDiv w:val="1"/>
      <w:marLeft w:val="0"/>
      <w:marRight w:val="0"/>
      <w:marTop w:val="0"/>
      <w:marBottom w:val="0"/>
      <w:divBdr>
        <w:top w:val="none" w:sz="0" w:space="0" w:color="auto"/>
        <w:left w:val="none" w:sz="0" w:space="0" w:color="auto"/>
        <w:bottom w:val="none" w:sz="0" w:space="0" w:color="auto"/>
        <w:right w:val="none" w:sz="0" w:space="0" w:color="auto"/>
      </w:divBdr>
    </w:div>
    <w:div w:id="670062452">
      <w:bodyDiv w:val="1"/>
      <w:marLeft w:val="0"/>
      <w:marRight w:val="0"/>
      <w:marTop w:val="0"/>
      <w:marBottom w:val="0"/>
      <w:divBdr>
        <w:top w:val="none" w:sz="0" w:space="0" w:color="auto"/>
        <w:left w:val="none" w:sz="0" w:space="0" w:color="auto"/>
        <w:bottom w:val="none" w:sz="0" w:space="0" w:color="auto"/>
        <w:right w:val="none" w:sz="0" w:space="0" w:color="auto"/>
      </w:divBdr>
    </w:div>
    <w:div w:id="674266509">
      <w:bodyDiv w:val="1"/>
      <w:marLeft w:val="0"/>
      <w:marRight w:val="0"/>
      <w:marTop w:val="0"/>
      <w:marBottom w:val="0"/>
      <w:divBdr>
        <w:top w:val="none" w:sz="0" w:space="0" w:color="auto"/>
        <w:left w:val="none" w:sz="0" w:space="0" w:color="auto"/>
        <w:bottom w:val="none" w:sz="0" w:space="0" w:color="auto"/>
        <w:right w:val="none" w:sz="0" w:space="0" w:color="auto"/>
      </w:divBdr>
    </w:div>
    <w:div w:id="687489901">
      <w:bodyDiv w:val="1"/>
      <w:marLeft w:val="0"/>
      <w:marRight w:val="0"/>
      <w:marTop w:val="0"/>
      <w:marBottom w:val="0"/>
      <w:divBdr>
        <w:top w:val="none" w:sz="0" w:space="0" w:color="auto"/>
        <w:left w:val="none" w:sz="0" w:space="0" w:color="auto"/>
        <w:bottom w:val="none" w:sz="0" w:space="0" w:color="auto"/>
        <w:right w:val="none" w:sz="0" w:space="0" w:color="auto"/>
      </w:divBdr>
      <w:divsChild>
        <w:div w:id="1388846150">
          <w:marLeft w:val="0"/>
          <w:marRight w:val="0"/>
          <w:marTop w:val="0"/>
          <w:marBottom w:val="0"/>
          <w:divBdr>
            <w:top w:val="none" w:sz="0" w:space="0" w:color="auto"/>
            <w:left w:val="none" w:sz="0" w:space="0" w:color="auto"/>
            <w:bottom w:val="none" w:sz="0" w:space="0" w:color="auto"/>
            <w:right w:val="none" w:sz="0" w:space="0" w:color="auto"/>
          </w:divBdr>
          <w:divsChild>
            <w:div w:id="1603995237">
              <w:marLeft w:val="0"/>
              <w:marRight w:val="0"/>
              <w:marTop w:val="0"/>
              <w:marBottom w:val="0"/>
              <w:divBdr>
                <w:top w:val="none" w:sz="0" w:space="0" w:color="auto"/>
                <w:left w:val="none" w:sz="0" w:space="0" w:color="auto"/>
                <w:bottom w:val="none" w:sz="0" w:space="0" w:color="auto"/>
                <w:right w:val="none" w:sz="0" w:space="0" w:color="auto"/>
              </w:divBdr>
              <w:divsChild>
                <w:div w:id="904754957">
                  <w:marLeft w:val="0"/>
                  <w:marRight w:val="0"/>
                  <w:marTop w:val="0"/>
                  <w:marBottom w:val="0"/>
                  <w:divBdr>
                    <w:top w:val="none" w:sz="0" w:space="0" w:color="auto"/>
                    <w:left w:val="none" w:sz="0" w:space="0" w:color="auto"/>
                    <w:bottom w:val="none" w:sz="0" w:space="0" w:color="auto"/>
                    <w:right w:val="none" w:sz="0" w:space="0" w:color="auto"/>
                  </w:divBdr>
                  <w:divsChild>
                    <w:div w:id="1336348851">
                      <w:marLeft w:val="0"/>
                      <w:marRight w:val="0"/>
                      <w:marTop w:val="0"/>
                      <w:marBottom w:val="0"/>
                      <w:divBdr>
                        <w:top w:val="none" w:sz="0" w:space="0" w:color="auto"/>
                        <w:left w:val="none" w:sz="0" w:space="0" w:color="auto"/>
                        <w:bottom w:val="none" w:sz="0" w:space="0" w:color="auto"/>
                        <w:right w:val="none" w:sz="0" w:space="0" w:color="auto"/>
                      </w:divBdr>
                    </w:div>
                    <w:div w:id="104663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230271">
      <w:bodyDiv w:val="1"/>
      <w:marLeft w:val="0"/>
      <w:marRight w:val="0"/>
      <w:marTop w:val="0"/>
      <w:marBottom w:val="0"/>
      <w:divBdr>
        <w:top w:val="none" w:sz="0" w:space="0" w:color="auto"/>
        <w:left w:val="none" w:sz="0" w:space="0" w:color="auto"/>
        <w:bottom w:val="none" w:sz="0" w:space="0" w:color="auto"/>
        <w:right w:val="none" w:sz="0" w:space="0" w:color="auto"/>
      </w:divBdr>
    </w:div>
    <w:div w:id="739716595">
      <w:bodyDiv w:val="1"/>
      <w:marLeft w:val="0"/>
      <w:marRight w:val="0"/>
      <w:marTop w:val="0"/>
      <w:marBottom w:val="0"/>
      <w:divBdr>
        <w:top w:val="none" w:sz="0" w:space="0" w:color="auto"/>
        <w:left w:val="none" w:sz="0" w:space="0" w:color="auto"/>
        <w:bottom w:val="none" w:sz="0" w:space="0" w:color="auto"/>
        <w:right w:val="none" w:sz="0" w:space="0" w:color="auto"/>
      </w:divBdr>
    </w:div>
    <w:div w:id="802503529">
      <w:bodyDiv w:val="1"/>
      <w:marLeft w:val="0"/>
      <w:marRight w:val="0"/>
      <w:marTop w:val="0"/>
      <w:marBottom w:val="0"/>
      <w:divBdr>
        <w:top w:val="none" w:sz="0" w:space="0" w:color="auto"/>
        <w:left w:val="none" w:sz="0" w:space="0" w:color="auto"/>
        <w:bottom w:val="none" w:sz="0" w:space="0" w:color="auto"/>
        <w:right w:val="none" w:sz="0" w:space="0" w:color="auto"/>
      </w:divBdr>
    </w:div>
    <w:div w:id="833448311">
      <w:bodyDiv w:val="1"/>
      <w:marLeft w:val="0"/>
      <w:marRight w:val="0"/>
      <w:marTop w:val="0"/>
      <w:marBottom w:val="0"/>
      <w:divBdr>
        <w:top w:val="none" w:sz="0" w:space="0" w:color="auto"/>
        <w:left w:val="none" w:sz="0" w:space="0" w:color="auto"/>
        <w:bottom w:val="none" w:sz="0" w:space="0" w:color="auto"/>
        <w:right w:val="none" w:sz="0" w:space="0" w:color="auto"/>
      </w:divBdr>
    </w:div>
    <w:div w:id="866790435">
      <w:bodyDiv w:val="1"/>
      <w:marLeft w:val="0"/>
      <w:marRight w:val="0"/>
      <w:marTop w:val="0"/>
      <w:marBottom w:val="0"/>
      <w:divBdr>
        <w:top w:val="none" w:sz="0" w:space="0" w:color="auto"/>
        <w:left w:val="none" w:sz="0" w:space="0" w:color="auto"/>
        <w:bottom w:val="none" w:sz="0" w:space="0" w:color="auto"/>
        <w:right w:val="none" w:sz="0" w:space="0" w:color="auto"/>
      </w:divBdr>
    </w:div>
    <w:div w:id="872695642">
      <w:bodyDiv w:val="1"/>
      <w:marLeft w:val="0"/>
      <w:marRight w:val="0"/>
      <w:marTop w:val="0"/>
      <w:marBottom w:val="0"/>
      <w:divBdr>
        <w:top w:val="none" w:sz="0" w:space="0" w:color="auto"/>
        <w:left w:val="none" w:sz="0" w:space="0" w:color="auto"/>
        <w:bottom w:val="none" w:sz="0" w:space="0" w:color="auto"/>
        <w:right w:val="none" w:sz="0" w:space="0" w:color="auto"/>
      </w:divBdr>
    </w:div>
    <w:div w:id="898706017">
      <w:bodyDiv w:val="1"/>
      <w:marLeft w:val="0"/>
      <w:marRight w:val="0"/>
      <w:marTop w:val="0"/>
      <w:marBottom w:val="0"/>
      <w:divBdr>
        <w:top w:val="none" w:sz="0" w:space="0" w:color="auto"/>
        <w:left w:val="none" w:sz="0" w:space="0" w:color="auto"/>
        <w:bottom w:val="none" w:sz="0" w:space="0" w:color="auto"/>
        <w:right w:val="none" w:sz="0" w:space="0" w:color="auto"/>
      </w:divBdr>
    </w:div>
    <w:div w:id="910971059">
      <w:bodyDiv w:val="1"/>
      <w:marLeft w:val="0"/>
      <w:marRight w:val="0"/>
      <w:marTop w:val="0"/>
      <w:marBottom w:val="0"/>
      <w:divBdr>
        <w:top w:val="none" w:sz="0" w:space="0" w:color="auto"/>
        <w:left w:val="none" w:sz="0" w:space="0" w:color="auto"/>
        <w:bottom w:val="none" w:sz="0" w:space="0" w:color="auto"/>
        <w:right w:val="none" w:sz="0" w:space="0" w:color="auto"/>
      </w:divBdr>
    </w:div>
    <w:div w:id="935406374">
      <w:bodyDiv w:val="1"/>
      <w:marLeft w:val="0"/>
      <w:marRight w:val="0"/>
      <w:marTop w:val="0"/>
      <w:marBottom w:val="0"/>
      <w:divBdr>
        <w:top w:val="none" w:sz="0" w:space="0" w:color="auto"/>
        <w:left w:val="none" w:sz="0" w:space="0" w:color="auto"/>
        <w:bottom w:val="none" w:sz="0" w:space="0" w:color="auto"/>
        <w:right w:val="none" w:sz="0" w:space="0" w:color="auto"/>
      </w:divBdr>
      <w:divsChild>
        <w:div w:id="1439331701">
          <w:marLeft w:val="0"/>
          <w:marRight w:val="0"/>
          <w:marTop w:val="0"/>
          <w:marBottom w:val="0"/>
          <w:divBdr>
            <w:top w:val="none" w:sz="0" w:space="0" w:color="auto"/>
            <w:left w:val="none" w:sz="0" w:space="0" w:color="auto"/>
            <w:bottom w:val="none" w:sz="0" w:space="0" w:color="auto"/>
            <w:right w:val="none" w:sz="0" w:space="0" w:color="auto"/>
          </w:divBdr>
          <w:divsChild>
            <w:div w:id="1918051599">
              <w:marLeft w:val="0"/>
              <w:marRight w:val="0"/>
              <w:marTop w:val="0"/>
              <w:marBottom w:val="0"/>
              <w:divBdr>
                <w:top w:val="none" w:sz="0" w:space="0" w:color="auto"/>
                <w:left w:val="none" w:sz="0" w:space="0" w:color="auto"/>
                <w:bottom w:val="none" w:sz="0" w:space="0" w:color="auto"/>
                <w:right w:val="none" w:sz="0" w:space="0" w:color="auto"/>
              </w:divBdr>
              <w:divsChild>
                <w:div w:id="2052344670">
                  <w:marLeft w:val="0"/>
                  <w:marRight w:val="0"/>
                  <w:marTop w:val="0"/>
                  <w:marBottom w:val="0"/>
                  <w:divBdr>
                    <w:top w:val="none" w:sz="0" w:space="0" w:color="auto"/>
                    <w:left w:val="none" w:sz="0" w:space="0" w:color="auto"/>
                    <w:bottom w:val="none" w:sz="0" w:space="0" w:color="auto"/>
                    <w:right w:val="none" w:sz="0" w:space="0" w:color="auto"/>
                  </w:divBdr>
                  <w:divsChild>
                    <w:div w:id="93644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561506">
      <w:bodyDiv w:val="1"/>
      <w:marLeft w:val="0"/>
      <w:marRight w:val="0"/>
      <w:marTop w:val="0"/>
      <w:marBottom w:val="0"/>
      <w:divBdr>
        <w:top w:val="none" w:sz="0" w:space="0" w:color="auto"/>
        <w:left w:val="none" w:sz="0" w:space="0" w:color="auto"/>
        <w:bottom w:val="none" w:sz="0" w:space="0" w:color="auto"/>
        <w:right w:val="none" w:sz="0" w:space="0" w:color="auto"/>
      </w:divBdr>
    </w:div>
    <w:div w:id="1082068370">
      <w:bodyDiv w:val="1"/>
      <w:marLeft w:val="0"/>
      <w:marRight w:val="0"/>
      <w:marTop w:val="0"/>
      <w:marBottom w:val="0"/>
      <w:divBdr>
        <w:top w:val="none" w:sz="0" w:space="0" w:color="auto"/>
        <w:left w:val="none" w:sz="0" w:space="0" w:color="auto"/>
        <w:bottom w:val="none" w:sz="0" w:space="0" w:color="auto"/>
        <w:right w:val="none" w:sz="0" w:space="0" w:color="auto"/>
      </w:divBdr>
    </w:div>
    <w:div w:id="1106581269">
      <w:bodyDiv w:val="1"/>
      <w:marLeft w:val="0"/>
      <w:marRight w:val="0"/>
      <w:marTop w:val="0"/>
      <w:marBottom w:val="0"/>
      <w:divBdr>
        <w:top w:val="none" w:sz="0" w:space="0" w:color="auto"/>
        <w:left w:val="none" w:sz="0" w:space="0" w:color="auto"/>
        <w:bottom w:val="none" w:sz="0" w:space="0" w:color="auto"/>
        <w:right w:val="none" w:sz="0" w:space="0" w:color="auto"/>
      </w:divBdr>
    </w:div>
    <w:div w:id="1113092476">
      <w:bodyDiv w:val="1"/>
      <w:marLeft w:val="0"/>
      <w:marRight w:val="0"/>
      <w:marTop w:val="0"/>
      <w:marBottom w:val="0"/>
      <w:divBdr>
        <w:top w:val="none" w:sz="0" w:space="0" w:color="auto"/>
        <w:left w:val="none" w:sz="0" w:space="0" w:color="auto"/>
        <w:bottom w:val="none" w:sz="0" w:space="0" w:color="auto"/>
        <w:right w:val="none" w:sz="0" w:space="0" w:color="auto"/>
      </w:divBdr>
    </w:div>
    <w:div w:id="1149976917">
      <w:bodyDiv w:val="1"/>
      <w:marLeft w:val="0"/>
      <w:marRight w:val="0"/>
      <w:marTop w:val="0"/>
      <w:marBottom w:val="0"/>
      <w:divBdr>
        <w:top w:val="none" w:sz="0" w:space="0" w:color="auto"/>
        <w:left w:val="none" w:sz="0" w:space="0" w:color="auto"/>
        <w:bottom w:val="none" w:sz="0" w:space="0" w:color="auto"/>
        <w:right w:val="none" w:sz="0" w:space="0" w:color="auto"/>
      </w:divBdr>
    </w:div>
    <w:div w:id="1207067344">
      <w:bodyDiv w:val="1"/>
      <w:marLeft w:val="0"/>
      <w:marRight w:val="0"/>
      <w:marTop w:val="0"/>
      <w:marBottom w:val="0"/>
      <w:divBdr>
        <w:top w:val="none" w:sz="0" w:space="0" w:color="auto"/>
        <w:left w:val="none" w:sz="0" w:space="0" w:color="auto"/>
        <w:bottom w:val="none" w:sz="0" w:space="0" w:color="auto"/>
        <w:right w:val="none" w:sz="0" w:space="0" w:color="auto"/>
      </w:divBdr>
    </w:div>
    <w:div w:id="1235311249">
      <w:bodyDiv w:val="1"/>
      <w:marLeft w:val="0"/>
      <w:marRight w:val="0"/>
      <w:marTop w:val="0"/>
      <w:marBottom w:val="0"/>
      <w:divBdr>
        <w:top w:val="none" w:sz="0" w:space="0" w:color="auto"/>
        <w:left w:val="none" w:sz="0" w:space="0" w:color="auto"/>
        <w:bottom w:val="none" w:sz="0" w:space="0" w:color="auto"/>
        <w:right w:val="none" w:sz="0" w:space="0" w:color="auto"/>
      </w:divBdr>
    </w:div>
    <w:div w:id="1283030744">
      <w:bodyDiv w:val="1"/>
      <w:marLeft w:val="0"/>
      <w:marRight w:val="0"/>
      <w:marTop w:val="0"/>
      <w:marBottom w:val="0"/>
      <w:divBdr>
        <w:top w:val="none" w:sz="0" w:space="0" w:color="auto"/>
        <w:left w:val="none" w:sz="0" w:space="0" w:color="auto"/>
        <w:bottom w:val="none" w:sz="0" w:space="0" w:color="auto"/>
        <w:right w:val="none" w:sz="0" w:space="0" w:color="auto"/>
      </w:divBdr>
    </w:div>
    <w:div w:id="1337267428">
      <w:bodyDiv w:val="1"/>
      <w:marLeft w:val="0"/>
      <w:marRight w:val="0"/>
      <w:marTop w:val="0"/>
      <w:marBottom w:val="0"/>
      <w:divBdr>
        <w:top w:val="none" w:sz="0" w:space="0" w:color="auto"/>
        <w:left w:val="none" w:sz="0" w:space="0" w:color="auto"/>
        <w:bottom w:val="none" w:sz="0" w:space="0" w:color="auto"/>
        <w:right w:val="none" w:sz="0" w:space="0" w:color="auto"/>
      </w:divBdr>
    </w:div>
    <w:div w:id="1346907604">
      <w:bodyDiv w:val="1"/>
      <w:marLeft w:val="0"/>
      <w:marRight w:val="0"/>
      <w:marTop w:val="0"/>
      <w:marBottom w:val="0"/>
      <w:divBdr>
        <w:top w:val="none" w:sz="0" w:space="0" w:color="auto"/>
        <w:left w:val="none" w:sz="0" w:space="0" w:color="auto"/>
        <w:bottom w:val="none" w:sz="0" w:space="0" w:color="auto"/>
        <w:right w:val="none" w:sz="0" w:space="0" w:color="auto"/>
      </w:divBdr>
      <w:divsChild>
        <w:div w:id="488061548">
          <w:marLeft w:val="0"/>
          <w:marRight w:val="0"/>
          <w:marTop w:val="0"/>
          <w:marBottom w:val="0"/>
          <w:divBdr>
            <w:top w:val="none" w:sz="0" w:space="0" w:color="auto"/>
            <w:left w:val="none" w:sz="0" w:space="0" w:color="auto"/>
            <w:bottom w:val="none" w:sz="0" w:space="0" w:color="auto"/>
            <w:right w:val="none" w:sz="0" w:space="0" w:color="auto"/>
          </w:divBdr>
          <w:divsChild>
            <w:div w:id="695885011">
              <w:marLeft w:val="0"/>
              <w:marRight w:val="0"/>
              <w:marTop w:val="0"/>
              <w:marBottom w:val="0"/>
              <w:divBdr>
                <w:top w:val="none" w:sz="0" w:space="0" w:color="auto"/>
                <w:left w:val="none" w:sz="0" w:space="0" w:color="auto"/>
                <w:bottom w:val="none" w:sz="0" w:space="0" w:color="auto"/>
                <w:right w:val="none" w:sz="0" w:space="0" w:color="auto"/>
              </w:divBdr>
              <w:divsChild>
                <w:div w:id="1589576678">
                  <w:marLeft w:val="0"/>
                  <w:marRight w:val="0"/>
                  <w:marTop w:val="0"/>
                  <w:marBottom w:val="0"/>
                  <w:divBdr>
                    <w:top w:val="none" w:sz="0" w:space="0" w:color="auto"/>
                    <w:left w:val="none" w:sz="0" w:space="0" w:color="auto"/>
                    <w:bottom w:val="none" w:sz="0" w:space="0" w:color="auto"/>
                    <w:right w:val="none" w:sz="0" w:space="0" w:color="auto"/>
                  </w:divBdr>
                  <w:divsChild>
                    <w:div w:id="138224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705517">
      <w:bodyDiv w:val="1"/>
      <w:marLeft w:val="0"/>
      <w:marRight w:val="0"/>
      <w:marTop w:val="0"/>
      <w:marBottom w:val="0"/>
      <w:divBdr>
        <w:top w:val="none" w:sz="0" w:space="0" w:color="auto"/>
        <w:left w:val="none" w:sz="0" w:space="0" w:color="auto"/>
        <w:bottom w:val="none" w:sz="0" w:space="0" w:color="auto"/>
        <w:right w:val="none" w:sz="0" w:space="0" w:color="auto"/>
      </w:divBdr>
    </w:div>
    <w:div w:id="1367440404">
      <w:bodyDiv w:val="1"/>
      <w:marLeft w:val="0"/>
      <w:marRight w:val="0"/>
      <w:marTop w:val="0"/>
      <w:marBottom w:val="0"/>
      <w:divBdr>
        <w:top w:val="none" w:sz="0" w:space="0" w:color="auto"/>
        <w:left w:val="none" w:sz="0" w:space="0" w:color="auto"/>
        <w:bottom w:val="none" w:sz="0" w:space="0" w:color="auto"/>
        <w:right w:val="none" w:sz="0" w:space="0" w:color="auto"/>
      </w:divBdr>
    </w:div>
    <w:div w:id="1391417214">
      <w:bodyDiv w:val="1"/>
      <w:marLeft w:val="0"/>
      <w:marRight w:val="0"/>
      <w:marTop w:val="0"/>
      <w:marBottom w:val="0"/>
      <w:divBdr>
        <w:top w:val="none" w:sz="0" w:space="0" w:color="auto"/>
        <w:left w:val="none" w:sz="0" w:space="0" w:color="auto"/>
        <w:bottom w:val="none" w:sz="0" w:space="0" w:color="auto"/>
        <w:right w:val="none" w:sz="0" w:space="0" w:color="auto"/>
      </w:divBdr>
    </w:div>
    <w:div w:id="1445419484">
      <w:bodyDiv w:val="1"/>
      <w:marLeft w:val="0"/>
      <w:marRight w:val="0"/>
      <w:marTop w:val="0"/>
      <w:marBottom w:val="0"/>
      <w:divBdr>
        <w:top w:val="none" w:sz="0" w:space="0" w:color="auto"/>
        <w:left w:val="none" w:sz="0" w:space="0" w:color="auto"/>
        <w:bottom w:val="none" w:sz="0" w:space="0" w:color="auto"/>
        <w:right w:val="none" w:sz="0" w:space="0" w:color="auto"/>
      </w:divBdr>
    </w:div>
    <w:div w:id="1450734578">
      <w:bodyDiv w:val="1"/>
      <w:marLeft w:val="0"/>
      <w:marRight w:val="0"/>
      <w:marTop w:val="0"/>
      <w:marBottom w:val="0"/>
      <w:divBdr>
        <w:top w:val="none" w:sz="0" w:space="0" w:color="auto"/>
        <w:left w:val="none" w:sz="0" w:space="0" w:color="auto"/>
        <w:bottom w:val="none" w:sz="0" w:space="0" w:color="auto"/>
        <w:right w:val="none" w:sz="0" w:space="0" w:color="auto"/>
      </w:divBdr>
    </w:div>
    <w:div w:id="1468812246">
      <w:bodyDiv w:val="1"/>
      <w:marLeft w:val="0"/>
      <w:marRight w:val="0"/>
      <w:marTop w:val="0"/>
      <w:marBottom w:val="0"/>
      <w:divBdr>
        <w:top w:val="none" w:sz="0" w:space="0" w:color="auto"/>
        <w:left w:val="none" w:sz="0" w:space="0" w:color="auto"/>
        <w:bottom w:val="none" w:sz="0" w:space="0" w:color="auto"/>
        <w:right w:val="none" w:sz="0" w:space="0" w:color="auto"/>
      </w:divBdr>
    </w:div>
    <w:div w:id="1486509969">
      <w:bodyDiv w:val="1"/>
      <w:marLeft w:val="0"/>
      <w:marRight w:val="0"/>
      <w:marTop w:val="0"/>
      <w:marBottom w:val="0"/>
      <w:divBdr>
        <w:top w:val="none" w:sz="0" w:space="0" w:color="auto"/>
        <w:left w:val="none" w:sz="0" w:space="0" w:color="auto"/>
        <w:bottom w:val="none" w:sz="0" w:space="0" w:color="auto"/>
        <w:right w:val="none" w:sz="0" w:space="0" w:color="auto"/>
      </w:divBdr>
    </w:div>
    <w:div w:id="1521119107">
      <w:bodyDiv w:val="1"/>
      <w:marLeft w:val="0"/>
      <w:marRight w:val="0"/>
      <w:marTop w:val="0"/>
      <w:marBottom w:val="0"/>
      <w:divBdr>
        <w:top w:val="none" w:sz="0" w:space="0" w:color="auto"/>
        <w:left w:val="none" w:sz="0" w:space="0" w:color="auto"/>
        <w:bottom w:val="none" w:sz="0" w:space="0" w:color="auto"/>
        <w:right w:val="none" w:sz="0" w:space="0" w:color="auto"/>
      </w:divBdr>
    </w:div>
    <w:div w:id="1528563653">
      <w:bodyDiv w:val="1"/>
      <w:marLeft w:val="0"/>
      <w:marRight w:val="0"/>
      <w:marTop w:val="0"/>
      <w:marBottom w:val="0"/>
      <w:divBdr>
        <w:top w:val="none" w:sz="0" w:space="0" w:color="auto"/>
        <w:left w:val="none" w:sz="0" w:space="0" w:color="auto"/>
        <w:bottom w:val="none" w:sz="0" w:space="0" w:color="auto"/>
        <w:right w:val="none" w:sz="0" w:space="0" w:color="auto"/>
      </w:divBdr>
    </w:div>
    <w:div w:id="1542548569">
      <w:bodyDiv w:val="1"/>
      <w:marLeft w:val="0"/>
      <w:marRight w:val="0"/>
      <w:marTop w:val="0"/>
      <w:marBottom w:val="0"/>
      <w:divBdr>
        <w:top w:val="none" w:sz="0" w:space="0" w:color="auto"/>
        <w:left w:val="none" w:sz="0" w:space="0" w:color="auto"/>
        <w:bottom w:val="none" w:sz="0" w:space="0" w:color="auto"/>
        <w:right w:val="none" w:sz="0" w:space="0" w:color="auto"/>
      </w:divBdr>
      <w:divsChild>
        <w:div w:id="524489552">
          <w:marLeft w:val="0"/>
          <w:marRight w:val="0"/>
          <w:marTop w:val="0"/>
          <w:marBottom w:val="0"/>
          <w:divBdr>
            <w:top w:val="none" w:sz="0" w:space="0" w:color="auto"/>
            <w:left w:val="none" w:sz="0" w:space="0" w:color="auto"/>
            <w:bottom w:val="none" w:sz="0" w:space="0" w:color="auto"/>
            <w:right w:val="none" w:sz="0" w:space="0" w:color="auto"/>
          </w:divBdr>
        </w:div>
        <w:div w:id="574364192">
          <w:marLeft w:val="0"/>
          <w:marRight w:val="0"/>
          <w:marTop w:val="0"/>
          <w:marBottom w:val="0"/>
          <w:divBdr>
            <w:top w:val="none" w:sz="0" w:space="0" w:color="auto"/>
            <w:left w:val="none" w:sz="0" w:space="0" w:color="auto"/>
            <w:bottom w:val="none" w:sz="0" w:space="0" w:color="auto"/>
            <w:right w:val="none" w:sz="0" w:space="0" w:color="auto"/>
          </w:divBdr>
        </w:div>
      </w:divsChild>
    </w:div>
    <w:div w:id="1545755679">
      <w:bodyDiv w:val="1"/>
      <w:marLeft w:val="0"/>
      <w:marRight w:val="0"/>
      <w:marTop w:val="0"/>
      <w:marBottom w:val="0"/>
      <w:divBdr>
        <w:top w:val="none" w:sz="0" w:space="0" w:color="auto"/>
        <w:left w:val="none" w:sz="0" w:space="0" w:color="auto"/>
        <w:bottom w:val="none" w:sz="0" w:space="0" w:color="auto"/>
        <w:right w:val="none" w:sz="0" w:space="0" w:color="auto"/>
      </w:divBdr>
    </w:div>
    <w:div w:id="1558977654">
      <w:bodyDiv w:val="1"/>
      <w:marLeft w:val="0"/>
      <w:marRight w:val="0"/>
      <w:marTop w:val="0"/>
      <w:marBottom w:val="0"/>
      <w:divBdr>
        <w:top w:val="none" w:sz="0" w:space="0" w:color="auto"/>
        <w:left w:val="none" w:sz="0" w:space="0" w:color="auto"/>
        <w:bottom w:val="none" w:sz="0" w:space="0" w:color="auto"/>
        <w:right w:val="none" w:sz="0" w:space="0" w:color="auto"/>
      </w:divBdr>
    </w:div>
    <w:div w:id="1567103025">
      <w:bodyDiv w:val="1"/>
      <w:marLeft w:val="0"/>
      <w:marRight w:val="0"/>
      <w:marTop w:val="0"/>
      <w:marBottom w:val="0"/>
      <w:divBdr>
        <w:top w:val="none" w:sz="0" w:space="0" w:color="auto"/>
        <w:left w:val="none" w:sz="0" w:space="0" w:color="auto"/>
        <w:bottom w:val="none" w:sz="0" w:space="0" w:color="auto"/>
        <w:right w:val="none" w:sz="0" w:space="0" w:color="auto"/>
      </w:divBdr>
    </w:div>
    <w:div w:id="1612589724">
      <w:bodyDiv w:val="1"/>
      <w:marLeft w:val="0"/>
      <w:marRight w:val="0"/>
      <w:marTop w:val="0"/>
      <w:marBottom w:val="0"/>
      <w:divBdr>
        <w:top w:val="none" w:sz="0" w:space="0" w:color="auto"/>
        <w:left w:val="none" w:sz="0" w:space="0" w:color="auto"/>
        <w:bottom w:val="none" w:sz="0" w:space="0" w:color="auto"/>
        <w:right w:val="none" w:sz="0" w:space="0" w:color="auto"/>
      </w:divBdr>
    </w:div>
    <w:div w:id="1628464494">
      <w:bodyDiv w:val="1"/>
      <w:marLeft w:val="0"/>
      <w:marRight w:val="0"/>
      <w:marTop w:val="0"/>
      <w:marBottom w:val="0"/>
      <w:divBdr>
        <w:top w:val="none" w:sz="0" w:space="0" w:color="auto"/>
        <w:left w:val="none" w:sz="0" w:space="0" w:color="auto"/>
        <w:bottom w:val="none" w:sz="0" w:space="0" w:color="auto"/>
        <w:right w:val="none" w:sz="0" w:space="0" w:color="auto"/>
      </w:divBdr>
      <w:divsChild>
        <w:div w:id="1863275929">
          <w:marLeft w:val="0"/>
          <w:marRight w:val="0"/>
          <w:marTop w:val="0"/>
          <w:marBottom w:val="0"/>
          <w:divBdr>
            <w:top w:val="none" w:sz="0" w:space="0" w:color="auto"/>
            <w:left w:val="none" w:sz="0" w:space="0" w:color="auto"/>
            <w:bottom w:val="none" w:sz="0" w:space="0" w:color="auto"/>
            <w:right w:val="none" w:sz="0" w:space="0" w:color="auto"/>
          </w:divBdr>
        </w:div>
      </w:divsChild>
    </w:div>
    <w:div w:id="1656226987">
      <w:bodyDiv w:val="1"/>
      <w:marLeft w:val="0"/>
      <w:marRight w:val="0"/>
      <w:marTop w:val="0"/>
      <w:marBottom w:val="0"/>
      <w:divBdr>
        <w:top w:val="none" w:sz="0" w:space="0" w:color="auto"/>
        <w:left w:val="none" w:sz="0" w:space="0" w:color="auto"/>
        <w:bottom w:val="none" w:sz="0" w:space="0" w:color="auto"/>
        <w:right w:val="none" w:sz="0" w:space="0" w:color="auto"/>
      </w:divBdr>
    </w:div>
    <w:div w:id="1680232075">
      <w:bodyDiv w:val="1"/>
      <w:marLeft w:val="0"/>
      <w:marRight w:val="0"/>
      <w:marTop w:val="0"/>
      <w:marBottom w:val="0"/>
      <w:divBdr>
        <w:top w:val="none" w:sz="0" w:space="0" w:color="auto"/>
        <w:left w:val="none" w:sz="0" w:space="0" w:color="auto"/>
        <w:bottom w:val="none" w:sz="0" w:space="0" w:color="auto"/>
        <w:right w:val="none" w:sz="0" w:space="0" w:color="auto"/>
      </w:divBdr>
    </w:div>
    <w:div w:id="1729066660">
      <w:bodyDiv w:val="1"/>
      <w:marLeft w:val="0"/>
      <w:marRight w:val="0"/>
      <w:marTop w:val="0"/>
      <w:marBottom w:val="0"/>
      <w:divBdr>
        <w:top w:val="none" w:sz="0" w:space="0" w:color="auto"/>
        <w:left w:val="none" w:sz="0" w:space="0" w:color="auto"/>
        <w:bottom w:val="none" w:sz="0" w:space="0" w:color="auto"/>
        <w:right w:val="none" w:sz="0" w:space="0" w:color="auto"/>
      </w:divBdr>
    </w:div>
    <w:div w:id="1734087746">
      <w:bodyDiv w:val="1"/>
      <w:marLeft w:val="0"/>
      <w:marRight w:val="0"/>
      <w:marTop w:val="0"/>
      <w:marBottom w:val="0"/>
      <w:divBdr>
        <w:top w:val="none" w:sz="0" w:space="0" w:color="auto"/>
        <w:left w:val="none" w:sz="0" w:space="0" w:color="auto"/>
        <w:bottom w:val="none" w:sz="0" w:space="0" w:color="auto"/>
        <w:right w:val="none" w:sz="0" w:space="0" w:color="auto"/>
      </w:divBdr>
    </w:div>
    <w:div w:id="1745252213">
      <w:bodyDiv w:val="1"/>
      <w:marLeft w:val="0"/>
      <w:marRight w:val="0"/>
      <w:marTop w:val="0"/>
      <w:marBottom w:val="0"/>
      <w:divBdr>
        <w:top w:val="none" w:sz="0" w:space="0" w:color="auto"/>
        <w:left w:val="none" w:sz="0" w:space="0" w:color="auto"/>
        <w:bottom w:val="none" w:sz="0" w:space="0" w:color="auto"/>
        <w:right w:val="none" w:sz="0" w:space="0" w:color="auto"/>
      </w:divBdr>
    </w:div>
    <w:div w:id="1753695016">
      <w:bodyDiv w:val="1"/>
      <w:marLeft w:val="0"/>
      <w:marRight w:val="0"/>
      <w:marTop w:val="0"/>
      <w:marBottom w:val="0"/>
      <w:divBdr>
        <w:top w:val="none" w:sz="0" w:space="0" w:color="auto"/>
        <w:left w:val="none" w:sz="0" w:space="0" w:color="auto"/>
        <w:bottom w:val="none" w:sz="0" w:space="0" w:color="auto"/>
        <w:right w:val="none" w:sz="0" w:space="0" w:color="auto"/>
      </w:divBdr>
    </w:div>
    <w:div w:id="1774859364">
      <w:bodyDiv w:val="1"/>
      <w:marLeft w:val="0"/>
      <w:marRight w:val="0"/>
      <w:marTop w:val="0"/>
      <w:marBottom w:val="0"/>
      <w:divBdr>
        <w:top w:val="none" w:sz="0" w:space="0" w:color="auto"/>
        <w:left w:val="none" w:sz="0" w:space="0" w:color="auto"/>
        <w:bottom w:val="none" w:sz="0" w:space="0" w:color="auto"/>
        <w:right w:val="none" w:sz="0" w:space="0" w:color="auto"/>
      </w:divBdr>
    </w:div>
    <w:div w:id="1776830195">
      <w:bodyDiv w:val="1"/>
      <w:marLeft w:val="0"/>
      <w:marRight w:val="0"/>
      <w:marTop w:val="0"/>
      <w:marBottom w:val="0"/>
      <w:divBdr>
        <w:top w:val="none" w:sz="0" w:space="0" w:color="auto"/>
        <w:left w:val="none" w:sz="0" w:space="0" w:color="auto"/>
        <w:bottom w:val="none" w:sz="0" w:space="0" w:color="auto"/>
        <w:right w:val="none" w:sz="0" w:space="0" w:color="auto"/>
      </w:divBdr>
    </w:div>
    <w:div w:id="1791625175">
      <w:bodyDiv w:val="1"/>
      <w:marLeft w:val="0"/>
      <w:marRight w:val="0"/>
      <w:marTop w:val="0"/>
      <w:marBottom w:val="0"/>
      <w:divBdr>
        <w:top w:val="none" w:sz="0" w:space="0" w:color="auto"/>
        <w:left w:val="none" w:sz="0" w:space="0" w:color="auto"/>
        <w:bottom w:val="none" w:sz="0" w:space="0" w:color="auto"/>
        <w:right w:val="none" w:sz="0" w:space="0" w:color="auto"/>
      </w:divBdr>
    </w:div>
    <w:div w:id="1795564655">
      <w:bodyDiv w:val="1"/>
      <w:marLeft w:val="0"/>
      <w:marRight w:val="0"/>
      <w:marTop w:val="0"/>
      <w:marBottom w:val="0"/>
      <w:divBdr>
        <w:top w:val="none" w:sz="0" w:space="0" w:color="auto"/>
        <w:left w:val="none" w:sz="0" w:space="0" w:color="auto"/>
        <w:bottom w:val="none" w:sz="0" w:space="0" w:color="auto"/>
        <w:right w:val="none" w:sz="0" w:space="0" w:color="auto"/>
      </w:divBdr>
    </w:div>
    <w:div w:id="1825318434">
      <w:bodyDiv w:val="1"/>
      <w:marLeft w:val="0"/>
      <w:marRight w:val="0"/>
      <w:marTop w:val="0"/>
      <w:marBottom w:val="0"/>
      <w:divBdr>
        <w:top w:val="none" w:sz="0" w:space="0" w:color="auto"/>
        <w:left w:val="none" w:sz="0" w:space="0" w:color="auto"/>
        <w:bottom w:val="none" w:sz="0" w:space="0" w:color="auto"/>
        <w:right w:val="none" w:sz="0" w:space="0" w:color="auto"/>
      </w:divBdr>
    </w:div>
    <w:div w:id="1887525715">
      <w:bodyDiv w:val="1"/>
      <w:marLeft w:val="0"/>
      <w:marRight w:val="0"/>
      <w:marTop w:val="0"/>
      <w:marBottom w:val="0"/>
      <w:divBdr>
        <w:top w:val="none" w:sz="0" w:space="0" w:color="auto"/>
        <w:left w:val="none" w:sz="0" w:space="0" w:color="auto"/>
        <w:bottom w:val="none" w:sz="0" w:space="0" w:color="auto"/>
        <w:right w:val="none" w:sz="0" w:space="0" w:color="auto"/>
      </w:divBdr>
    </w:div>
    <w:div w:id="1893926856">
      <w:bodyDiv w:val="1"/>
      <w:marLeft w:val="0"/>
      <w:marRight w:val="0"/>
      <w:marTop w:val="0"/>
      <w:marBottom w:val="0"/>
      <w:divBdr>
        <w:top w:val="none" w:sz="0" w:space="0" w:color="auto"/>
        <w:left w:val="none" w:sz="0" w:space="0" w:color="auto"/>
        <w:bottom w:val="none" w:sz="0" w:space="0" w:color="auto"/>
        <w:right w:val="none" w:sz="0" w:space="0" w:color="auto"/>
      </w:divBdr>
    </w:div>
    <w:div w:id="1898976597">
      <w:bodyDiv w:val="1"/>
      <w:marLeft w:val="0"/>
      <w:marRight w:val="0"/>
      <w:marTop w:val="0"/>
      <w:marBottom w:val="0"/>
      <w:divBdr>
        <w:top w:val="none" w:sz="0" w:space="0" w:color="auto"/>
        <w:left w:val="none" w:sz="0" w:space="0" w:color="auto"/>
        <w:bottom w:val="none" w:sz="0" w:space="0" w:color="auto"/>
        <w:right w:val="none" w:sz="0" w:space="0" w:color="auto"/>
      </w:divBdr>
    </w:div>
    <w:div w:id="1927496703">
      <w:bodyDiv w:val="1"/>
      <w:marLeft w:val="0"/>
      <w:marRight w:val="0"/>
      <w:marTop w:val="0"/>
      <w:marBottom w:val="0"/>
      <w:divBdr>
        <w:top w:val="none" w:sz="0" w:space="0" w:color="auto"/>
        <w:left w:val="none" w:sz="0" w:space="0" w:color="auto"/>
        <w:bottom w:val="none" w:sz="0" w:space="0" w:color="auto"/>
        <w:right w:val="none" w:sz="0" w:space="0" w:color="auto"/>
      </w:divBdr>
    </w:div>
    <w:div w:id="1951618158">
      <w:bodyDiv w:val="1"/>
      <w:marLeft w:val="0"/>
      <w:marRight w:val="0"/>
      <w:marTop w:val="0"/>
      <w:marBottom w:val="0"/>
      <w:divBdr>
        <w:top w:val="none" w:sz="0" w:space="0" w:color="auto"/>
        <w:left w:val="none" w:sz="0" w:space="0" w:color="auto"/>
        <w:bottom w:val="none" w:sz="0" w:space="0" w:color="auto"/>
        <w:right w:val="none" w:sz="0" w:space="0" w:color="auto"/>
      </w:divBdr>
    </w:div>
    <w:div w:id="1971397834">
      <w:bodyDiv w:val="1"/>
      <w:marLeft w:val="0"/>
      <w:marRight w:val="0"/>
      <w:marTop w:val="0"/>
      <w:marBottom w:val="0"/>
      <w:divBdr>
        <w:top w:val="none" w:sz="0" w:space="0" w:color="auto"/>
        <w:left w:val="none" w:sz="0" w:space="0" w:color="auto"/>
        <w:bottom w:val="none" w:sz="0" w:space="0" w:color="auto"/>
        <w:right w:val="none" w:sz="0" w:space="0" w:color="auto"/>
      </w:divBdr>
    </w:div>
    <w:div w:id="1975595232">
      <w:bodyDiv w:val="1"/>
      <w:marLeft w:val="0"/>
      <w:marRight w:val="0"/>
      <w:marTop w:val="0"/>
      <w:marBottom w:val="0"/>
      <w:divBdr>
        <w:top w:val="none" w:sz="0" w:space="0" w:color="auto"/>
        <w:left w:val="none" w:sz="0" w:space="0" w:color="auto"/>
        <w:bottom w:val="none" w:sz="0" w:space="0" w:color="auto"/>
        <w:right w:val="none" w:sz="0" w:space="0" w:color="auto"/>
      </w:divBdr>
    </w:div>
    <w:div w:id="1995908530">
      <w:bodyDiv w:val="1"/>
      <w:marLeft w:val="0"/>
      <w:marRight w:val="0"/>
      <w:marTop w:val="0"/>
      <w:marBottom w:val="0"/>
      <w:divBdr>
        <w:top w:val="none" w:sz="0" w:space="0" w:color="auto"/>
        <w:left w:val="none" w:sz="0" w:space="0" w:color="auto"/>
        <w:bottom w:val="none" w:sz="0" w:space="0" w:color="auto"/>
        <w:right w:val="none" w:sz="0" w:space="0" w:color="auto"/>
      </w:divBdr>
    </w:div>
    <w:div w:id="2016836260">
      <w:bodyDiv w:val="1"/>
      <w:marLeft w:val="0"/>
      <w:marRight w:val="0"/>
      <w:marTop w:val="0"/>
      <w:marBottom w:val="0"/>
      <w:divBdr>
        <w:top w:val="none" w:sz="0" w:space="0" w:color="auto"/>
        <w:left w:val="none" w:sz="0" w:space="0" w:color="auto"/>
        <w:bottom w:val="none" w:sz="0" w:space="0" w:color="auto"/>
        <w:right w:val="none" w:sz="0" w:space="0" w:color="auto"/>
      </w:divBdr>
    </w:div>
    <w:div w:id="2026395766">
      <w:bodyDiv w:val="1"/>
      <w:marLeft w:val="0"/>
      <w:marRight w:val="0"/>
      <w:marTop w:val="0"/>
      <w:marBottom w:val="0"/>
      <w:divBdr>
        <w:top w:val="none" w:sz="0" w:space="0" w:color="auto"/>
        <w:left w:val="none" w:sz="0" w:space="0" w:color="auto"/>
        <w:bottom w:val="none" w:sz="0" w:space="0" w:color="auto"/>
        <w:right w:val="none" w:sz="0" w:space="0" w:color="auto"/>
      </w:divBdr>
    </w:div>
    <w:div w:id="2052411051">
      <w:bodyDiv w:val="1"/>
      <w:marLeft w:val="0"/>
      <w:marRight w:val="0"/>
      <w:marTop w:val="0"/>
      <w:marBottom w:val="0"/>
      <w:divBdr>
        <w:top w:val="none" w:sz="0" w:space="0" w:color="auto"/>
        <w:left w:val="none" w:sz="0" w:space="0" w:color="auto"/>
        <w:bottom w:val="none" w:sz="0" w:space="0" w:color="auto"/>
        <w:right w:val="none" w:sz="0" w:space="0" w:color="auto"/>
      </w:divBdr>
    </w:div>
    <w:div w:id="2052997189">
      <w:bodyDiv w:val="1"/>
      <w:marLeft w:val="0"/>
      <w:marRight w:val="0"/>
      <w:marTop w:val="0"/>
      <w:marBottom w:val="0"/>
      <w:divBdr>
        <w:top w:val="none" w:sz="0" w:space="0" w:color="auto"/>
        <w:left w:val="none" w:sz="0" w:space="0" w:color="auto"/>
        <w:bottom w:val="none" w:sz="0" w:space="0" w:color="auto"/>
        <w:right w:val="none" w:sz="0" w:space="0" w:color="auto"/>
      </w:divBdr>
    </w:div>
    <w:div w:id="2065137335">
      <w:bodyDiv w:val="1"/>
      <w:marLeft w:val="0"/>
      <w:marRight w:val="0"/>
      <w:marTop w:val="0"/>
      <w:marBottom w:val="0"/>
      <w:divBdr>
        <w:top w:val="none" w:sz="0" w:space="0" w:color="auto"/>
        <w:left w:val="none" w:sz="0" w:space="0" w:color="auto"/>
        <w:bottom w:val="none" w:sz="0" w:space="0" w:color="auto"/>
        <w:right w:val="none" w:sz="0" w:space="0" w:color="auto"/>
      </w:divBdr>
      <w:divsChild>
        <w:div w:id="1144738602">
          <w:marLeft w:val="-225"/>
          <w:marRight w:val="-225"/>
          <w:marTop w:val="0"/>
          <w:marBottom w:val="0"/>
          <w:divBdr>
            <w:top w:val="none" w:sz="0" w:space="0" w:color="auto"/>
            <w:left w:val="none" w:sz="0" w:space="0" w:color="auto"/>
            <w:bottom w:val="none" w:sz="0" w:space="0" w:color="auto"/>
            <w:right w:val="none" w:sz="0" w:space="0" w:color="auto"/>
          </w:divBdr>
          <w:divsChild>
            <w:div w:id="1340742388">
              <w:marLeft w:val="1860"/>
              <w:marRight w:val="0"/>
              <w:marTop w:val="0"/>
              <w:marBottom w:val="0"/>
              <w:divBdr>
                <w:top w:val="none" w:sz="0" w:space="0" w:color="auto"/>
                <w:left w:val="none" w:sz="0" w:space="0" w:color="auto"/>
                <w:bottom w:val="none" w:sz="0" w:space="0" w:color="auto"/>
                <w:right w:val="none" w:sz="0" w:space="0" w:color="auto"/>
              </w:divBdr>
            </w:div>
            <w:div w:id="602029933">
              <w:marLeft w:val="0"/>
              <w:marRight w:val="0"/>
              <w:marTop w:val="0"/>
              <w:marBottom w:val="0"/>
              <w:divBdr>
                <w:top w:val="none" w:sz="0" w:space="0" w:color="auto"/>
                <w:left w:val="none" w:sz="0" w:space="0" w:color="auto"/>
                <w:bottom w:val="none" w:sz="0" w:space="0" w:color="auto"/>
                <w:right w:val="none" w:sz="0" w:space="0" w:color="auto"/>
              </w:divBdr>
            </w:div>
          </w:divsChild>
        </w:div>
        <w:div w:id="826366405">
          <w:marLeft w:val="-225"/>
          <w:marRight w:val="-225"/>
          <w:marTop w:val="0"/>
          <w:marBottom w:val="0"/>
          <w:divBdr>
            <w:top w:val="none" w:sz="0" w:space="0" w:color="auto"/>
            <w:left w:val="none" w:sz="0" w:space="0" w:color="auto"/>
            <w:bottom w:val="none" w:sz="0" w:space="0" w:color="auto"/>
            <w:right w:val="none" w:sz="0" w:space="0" w:color="auto"/>
          </w:divBdr>
          <w:divsChild>
            <w:div w:id="372075445">
              <w:marLeft w:val="1860"/>
              <w:marRight w:val="0"/>
              <w:marTop w:val="0"/>
              <w:marBottom w:val="0"/>
              <w:divBdr>
                <w:top w:val="none" w:sz="0" w:space="0" w:color="auto"/>
                <w:left w:val="none" w:sz="0" w:space="0" w:color="auto"/>
                <w:bottom w:val="none" w:sz="0" w:space="0" w:color="auto"/>
                <w:right w:val="none" w:sz="0" w:space="0" w:color="auto"/>
              </w:divBdr>
            </w:div>
            <w:div w:id="796340449">
              <w:marLeft w:val="0"/>
              <w:marRight w:val="0"/>
              <w:marTop w:val="0"/>
              <w:marBottom w:val="0"/>
              <w:divBdr>
                <w:top w:val="none" w:sz="0" w:space="0" w:color="auto"/>
                <w:left w:val="none" w:sz="0" w:space="0" w:color="auto"/>
                <w:bottom w:val="none" w:sz="0" w:space="0" w:color="auto"/>
                <w:right w:val="none" w:sz="0" w:space="0" w:color="auto"/>
              </w:divBdr>
            </w:div>
          </w:divsChild>
        </w:div>
        <w:div w:id="740520389">
          <w:marLeft w:val="-225"/>
          <w:marRight w:val="-225"/>
          <w:marTop w:val="0"/>
          <w:marBottom w:val="0"/>
          <w:divBdr>
            <w:top w:val="none" w:sz="0" w:space="0" w:color="auto"/>
            <w:left w:val="none" w:sz="0" w:space="0" w:color="auto"/>
            <w:bottom w:val="none" w:sz="0" w:space="0" w:color="auto"/>
            <w:right w:val="none" w:sz="0" w:space="0" w:color="auto"/>
          </w:divBdr>
          <w:divsChild>
            <w:div w:id="74590720">
              <w:marLeft w:val="1860"/>
              <w:marRight w:val="0"/>
              <w:marTop w:val="0"/>
              <w:marBottom w:val="0"/>
              <w:divBdr>
                <w:top w:val="none" w:sz="0" w:space="0" w:color="auto"/>
                <w:left w:val="none" w:sz="0" w:space="0" w:color="auto"/>
                <w:bottom w:val="none" w:sz="0" w:space="0" w:color="auto"/>
                <w:right w:val="none" w:sz="0" w:space="0" w:color="auto"/>
              </w:divBdr>
            </w:div>
            <w:div w:id="1149634908">
              <w:marLeft w:val="0"/>
              <w:marRight w:val="0"/>
              <w:marTop w:val="0"/>
              <w:marBottom w:val="0"/>
              <w:divBdr>
                <w:top w:val="none" w:sz="0" w:space="0" w:color="auto"/>
                <w:left w:val="none" w:sz="0" w:space="0" w:color="auto"/>
                <w:bottom w:val="none" w:sz="0" w:space="0" w:color="auto"/>
                <w:right w:val="none" w:sz="0" w:space="0" w:color="auto"/>
              </w:divBdr>
            </w:div>
          </w:divsChild>
        </w:div>
        <w:div w:id="1411463565">
          <w:marLeft w:val="-225"/>
          <w:marRight w:val="-225"/>
          <w:marTop w:val="0"/>
          <w:marBottom w:val="0"/>
          <w:divBdr>
            <w:top w:val="none" w:sz="0" w:space="0" w:color="auto"/>
            <w:left w:val="none" w:sz="0" w:space="0" w:color="auto"/>
            <w:bottom w:val="none" w:sz="0" w:space="0" w:color="auto"/>
            <w:right w:val="none" w:sz="0" w:space="0" w:color="auto"/>
          </w:divBdr>
          <w:divsChild>
            <w:div w:id="1150831792">
              <w:marLeft w:val="1860"/>
              <w:marRight w:val="0"/>
              <w:marTop w:val="0"/>
              <w:marBottom w:val="0"/>
              <w:divBdr>
                <w:top w:val="none" w:sz="0" w:space="0" w:color="auto"/>
                <w:left w:val="none" w:sz="0" w:space="0" w:color="auto"/>
                <w:bottom w:val="none" w:sz="0" w:space="0" w:color="auto"/>
                <w:right w:val="none" w:sz="0" w:space="0" w:color="auto"/>
              </w:divBdr>
            </w:div>
            <w:div w:id="376438863">
              <w:marLeft w:val="0"/>
              <w:marRight w:val="0"/>
              <w:marTop w:val="0"/>
              <w:marBottom w:val="0"/>
              <w:divBdr>
                <w:top w:val="none" w:sz="0" w:space="0" w:color="auto"/>
                <w:left w:val="none" w:sz="0" w:space="0" w:color="auto"/>
                <w:bottom w:val="none" w:sz="0" w:space="0" w:color="auto"/>
                <w:right w:val="none" w:sz="0" w:space="0" w:color="auto"/>
              </w:divBdr>
            </w:div>
          </w:divsChild>
        </w:div>
        <w:div w:id="2019304823">
          <w:marLeft w:val="-225"/>
          <w:marRight w:val="-225"/>
          <w:marTop w:val="0"/>
          <w:marBottom w:val="0"/>
          <w:divBdr>
            <w:top w:val="none" w:sz="0" w:space="0" w:color="auto"/>
            <w:left w:val="none" w:sz="0" w:space="0" w:color="auto"/>
            <w:bottom w:val="none" w:sz="0" w:space="0" w:color="auto"/>
            <w:right w:val="none" w:sz="0" w:space="0" w:color="auto"/>
          </w:divBdr>
          <w:divsChild>
            <w:div w:id="2436676">
              <w:marLeft w:val="1860"/>
              <w:marRight w:val="0"/>
              <w:marTop w:val="0"/>
              <w:marBottom w:val="0"/>
              <w:divBdr>
                <w:top w:val="none" w:sz="0" w:space="0" w:color="auto"/>
                <w:left w:val="none" w:sz="0" w:space="0" w:color="auto"/>
                <w:bottom w:val="none" w:sz="0" w:space="0" w:color="auto"/>
                <w:right w:val="none" w:sz="0" w:space="0" w:color="auto"/>
              </w:divBdr>
            </w:div>
            <w:div w:id="1870558313">
              <w:marLeft w:val="0"/>
              <w:marRight w:val="0"/>
              <w:marTop w:val="0"/>
              <w:marBottom w:val="0"/>
              <w:divBdr>
                <w:top w:val="none" w:sz="0" w:space="0" w:color="auto"/>
                <w:left w:val="none" w:sz="0" w:space="0" w:color="auto"/>
                <w:bottom w:val="none" w:sz="0" w:space="0" w:color="auto"/>
                <w:right w:val="none" w:sz="0" w:space="0" w:color="auto"/>
              </w:divBdr>
            </w:div>
          </w:divsChild>
        </w:div>
        <w:div w:id="125860879">
          <w:marLeft w:val="-225"/>
          <w:marRight w:val="-225"/>
          <w:marTop w:val="0"/>
          <w:marBottom w:val="0"/>
          <w:divBdr>
            <w:top w:val="none" w:sz="0" w:space="0" w:color="auto"/>
            <w:left w:val="none" w:sz="0" w:space="0" w:color="auto"/>
            <w:bottom w:val="none" w:sz="0" w:space="0" w:color="auto"/>
            <w:right w:val="none" w:sz="0" w:space="0" w:color="auto"/>
          </w:divBdr>
          <w:divsChild>
            <w:div w:id="1208299306">
              <w:marLeft w:val="1860"/>
              <w:marRight w:val="0"/>
              <w:marTop w:val="0"/>
              <w:marBottom w:val="0"/>
              <w:divBdr>
                <w:top w:val="none" w:sz="0" w:space="0" w:color="auto"/>
                <w:left w:val="none" w:sz="0" w:space="0" w:color="auto"/>
                <w:bottom w:val="none" w:sz="0" w:space="0" w:color="auto"/>
                <w:right w:val="none" w:sz="0" w:space="0" w:color="auto"/>
              </w:divBdr>
            </w:div>
            <w:div w:id="2119835617">
              <w:marLeft w:val="0"/>
              <w:marRight w:val="0"/>
              <w:marTop w:val="0"/>
              <w:marBottom w:val="0"/>
              <w:divBdr>
                <w:top w:val="none" w:sz="0" w:space="0" w:color="auto"/>
                <w:left w:val="none" w:sz="0" w:space="0" w:color="auto"/>
                <w:bottom w:val="none" w:sz="0" w:space="0" w:color="auto"/>
                <w:right w:val="none" w:sz="0" w:space="0" w:color="auto"/>
              </w:divBdr>
            </w:div>
          </w:divsChild>
        </w:div>
        <w:div w:id="965038994">
          <w:marLeft w:val="-225"/>
          <w:marRight w:val="-225"/>
          <w:marTop w:val="0"/>
          <w:marBottom w:val="0"/>
          <w:divBdr>
            <w:top w:val="none" w:sz="0" w:space="0" w:color="auto"/>
            <w:left w:val="none" w:sz="0" w:space="0" w:color="auto"/>
            <w:bottom w:val="none" w:sz="0" w:space="0" w:color="auto"/>
            <w:right w:val="none" w:sz="0" w:space="0" w:color="auto"/>
          </w:divBdr>
          <w:divsChild>
            <w:div w:id="2058239525">
              <w:marLeft w:val="1860"/>
              <w:marRight w:val="0"/>
              <w:marTop w:val="0"/>
              <w:marBottom w:val="0"/>
              <w:divBdr>
                <w:top w:val="none" w:sz="0" w:space="0" w:color="auto"/>
                <w:left w:val="none" w:sz="0" w:space="0" w:color="auto"/>
                <w:bottom w:val="none" w:sz="0" w:space="0" w:color="auto"/>
                <w:right w:val="none" w:sz="0" w:space="0" w:color="auto"/>
              </w:divBdr>
            </w:div>
            <w:div w:id="802575047">
              <w:marLeft w:val="0"/>
              <w:marRight w:val="0"/>
              <w:marTop w:val="0"/>
              <w:marBottom w:val="0"/>
              <w:divBdr>
                <w:top w:val="none" w:sz="0" w:space="0" w:color="auto"/>
                <w:left w:val="none" w:sz="0" w:space="0" w:color="auto"/>
                <w:bottom w:val="none" w:sz="0" w:space="0" w:color="auto"/>
                <w:right w:val="none" w:sz="0" w:space="0" w:color="auto"/>
              </w:divBdr>
            </w:div>
          </w:divsChild>
        </w:div>
        <w:div w:id="314649006">
          <w:marLeft w:val="-225"/>
          <w:marRight w:val="-225"/>
          <w:marTop w:val="0"/>
          <w:marBottom w:val="0"/>
          <w:divBdr>
            <w:top w:val="none" w:sz="0" w:space="0" w:color="auto"/>
            <w:left w:val="none" w:sz="0" w:space="0" w:color="auto"/>
            <w:bottom w:val="none" w:sz="0" w:space="0" w:color="auto"/>
            <w:right w:val="none" w:sz="0" w:space="0" w:color="auto"/>
          </w:divBdr>
          <w:divsChild>
            <w:div w:id="446850010">
              <w:marLeft w:val="1860"/>
              <w:marRight w:val="0"/>
              <w:marTop w:val="0"/>
              <w:marBottom w:val="0"/>
              <w:divBdr>
                <w:top w:val="none" w:sz="0" w:space="0" w:color="auto"/>
                <w:left w:val="none" w:sz="0" w:space="0" w:color="auto"/>
                <w:bottom w:val="none" w:sz="0" w:space="0" w:color="auto"/>
                <w:right w:val="none" w:sz="0" w:space="0" w:color="auto"/>
              </w:divBdr>
            </w:div>
            <w:div w:id="97931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962095">
      <w:bodyDiv w:val="1"/>
      <w:marLeft w:val="0"/>
      <w:marRight w:val="0"/>
      <w:marTop w:val="0"/>
      <w:marBottom w:val="0"/>
      <w:divBdr>
        <w:top w:val="none" w:sz="0" w:space="0" w:color="auto"/>
        <w:left w:val="none" w:sz="0" w:space="0" w:color="auto"/>
        <w:bottom w:val="none" w:sz="0" w:space="0" w:color="auto"/>
        <w:right w:val="none" w:sz="0" w:space="0" w:color="auto"/>
      </w:divBdr>
    </w:div>
    <w:div w:id="2095397967">
      <w:bodyDiv w:val="1"/>
      <w:marLeft w:val="0"/>
      <w:marRight w:val="0"/>
      <w:marTop w:val="0"/>
      <w:marBottom w:val="0"/>
      <w:divBdr>
        <w:top w:val="none" w:sz="0" w:space="0" w:color="auto"/>
        <w:left w:val="none" w:sz="0" w:space="0" w:color="auto"/>
        <w:bottom w:val="none" w:sz="0" w:space="0" w:color="auto"/>
        <w:right w:val="none" w:sz="0" w:space="0" w:color="auto"/>
      </w:divBdr>
    </w:div>
    <w:div w:id="2102331247">
      <w:bodyDiv w:val="1"/>
      <w:marLeft w:val="0"/>
      <w:marRight w:val="0"/>
      <w:marTop w:val="0"/>
      <w:marBottom w:val="0"/>
      <w:divBdr>
        <w:top w:val="none" w:sz="0" w:space="0" w:color="auto"/>
        <w:left w:val="none" w:sz="0" w:space="0" w:color="auto"/>
        <w:bottom w:val="none" w:sz="0" w:space="0" w:color="auto"/>
        <w:right w:val="none" w:sz="0" w:space="0" w:color="auto"/>
      </w:divBdr>
    </w:div>
    <w:div w:id="210607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F2E102-B8F4-4DA9-8097-9011AE476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27</Pages>
  <Words>7164</Words>
  <Characters>49214</Characters>
  <Application>Microsoft Office Word</Application>
  <DocSecurity>0</DocSecurity>
  <Lines>410</Lines>
  <Paragraphs>112</Paragraphs>
  <ScaleCrop>false</ScaleCrop>
  <HeadingPairs>
    <vt:vector size="2" baseType="variant">
      <vt:variant>
        <vt:lpstr>Title</vt:lpstr>
      </vt:variant>
      <vt:variant>
        <vt:i4>1</vt:i4>
      </vt:variant>
    </vt:vector>
  </HeadingPairs>
  <TitlesOfParts>
    <vt:vector size="1" baseType="lpstr">
      <vt:lpstr/>
    </vt:vector>
  </TitlesOfParts>
  <Company>UCLH</Company>
  <LinksUpToDate>false</LinksUpToDate>
  <CharactersWithSpaces>56266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Mahima K</dc:creator>
  <cp:lastModifiedBy>Bonnett, Laura</cp:lastModifiedBy>
  <cp:revision>9</cp:revision>
  <dcterms:created xsi:type="dcterms:W3CDTF">2023-01-05T11:30:00Z</dcterms:created>
  <dcterms:modified xsi:type="dcterms:W3CDTF">2023-01-05T12:01:00Z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http://www.zotero.org/styles/ieee</vt:lpwstr>
  </property>
  <property fmtid="{D5CDD505-2E9C-101B-9397-08002B2CF9AE}" pid="11" name="Mendeley Recent Style Name 4_1">
    <vt:lpwstr>IEEE</vt:lpwstr>
  </property>
  <property fmtid="{D5CDD505-2E9C-101B-9397-08002B2CF9AE}" pid="12" name="Mendeley Recent Style Id 5_1">
    <vt:lpwstr>http://www.zotero.org/styles/journal-of-neurology-neurosurgery-and-psychiatry</vt:lpwstr>
  </property>
  <property fmtid="{D5CDD505-2E9C-101B-9397-08002B2CF9AE}" pid="13" name="Mendeley Recent Style Name 5_1">
    <vt:lpwstr>Journal of Neurology, Neurosurgery, and Psychiatry</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http://www.zotero.org/styles/nature</vt:lpwstr>
  </property>
  <property fmtid="{D5CDD505-2E9C-101B-9397-08002B2CF9AE}" pid="17" name="Mendeley Recent Style Name 7_1">
    <vt:lpwstr>Nature</vt:lpwstr>
  </property>
  <property fmtid="{D5CDD505-2E9C-101B-9397-08002B2CF9AE}" pid="18" name="Mendeley Recent Style Id 8_1">
    <vt:lpwstr>http://www.zotero.org/styles/neuromuscular-disorders</vt:lpwstr>
  </property>
  <property fmtid="{D5CDD505-2E9C-101B-9397-08002B2CF9AE}" pid="19" name="Mendeley Recent Style Name 8_1">
    <vt:lpwstr>Neuromuscular Disorders</vt:lpwstr>
  </property>
  <property fmtid="{D5CDD505-2E9C-101B-9397-08002B2CF9AE}" pid="20" name="Mendeley Recent Style Id 9_1">
    <vt:lpwstr>http://csl.mendeley.com/styles/498793821/mkpracticalneurology</vt:lpwstr>
  </property>
  <property fmtid="{D5CDD505-2E9C-101B-9397-08002B2CF9AE}" pid="21" name="Mendeley Recent Style Name 9_1">
    <vt:lpwstr>Vancouver (superscript) - Mahima Kapoor</vt:lpwstr>
  </property>
  <property fmtid="{D5CDD505-2E9C-101B-9397-08002B2CF9AE}" pid="22" name="Mendeley Citation Style_1">
    <vt:lpwstr>http://www.zotero.org/styles/nature</vt:lpwstr>
  </property>
  <property fmtid="{D5CDD505-2E9C-101B-9397-08002B2CF9AE}" pid="23" name="Mendeley Document_1">
    <vt:lpwstr>True</vt:lpwstr>
  </property>
  <property fmtid="{D5CDD505-2E9C-101B-9397-08002B2CF9AE}" pid="24" name="Mendeley Unique User Id_1">
    <vt:lpwstr>2287ce73-faed-34df-adbb-e1fdd3cb1c94</vt:lpwstr>
  </property>
</Properties>
</file>