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39103" w14:textId="083BD8AA" w:rsidR="00097393" w:rsidRPr="00463954" w:rsidRDefault="00097393" w:rsidP="00977FD2">
      <w:pPr>
        <w:spacing w:after="0"/>
        <w:rPr>
          <w:b/>
          <w:bCs/>
        </w:rPr>
      </w:pPr>
      <w:r w:rsidRPr="00463954">
        <w:rPr>
          <w:b/>
          <w:bCs/>
        </w:rPr>
        <w:t>Protocol for the Addressing the Social Determinants and Consequences of Tuberculosis in Nepal (ASCOT) pilot trial</w:t>
      </w:r>
    </w:p>
    <w:p w14:paraId="6DCE4AA0" w14:textId="77777777" w:rsidR="00977FD2" w:rsidRDefault="00977FD2" w:rsidP="00463954">
      <w:pPr>
        <w:spacing w:after="0"/>
      </w:pPr>
    </w:p>
    <w:p w14:paraId="42D9A4B8" w14:textId="09B8B5D8" w:rsidR="00802BEF" w:rsidRDefault="00802BEF" w:rsidP="00977FD2">
      <w:pPr>
        <w:spacing w:after="0"/>
        <w:rPr>
          <w:vertAlign w:val="superscript"/>
        </w:rPr>
      </w:pPr>
      <w:r>
        <w:t>Bhola Rai</w:t>
      </w:r>
      <w:r w:rsidRPr="00463954">
        <w:rPr>
          <w:vertAlign w:val="superscript"/>
        </w:rPr>
        <w:t>1</w:t>
      </w:r>
      <w:r>
        <w:t>, Kritika Dixit</w:t>
      </w:r>
      <w:r w:rsidRPr="00463954">
        <w:rPr>
          <w:vertAlign w:val="superscript"/>
        </w:rPr>
        <w:t>1,2</w:t>
      </w:r>
      <w:r>
        <w:t>, Raghu Dhital</w:t>
      </w:r>
      <w:r w:rsidRPr="00463954">
        <w:rPr>
          <w:vertAlign w:val="superscript"/>
        </w:rPr>
        <w:t>1</w:t>
      </w:r>
      <w:r>
        <w:t>, Poonam Rishal</w:t>
      </w:r>
      <w:r w:rsidRPr="00463954">
        <w:rPr>
          <w:vertAlign w:val="superscript"/>
        </w:rPr>
        <w:t>1</w:t>
      </w:r>
      <w:r>
        <w:t>, Suman Gurung</w:t>
      </w:r>
      <w:r w:rsidRPr="00463954">
        <w:rPr>
          <w:vertAlign w:val="superscript"/>
        </w:rPr>
        <w:t>1</w:t>
      </w:r>
      <w:r>
        <w:t>, Pusk</w:t>
      </w:r>
      <w:r w:rsidR="007455A5">
        <w:t>ar Paudel</w:t>
      </w:r>
      <w:r w:rsidR="007455A5" w:rsidRPr="00463954">
        <w:rPr>
          <w:vertAlign w:val="superscript"/>
        </w:rPr>
        <w:t>1</w:t>
      </w:r>
      <w:r w:rsidR="007455A5">
        <w:t>, Gokul Mishra</w:t>
      </w:r>
      <w:r w:rsidR="007455A5" w:rsidRPr="00463954">
        <w:rPr>
          <w:vertAlign w:val="superscript"/>
        </w:rPr>
        <w:t>1,3</w:t>
      </w:r>
      <w:r w:rsidR="007455A5">
        <w:t>, Laura Bonnett</w:t>
      </w:r>
      <w:r w:rsidR="007455A5" w:rsidRPr="00463954">
        <w:rPr>
          <w:vertAlign w:val="superscript"/>
        </w:rPr>
        <w:t>4</w:t>
      </w:r>
      <w:r w:rsidR="007455A5">
        <w:t>, Noemia Siqueira-Filha</w:t>
      </w:r>
      <w:r w:rsidR="007455A5" w:rsidRPr="00463954">
        <w:rPr>
          <w:vertAlign w:val="superscript"/>
        </w:rPr>
        <w:t>5</w:t>
      </w:r>
      <w:r w:rsidR="007455A5">
        <w:t>, Mukti Nath Khanal</w:t>
      </w:r>
      <w:r w:rsidR="007455A5" w:rsidRPr="00463954">
        <w:rPr>
          <w:vertAlign w:val="superscript"/>
        </w:rPr>
        <w:t>3</w:t>
      </w:r>
      <w:r w:rsidR="007455A5">
        <w:t>, Knut Lonnroth</w:t>
      </w:r>
      <w:r w:rsidR="007455A5" w:rsidRPr="00463954">
        <w:rPr>
          <w:vertAlign w:val="superscript"/>
        </w:rPr>
        <w:t>2</w:t>
      </w:r>
      <w:r w:rsidR="007455A5">
        <w:t>, S Bertel Squire</w:t>
      </w:r>
      <w:r w:rsidR="007455A5" w:rsidRPr="00463954">
        <w:rPr>
          <w:vertAlign w:val="superscript"/>
        </w:rPr>
        <w:t>6</w:t>
      </w:r>
      <w:r w:rsidR="007455A5">
        <w:t>, Maxine Caws</w:t>
      </w:r>
      <w:r w:rsidR="007455A5" w:rsidRPr="00463954">
        <w:rPr>
          <w:vertAlign w:val="superscript"/>
        </w:rPr>
        <w:t>1,6</w:t>
      </w:r>
      <w:r w:rsidR="007455A5">
        <w:t>, Tom Wingfield</w:t>
      </w:r>
      <w:r w:rsidR="007455A5" w:rsidRPr="00463954">
        <w:rPr>
          <w:vertAlign w:val="superscript"/>
        </w:rPr>
        <w:t>1,2,7,8*</w:t>
      </w:r>
    </w:p>
    <w:p w14:paraId="29C647BC" w14:textId="77777777" w:rsidR="00977FD2" w:rsidRDefault="00977FD2" w:rsidP="00463954">
      <w:pPr>
        <w:spacing w:after="0"/>
      </w:pPr>
    </w:p>
    <w:p w14:paraId="2C41173D" w14:textId="264C769F" w:rsidR="00977FD2" w:rsidRDefault="00977FD2" w:rsidP="00463954">
      <w:pPr>
        <w:spacing w:after="0"/>
      </w:pPr>
      <w:r w:rsidRPr="00463954">
        <w:rPr>
          <w:vertAlign w:val="superscript"/>
        </w:rPr>
        <w:t>1</w:t>
      </w:r>
      <w:r>
        <w:t xml:space="preserve">Research, </w:t>
      </w:r>
      <w:proofErr w:type="spellStart"/>
      <w:r>
        <w:t>Birat</w:t>
      </w:r>
      <w:proofErr w:type="spellEnd"/>
      <w:r>
        <w:t xml:space="preserve"> Nepal Medical Trust, Kathmandu, 44600, Nepal</w:t>
      </w:r>
    </w:p>
    <w:p w14:paraId="2A083B5E" w14:textId="5E6F7160" w:rsidR="00977FD2" w:rsidRDefault="00977FD2" w:rsidP="00463954">
      <w:pPr>
        <w:spacing w:after="0"/>
      </w:pPr>
      <w:r w:rsidRPr="00463954">
        <w:rPr>
          <w:vertAlign w:val="superscript"/>
        </w:rPr>
        <w:t>2</w:t>
      </w:r>
      <w:r>
        <w:t>WHO Collaborating Centre on Tuberculosis and Social Medicine, Karolinska Institute, Stockholm, 171 77, Sweden</w:t>
      </w:r>
    </w:p>
    <w:p w14:paraId="07BDD829" w14:textId="745D51E1" w:rsidR="00977FD2" w:rsidRDefault="00977FD2" w:rsidP="00463954">
      <w:pPr>
        <w:spacing w:after="0"/>
      </w:pPr>
      <w:r w:rsidRPr="00463954">
        <w:rPr>
          <w:vertAlign w:val="superscript"/>
        </w:rPr>
        <w:t>3</w:t>
      </w:r>
      <w:r>
        <w:t>Planning, Monitoring, Evaluation, Surveillance, and Research, Nepal Tuberculosis Control Centre, Kathmandu, 44600, Nepal</w:t>
      </w:r>
    </w:p>
    <w:p w14:paraId="236188FA" w14:textId="3B1B150E" w:rsidR="00977FD2" w:rsidRDefault="00977FD2" w:rsidP="00463954">
      <w:pPr>
        <w:spacing w:after="0"/>
      </w:pPr>
      <w:r w:rsidRPr="00463954">
        <w:rPr>
          <w:vertAlign w:val="superscript"/>
        </w:rPr>
        <w:t>4</w:t>
      </w:r>
      <w:r>
        <w:t>Institute of Population Health, University of Liverpool, Liverpool, L69 3GF, UK</w:t>
      </w:r>
    </w:p>
    <w:p w14:paraId="31AB66B6" w14:textId="19039EB8" w:rsidR="00977FD2" w:rsidRDefault="00977FD2" w:rsidP="00463954">
      <w:pPr>
        <w:spacing w:after="0"/>
      </w:pPr>
      <w:r w:rsidRPr="00463954">
        <w:rPr>
          <w:vertAlign w:val="superscript"/>
        </w:rPr>
        <w:t>5</w:t>
      </w:r>
      <w:r>
        <w:t>Health Sciences, University of York, UK, York, YO10 5DD, UK</w:t>
      </w:r>
    </w:p>
    <w:p w14:paraId="0ED2FD9D" w14:textId="3AECAA26" w:rsidR="00977FD2" w:rsidRDefault="00977FD2" w:rsidP="00463954">
      <w:pPr>
        <w:spacing w:after="0"/>
      </w:pPr>
      <w:r w:rsidRPr="00463954">
        <w:rPr>
          <w:vertAlign w:val="superscript"/>
        </w:rPr>
        <w:t>6</w:t>
      </w:r>
      <w:r>
        <w:t>Clinical Sciences, Liverpool School of Tropical Medicine, Liverpool, L3 5QA, UK</w:t>
      </w:r>
    </w:p>
    <w:p w14:paraId="0470DD97" w14:textId="24483B37" w:rsidR="00977FD2" w:rsidRDefault="00977FD2" w:rsidP="00463954">
      <w:pPr>
        <w:spacing w:after="0"/>
      </w:pPr>
      <w:r w:rsidRPr="00463954">
        <w:rPr>
          <w:vertAlign w:val="superscript"/>
        </w:rPr>
        <w:t>7</w:t>
      </w:r>
      <w:r>
        <w:t>Clinical Sciences and International Public Health, Liverpool School of Tropical Medicine, Liverpool, L3 5QA, UK</w:t>
      </w:r>
    </w:p>
    <w:p w14:paraId="78788D12" w14:textId="0214646E" w:rsidR="00977FD2" w:rsidRDefault="00977FD2" w:rsidP="00977FD2">
      <w:pPr>
        <w:spacing w:after="0"/>
      </w:pPr>
      <w:r w:rsidRPr="00463954">
        <w:rPr>
          <w:vertAlign w:val="superscript"/>
        </w:rPr>
        <w:t>8</w:t>
      </w:r>
      <w:r>
        <w:t>Tropical and Infectious Diseases Unit, Liverpool University Hospital NHS Foundation Trust, Liverpool, UK</w:t>
      </w:r>
    </w:p>
    <w:p w14:paraId="0EC5E65A" w14:textId="77777777" w:rsidR="00AA003C" w:rsidRDefault="00AA003C" w:rsidP="00977FD2">
      <w:pPr>
        <w:spacing w:after="0"/>
      </w:pPr>
    </w:p>
    <w:p w14:paraId="234E4206" w14:textId="09F7E4A8" w:rsidR="00AA003C" w:rsidRDefault="00AA003C" w:rsidP="000855E1">
      <w:pPr>
        <w:spacing w:after="0"/>
        <w:jc w:val="both"/>
        <w:rPr>
          <w:b/>
          <w:bCs/>
          <w:sz w:val="24"/>
          <w:szCs w:val="24"/>
        </w:rPr>
      </w:pPr>
      <w:r w:rsidRPr="00463954">
        <w:rPr>
          <w:b/>
          <w:bCs/>
          <w:sz w:val="24"/>
          <w:szCs w:val="24"/>
        </w:rPr>
        <w:t>Abstract</w:t>
      </w:r>
    </w:p>
    <w:p w14:paraId="096C38A9" w14:textId="4652E242" w:rsidR="00AA003C" w:rsidRDefault="00AA003C" w:rsidP="000855E1">
      <w:pPr>
        <w:spacing w:after="0"/>
        <w:jc w:val="both"/>
      </w:pPr>
      <w:r>
        <w:rPr>
          <w:b/>
          <w:bCs/>
        </w:rPr>
        <w:t xml:space="preserve">BACKGROUND: </w:t>
      </w:r>
      <w:r w:rsidR="003116AE">
        <w:t>The World Health Organization</w:t>
      </w:r>
      <w:r>
        <w:t xml:space="preserve">’s End TB </w:t>
      </w:r>
      <w:r w:rsidR="00324D6B">
        <w:t xml:space="preserve">(tuberculosis) </w:t>
      </w:r>
      <w:r>
        <w:t>Strategy advocates social and economic (socioeconomic) support for TB-affected households but evidence from low-income settings is scarce.</w:t>
      </w:r>
      <w:r w:rsidR="00FE7AE4">
        <w:t xml:space="preserve"> We </w:t>
      </w:r>
      <w:r w:rsidR="003648AC">
        <w:t>will</w:t>
      </w:r>
      <w:r>
        <w:t xml:space="preserve"> evaluate the feasibility and acceptability of a </w:t>
      </w:r>
      <w:proofErr w:type="gramStart"/>
      <w:r>
        <w:t>locally-appropriate</w:t>
      </w:r>
      <w:proofErr w:type="gramEnd"/>
      <w:r>
        <w:t xml:space="preserve"> socioeconomic support intervention for TB-affected households in Nepal.</w:t>
      </w:r>
      <w:r>
        <w:br/>
      </w:r>
      <w:r>
        <w:br/>
      </w:r>
      <w:r w:rsidR="00FE7AE4">
        <w:rPr>
          <w:b/>
          <w:bCs/>
        </w:rPr>
        <w:t xml:space="preserve">METHODS: </w:t>
      </w:r>
      <w:r w:rsidR="003648AC">
        <w:t xml:space="preserve">We will </w:t>
      </w:r>
      <w:r w:rsidR="002A2EFA">
        <w:t>conduct</w:t>
      </w:r>
      <w:r w:rsidR="003648AC">
        <w:t xml:space="preserve"> a</w:t>
      </w:r>
      <w:r>
        <w:t xml:space="preserve"> pilot randomised-controlled trial with mixed-methods process evaluation in four </w:t>
      </w:r>
      <w:r w:rsidR="003648AC">
        <w:t>TB-endemic, impoverished districts</w:t>
      </w:r>
      <w:r>
        <w:t xml:space="preserve"> of Nepal: </w:t>
      </w:r>
      <w:proofErr w:type="spellStart"/>
      <w:r>
        <w:t>Pyuthan</w:t>
      </w:r>
      <w:proofErr w:type="spellEnd"/>
      <w:r>
        <w:t xml:space="preserve">, Chitwan, </w:t>
      </w:r>
      <w:proofErr w:type="spellStart"/>
      <w:r>
        <w:t>Mahottari</w:t>
      </w:r>
      <w:proofErr w:type="spellEnd"/>
      <w:r>
        <w:t>, and Morang. </w:t>
      </w:r>
      <w:r w:rsidR="00FE7AE4">
        <w:t xml:space="preserve">We will recruit </w:t>
      </w:r>
      <w:r>
        <w:t>128 people with TB notified to the Nepal National TB Program (NTP)</w:t>
      </w:r>
      <w:r w:rsidR="00371634">
        <w:t xml:space="preserve"> </w:t>
      </w:r>
      <w:r>
        <w:t xml:space="preserve">and 40 multisectoral stakeholders including NTP staff, civil-society members, </w:t>
      </w:r>
      <w:proofErr w:type="gramStart"/>
      <w:r>
        <w:t>policy-makers</w:t>
      </w:r>
      <w:proofErr w:type="gramEnd"/>
      <w:r>
        <w:t xml:space="preserve">, and ASCOT </w:t>
      </w:r>
      <w:r w:rsidR="00371634">
        <w:t xml:space="preserve">(Addressing the Social Determinants and Consequences of Tuberculosis) </w:t>
      </w:r>
      <w:r>
        <w:t>team members.</w:t>
      </w:r>
      <w:r w:rsidR="00FE7AE4">
        <w:t xml:space="preserve"> </w:t>
      </w:r>
      <w:r>
        <w:t>People with TB will be randomised 1:1:1:1 to four study arms: control (n=32); social support (n=32)</w:t>
      </w:r>
      <w:r w:rsidR="00DE199B">
        <w:t>;</w:t>
      </w:r>
      <w:r>
        <w:t xml:space="preserve"> economic support (n=32)</w:t>
      </w:r>
      <w:r w:rsidR="00DE199B">
        <w:t>;</w:t>
      </w:r>
      <w:r>
        <w:t xml:space="preserve"> and </w:t>
      </w:r>
      <w:r w:rsidR="002A2EFA">
        <w:t xml:space="preserve">combined </w:t>
      </w:r>
      <w:r>
        <w:t>soci</w:t>
      </w:r>
      <w:r w:rsidR="002A2EFA">
        <w:t>al and e</w:t>
      </w:r>
      <w:r>
        <w:t xml:space="preserve">conomic </w:t>
      </w:r>
      <w:r w:rsidR="002A2EFA">
        <w:t xml:space="preserve">(socioeconomic) </w:t>
      </w:r>
      <w:r>
        <w:t xml:space="preserve">support (n=32). Social support will be </w:t>
      </w:r>
      <w:r w:rsidR="00DE199B">
        <w:t xml:space="preserve">TB education and </w:t>
      </w:r>
      <w:r>
        <w:t xml:space="preserve">peer-led mutual-support TB Clubs providing TB education and stigma-reduction counselling. Economic support will be monthly </w:t>
      </w:r>
      <w:r w:rsidR="00DE199B">
        <w:t xml:space="preserve">unconditional </w:t>
      </w:r>
      <w:r>
        <w:t xml:space="preserve">cash transfers during TB treatment with expectations (not conditions) of meeting NTP goals. At </w:t>
      </w:r>
      <w:proofErr w:type="gramStart"/>
      <w:r w:rsidR="002A2EFA">
        <w:t>0, 2, and 6 months</w:t>
      </w:r>
      <w:proofErr w:type="gramEnd"/>
      <w:r>
        <w:t xml:space="preserve"> following TB treatment initiation, participants will be asked to complete a</w:t>
      </w:r>
      <w:r w:rsidR="00760833">
        <w:t xml:space="preserve"> </w:t>
      </w:r>
      <w:r>
        <w:t xml:space="preserve">survey detailing the social determinants and </w:t>
      </w:r>
      <w:r w:rsidR="00FE7AE4">
        <w:t>consequences</w:t>
      </w:r>
      <w:r>
        <w:t xml:space="preserve"> of TB and their </w:t>
      </w:r>
      <w:r w:rsidR="00FE7AE4">
        <w:t>feedback on</w:t>
      </w:r>
      <w:r>
        <w:t xml:space="preserve"> ASCOT. Complementary process evaluation will use focus group discussions (FGD), key informant interviews (KII), and a workshop with multi-sectoral stakeholders </w:t>
      </w:r>
      <w:r w:rsidR="00FE7AE4">
        <w:t>to consider</w:t>
      </w:r>
      <w:r>
        <w:t xml:space="preserve"> the challenges to ASCOT’s implementation and scale-up. </w:t>
      </w:r>
      <w:r w:rsidR="003648AC">
        <w:t>A sample of ~100 people with TB is recommended to estimate TB-related costs. It is predicted that information power will be reached with 25 FGD and 15 KII participants.</w:t>
      </w:r>
      <w:r w:rsidR="003648AC">
        <w:br/>
      </w:r>
      <w:r>
        <w:br/>
      </w:r>
      <w:r w:rsidR="003648AC">
        <w:rPr>
          <w:b/>
          <w:bCs/>
        </w:rPr>
        <w:t>CONCLUSIONS</w:t>
      </w:r>
      <w:r>
        <w:rPr>
          <w:b/>
          <w:bCs/>
        </w:rPr>
        <w:t>:</w:t>
      </w:r>
      <w:r>
        <w:t xml:space="preserve"> The ASCOT pilot trial will: </w:t>
      </w:r>
      <w:proofErr w:type="spellStart"/>
      <w:r>
        <w:t>i</w:t>
      </w:r>
      <w:proofErr w:type="spellEnd"/>
      <w:r>
        <w:t xml:space="preserve">) generate robust evidence on the feasibility and acceptability of a </w:t>
      </w:r>
      <w:proofErr w:type="gramStart"/>
      <w:r>
        <w:t>locally-appropriate</w:t>
      </w:r>
      <w:proofErr w:type="gramEnd"/>
      <w:r>
        <w:t>, socioeconomic support intervention for TB-affected households in Nepal; and ii) inform a well-powered, large-scale future ASCOT trial, which will evaluate the intervention’s impact on catastrophic costs mitigation and TB outcomes.</w:t>
      </w:r>
    </w:p>
    <w:p w14:paraId="2C5DB170" w14:textId="5FEA0B52" w:rsidR="00AF7968" w:rsidRPr="003648AC" w:rsidRDefault="00AF7968" w:rsidP="000855E1">
      <w:pPr>
        <w:spacing w:after="0"/>
        <w:jc w:val="both"/>
        <w:rPr>
          <w:b/>
          <w:bCs/>
        </w:rPr>
      </w:pPr>
      <w:r w:rsidRPr="003648AC">
        <w:t>The trial is registered with the</w:t>
      </w:r>
      <w:r w:rsidR="00187BD4" w:rsidRPr="003648AC">
        <w:t xml:space="preserve"> ISRCTN</w:t>
      </w:r>
      <w:r w:rsidRPr="003648AC">
        <w:t xml:space="preserve"> </w:t>
      </w:r>
      <w:r w:rsidR="00187BD4" w:rsidRPr="003648AC">
        <w:t>(</w:t>
      </w:r>
      <w:hyperlink r:id="rId11" w:history="1">
        <w:r w:rsidRPr="003648AC">
          <w:rPr>
            <w:rStyle w:val="Hyperlink"/>
          </w:rPr>
          <w:t>ISRCTN17025974</w:t>
        </w:r>
      </w:hyperlink>
      <w:r w:rsidR="00187BD4" w:rsidRPr="003648AC">
        <w:t>).</w:t>
      </w:r>
    </w:p>
    <w:p w14:paraId="3785E26E" w14:textId="77777777" w:rsidR="00977FD2" w:rsidRDefault="00977FD2" w:rsidP="00977FD2">
      <w:pPr>
        <w:spacing w:after="0"/>
      </w:pPr>
    </w:p>
    <w:p w14:paraId="176A34D9" w14:textId="4A8D938C" w:rsidR="00D44EEE" w:rsidRPr="00D44EEE" w:rsidRDefault="00D44EEE" w:rsidP="00977FD2">
      <w:pPr>
        <w:spacing w:after="0"/>
      </w:pPr>
      <w:r>
        <w:rPr>
          <w:b/>
          <w:bCs/>
        </w:rPr>
        <w:t>Keywords:</w:t>
      </w:r>
      <w:r>
        <w:t xml:space="preserve"> </w:t>
      </w:r>
      <w:r w:rsidRPr="00D44EEE">
        <w:t xml:space="preserve">Tuberculosis; poverty; social determinants; catastrophic costs; stigma; social protection; socioeconomic support; End TB Strategy; pilot trial; process evaluation; </w:t>
      </w:r>
      <w:proofErr w:type="gramStart"/>
      <w:r w:rsidRPr="00D44EEE">
        <w:t>mixed-methods</w:t>
      </w:r>
      <w:proofErr w:type="gramEnd"/>
      <w:r w:rsidRPr="00D44EEE">
        <w:t>.</w:t>
      </w:r>
    </w:p>
    <w:p w14:paraId="4785D568" w14:textId="77777777" w:rsidR="00D44EEE" w:rsidRPr="00977FD2" w:rsidRDefault="00D44EEE" w:rsidP="00463954">
      <w:pPr>
        <w:spacing w:after="0"/>
      </w:pPr>
    </w:p>
    <w:p w14:paraId="63B36D9E" w14:textId="1D76A062" w:rsidR="005E4C15" w:rsidRPr="00540B2F" w:rsidRDefault="007A6D6B" w:rsidP="005E4C15">
      <w:pPr>
        <w:rPr>
          <w:b/>
          <w:bCs/>
          <w:sz w:val="24"/>
          <w:szCs w:val="24"/>
        </w:rPr>
      </w:pPr>
      <w:r>
        <w:rPr>
          <w:b/>
          <w:bCs/>
          <w:sz w:val="24"/>
          <w:szCs w:val="24"/>
        </w:rPr>
        <w:t>Introduction</w:t>
      </w:r>
    </w:p>
    <w:p w14:paraId="0E28D4C4" w14:textId="0CA64A7E" w:rsidR="00266F2B" w:rsidRDefault="00266F2B" w:rsidP="00266F2B">
      <w:pPr>
        <w:jc w:val="both"/>
        <w:rPr>
          <w:sz w:val="24"/>
          <w:szCs w:val="24"/>
          <w:lang w:val="en-US"/>
        </w:rPr>
      </w:pPr>
      <w:r w:rsidRPr="00266F2B">
        <w:rPr>
          <w:sz w:val="24"/>
          <w:szCs w:val="24"/>
          <w:lang w:val="en-US"/>
        </w:rPr>
        <w:t xml:space="preserve">Tuberculosis (TB) kills </w:t>
      </w:r>
      <w:r w:rsidR="00BB2FEC">
        <w:rPr>
          <w:sz w:val="24"/>
          <w:szCs w:val="24"/>
          <w:lang w:val="en-US"/>
        </w:rPr>
        <w:t>4100</w:t>
      </w:r>
      <w:r w:rsidRPr="00266F2B">
        <w:rPr>
          <w:sz w:val="24"/>
          <w:szCs w:val="24"/>
          <w:lang w:val="en-US"/>
        </w:rPr>
        <w:t xml:space="preserve"> people </w:t>
      </w:r>
      <w:r w:rsidR="00BB2FEC">
        <w:rPr>
          <w:sz w:val="24"/>
          <w:szCs w:val="24"/>
          <w:lang w:val="en-US"/>
        </w:rPr>
        <w:t>per day</w:t>
      </w:r>
      <w:r w:rsidRPr="00266F2B">
        <w:rPr>
          <w:sz w:val="24"/>
          <w:szCs w:val="24"/>
          <w:lang w:val="en-US"/>
        </w:rPr>
        <w:t xml:space="preserve"> worldwide.</w:t>
      </w:r>
      <w:r w:rsidRPr="00266F2B">
        <w:rPr>
          <w:sz w:val="24"/>
          <w:szCs w:val="24"/>
          <w:lang w:val="en-US"/>
        </w:rPr>
        <w:fldChar w:fldCharType="begin" w:fldLock="1"/>
      </w:r>
      <w:r w:rsidRPr="00266F2B">
        <w:rPr>
          <w:sz w:val="24"/>
          <w:szCs w:val="24"/>
          <w:lang w:val="en-US"/>
        </w:rPr>
        <w:instrText xml:space="preserve"> {"citationItems":[{"id":"ITEM-1","itemData":{"ISBN":"9789240013131","author":[{"dropping-particle":"","family":"World Health Organization (WHO)","given":"","non-dropping-particle":"","parse-names":false,"suffix":""}],"id":"ITEM-1","issued":{"date-parts":[["2020"]]},"publisher-place":"Geneva","title":"Global Tuberculosis Report","type":"report"},"uris":["http://www.mendeley.com/documents/?uuid=e67e9d19-0254-4d9f-9cfa-87c20f92007d"]}],"mendeley":{"formattedCitation":"&lt;sup&gt;1&lt;/sup&gt;","plainTextFormattedCitation":"1","previouslyFormattedCitation":"&lt;sup&gt;1&lt;/sup&gt;"},"properties":{"noteIndex":0},"schema":"https://github.com/citation-style-language/schema/raw/master/csl-citation.json"}</w:instrText>
      </w:r>
      <w:r w:rsidRPr="00266F2B">
        <w:rPr>
          <w:sz w:val="24"/>
          <w:szCs w:val="24"/>
          <w:lang w:val="en-US"/>
        </w:rPr>
        <w:fldChar w:fldCharType="separate"/>
      </w:r>
      <w:r w:rsidRPr="00266F2B">
        <w:rPr>
          <w:sz w:val="24"/>
          <w:szCs w:val="24"/>
          <w:vertAlign w:val="superscript"/>
          <w:lang w:val="en-US"/>
        </w:rPr>
        <w:t>1</w:t>
      </w:r>
      <w:r w:rsidRPr="00266F2B">
        <w:rPr>
          <w:sz w:val="24"/>
          <w:szCs w:val="24"/>
        </w:rPr>
        <w:fldChar w:fldCharType="end"/>
      </w:r>
      <w:r w:rsidRPr="00266F2B">
        <w:rPr>
          <w:sz w:val="24"/>
          <w:szCs w:val="24"/>
          <w:lang w:val="en-US"/>
        </w:rPr>
        <w:t xml:space="preserve"> In 20</w:t>
      </w:r>
      <w:r w:rsidR="00FF0B4F">
        <w:rPr>
          <w:sz w:val="24"/>
          <w:szCs w:val="24"/>
          <w:lang w:val="en-US"/>
        </w:rPr>
        <w:t>20</w:t>
      </w:r>
      <w:r w:rsidRPr="00266F2B">
        <w:rPr>
          <w:sz w:val="24"/>
          <w:szCs w:val="24"/>
          <w:lang w:val="en-US"/>
        </w:rPr>
        <w:t xml:space="preserve">, approximately 10 million </w:t>
      </w:r>
      <w:r w:rsidR="008320C2">
        <w:rPr>
          <w:sz w:val="24"/>
          <w:szCs w:val="24"/>
          <w:lang w:val="en-US"/>
        </w:rPr>
        <w:t xml:space="preserve">people </w:t>
      </w:r>
      <w:r w:rsidR="00BB2FEC">
        <w:rPr>
          <w:sz w:val="24"/>
          <w:szCs w:val="24"/>
          <w:lang w:val="en-US"/>
        </w:rPr>
        <w:t>developed</w:t>
      </w:r>
      <w:r w:rsidRPr="00266F2B">
        <w:rPr>
          <w:sz w:val="24"/>
          <w:szCs w:val="24"/>
          <w:lang w:val="en-US"/>
        </w:rPr>
        <w:t xml:space="preserve"> TB</w:t>
      </w:r>
      <w:r w:rsidR="00BB2FEC">
        <w:rPr>
          <w:sz w:val="24"/>
          <w:szCs w:val="24"/>
          <w:lang w:val="en-US"/>
        </w:rPr>
        <w:t xml:space="preserve"> disease</w:t>
      </w:r>
      <w:r w:rsidRPr="00266F2B">
        <w:rPr>
          <w:sz w:val="24"/>
          <w:szCs w:val="24"/>
          <w:lang w:val="en-US"/>
        </w:rPr>
        <w:t xml:space="preserve">, </w:t>
      </w:r>
      <w:r w:rsidR="00BB2FEC">
        <w:rPr>
          <w:sz w:val="24"/>
          <w:szCs w:val="24"/>
          <w:lang w:val="en-US"/>
        </w:rPr>
        <w:t>nearly 3</w:t>
      </w:r>
      <w:r w:rsidRPr="00266F2B">
        <w:rPr>
          <w:sz w:val="24"/>
          <w:szCs w:val="24"/>
          <w:lang w:val="en-US"/>
        </w:rPr>
        <w:t xml:space="preserve"> million </w:t>
      </w:r>
      <w:r w:rsidR="00BB2FEC" w:rsidRPr="00266F2B">
        <w:rPr>
          <w:sz w:val="24"/>
          <w:szCs w:val="24"/>
          <w:lang w:val="en-US"/>
        </w:rPr>
        <w:t xml:space="preserve">of whom </w:t>
      </w:r>
      <w:r w:rsidRPr="00266F2B">
        <w:rPr>
          <w:sz w:val="24"/>
          <w:szCs w:val="24"/>
          <w:lang w:val="en-US"/>
        </w:rPr>
        <w:t xml:space="preserve">were </w:t>
      </w:r>
      <w:r w:rsidR="00BB2FEC">
        <w:rPr>
          <w:sz w:val="24"/>
          <w:szCs w:val="24"/>
          <w:lang w:val="en-US"/>
        </w:rPr>
        <w:t>not</w:t>
      </w:r>
      <w:r w:rsidRPr="00266F2B">
        <w:rPr>
          <w:sz w:val="24"/>
          <w:szCs w:val="24"/>
          <w:lang w:val="en-US"/>
        </w:rPr>
        <w:t xml:space="preserve"> </w:t>
      </w:r>
      <w:r w:rsidR="00BB2FEC">
        <w:rPr>
          <w:sz w:val="24"/>
          <w:szCs w:val="24"/>
          <w:lang w:val="en-US"/>
        </w:rPr>
        <w:t xml:space="preserve">notified to national TB </w:t>
      </w:r>
      <w:proofErr w:type="spellStart"/>
      <w:r w:rsidR="00BB2FEC">
        <w:rPr>
          <w:sz w:val="24"/>
          <w:szCs w:val="24"/>
          <w:lang w:val="en-US"/>
        </w:rPr>
        <w:t>programmes</w:t>
      </w:r>
      <w:proofErr w:type="spellEnd"/>
      <w:r w:rsidRPr="00266F2B">
        <w:rPr>
          <w:sz w:val="24"/>
          <w:szCs w:val="24"/>
          <w:lang w:val="en-US"/>
        </w:rPr>
        <w:t xml:space="preserve"> or </w:t>
      </w:r>
      <w:r w:rsidR="00BB2FEC">
        <w:rPr>
          <w:sz w:val="24"/>
          <w:szCs w:val="24"/>
          <w:lang w:val="en-US"/>
        </w:rPr>
        <w:t xml:space="preserve">were not </w:t>
      </w:r>
      <w:r w:rsidRPr="00266F2B">
        <w:rPr>
          <w:sz w:val="24"/>
          <w:szCs w:val="24"/>
          <w:lang w:val="en-US"/>
        </w:rPr>
        <w:t>diagnosed and treated.</w:t>
      </w:r>
      <w:r w:rsidR="00617A69">
        <w:rPr>
          <w:sz w:val="24"/>
          <w:szCs w:val="24"/>
          <w:lang w:val="en-US"/>
        </w:rPr>
        <w:fldChar w:fldCharType="begin" w:fldLock="1"/>
      </w:r>
      <w:r w:rsidR="00617A69">
        <w:rPr>
          <w:sz w:val="24"/>
          <w:szCs w:val="24"/>
          <w:lang w:val="en-US"/>
        </w:rPr>
        <w:instrText>ADDIN CSL_CITATION {"citationItems":[{"id":"ITEM-1","itemData":{"ISBN":"9789240013131","author":[{"dropping-particle":"","family":"World Health Organization (WHO)","given":"","non-dropping-particle":"","parse-names":false,"suffix":""}],"id":"ITEM-1","issued":{"date-parts":[["2020"]]},"title":"Global Tuberculosis Report 2020","type":"report"},"uris":["http://www.mendeley.com/documents/?uuid=1e3c696f-b760-418c-8939-64273da86bfb"]}],"mendeley":{"formattedCitation":"&lt;sup&gt;1&lt;/sup&gt;","plainTextFormattedCitation":"1","previouslyFormattedCitation":"&lt;sup&gt;1&lt;/sup&gt;"},"properties":{"noteIndex":0},"schema":"https://github.com/citation-style-language/schema/raw/master/csl-citation.json"}</w:instrText>
      </w:r>
      <w:r w:rsidR="00617A69">
        <w:rPr>
          <w:sz w:val="24"/>
          <w:szCs w:val="24"/>
          <w:lang w:val="en-US"/>
        </w:rPr>
        <w:fldChar w:fldCharType="separate"/>
      </w:r>
      <w:r w:rsidR="00617A69" w:rsidRPr="00617A69">
        <w:rPr>
          <w:noProof/>
          <w:sz w:val="24"/>
          <w:szCs w:val="24"/>
          <w:vertAlign w:val="superscript"/>
          <w:lang w:val="en-US"/>
        </w:rPr>
        <w:t>1</w:t>
      </w:r>
      <w:r w:rsidR="00617A69">
        <w:rPr>
          <w:sz w:val="24"/>
          <w:szCs w:val="24"/>
          <w:lang w:val="en-US"/>
        </w:rPr>
        <w:fldChar w:fldCharType="end"/>
      </w:r>
      <w:r w:rsidRPr="00266F2B">
        <w:rPr>
          <w:sz w:val="24"/>
          <w:szCs w:val="24"/>
          <w:lang w:val="en-US"/>
        </w:rPr>
        <w:t xml:space="preserve"> </w:t>
      </w:r>
      <w:r w:rsidR="00BB2FEC">
        <w:rPr>
          <w:sz w:val="24"/>
          <w:szCs w:val="24"/>
          <w:lang w:val="en-US"/>
        </w:rPr>
        <w:t>S</w:t>
      </w:r>
      <w:r w:rsidRPr="00266F2B">
        <w:rPr>
          <w:sz w:val="24"/>
          <w:szCs w:val="24"/>
          <w:lang w:val="en-US"/>
        </w:rPr>
        <w:t xml:space="preserve">tigma, marginalization, catastrophic costs of accessing TB </w:t>
      </w:r>
      <w:r w:rsidR="00BB2FEC">
        <w:rPr>
          <w:sz w:val="24"/>
          <w:szCs w:val="24"/>
          <w:lang w:val="en-US"/>
        </w:rPr>
        <w:t>healthcare services</w:t>
      </w:r>
      <w:r w:rsidRPr="00266F2B">
        <w:rPr>
          <w:sz w:val="24"/>
          <w:szCs w:val="24"/>
          <w:lang w:val="en-US"/>
        </w:rPr>
        <w:t xml:space="preserve">, </w:t>
      </w:r>
      <w:r w:rsidR="00BB2FEC">
        <w:rPr>
          <w:sz w:val="24"/>
          <w:szCs w:val="24"/>
          <w:lang w:val="en-US"/>
        </w:rPr>
        <w:t>and</w:t>
      </w:r>
      <w:r w:rsidRPr="00266F2B">
        <w:rPr>
          <w:sz w:val="24"/>
          <w:szCs w:val="24"/>
          <w:lang w:val="en-US"/>
        </w:rPr>
        <w:t xml:space="preserve"> </w:t>
      </w:r>
      <w:r w:rsidR="00BB2FEC">
        <w:rPr>
          <w:sz w:val="24"/>
          <w:szCs w:val="24"/>
          <w:lang w:val="en-US"/>
        </w:rPr>
        <w:t xml:space="preserve">lack of </w:t>
      </w:r>
      <w:r w:rsidRPr="00266F2B">
        <w:rPr>
          <w:sz w:val="24"/>
          <w:szCs w:val="24"/>
          <w:lang w:val="en-US"/>
        </w:rPr>
        <w:t xml:space="preserve">social protection, can </w:t>
      </w:r>
      <w:r w:rsidR="00BB2FEC">
        <w:rPr>
          <w:sz w:val="24"/>
          <w:szCs w:val="24"/>
          <w:lang w:val="en-US"/>
        </w:rPr>
        <w:t xml:space="preserve">lead to diagnostic </w:t>
      </w:r>
      <w:r w:rsidRPr="00266F2B">
        <w:rPr>
          <w:sz w:val="24"/>
          <w:szCs w:val="24"/>
          <w:lang w:val="en-US"/>
        </w:rPr>
        <w:t xml:space="preserve">delay, </w:t>
      </w:r>
      <w:r w:rsidR="00BB2FEC">
        <w:rPr>
          <w:sz w:val="24"/>
          <w:szCs w:val="24"/>
          <w:lang w:val="en-US"/>
        </w:rPr>
        <w:t>worsen</w:t>
      </w:r>
      <w:r w:rsidRPr="00266F2B">
        <w:rPr>
          <w:sz w:val="24"/>
          <w:szCs w:val="24"/>
          <w:lang w:val="en-US"/>
        </w:rPr>
        <w:t xml:space="preserve"> TB treatment </w:t>
      </w:r>
      <w:r w:rsidR="00BB2FEC">
        <w:rPr>
          <w:sz w:val="24"/>
          <w:szCs w:val="24"/>
          <w:lang w:val="en-US"/>
        </w:rPr>
        <w:t>outcomes</w:t>
      </w:r>
      <w:r w:rsidRPr="00266F2B">
        <w:rPr>
          <w:sz w:val="24"/>
          <w:szCs w:val="24"/>
          <w:lang w:val="en-US"/>
        </w:rPr>
        <w:t xml:space="preserve">, and </w:t>
      </w:r>
      <w:r w:rsidR="00BE62E9">
        <w:rPr>
          <w:sz w:val="24"/>
          <w:szCs w:val="24"/>
          <w:lang w:val="en-US"/>
        </w:rPr>
        <w:t>compound poverty amongst</w:t>
      </w:r>
      <w:r w:rsidRPr="00266F2B">
        <w:rPr>
          <w:sz w:val="24"/>
          <w:szCs w:val="24"/>
          <w:lang w:val="en-US"/>
        </w:rPr>
        <w:t xml:space="preserve"> TB-affected households</w:t>
      </w:r>
      <w:r w:rsidR="00BE62E9">
        <w:rPr>
          <w:sz w:val="24"/>
          <w:szCs w:val="24"/>
          <w:lang w:val="en-US"/>
        </w:rPr>
        <w:t>, especially in low- and middle-income countries (LMICs)</w:t>
      </w:r>
      <w:r w:rsidRPr="00266F2B">
        <w:rPr>
          <w:sz w:val="24"/>
          <w:szCs w:val="24"/>
          <w:lang w:val="en-US"/>
        </w:rPr>
        <w:t>.</w:t>
      </w:r>
      <w:r w:rsidR="00617A69">
        <w:rPr>
          <w:sz w:val="24"/>
          <w:szCs w:val="24"/>
          <w:lang w:val="en-US"/>
        </w:rPr>
        <w:fldChar w:fldCharType="begin" w:fldLock="1"/>
      </w:r>
      <w:r w:rsidR="00617A69">
        <w:rPr>
          <w:sz w:val="24"/>
          <w:szCs w:val="24"/>
          <w:lang w:val="en-US"/>
        </w:rPr>
        <w:instrText>ADDIN CSL_CITATION {"citationItems":[{"id":"ITEM-1","itemData":{"DOI":"10.7861/clinmedicine.16-6-s79","ISSN":"14734893","PMID":"27956446","abstract":"Poverty drives tuberculosis (TB) rates but the approach to TB control has been disproportionately biomedical. In 2015, the World Health Organization's End TB Strategy explicitly identified the need to address the social determinants of TB through socio-economic interventions. However, evidence concerning poverty reduction and cost mitigation strategies is limited. The research described in this article, based on the 2016 Royal College of Physicians Linacre Lecture, aimed to address this knowledge gap. The research was divided into two phases: the first phase was an analysis of a cohort study identifying TB-related costs of TB-affected households and creating a clinically relevant threshold above which those costs became catastrophic; the second was the design, implementation and evaluation of a household randomised controlled evaluation of socio-economic support to improve access to preventive therapy, increase TB cure, and mitigate the effects of catastrophic costs. The first phase showed TB remains a disease of people living in poverty - 'free' TB care was unaffordable for impoverished TB-affected households and incurring catastrophic costs was associated with as many adverse TB treatment outcomes (including death, failure of treatment, lost to follow-up and TB recurrence) as multidrug resistant (MDR) TB. The second phase showed that, in TB-affected households receiving socio-economic support, household contacts were more likely to start and adhere to TB preventive therapy, TB patients were more likely to be cured and households were less likely to incur catastrophic costs. In impoverished Peruvian shantytowns, poverty remains inextricably linked with TB and incurring catastrophic costs predicted adverse TB treatment outcome. A novel socio-economic support intervention increased TB preventive therapy uptake, improved TB treatment success and reduced catastrophic costs. The impact of the intervention on TB control is currently being evaluated by the Community Randomized Evaluation of a Socio-economic Intervention to Prevent TB (CRESIPT) study.","author":[{"dropping-particle":"","family":"Wingfield","given":"Tom","non-dropping-particle":"","parse-names":false,"suffix":""},{"dropping-particle":"","family":"Tovar","given":"Marco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Saunders","given":"Matthew J.","non-dropping-particle":"","parse-names":false,"suffix":""},{"dropping-particle":"","family":"Datta","given":"Sumona","non-dropping-particle":"","parse-names":false,"suffix":""},{"dropping-particle":"","family":"Montoya","given":"Rosario","non-dropping-particle":"","parse-names":false,"suffix":""},{"dropping-particle":"","family":"Ramos","given":"Eric","non-dropping-particle":"","parse-names":false,"suffix":""},{"dropping-particle":"","family":"Lewis","given":"James J.","non-dropping-particle":"","parse-names":false,"suffix":""},{"dropping-particle":"","family":"Gilman","given":"Robert H.","non-dropping-particle":"","parse-names":false,"suffix":""},{"dropping-particle":"","family":"Evans","given":"Carlton","non-dropping-particle":"","parse-names":false,"suffix":""}],"container-title":"Clinical medicine (London, England)","id":"ITEM-1","issued":{"date-parts":[["2016"]]},"page":"s79-s91","title":"Beyond pills and tests: addressing the social determinants of tuberculosis","type":"article-journal","volume":"16"},"uris":["http://www.mendeley.com/documents/?uuid=d8723d3c-6dbe-4119-a8ee-0efabbd84923"]},{"id":"ITEM-2","itemData":{"author":[{"dropping-particle":"","family":"Wingfield","given":"Tom","non-dropping-particle":"","parse-names":false,"suffix":""},{"dropping-particle":"","family":"Tovar","given":"Marco A","non-dropping-particle":"","parse-names":false,"suffix":""},{"dropping-particle":"","family":"Datta","given":"Sumona","non-dropping-particle":"","parse-names":false,"suffix":""},{"dropping-particle":"","family":"Saunders","given":"Matthew J","non-dropping-particle":"","parse-names":false,"suffix":""},{"dropping-particle":"","family":"Evans","given":"Carlton A","non-dropping-particle":"","parse-names":false,"suffix":""}],"container-title":"Lancet","id":"ITEM-2","issue":"10126","issued":{"date-parts":[["2018"]]},"page":"1129-1132","title":"Addressing social determinants to end tuberculosis","type":"article-journal","volume":"391"},"uris":["http://www.mendeley.com/documents/?uuid=05fa8f7f-fede-4b2c-9d5d-0c30dc53a962"]}],"mendeley":{"formattedCitation":"&lt;sup&gt;2,3&lt;/sup&gt;","plainTextFormattedCitation":"2,3","previouslyFormattedCitation":"&lt;sup&gt;2,3&lt;/sup&gt;"},"properties":{"noteIndex":0},"schema":"https://github.com/citation-style-language/schema/raw/master/csl-citation.json"}</w:instrText>
      </w:r>
      <w:r w:rsidR="00617A69">
        <w:rPr>
          <w:sz w:val="24"/>
          <w:szCs w:val="24"/>
          <w:lang w:val="en-US"/>
        </w:rPr>
        <w:fldChar w:fldCharType="separate"/>
      </w:r>
      <w:r w:rsidR="00617A69" w:rsidRPr="00617A69">
        <w:rPr>
          <w:noProof/>
          <w:sz w:val="24"/>
          <w:szCs w:val="24"/>
          <w:vertAlign w:val="superscript"/>
          <w:lang w:val="en-US"/>
        </w:rPr>
        <w:t>2,3</w:t>
      </w:r>
      <w:r w:rsidR="00617A69">
        <w:rPr>
          <w:sz w:val="24"/>
          <w:szCs w:val="24"/>
          <w:lang w:val="en-US"/>
        </w:rPr>
        <w:fldChar w:fldCharType="end"/>
      </w:r>
      <w:r w:rsidRPr="00266F2B">
        <w:rPr>
          <w:sz w:val="24"/>
          <w:szCs w:val="24"/>
          <w:lang w:val="en-US"/>
        </w:rPr>
        <w:t xml:space="preserve"> </w:t>
      </w:r>
    </w:p>
    <w:p w14:paraId="631D50AD" w14:textId="782BAACD" w:rsidR="00266F2B" w:rsidRPr="00266F2B" w:rsidRDefault="00266F2B" w:rsidP="00266F2B">
      <w:pPr>
        <w:jc w:val="both"/>
        <w:rPr>
          <w:sz w:val="24"/>
          <w:szCs w:val="24"/>
          <w:lang w:val="en-US"/>
        </w:rPr>
      </w:pPr>
      <w:r w:rsidRPr="00266F2B">
        <w:rPr>
          <w:sz w:val="24"/>
          <w:szCs w:val="24"/>
          <w:lang w:val="en-US"/>
        </w:rPr>
        <w:t xml:space="preserve">To </w:t>
      </w:r>
      <w:r w:rsidR="00BE62E9">
        <w:rPr>
          <w:sz w:val="24"/>
          <w:szCs w:val="24"/>
          <w:lang w:val="en-US"/>
        </w:rPr>
        <w:t>progress towards ending TB</w:t>
      </w:r>
      <w:r w:rsidRPr="00266F2B">
        <w:rPr>
          <w:sz w:val="24"/>
          <w:szCs w:val="24"/>
          <w:lang w:val="en-US"/>
        </w:rPr>
        <w:t xml:space="preserve">, </w:t>
      </w:r>
      <w:r w:rsidR="00891D6F">
        <w:rPr>
          <w:sz w:val="24"/>
          <w:szCs w:val="24"/>
          <w:lang w:val="en-US"/>
        </w:rPr>
        <w:t xml:space="preserve">within </w:t>
      </w:r>
      <w:r w:rsidRPr="00266F2B">
        <w:rPr>
          <w:sz w:val="24"/>
          <w:szCs w:val="24"/>
          <w:lang w:val="en-US"/>
        </w:rPr>
        <w:t xml:space="preserve">the </w:t>
      </w:r>
      <w:r w:rsidR="00BE62E9">
        <w:rPr>
          <w:sz w:val="24"/>
          <w:szCs w:val="24"/>
          <w:lang w:val="en-US"/>
        </w:rPr>
        <w:t xml:space="preserve">framework of the </w:t>
      </w:r>
      <w:r w:rsidRPr="00266F2B">
        <w:rPr>
          <w:sz w:val="24"/>
          <w:szCs w:val="24"/>
          <w:lang w:val="en-US"/>
        </w:rPr>
        <w:t>United Nations Sustainable Development Goals (SDGs)</w:t>
      </w:r>
      <w:r w:rsidR="00891D6F">
        <w:rPr>
          <w:sz w:val="24"/>
          <w:szCs w:val="24"/>
          <w:lang w:val="en-US"/>
        </w:rPr>
        <w:t>, the</w:t>
      </w:r>
      <w:r w:rsidRPr="00266F2B">
        <w:rPr>
          <w:sz w:val="24"/>
          <w:szCs w:val="24"/>
          <w:lang w:val="en-US"/>
        </w:rPr>
        <w:t xml:space="preserve"> World Health Organization’s (WHO) 2015 End TB Strategy </w:t>
      </w:r>
      <w:r w:rsidR="00891D6F">
        <w:rPr>
          <w:sz w:val="24"/>
          <w:szCs w:val="24"/>
          <w:lang w:val="en-US"/>
        </w:rPr>
        <w:t xml:space="preserve">set </w:t>
      </w:r>
      <w:r w:rsidR="00BE62E9">
        <w:rPr>
          <w:sz w:val="24"/>
          <w:szCs w:val="24"/>
          <w:lang w:val="en-US"/>
        </w:rPr>
        <w:t>mandated</w:t>
      </w:r>
      <w:r w:rsidR="00891D6F">
        <w:rPr>
          <w:sz w:val="24"/>
          <w:szCs w:val="24"/>
          <w:lang w:val="en-US"/>
        </w:rPr>
        <w:t xml:space="preserve"> that</w:t>
      </w:r>
      <w:r w:rsidRPr="00266F2B">
        <w:rPr>
          <w:sz w:val="24"/>
          <w:szCs w:val="24"/>
          <w:lang w:val="en-US"/>
        </w:rPr>
        <w:t xml:space="preserve"> “Zero TB-affected families should face catastrophic costs” </w:t>
      </w:r>
      <w:r>
        <w:rPr>
          <w:sz w:val="24"/>
          <w:szCs w:val="24"/>
          <w:lang w:val="en-US"/>
        </w:rPr>
        <w:t xml:space="preserve">(total TB-related costs &gt;20% of annual household income) </w:t>
      </w:r>
      <w:r w:rsidRPr="00266F2B">
        <w:rPr>
          <w:sz w:val="24"/>
          <w:szCs w:val="24"/>
          <w:lang w:val="en-US"/>
        </w:rPr>
        <w:t xml:space="preserve">and that </w:t>
      </w:r>
      <w:r w:rsidR="00BE62E9" w:rsidRPr="00266F2B">
        <w:rPr>
          <w:sz w:val="24"/>
          <w:szCs w:val="24"/>
          <w:lang w:val="en-US"/>
        </w:rPr>
        <w:t xml:space="preserve">TB-affected people </w:t>
      </w:r>
      <w:r w:rsidR="00BE62E9">
        <w:rPr>
          <w:sz w:val="24"/>
          <w:szCs w:val="24"/>
          <w:lang w:val="en-US"/>
        </w:rPr>
        <w:t xml:space="preserve">should be provided with </w:t>
      </w:r>
      <w:r w:rsidRPr="00266F2B">
        <w:rPr>
          <w:sz w:val="24"/>
          <w:szCs w:val="24"/>
          <w:lang w:val="en-US"/>
        </w:rPr>
        <w:t>psychosocial and economic (socioeconomic) support.</w:t>
      </w:r>
      <w:r w:rsidR="00617A69">
        <w:rPr>
          <w:sz w:val="24"/>
          <w:szCs w:val="24"/>
          <w:lang w:val="en-US"/>
        </w:rPr>
        <w:fldChar w:fldCharType="begin" w:fldLock="1"/>
      </w:r>
      <w:r w:rsidR="00617A69">
        <w:rPr>
          <w:sz w:val="24"/>
          <w:szCs w:val="24"/>
          <w:lang w:val="en-US"/>
        </w:rPr>
        <w:instrText>ADDIN CSL_CITATION {"citationItems":[{"id":"ITEM-1","itemData":{"author":[{"dropping-particle":"","family":"World Health Organization (WHO)","given":"","non-dropping-particle":"","parse-names":false,"suffix":""}],"id":"ITEM-1","issued":{"date-parts":[["2015"]]},"title":"The End TB Strategy, World Health Organisation, Geneva","type":"report"},"uris":["http://www.mendeley.com/documents/?uuid=f6b845a1-22b7-4bcd-8ab1-4057e79ab80b"]}],"mendeley":{"formattedCitation":"&lt;sup&gt;4&lt;/sup&gt;","plainTextFormattedCitation":"4","previouslyFormattedCitation":"&lt;sup&gt;4&lt;/sup&gt;"},"properties":{"noteIndex":0},"schema":"https://github.com/citation-style-language/schema/raw/master/csl-citation.json"}</w:instrText>
      </w:r>
      <w:r w:rsidR="00617A69">
        <w:rPr>
          <w:sz w:val="24"/>
          <w:szCs w:val="24"/>
          <w:lang w:val="en-US"/>
        </w:rPr>
        <w:fldChar w:fldCharType="separate"/>
      </w:r>
      <w:r w:rsidR="00617A69" w:rsidRPr="00617A69">
        <w:rPr>
          <w:noProof/>
          <w:sz w:val="24"/>
          <w:szCs w:val="24"/>
          <w:vertAlign w:val="superscript"/>
          <w:lang w:val="en-US"/>
        </w:rPr>
        <w:t>4</w:t>
      </w:r>
      <w:r w:rsidR="00617A69">
        <w:rPr>
          <w:sz w:val="24"/>
          <w:szCs w:val="24"/>
          <w:lang w:val="en-US"/>
        </w:rPr>
        <w:fldChar w:fldCharType="end"/>
      </w:r>
      <w:r w:rsidRPr="00266F2B">
        <w:rPr>
          <w:sz w:val="24"/>
          <w:szCs w:val="24"/>
          <w:lang w:val="en-US"/>
        </w:rPr>
        <w:t xml:space="preserve"> </w:t>
      </w:r>
      <w:r>
        <w:rPr>
          <w:sz w:val="24"/>
          <w:szCs w:val="24"/>
          <w:lang w:val="en-US"/>
        </w:rPr>
        <w:t xml:space="preserve">However, there is limited evidence from LMICs on the optimal strategies to deliver socioeconomic support to TB-affected households. </w:t>
      </w:r>
    </w:p>
    <w:p w14:paraId="79D26505" w14:textId="577845A9" w:rsidR="00266F2B" w:rsidRDefault="00266F2B" w:rsidP="00EA4683">
      <w:pPr>
        <w:spacing w:before="240" w:line="276" w:lineRule="auto"/>
        <w:jc w:val="both"/>
        <w:rPr>
          <w:sz w:val="24"/>
          <w:szCs w:val="24"/>
        </w:rPr>
      </w:pPr>
      <w:bookmarkStart w:id="0" w:name="_Hlk57036647"/>
      <w:r w:rsidRPr="00266F2B">
        <w:rPr>
          <w:sz w:val="24"/>
          <w:szCs w:val="24"/>
        </w:rPr>
        <w:t xml:space="preserve">In Peru, we identified a catastrophic costs threshold, now used </w:t>
      </w:r>
      <w:r w:rsidR="00891D6F">
        <w:rPr>
          <w:sz w:val="24"/>
          <w:szCs w:val="24"/>
        </w:rPr>
        <w:t>as</w:t>
      </w:r>
      <w:r w:rsidRPr="00266F2B">
        <w:rPr>
          <w:sz w:val="24"/>
          <w:szCs w:val="24"/>
        </w:rPr>
        <w:t xml:space="preserve"> WHO</w:t>
      </w:r>
      <w:r w:rsidR="00891D6F">
        <w:rPr>
          <w:sz w:val="24"/>
          <w:szCs w:val="24"/>
        </w:rPr>
        <w:t xml:space="preserve">’s </w:t>
      </w:r>
      <w:r w:rsidRPr="00266F2B">
        <w:rPr>
          <w:sz w:val="24"/>
          <w:szCs w:val="24"/>
        </w:rPr>
        <w:t>global</w:t>
      </w:r>
      <w:r w:rsidR="00891D6F">
        <w:rPr>
          <w:sz w:val="24"/>
          <w:szCs w:val="24"/>
        </w:rPr>
        <w:t xml:space="preserve"> catastrophic costs indicator</w:t>
      </w:r>
      <w:r w:rsidRPr="00266F2B">
        <w:rPr>
          <w:sz w:val="24"/>
          <w:szCs w:val="24"/>
        </w:rPr>
        <w:t>, above which TB patients were more likely to abandon treatment or die;</w:t>
      </w:r>
      <w:r w:rsidR="00617A69">
        <w:rPr>
          <w:sz w:val="24"/>
          <w:szCs w:val="24"/>
        </w:rPr>
        <w:fldChar w:fldCharType="begin" w:fldLock="1"/>
      </w:r>
      <w:r w:rsidR="00937425">
        <w:rPr>
          <w:sz w:val="24"/>
          <w:szCs w:val="24"/>
        </w:rPr>
        <w:instrText>ADDIN CSL_CITATION {"citationItems":[{"id":"ITEM-1","itemData":{"DOI":"10.1371/journal.pmed.1001675","ISBN":"1549-1277","ISSN":"15491676","PMID":"25025331","abstract":"BACKGROUND: Even when tuberculosis (TB) treatment is free, hidden costs incurred by patients and their households (TB-affected households) may worsen poverty and health. Extreme TB-associated costs have been termed \"catastrophic\" but are poorly defined. We studied TB-affected households' hidden costs and their association with adverse TB outcome to create a clinically relevant definition of catastrophic costs., CONCLUSIONS: Despite free TB care, having TB disease was expensive for impoverished TB patients in Peru. Incurring higher relative costs was associated with adverse TB outcome. The population attributable fraction indicated that catastrophic costs and MDR TB were associated with similar proportions of adverse outcomes. Thus TB is a socioeconomic as well as infectious problem, and TB control interventions should address both the economic and clinical aspects of this disease. Please see later in the article for the Editors' Summary., METHODS AND FINDINGS: From 26 October 2002 to 30 November 2009, TB patients (n = 876, 11% with multi-drug-resistant [MDR] TB) and healthy controls (n = 487) were recruited to a prospective cohort study in shantytowns in Lima, Peru. Patients were interviewed prior to and every 2-4 wk throughout treatment, recording direct (household expenses) and indirect (lost income) TB-related costs. Costs were expressed as a proportion of the household's annual income. In poorer households, costs were lower but constituted a higher proportion of the household's annual income: 27% (95% CI = 20%-43%) in the least-poor houses versus 48% (95% CI = 36%-50%) in the poorest. Adverse TB outcome was defined as death, treatment abandonment or treatment failure during therapy, or recurrence within 2 y. 23% (166/725) of patients with a defined treatment outcome had an adverse outcome. Total costs &gt;20% of household annual income was defined as catastrophic because this threshold was most strongly associated with adverse TB outcome. Catastrophic costs were incurred by 345 households (39%). Having MDR TB was associated with a higher likelihood of incurring catastrophic costs (54% [95% CI = 43%-61%] versus 38% [95% CI = 34%-41%], p&lt;0.003). Adverse outcome was independently associated with MDR TB (odds ratio [OR] = 8.4 [95% CI = 4.7-15], p&lt;0.001), previous TB (OR = 2.1 [95% CI = 1.3-3.5], p = 0.005), days too unwell to work pre-treatment (OR = 1.01 [95% CI = 1.00-1.01], p = 0.02), and catastrophic costs (OR = 1.7 [95% CI = 1.1-2.6], p = 0.01). The a…","author":[{"dropping-particle":"","family":"Wingfield","given":"Tom","non-dropping-particle":"","parse-names":false,"suffix":""},{"dropping-particle":"","family":"Boccia","given":"Delia","non-dropping-particle":"","parse-names":false,"suffix":""},{"dropping-particle":"","family":"Tovar","given":"Marco","non-dropping-particle":"","parse-names":false,"suffix":""},{"dropping-particle":"","family":"Gavino","given":"Arquímedes","non-dropping-particle":"","parse-names":false,"suffix":""},{"dropping-particle":"","family":"Zevallos","given":"Karine","non-dropping-particle":"","parse-names":false,"suffix":""},{"dropping-particle":"","family":"Montoya","given":"Rosario","non-dropping-particle":"","parse-names":false,"suffix":""},{"dropping-particle":"","family":"Lönnroth","given":"Knut","non-dropping-particle":"","parse-names":false,"suffix":""},{"dropping-particle":"","family":"Evans","given":"Carlton A.","non-dropping-particle":"","parse-names":false,"suffix":""}],"container-title":"PLoS Medicine","id":"ITEM-1","issue":"7","issued":{"date-parts":[["2014"]]},"title":"Defining Catastrophic Costs and Comparing Their Importance for Adverse Tuberculosis Outcome with Multi-Drug Resistance: A Prospective Cohort Study, Peru","type":"article-journal","volume":"11"},"uris":["http://www.mendeley.com/documents/?uuid=013b3be7-a421-45ef-91ca-c6d255a57dcb"]}],"mendeley":{"formattedCitation":"&lt;sup&gt;5&lt;/sup&gt;","plainTextFormattedCitation":"5","previouslyFormattedCitation":"&lt;sup&gt;5&lt;/sup&gt;"},"properties":{"noteIndex":0},"schema":"https://github.com/citation-style-language/schema/raw/master/csl-citation.json"}</w:instrText>
      </w:r>
      <w:r w:rsidR="00617A69">
        <w:rPr>
          <w:sz w:val="24"/>
          <w:szCs w:val="24"/>
        </w:rPr>
        <w:fldChar w:fldCharType="separate"/>
      </w:r>
      <w:r w:rsidR="00674C0E" w:rsidRPr="00674C0E">
        <w:rPr>
          <w:noProof/>
          <w:sz w:val="24"/>
          <w:szCs w:val="24"/>
          <w:vertAlign w:val="superscript"/>
        </w:rPr>
        <w:t>5</w:t>
      </w:r>
      <w:r w:rsidR="00617A69">
        <w:rPr>
          <w:sz w:val="24"/>
          <w:szCs w:val="24"/>
        </w:rPr>
        <w:fldChar w:fldCharType="end"/>
      </w:r>
      <w:r w:rsidRPr="00266F2B">
        <w:rPr>
          <w:sz w:val="24"/>
          <w:szCs w:val="24"/>
        </w:rPr>
        <w:t xml:space="preserve"> successfully trialled a novel socioeconomic intervention that </w:t>
      </w:r>
      <w:r>
        <w:rPr>
          <w:sz w:val="24"/>
          <w:szCs w:val="24"/>
        </w:rPr>
        <w:t>mitigated catastrophic costs</w:t>
      </w:r>
      <w:r w:rsidR="002F5958">
        <w:rPr>
          <w:sz w:val="24"/>
          <w:szCs w:val="24"/>
        </w:rPr>
        <w:t xml:space="preserve">, </w:t>
      </w:r>
      <w:r w:rsidRPr="00266F2B">
        <w:rPr>
          <w:sz w:val="24"/>
          <w:szCs w:val="24"/>
        </w:rPr>
        <w:t xml:space="preserve">improved </w:t>
      </w:r>
      <w:r w:rsidR="00BE62E9">
        <w:rPr>
          <w:sz w:val="24"/>
          <w:szCs w:val="24"/>
        </w:rPr>
        <w:t>uptake of TB preventive therapy</w:t>
      </w:r>
      <w:r>
        <w:rPr>
          <w:sz w:val="24"/>
          <w:szCs w:val="24"/>
        </w:rPr>
        <w:t xml:space="preserve"> </w:t>
      </w:r>
      <w:r w:rsidRPr="00266F2B">
        <w:rPr>
          <w:sz w:val="24"/>
          <w:szCs w:val="24"/>
        </w:rPr>
        <w:t xml:space="preserve">and </w:t>
      </w:r>
      <w:r w:rsidR="00BE62E9">
        <w:rPr>
          <w:sz w:val="24"/>
          <w:szCs w:val="24"/>
        </w:rPr>
        <w:t xml:space="preserve">increased rates of </w:t>
      </w:r>
      <w:r>
        <w:rPr>
          <w:sz w:val="24"/>
          <w:szCs w:val="24"/>
        </w:rPr>
        <w:t xml:space="preserve">cure </w:t>
      </w:r>
      <w:r w:rsidRPr="00266F2B">
        <w:rPr>
          <w:sz w:val="24"/>
          <w:szCs w:val="24"/>
        </w:rPr>
        <w:t>in TB-affected households;</w:t>
      </w:r>
      <w:r w:rsidR="00617A69">
        <w:rPr>
          <w:sz w:val="24"/>
          <w:szCs w:val="24"/>
        </w:rPr>
        <w:fldChar w:fldCharType="begin" w:fldLock="1"/>
      </w:r>
      <w:r w:rsidR="00937425">
        <w:rPr>
          <w:sz w:val="24"/>
          <w:szCs w:val="24"/>
        </w:rPr>
        <w:instrText>ADDIN CSL_CITATION {"citationItems":[{"id":"ITEM-1","itemData":{"DOI":"10.1183/13993003.00066-2016","ISBN":"0903-1936","ISSN":"13993003","PMID":"27660507","abstract":"The End TB Strategy mandates that no tuberculosis (TB)-affected households face catastrophic costs due to TB. However, evidence is limited to evaluate socioeconomic support to achieve this change in policy and practice. The objective of the present study was to investigate the economic effects of a TB-specific socioeconomic intervention.The setting was 32 shantytown communities in Peru. The participants were from households of consecutive TB patients throughout TB treatment administered by the national TB programme. The intervention consisted of social support through household visits and community meetings, and economic support through cash transfers conditional upon TB screening in household contacts, adhering to TB treatment/chemoprophylaxis and engaging with social support. Data were collected to assess TB-affected household costs. Patient interviews were conducted at treatment initiation and then monthly for 6 months.From February 2014 to June 2015, 312 households were recruited, of which 135 were randomised to receive the intervention. Cash transfer total value averaged US$173 (3.5% of TB-affected households' average annual income) and mitigated 20% of households' TB-related costs. Households randomised to receive the intervention were less likely to incur catastrophic costs (30% (95% CI 22-38%) versus 42% (95% CI 34-51%)). The mitigation impact was higher among poorer households.The TB-specific socioeconomic intervention reduced catastrophic costs and was accessible to poorer households. Socioeconomic support and mitigating catastrophic costs are integral to the End TB strategy, and our findings inform implementation of these new policies.","author":[{"dropping-particle":"","family":"Wingfield","given":"Tom","non-dropping-particle":"","parse-names":false,"suffix":""},{"dropping-particle":"","family":"Tovar","given":"Marco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A.","non-dropping-particle":"","parse-names":false,"suffix":""}],"container-title":"European Respiratory Journal","id":"ITEM-1","issue":"5","issued":{"date-parts":[["2016"]]},"page":"1396-1410","title":"The economic effects of supporting tuberculosis-affected households in Peru","type":"article-journal","volume":"48"},"uris":["http://www.mendeley.com/documents/?uuid=784310f7-988f-49af-a7ba-602e110f376c"]},{"id":"ITEM-2","itemData":{"DOI":"http://dx.doi.org/10.2471/BLT.16.170167","ISSN":"00429686","abstract":"To evaluate the impact of socioeconomic support on tuberculosis preventive therapy initiation in household contacts of tuberculosis patients and on treatment success in patients. A non-blinded, household-randomized, controlled study was performed between February 2014 and June 2015 in 32 shanty towns in Peru. It included patients being treated for tuberculosis and their household contacts. Households were randomly assigned to either the standard of care provided by Peru's national tuberculosis programme (control arm) or the same standard of care plus socioeconomic support (intervention arm). Socioeconomic support comprised conditional cash transfers up to 230 United States dollars per household, community meetings and household visits. Rates of tuberculosis preventive therapy initiation and treatment success (i.e. cure or treatment completion) were compared in intervention and control arms. Overall, 282 of 312 (90%) households agreed to participate: 135 in the intervention arm and 147 in the control arm. There were 410 contacts younger than 20 years: 43% in the intervention arm initiated tuberculosis preventive therapy versus 25% in the control arm (adjusted odds ratio, aOR: 2.2; 95% confidence interval, CI: 1.1-4.1). An intention-to-treat analysis showed that treatment was successful in 64% (87/135) of patients in the intervention arm versus 53% (78/147) in the control arm (unadjusted OR: 1.6; 95% CI: 1.0-2.6). These improvements were equitable, being independent of household poverty. A tuberculosis-specific, socioeconomic support intervention increased uptake of tuberculosis preventive therapy and tuberculosis treatment success and is being evaluated in the Community Randomized Evaluation of a Socioeconomic Intervention to Prevent TB (CRESIPT) project./Évaluer l'impact de l'accompagnement socioéconomique sur le commencement du traitement préventif contre la tuberculose par les contacts familiaux des patients atteints de la maladie et sur la réussite du traitement pour les patients. Une étude contrôlée, non aveugle, à répartition aléatoire des foyers a été réalisée entre février 2014 et juin 2015 dans 32 bidonvilles du Pérou. Elle portait sur des patients traités contre la tuberculose et leurs contacts familiaux. Les foyers ont été choisis de façon aléatoire pour recevoir soit les soins standards prévus par le programme national de lutte contre la tuberculose du Pérou (groupe témoin), soit les mêmes soins standards plus un accompagnement socioéconomiqu…","author":[{"dropping-particle":"","family":"Wingfield","given":"Tom","non-dropping-particle":"","parse-names":false,"suffix":""},{"dropping-particle":"","family":"Tovar","given":"Marco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Datta","given":"Sumona","non-dropping-particle":"","parse-names":false,"suffix":""},{"dropping-particle":"","family":"Saunders","given":"Matthew J","non-dropping-particle":"","parse-names":false,"suffix":""},{"dropping-particle":"","family":"Lewis","given":"James J","non-dropping-particle":"","parse-names":false,"suffix":""},{"dropping-particle":"","family":"Gilman","given":"H","non-dropping-particle":"","parse-names":false,"suffix":""},{"dropping-particle":"","family":"Evans","given":"Carlton A","non-dropping-particle":"","parse-names":false,"suffix":""}],"container-title":"Bull World Health Organ","id":"ITEM-2","issue":"4","issued":{"date-parts":[["2017"]]},"page":"270-280","title":"A randomized controlled study of socioeconomic support to enhance tuberculosis prevention and treatment, Peru","type":"article-journal","volume":"95"},"uris":["http://www.mendeley.com/documents/?uuid=4cf0dbb4-ce2c-4c0a-a2e1-295fe003772c"]},{"id":"ITEM-3","itemData":{"DOI":"10.1016/S0140-6736(17)30412-9","ISSN":"01406736","abstract":"Background For the first time in the modern era of tuberculosis control, the WHO's End TB strategy specifically integrates socioeconomic support for people affected by tuberculosis with existing biomedical interventions. However, there is little evidence of the impact of this approach on tuberculosis outcomes. We designed and implemented one of the world's first tuberculosis-specific socioeconomic support interventions, assessed its impact on tuberculosis prevention measures and treatment success, and refined the support for use in the Community Randomized Evaluation of a Socioeconomic Intervention to Prevent Tuberculosis (CRESIPT) project. Methods This unmasked household-randomised controlled study was done in 32 peri-urban shanty towns in Callao, Peru. Households with patients treated for tuberculosis by Peru's Tuberculosis Program were randomly assigned (1:1, computer-assisted randomisation) to receive the Peruvian Tuberculosis Program standard of care (control group) or to additionally receive socioeconomic support (intervention group). Socioeconomic support consisted of conditional cash transfers (≤US$230) and social support (household visits and community meetings). Primary outcome was initiation of tuberculosis preventive therapy in contacts younger than 20 years available for follow-up assessment. 400 contacts were needed for 80% power at the 95% (two-sided) confidence level to detect a 50% increase in the primary outcome. Secondary outcome was treatment success in patients with tuberculosis by intention to treat. Ethics approval was given by the ethics committees of DIRESA Callao (Regional Ministry of Health) and Asociación Benéfica PRISMA, Lima, Peru, and Imperial College London, UK. All participants gave written informed consent. This study has been registered with the ISCTRN registry, number pending. Findings From Feb 10 to Aug 14, 2014, 282 patients (410 eligible contacts) were recruited. 135 patients were randomised to the intervention group (206 eligible contacts) and 147 to the control group (204 eligible contacts). Follow-up continued to June 30, 2015. Compared with controls, intervention contacts were more likely to start preventive therapy (91/206 [44%] vs 53/204 [26%], adjusted odds ratio 2.2 [95% CI 1.1-4.2]; p=0.02); and intervention patients were more likely to have treatment success (87 [64%] vs 78 [53%], 1.8 [1.1-2.9]; p=0.02). Interpretation Tuberculosis-specific socioeconomic support improved initiation of tuberculosis prevent…","author":[{"dropping-particle":"","family":"Wingfield","given":"Tom","non-dropping-particle":"","parse-names":false,"suffix":""},{"dropping-particle":"","family":"Tovar","given":"Marco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Datta","given":"Sumona","non-dropping-particle":"","parse-names":false,"suffix":""},{"dropping-particle":"","family":"Saunders","given":"Matthew","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A","non-dropping-particle":"","parse-names":false,"suffix":""}],"container-title":"The Lancet","id":"ITEM-3","issued":{"date-parts":[["2017"]]},"page":"S16","title":"Socioeconomic support to improve initiation of tuberculosis preventive therapy and increase tuberculosis treatment success in Peru: a household-randomised, controlled evaluation","type":"article-journal","volume":"389"},"uris":["http://www.mendeley.com/documents/?uuid=88435913-bff0-465e-9508-fdc34b55a7d2"]}],"mendeley":{"formattedCitation":"&lt;sup&gt;6–8&lt;/sup&gt;","plainTextFormattedCitation":"6–8","previouslyFormattedCitation":"&lt;sup&gt;6–8&lt;/sup&gt;"},"properties":{"noteIndex":0},"schema":"https://github.com/citation-style-language/schema/raw/master/csl-citation.json"}</w:instrText>
      </w:r>
      <w:r w:rsidR="00617A69">
        <w:rPr>
          <w:sz w:val="24"/>
          <w:szCs w:val="24"/>
        </w:rPr>
        <w:fldChar w:fldCharType="separate"/>
      </w:r>
      <w:r w:rsidR="00674C0E" w:rsidRPr="00674C0E">
        <w:rPr>
          <w:noProof/>
          <w:sz w:val="24"/>
          <w:szCs w:val="24"/>
          <w:vertAlign w:val="superscript"/>
        </w:rPr>
        <w:t>6–8</w:t>
      </w:r>
      <w:r w:rsidR="00617A69">
        <w:rPr>
          <w:sz w:val="24"/>
          <w:szCs w:val="24"/>
        </w:rPr>
        <w:fldChar w:fldCharType="end"/>
      </w:r>
      <w:r w:rsidRPr="00266F2B">
        <w:rPr>
          <w:sz w:val="24"/>
          <w:szCs w:val="24"/>
        </w:rPr>
        <w:t xml:space="preserve"> and generated risk score</w:t>
      </w:r>
      <w:r w:rsidR="00891D6F">
        <w:rPr>
          <w:sz w:val="24"/>
          <w:szCs w:val="24"/>
        </w:rPr>
        <w:t>s</w:t>
      </w:r>
      <w:r w:rsidRPr="00266F2B">
        <w:rPr>
          <w:sz w:val="24"/>
          <w:szCs w:val="24"/>
        </w:rPr>
        <w:t xml:space="preserve"> that accurately identified TB contacts </w:t>
      </w:r>
      <w:r w:rsidR="00891D6F">
        <w:rPr>
          <w:sz w:val="24"/>
          <w:szCs w:val="24"/>
        </w:rPr>
        <w:t xml:space="preserve">and households </w:t>
      </w:r>
      <w:r w:rsidRPr="00266F2B">
        <w:rPr>
          <w:sz w:val="24"/>
          <w:szCs w:val="24"/>
        </w:rPr>
        <w:t xml:space="preserve">at greatest risk of </w:t>
      </w:r>
      <w:r w:rsidR="00891D6F">
        <w:rPr>
          <w:sz w:val="24"/>
          <w:szCs w:val="24"/>
        </w:rPr>
        <w:t>being affected by</w:t>
      </w:r>
      <w:r w:rsidRPr="00266F2B">
        <w:rPr>
          <w:sz w:val="24"/>
          <w:szCs w:val="24"/>
        </w:rPr>
        <w:t xml:space="preserve"> TB disease.</w:t>
      </w:r>
      <w:r w:rsidR="00891D6F">
        <w:rPr>
          <w:sz w:val="24"/>
          <w:szCs w:val="24"/>
        </w:rPr>
        <w:fldChar w:fldCharType="begin" w:fldLock="1"/>
      </w:r>
      <w:r w:rsidR="00937425">
        <w:rPr>
          <w:sz w:val="24"/>
          <w:szCs w:val="24"/>
        </w:rPr>
        <w:instrText>ADDIN CSL_CITATION {"citationItems":[{"id":"ITEM-1","itemData":{"DOI":"10.1016/S1473-3099(17)30447-4","ISSN":"14744457","PMID":"28827142","abstract":"Background Contacts of tuberculosis index cases are at increased risk of developing tuberculosis. Screening, preventive therapy, and surveillance for tuberculosis are underused interventions in contacts, particularly adults. We developed a score to predict risk of tuberculosis in adult contacts of tuberculosis index cases. Methods In 2002–06, we recruited contacts aged 15 years or older of index cases with pulmonary tuberculosis who lived in desert shanty towns in Ventanilla, Peru. We followed up contacts for tuberculosis until February, 2016. We used a Cox proportional hazards model to identify index case, contact, and household risk factors for tuberculosis from which to derive a score and classify contacts as low, medium, or high risk. We validated the score in an urban community recruited in Callao, Peru, in 2014–15. Findings In the derivation cohort, we identified 2017 contacts of 715 index cases, and median follow-up was 10·7 years (IQR 9·5–11·8). 178 (9%) of 2017 contacts developed tuberculosis during 19 147 person-years of follow-up (incidence 0·93 per 100 person-years, 95% CI 0·80–1·08). Risk factors for tuberculosis were body-mass index, previous tuberculosis, age, sustained exposure to the index case, the index case being in a male patient, lower community household socioeconomic position, indoor air pollution, previous tuberculosis among household members, and living in a household with a low number of windows per room. The 10-year risks of tuberculosis in the low-risk, medium-risk, and high-risk groups were, respectively, 2·8% (95% CI 1·7–4·4), 6·2% (4·8–8·1), and 20·6% (17·3–24·4). The 535 (27%) contacts classified as high risk accounted for 60% of the tuberculosis identified during follow-up. The score predicted tuberculosis independently of tuberculin skin test and index-case drug sensitivity results. In the external validation cohort, 65 (3%) of 1910 contacts developed tuberculosis during 3771 person-years of follow-up (incidence 1·7 per 100 person-years, 95% CI 1·4–2·2). The 2·5-year risks of tuberculosis in the low-risk, medium-risk, and high-risk groups were, respectively, 1·4% (95% CI 0·7–2·8), 3·9% (2·5–5·9), and 8·6%· (5·9–12·6). Interpretation Our externally validated risk score could predict and stratify 10-year risk of developing tuberculosis in adult contacts, and could be used to prioritise tuberculosis control interventions for people most likely to benefit. Funding Wellcome Trust, Department for International Development Ci…","author":[{"dropping-particle":"","family":"Saunders","given":"Matthew J.","non-dropping-particle":"","parse-names":false,"suffix":""},{"dropping-particle":"","family":"Wingfield","given":"Tom","non-dropping-particle":"","parse-names":false,"suffix":""},{"dropping-particle":"","family":"Tovar","given":"Marco A.","non-dropping-particle":"","parse-names":false,"suffix":""},{"dropping-particle":"","family":"Baldwin","given":"Matthew R.","non-dropping-particle":"","parse-names":false,"suffix":""},{"dropping-particle":"","family":"Datta","given":"Sumona","non-dropping-particle":"","parse-names":false,"suffix":""},{"dropping-particle":"","family":"Zevallos","given":"Karine","non-dropping-particle":"","parse-names":false,"suffix":""},{"dropping-particle":"","family":"Montoya","given":"Rosario","non-dropping-particle":"","parse-names":false,"suffix":""},{"dropping-particle":"","family":"Valencia","given":"Teresa R.","non-dropping-particle":"","parse-names":false,"suffix":""},{"dropping-particle":"","family":"Friedland","given":"Jon S.","non-dropping-particle":"","parse-names":false,"suffix":""},{"dropping-particle":"","family":"Moulton","given":"Larry H.","non-dropping-particle":"","parse-names":false,"suffix":""},{"dropping-particle":"","family":"Gilman","given":"Robert H.","non-dropping-particle":"","parse-names":false,"suffix":""},{"dropping-particle":"","family":"Evans","given":"Carlton A.","non-dropping-particle":"","parse-names":false,"suffix":""}],"container-title":"The Lancet Infectious Diseases","id":"ITEM-1","issue":"11","issued":{"date-parts":[["2017"]]},"page":"1190-1199","publisher":"The Author(s). Published by Elsevier Ltd. This is an Open Access article under the CC BY 4.0 license","title":"A score to predict and stratify risk of tuberculosis in adult contacts of tuberculosis index cases: a prospective derivation and external validation cohort study","type":"article-journal","volume":"17"},"uris":["http://www.mendeley.com/documents/?uuid=66626089-7e50-4259-876a-fd6a7db0a196"]},{"id":"ITEM-2","itemData":{"DOI":"10.1016/S1473-3099(19)30423-2","ISSN":"14744457","PMID":"31678031","abstract":"Background: The epidemiological impact and cost-effectiveness of social protection and biomedical interventions for tuberculosis-affected households might be improved by risk stratification. We therefore derived and externally validated a household-level risk score to predict tuberculosis among contacts of patients with tuberculosis. Methods: In this prospective cohort study, we recruited tuberculosis-affected households from 15 desert shanty towns in Ventanilla and 17 urban communities in Callao, Lima, Peru. Tuberculosis-affected households included index patients with a new diagnosis of tuberculosis and their contacts who reported being in the same house as the index patient for more than 6 h per week in the 2 weeks preceding index patient diagnosis. Tuberculosis-affected households were not included if the index patient had no eligible contacts or lived alone. We followed contacts until 2018 and defined household tuberculosis, the primary outcome, as any contact having any form of tuberculosis within 3 years. We used logistic regression to identify characteristics of index patients, contacts, and households that were predictive of household tuberculosis, and used these to derive and externally validate a household-level score. Findings: Between Dec 12, 2007, and Dec 31, 2015, 16 505 contacts from 3 301 households in Ventanilla were included in a derivation cohort. During the 3-year follow-up, tuberculosis occurred in contacts of index patients in 430 (13%, 95% CI 12–14) households. Index patient predictors were pulmonary tuberculosis and sputum smear grade, age, and the maximum number of hours any contact had spent with the index patient while they had any cough. Household predictors were drug use, schooling of the female head of a household, and lower food spending. Contact predictors were if any of the contacts were children, number of lower-weight (body-mass index [BMI] &lt;20·0 kg/m2) adult contacts, number of normal-weight (BMI 20·0–24·9 kg/m2) adult contacts, and number of past or present household members who previously had tuberculosis. In this derivation cohort, the score c statistic was 0·77 and the risk of household tuberculosis in the highest scoring quintile was 31% (95% CI 25–38; 65 of 211) versus 2% (95% CI 0–4; four of 231) in the lowest scoring quintile. We externally validated the risk score in a cohort of 4248 contacts from 924 households in Callao recruited between April 23, 2014, and Dec 31, 2015. During follow-up, tuberculosis occu…","author":[{"dropping-particle":"","family":"Saunders","given":"Matthew J.","non-dropping-particle":"","parse-names":false,"suffix":""},{"dropping-particle":"","family":"Wingfield","given":"Tom","non-dropping-particle":"","parse-names":false,"suffix":""},{"dropping-particle":"","family":"Datta","given":"Sumona","non-dropping-particle":"","parse-names":false,"suffix":""},{"dropping-particle":"","family":"Montoya","given":"Rosario","non-dropping-particle":"","parse-names":false,"suffix":""},{"dropping-particle":"","family":"Ramos","given":"Eric","non-dropping-particle":"","parse-names":false,"suffix":""},{"dropping-particle":"","family":"Baldwin","given":"Matthew R.","non-dropping-particle":"","parse-names":false,"suffix":""},{"dropping-particle":"","family":"Tovar","given":"Marco A.","non-dropping-particle":"","parse-names":false,"suffix":""},{"dropping-particle":"","family":"Evans","given":"Benjamin E.W.","non-dropping-particle":"","parse-names":false,"suffix":""},{"dropping-particle":"","family":"Gilman","given":"Robert H.","non-dropping-particle":"","parse-names":false,"suffix":""},{"dropping-particle":"","family":"Evans","given":"Carlton A.","non-dropping-particle":"","parse-names":false,"suffix":""}],"container-title":"The Lancet Infectious Diseases","id":"ITEM-2","issue":"1","issued":{"date-parts":[["2020"]]},"page":"110-122","publisher":"The Author(s). Published by Elsevier Ltd. This is an Open Access article under the CC BY 4.0 license","title":"A household-level score to predict the risk of tuberculosis among contacts of patients with tuberculosis: a derivation and external validation prospective cohort study","type":"article-journal","volume":"20"},"uris":["http://www.mendeley.com/documents/?uuid=fcc1cb75-4fcf-423f-a6ab-56b4204790cf"]}],"mendeley":{"formattedCitation":"&lt;sup&gt;9,10&lt;/sup&gt;","plainTextFormattedCitation":"9,10","previouslyFormattedCitation":"&lt;sup&gt;9,10&lt;/sup&gt;"},"properties":{"noteIndex":0},"schema":"https://github.com/citation-style-language/schema/raw/master/csl-citation.json"}</w:instrText>
      </w:r>
      <w:r w:rsidR="00891D6F">
        <w:rPr>
          <w:sz w:val="24"/>
          <w:szCs w:val="24"/>
        </w:rPr>
        <w:fldChar w:fldCharType="separate"/>
      </w:r>
      <w:r w:rsidR="00674C0E" w:rsidRPr="00674C0E">
        <w:rPr>
          <w:noProof/>
          <w:sz w:val="24"/>
          <w:szCs w:val="24"/>
          <w:vertAlign w:val="superscript"/>
        </w:rPr>
        <w:t>9,10</w:t>
      </w:r>
      <w:r w:rsidR="00891D6F">
        <w:rPr>
          <w:sz w:val="24"/>
          <w:szCs w:val="24"/>
        </w:rPr>
        <w:fldChar w:fldCharType="end"/>
      </w:r>
      <w:r w:rsidRPr="00266F2B">
        <w:rPr>
          <w:sz w:val="24"/>
          <w:szCs w:val="24"/>
        </w:rPr>
        <w:t xml:space="preserve"> </w:t>
      </w:r>
    </w:p>
    <w:bookmarkEnd w:id="0"/>
    <w:p w14:paraId="0E07C104" w14:textId="25AD436D" w:rsidR="00266F2B" w:rsidRDefault="00790199" w:rsidP="00BD2599">
      <w:pPr>
        <w:jc w:val="both"/>
        <w:rPr>
          <w:sz w:val="24"/>
          <w:szCs w:val="24"/>
        </w:rPr>
      </w:pPr>
      <w:r w:rsidRPr="00790199">
        <w:rPr>
          <w:sz w:val="24"/>
          <w:szCs w:val="24"/>
        </w:rPr>
        <w:t xml:space="preserve">However, </w:t>
      </w:r>
      <w:r w:rsidR="00BE62E9">
        <w:rPr>
          <w:sz w:val="24"/>
          <w:szCs w:val="24"/>
        </w:rPr>
        <w:t>Peru</w:t>
      </w:r>
      <w:r w:rsidR="00D1213D">
        <w:rPr>
          <w:sz w:val="24"/>
          <w:szCs w:val="24"/>
        </w:rPr>
        <w:t xml:space="preserve"> is classified as a middle-income country and</w:t>
      </w:r>
      <w:r w:rsidR="00BE62E9">
        <w:rPr>
          <w:sz w:val="24"/>
          <w:szCs w:val="24"/>
        </w:rPr>
        <w:t xml:space="preserve"> has well established cash-transfer schemes, which limits generalizability of </w:t>
      </w:r>
      <w:r w:rsidRPr="00790199">
        <w:rPr>
          <w:sz w:val="24"/>
          <w:szCs w:val="24"/>
        </w:rPr>
        <w:t>these encouraging findings</w:t>
      </w:r>
      <w:r w:rsidR="00D1213D">
        <w:rPr>
          <w:sz w:val="24"/>
          <w:szCs w:val="24"/>
        </w:rPr>
        <w:t xml:space="preserve">. Therefore, it is vital to develop, implement, and evaluate interventions </w:t>
      </w:r>
      <w:proofErr w:type="gramStart"/>
      <w:r w:rsidR="00D1213D">
        <w:rPr>
          <w:sz w:val="24"/>
          <w:szCs w:val="24"/>
        </w:rPr>
        <w:t>similar to</w:t>
      </w:r>
      <w:proofErr w:type="gramEnd"/>
      <w:r w:rsidR="00D1213D">
        <w:rPr>
          <w:sz w:val="24"/>
          <w:szCs w:val="24"/>
        </w:rPr>
        <w:t xml:space="preserve"> those in Peru in other settings, </w:t>
      </w:r>
      <w:r w:rsidRPr="00790199">
        <w:rPr>
          <w:sz w:val="24"/>
          <w:szCs w:val="24"/>
        </w:rPr>
        <w:t xml:space="preserve">especially </w:t>
      </w:r>
      <w:r w:rsidR="00172AC6">
        <w:rPr>
          <w:sz w:val="24"/>
          <w:szCs w:val="24"/>
        </w:rPr>
        <w:t>TB-endemic LMICs with limited social protection coverage</w:t>
      </w:r>
      <w:r w:rsidRPr="00790199">
        <w:rPr>
          <w:sz w:val="24"/>
          <w:szCs w:val="24"/>
        </w:rPr>
        <w:t>.</w:t>
      </w:r>
      <w:r>
        <w:rPr>
          <w:sz w:val="24"/>
          <w:szCs w:val="24"/>
        </w:rPr>
        <w:t xml:space="preserve"> </w:t>
      </w:r>
      <w:r w:rsidR="002F5958">
        <w:rPr>
          <w:sz w:val="24"/>
          <w:szCs w:val="24"/>
          <w:lang w:val="en-US"/>
        </w:rPr>
        <w:t>We aimed to address this research gap in Nepal, a LIC with substantial rates of TB and poverty.</w:t>
      </w:r>
      <w:r w:rsidRPr="00790199">
        <w:rPr>
          <w:sz w:val="24"/>
          <w:szCs w:val="24"/>
        </w:rPr>
        <w:t xml:space="preserve"> </w:t>
      </w:r>
    </w:p>
    <w:p w14:paraId="4E160092" w14:textId="12A2ECEF" w:rsidR="00891D6F" w:rsidRDefault="00C20104" w:rsidP="00C20104">
      <w:pPr>
        <w:spacing w:before="240"/>
        <w:jc w:val="both"/>
        <w:rPr>
          <w:iCs/>
          <w:sz w:val="24"/>
          <w:szCs w:val="24"/>
        </w:rPr>
      </w:pPr>
      <w:r>
        <w:rPr>
          <w:iCs/>
          <w:sz w:val="24"/>
          <w:szCs w:val="24"/>
        </w:rPr>
        <w:t xml:space="preserve">In 2018, we won a </w:t>
      </w:r>
      <w:proofErr w:type="spellStart"/>
      <w:r>
        <w:rPr>
          <w:iCs/>
          <w:sz w:val="24"/>
          <w:szCs w:val="24"/>
        </w:rPr>
        <w:t>Wellcome</w:t>
      </w:r>
      <w:proofErr w:type="spellEnd"/>
      <w:r>
        <w:rPr>
          <w:iCs/>
          <w:sz w:val="24"/>
          <w:szCs w:val="24"/>
        </w:rPr>
        <w:t xml:space="preserve"> Seed Award </w:t>
      </w:r>
      <w:r w:rsidR="00EA4683">
        <w:rPr>
          <w:iCs/>
          <w:sz w:val="24"/>
          <w:szCs w:val="24"/>
        </w:rPr>
        <w:t xml:space="preserve">(grant number </w:t>
      </w:r>
      <w:r w:rsidR="00EA4683" w:rsidRPr="00EA4683">
        <w:rPr>
          <w:iCs/>
          <w:sz w:val="24"/>
          <w:szCs w:val="24"/>
        </w:rPr>
        <w:t>209075/Z/17/Z</w:t>
      </w:r>
      <w:r w:rsidR="00EA4683">
        <w:rPr>
          <w:iCs/>
          <w:sz w:val="24"/>
          <w:szCs w:val="24"/>
        </w:rPr>
        <w:t xml:space="preserve">) </w:t>
      </w:r>
      <w:r>
        <w:rPr>
          <w:iCs/>
          <w:sz w:val="24"/>
          <w:szCs w:val="24"/>
        </w:rPr>
        <w:t xml:space="preserve">to conduct preliminary research to design </w:t>
      </w:r>
      <w:r w:rsidR="00172AC6">
        <w:rPr>
          <w:iCs/>
          <w:sz w:val="24"/>
          <w:szCs w:val="24"/>
        </w:rPr>
        <w:t xml:space="preserve">a </w:t>
      </w:r>
      <w:r>
        <w:rPr>
          <w:iCs/>
          <w:sz w:val="24"/>
          <w:szCs w:val="24"/>
        </w:rPr>
        <w:t xml:space="preserve">socioeconomic support intervention </w:t>
      </w:r>
      <w:r w:rsidR="00172AC6">
        <w:rPr>
          <w:iCs/>
          <w:sz w:val="24"/>
          <w:szCs w:val="24"/>
        </w:rPr>
        <w:t xml:space="preserve">suitable </w:t>
      </w:r>
      <w:r>
        <w:rPr>
          <w:iCs/>
          <w:sz w:val="24"/>
          <w:szCs w:val="24"/>
        </w:rPr>
        <w:t>for TB-affected households in Nepal.</w:t>
      </w:r>
      <w:r w:rsidR="00172AC6">
        <w:rPr>
          <w:sz w:val="24"/>
          <w:szCs w:val="24"/>
          <w:lang w:val="en-US"/>
        </w:rPr>
        <w:fldChar w:fldCharType="begin" w:fldLock="1"/>
      </w:r>
      <w:r w:rsidR="00172AC6">
        <w:rPr>
          <w:sz w:val="24"/>
          <w:szCs w:val="24"/>
          <w:lang w:val="en-US"/>
        </w:rPr>
        <w:instrText>ADDIN CSL_CITATION {"citationItems":[{"id":"ITEM-1","itemData":{"author":[{"dropping-particle":"","family":"Rai","given":"B","non-dropping-particle":"","parse-names":false,"suffix":""},{"dropping-particle":"","family":"Dixit","given":"K","non-dropping-particle":"","parse-names":false,"suffix":""},{"dropping-particle":"","family":"Aryal","given":"TP","non-dropping-particle":"","parse-names":false,"suffix":""},{"dropping-particle":"","family":"Mishra","given":"G","non-dropping-particle":"","parse-names":false,"suffix":""},{"dropping-particle":"","family":"Siqueira-Filha","given":"NT","non-dropping-particle":"de","parse-names":false,"suffix":""},{"dropping-particle":"","family":"Paudel","given":"PR","non-dropping-particle":"","parse-names":false,"suffix":""},{"dropping-particle":"","family":"Levy","given":"Jens W","non-dropping-particle":"","parse-names":false,"suffix":""},{"dropping-particle":"","family":"Rest","given":"J","non-dropping-particle":"van","parse-names":false,"suffix":""},{"dropping-particle":"","family":"Gurung","given":"SC","non-dropping-particle":"","parse-names":false,"suffix":""},{"dropping-particle":"","family":"Dhital","given":"R","non-dropping-particle":"","parse-names":false,"suffix":""},{"dropping-particle":"","family":"Lonnroth","given":"K","non-dropping-particle":"","parse-names":false,"suffix":""},{"dropping-particle":"","family":"Squire","given":"SB","non-dropping-particle":"","parse-names":false,"suffix":""},{"dropping-particle":"","family":"Caws","given":"M","non-dropping-particle":"","parse-names":false,"suffix":""},{"dropping-particle":"","family":"Wingfield","given":"T","non-dropping-particle":"","parse-names":false,"suffix":""}],"container-title":"(under review)","id":"ITEM-1","issued":{"date-parts":[["2020"]]},"title":"Developing a feasible, locally-appropriate socioeconomic intervention for TB-affected households in Nepal: a report from a national workshop and review of the literature","type":"article-journal"},"uris":["http://www.mendeley.com/documents/?uuid=5067940e-29d6-4299-88b6-783f8845be1a"]}],"mendeley":{"formattedCitation":"&lt;sup&gt;11&lt;/sup&gt;","plainTextFormattedCitation":"11","previouslyFormattedCitation":"&lt;sup&gt;11&lt;/sup&gt;"},"properties":{"noteIndex":0},"schema":"https://github.com/citation-style-language/schema/raw/master/csl-citation.json"}</w:instrText>
      </w:r>
      <w:r w:rsidR="00172AC6">
        <w:rPr>
          <w:sz w:val="24"/>
          <w:szCs w:val="24"/>
          <w:lang w:val="en-US"/>
        </w:rPr>
        <w:fldChar w:fldCharType="separate"/>
      </w:r>
      <w:r w:rsidR="00172AC6" w:rsidRPr="00674C0E">
        <w:rPr>
          <w:noProof/>
          <w:sz w:val="24"/>
          <w:szCs w:val="24"/>
          <w:vertAlign w:val="superscript"/>
          <w:lang w:val="en-US"/>
        </w:rPr>
        <w:t>11</w:t>
      </w:r>
      <w:r w:rsidR="00172AC6">
        <w:rPr>
          <w:sz w:val="24"/>
          <w:szCs w:val="24"/>
          <w:lang w:val="en-US"/>
        </w:rPr>
        <w:fldChar w:fldCharType="end"/>
      </w:r>
      <w:r w:rsidR="00172AC6" w:rsidRPr="00790199">
        <w:rPr>
          <w:sz w:val="24"/>
          <w:szCs w:val="24"/>
        </w:rPr>
        <w:t xml:space="preserve"> </w:t>
      </w:r>
      <w:r>
        <w:rPr>
          <w:iCs/>
          <w:sz w:val="24"/>
          <w:szCs w:val="24"/>
        </w:rPr>
        <w:t xml:space="preserve"> </w:t>
      </w:r>
      <w:r w:rsidRPr="00C20104">
        <w:rPr>
          <w:iCs/>
          <w:sz w:val="24"/>
          <w:szCs w:val="24"/>
        </w:rPr>
        <w:t>Th</w:t>
      </w:r>
      <w:r>
        <w:rPr>
          <w:iCs/>
          <w:sz w:val="24"/>
          <w:szCs w:val="24"/>
        </w:rPr>
        <w:t>e</w:t>
      </w:r>
      <w:r w:rsidRPr="00C20104">
        <w:rPr>
          <w:iCs/>
          <w:sz w:val="24"/>
          <w:szCs w:val="24"/>
        </w:rPr>
        <w:t xml:space="preserve"> </w:t>
      </w:r>
      <w:r>
        <w:rPr>
          <w:iCs/>
          <w:sz w:val="24"/>
          <w:szCs w:val="24"/>
        </w:rPr>
        <w:t>Seed Award research</w:t>
      </w:r>
      <w:r w:rsidRPr="00C20104">
        <w:rPr>
          <w:iCs/>
          <w:sz w:val="24"/>
          <w:szCs w:val="24"/>
        </w:rPr>
        <w:t xml:space="preserve"> us</w:t>
      </w:r>
      <w:r>
        <w:rPr>
          <w:iCs/>
          <w:sz w:val="24"/>
          <w:szCs w:val="24"/>
        </w:rPr>
        <w:t>ed</w:t>
      </w:r>
      <w:r w:rsidRPr="00C20104">
        <w:rPr>
          <w:iCs/>
          <w:sz w:val="24"/>
          <w:szCs w:val="24"/>
        </w:rPr>
        <w:t xml:space="preserve"> </w:t>
      </w:r>
      <w:r w:rsidR="0035799C">
        <w:rPr>
          <w:iCs/>
          <w:sz w:val="24"/>
          <w:szCs w:val="24"/>
        </w:rPr>
        <w:t xml:space="preserve">mixed methods </w:t>
      </w:r>
      <w:r w:rsidRPr="00C20104">
        <w:rPr>
          <w:iCs/>
          <w:sz w:val="24"/>
          <w:szCs w:val="24"/>
        </w:rPr>
        <w:t xml:space="preserve">to </w:t>
      </w:r>
      <w:r w:rsidR="0035799C">
        <w:rPr>
          <w:iCs/>
          <w:sz w:val="24"/>
          <w:szCs w:val="24"/>
        </w:rPr>
        <w:t xml:space="preserve">characterise the socioeconomic impact and barriers </w:t>
      </w:r>
      <w:r w:rsidR="00046D82">
        <w:rPr>
          <w:iCs/>
          <w:sz w:val="24"/>
          <w:szCs w:val="24"/>
        </w:rPr>
        <w:t>to</w:t>
      </w:r>
      <w:r w:rsidR="0035799C">
        <w:rPr>
          <w:iCs/>
          <w:sz w:val="24"/>
          <w:szCs w:val="24"/>
        </w:rPr>
        <w:t xml:space="preserve"> </w:t>
      </w:r>
      <w:r w:rsidRPr="00C20104">
        <w:rPr>
          <w:iCs/>
          <w:sz w:val="24"/>
          <w:szCs w:val="24"/>
        </w:rPr>
        <w:t>access</w:t>
      </w:r>
      <w:r w:rsidR="00046D82">
        <w:rPr>
          <w:iCs/>
          <w:sz w:val="24"/>
          <w:szCs w:val="24"/>
        </w:rPr>
        <w:t>ing</w:t>
      </w:r>
      <w:r w:rsidRPr="00C20104">
        <w:rPr>
          <w:iCs/>
          <w:sz w:val="24"/>
          <w:szCs w:val="24"/>
        </w:rPr>
        <w:t xml:space="preserve"> TB diagnosis and care in Nepal and </w:t>
      </w:r>
      <w:r w:rsidR="00046D82">
        <w:rPr>
          <w:iCs/>
          <w:sz w:val="24"/>
          <w:szCs w:val="24"/>
        </w:rPr>
        <w:t xml:space="preserve">to support </w:t>
      </w:r>
      <w:r w:rsidR="0035799C">
        <w:rPr>
          <w:iCs/>
          <w:sz w:val="24"/>
          <w:szCs w:val="24"/>
        </w:rPr>
        <w:t>design</w:t>
      </w:r>
      <w:r w:rsidRPr="00C20104">
        <w:rPr>
          <w:iCs/>
          <w:sz w:val="24"/>
          <w:szCs w:val="24"/>
        </w:rPr>
        <w:t xml:space="preserve"> </w:t>
      </w:r>
      <w:r w:rsidR="00046D82">
        <w:rPr>
          <w:iCs/>
          <w:sz w:val="24"/>
          <w:szCs w:val="24"/>
        </w:rPr>
        <w:t xml:space="preserve">of </w:t>
      </w:r>
      <w:r w:rsidRPr="00C20104">
        <w:rPr>
          <w:iCs/>
          <w:sz w:val="24"/>
          <w:szCs w:val="24"/>
        </w:rPr>
        <w:t xml:space="preserve">potential interventions to </w:t>
      </w:r>
      <w:r w:rsidR="0035799C">
        <w:rPr>
          <w:iCs/>
          <w:sz w:val="24"/>
          <w:szCs w:val="24"/>
        </w:rPr>
        <w:t>overcome these issues</w:t>
      </w:r>
      <w:r w:rsidRPr="00C20104">
        <w:rPr>
          <w:iCs/>
          <w:sz w:val="24"/>
          <w:szCs w:val="24"/>
        </w:rPr>
        <w:t>.</w:t>
      </w:r>
      <w:r w:rsidR="00891D6F">
        <w:rPr>
          <w:iCs/>
          <w:sz w:val="24"/>
          <w:szCs w:val="24"/>
        </w:rPr>
        <w:fldChar w:fldCharType="begin" w:fldLock="1"/>
      </w:r>
      <w:r w:rsidR="00461CAB">
        <w:rPr>
          <w:iCs/>
          <w:sz w:val="24"/>
          <w:szCs w:val="24"/>
        </w:rPr>
        <w:instrText>ADDIN CSL_CITATION {"citationItems":[{"id":"ITEM-1","itemData":{"author":[{"dropping-particle":"","family":"Dixit","given":"K","non-dropping-particle":"","parse-names":false,"suffix":""},{"dropping-particle":"","family":"Rai","given":"B","non-dropping-particle":"","parse-names":false,"suffix":""},{"dropping-particle":"","family":"Aryal","given":"TP","non-dropping-particle":"","parse-names":false,"suffix":""},{"dropping-particle":"","family":"Mishra","given":"G","non-dropping-particle":"","parse-names":false,"suffix":""},{"dropping-particle":"","family":"Teixeira de Siqueira-Filha","given":"N","non-dropping-particle":"","parse-names":false,"suffix":""},{"dropping-particle":"","family":"Paudel","given":"PR","non-dropping-particle":"","parse-names":false,"suffix":""},{"dropping-particle":"","family":"Levy","given":"JW","non-dropping-particle":"","parse-names":false,"suffix":""},{"dropping-particle":"","family":"Rest","given":"J","non-dropping-particle":"van","parse-names":false,"suffix":""},{"dropping-particle":"","family":"Gurung","given":"SC","non-dropping-particle":"","parse-names":false,"suffix":""},{"dropping-particle":"","family":"Dhital","given":"R","non-dropping-particle":"","parse-names":false,"suffix":""},{"dropping-particle":"","family":"Biermann","given":"O","non-dropping-particle":"","parse-names":false,"suffix":""},{"dropping-particle":"","family":"Viney","given":"K","non-dropping-particle":"","parse-names":false,"suffix":""},{"dropping-particle":"","family":"Lönnroth","given":"K","non-dropping-particle":"","parse-names":false,"suffix":""},{"dropping-particle":"","family":"Squire","given":"SB","non-dropping-particle":"","parse-names":false,"suffix":""},{"dropping-particle":"","family":"Caws","given":"M","non-dropping-particle":"","parse-names":false,"suffix":""},{"dropping-particle":"","family":"Wingfield","given":"T","non-dropping-particle":"","parse-names":false,"suffix":""}],"container-title":"Wellcome Open Research","id":"ITEM-1","issued":{"date-parts":[["2020"]]},"title":"Research protocol for a mixed-methods study to characterise and address the socioeconomic impact of accessing TB diagnosis and care in Nepal","type":"article-journal"},"uris":["http://www.mendeley.com/documents/?uuid=97f09b4b-941d-4a55-a03d-7430ff34494b"]}],"mendeley":{"formattedCitation":"&lt;sup&gt;12&lt;/sup&gt;","plainTextFormattedCitation":"12","previouslyFormattedCitation":"&lt;sup&gt;12&lt;/sup&gt;"},"properties":{"noteIndex":0},"schema":"https://github.com/citation-style-language/schema/raw/master/csl-citation.json"}</w:instrText>
      </w:r>
      <w:r w:rsidR="00891D6F">
        <w:rPr>
          <w:iCs/>
          <w:sz w:val="24"/>
          <w:szCs w:val="24"/>
        </w:rPr>
        <w:fldChar w:fldCharType="separate"/>
      </w:r>
      <w:r w:rsidR="00937425" w:rsidRPr="00937425">
        <w:rPr>
          <w:iCs/>
          <w:noProof/>
          <w:sz w:val="24"/>
          <w:szCs w:val="24"/>
          <w:vertAlign w:val="superscript"/>
        </w:rPr>
        <w:t>12</w:t>
      </w:r>
      <w:r w:rsidR="00891D6F">
        <w:rPr>
          <w:iCs/>
          <w:sz w:val="24"/>
          <w:szCs w:val="24"/>
        </w:rPr>
        <w:fldChar w:fldCharType="end"/>
      </w:r>
      <w:r w:rsidRPr="00C20104">
        <w:rPr>
          <w:iCs/>
          <w:sz w:val="24"/>
          <w:szCs w:val="24"/>
        </w:rPr>
        <w:t xml:space="preserve"> The </w:t>
      </w:r>
      <w:r>
        <w:rPr>
          <w:iCs/>
          <w:sz w:val="24"/>
          <w:szCs w:val="24"/>
        </w:rPr>
        <w:t xml:space="preserve">Seed Award </w:t>
      </w:r>
      <w:r w:rsidR="0035799C">
        <w:rPr>
          <w:iCs/>
          <w:sz w:val="24"/>
          <w:szCs w:val="24"/>
        </w:rPr>
        <w:t>was housed within</w:t>
      </w:r>
      <w:r w:rsidRPr="00C20104">
        <w:rPr>
          <w:iCs/>
          <w:sz w:val="24"/>
          <w:szCs w:val="24"/>
        </w:rPr>
        <w:t xml:space="preserve"> the “</w:t>
      </w:r>
      <w:hyperlink r:id="rId12" w:history="1">
        <w:r w:rsidRPr="00B41599">
          <w:rPr>
            <w:rStyle w:val="Hyperlink"/>
            <w:iCs/>
            <w:sz w:val="24"/>
            <w:szCs w:val="24"/>
          </w:rPr>
          <w:t>IMPACT-TB</w:t>
        </w:r>
      </w:hyperlink>
      <w:r w:rsidRPr="00C20104">
        <w:rPr>
          <w:iCs/>
          <w:sz w:val="24"/>
          <w:szCs w:val="24"/>
        </w:rPr>
        <w:t xml:space="preserve">” </w:t>
      </w:r>
      <w:r w:rsidR="0035799C">
        <w:rPr>
          <w:iCs/>
          <w:sz w:val="24"/>
          <w:szCs w:val="24"/>
        </w:rPr>
        <w:t xml:space="preserve">active-case finding study in </w:t>
      </w:r>
      <w:r w:rsidRPr="00C20104">
        <w:rPr>
          <w:iCs/>
          <w:sz w:val="24"/>
          <w:szCs w:val="24"/>
        </w:rPr>
        <w:t xml:space="preserve">Vietnam </w:t>
      </w:r>
      <w:r w:rsidR="0035799C">
        <w:rPr>
          <w:iCs/>
          <w:sz w:val="24"/>
          <w:szCs w:val="24"/>
        </w:rPr>
        <w:t xml:space="preserve">and Nepal </w:t>
      </w:r>
      <w:r w:rsidRPr="00C20104">
        <w:rPr>
          <w:iCs/>
          <w:sz w:val="24"/>
          <w:szCs w:val="24"/>
        </w:rPr>
        <w:t>(</w:t>
      </w:r>
      <w:r w:rsidR="0035799C" w:rsidRPr="00C20104">
        <w:rPr>
          <w:iCs/>
          <w:sz w:val="24"/>
          <w:szCs w:val="24"/>
        </w:rPr>
        <w:t>EU-Horizon 2020</w:t>
      </w:r>
      <w:r w:rsidR="0035799C">
        <w:rPr>
          <w:iCs/>
          <w:sz w:val="24"/>
          <w:szCs w:val="24"/>
        </w:rPr>
        <w:t xml:space="preserve">, </w:t>
      </w:r>
      <w:r w:rsidRPr="00C20104">
        <w:rPr>
          <w:iCs/>
          <w:sz w:val="24"/>
          <w:szCs w:val="24"/>
        </w:rPr>
        <w:t>grant 733174</w:t>
      </w:r>
      <w:r w:rsidR="00B41599">
        <w:rPr>
          <w:iCs/>
          <w:sz w:val="24"/>
          <w:szCs w:val="24"/>
        </w:rPr>
        <w:t>).</w:t>
      </w:r>
    </w:p>
    <w:p w14:paraId="3ED31F7F" w14:textId="7EA5817D" w:rsidR="008551D5" w:rsidRDefault="00C20104" w:rsidP="007A6D6B">
      <w:pPr>
        <w:spacing w:before="240"/>
        <w:jc w:val="both"/>
        <w:rPr>
          <w:sz w:val="24"/>
          <w:szCs w:val="24"/>
        </w:rPr>
      </w:pPr>
      <w:r>
        <w:rPr>
          <w:iCs/>
          <w:sz w:val="24"/>
          <w:szCs w:val="24"/>
        </w:rPr>
        <w:t xml:space="preserve">Both the Seed Award and </w:t>
      </w:r>
      <w:r w:rsidR="00134AE2">
        <w:rPr>
          <w:iCs/>
          <w:sz w:val="24"/>
          <w:szCs w:val="24"/>
        </w:rPr>
        <w:t xml:space="preserve">IMPACT-TB were </w:t>
      </w:r>
      <w:r>
        <w:rPr>
          <w:sz w:val="24"/>
          <w:szCs w:val="24"/>
        </w:rPr>
        <w:t>implemented by</w:t>
      </w:r>
      <w:r w:rsidR="005E4C15" w:rsidRPr="005E4C15">
        <w:rPr>
          <w:sz w:val="24"/>
          <w:szCs w:val="24"/>
        </w:rPr>
        <w:t xml:space="preserve"> a well-established </w:t>
      </w:r>
      <w:r w:rsidR="00134AE2">
        <w:rPr>
          <w:sz w:val="24"/>
          <w:szCs w:val="24"/>
        </w:rPr>
        <w:t xml:space="preserve">Nepalese </w:t>
      </w:r>
      <w:r w:rsidR="005E4C15" w:rsidRPr="005E4C15">
        <w:rPr>
          <w:sz w:val="24"/>
          <w:szCs w:val="24"/>
        </w:rPr>
        <w:t xml:space="preserve">NGO, </w:t>
      </w:r>
      <w:proofErr w:type="spellStart"/>
      <w:r w:rsidR="005E4C15" w:rsidRPr="005E4C15">
        <w:rPr>
          <w:sz w:val="24"/>
          <w:szCs w:val="24"/>
        </w:rPr>
        <w:t>B</w:t>
      </w:r>
      <w:r w:rsidR="00780F0F">
        <w:rPr>
          <w:sz w:val="24"/>
          <w:szCs w:val="24"/>
        </w:rPr>
        <w:t>irat</w:t>
      </w:r>
      <w:proofErr w:type="spellEnd"/>
      <w:r w:rsidR="00780F0F">
        <w:rPr>
          <w:sz w:val="24"/>
          <w:szCs w:val="24"/>
        </w:rPr>
        <w:t xml:space="preserve"> Nepal Medical Trust (</w:t>
      </w:r>
      <w:hyperlink r:id="rId13" w:history="1">
        <w:r w:rsidR="00780F0F" w:rsidRPr="00B41599">
          <w:rPr>
            <w:rStyle w:val="Hyperlink"/>
            <w:sz w:val="24"/>
            <w:szCs w:val="24"/>
          </w:rPr>
          <w:t>BNMT</w:t>
        </w:r>
      </w:hyperlink>
      <w:r w:rsidR="00B41599">
        <w:rPr>
          <w:sz w:val="24"/>
          <w:szCs w:val="24"/>
        </w:rPr>
        <w:t>)</w:t>
      </w:r>
      <w:r w:rsidR="005E4C15" w:rsidRPr="005E4C15">
        <w:rPr>
          <w:sz w:val="24"/>
          <w:szCs w:val="24"/>
        </w:rPr>
        <w:t xml:space="preserve">, </w:t>
      </w:r>
      <w:r w:rsidR="00134AE2">
        <w:rPr>
          <w:sz w:val="24"/>
          <w:szCs w:val="24"/>
        </w:rPr>
        <w:t>with over 50 years of experience in implementing public health interventions in Nepal</w:t>
      </w:r>
      <w:r w:rsidR="005E4C15" w:rsidRPr="005E4C15">
        <w:rPr>
          <w:sz w:val="24"/>
          <w:szCs w:val="24"/>
        </w:rPr>
        <w:t xml:space="preserve">. </w:t>
      </w:r>
      <w:r w:rsidR="00617A69">
        <w:rPr>
          <w:sz w:val="24"/>
          <w:szCs w:val="24"/>
        </w:rPr>
        <w:t xml:space="preserve">IMPACT-TB and the </w:t>
      </w:r>
      <w:proofErr w:type="spellStart"/>
      <w:r w:rsidR="00617A69">
        <w:rPr>
          <w:sz w:val="24"/>
          <w:szCs w:val="24"/>
        </w:rPr>
        <w:t>Wellcome</w:t>
      </w:r>
      <w:proofErr w:type="spellEnd"/>
      <w:r w:rsidR="00617A69">
        <w:rPr>
          <w:sz w:val="24"/>
          <w:szCs w:val="24"/>
        </w:rPr>
        <w:t xml:space="preserve"> Seed Award research</w:t>
      </w:r>
      <w:r w:rsidR="00790199" w:rsidRPr="00266F2B">
        <w:rPr>
          <w:sz w:val="24"/>
          <w:szCs w:val="24"/>
        </w:rPr>
        <w:t xml:space="preserve"> </w:t>
      </w:r>
      <w:r w:rsidR="00617A69">
        <w:rPr>
          <w:sz w:val="24"/>
          <w:szCs w:val="24"/>
        </w:rPr>
        <w:t>found</w:t>
      </w:r>
      <w:r w:rsidR="00790199" w:rsidRPr="00266F2B">
        <w:rPr>
          <w:sz w:val="24"/>
          <w:szCs w:val="24"/>
        </w:rPr>
        <w:t xml:space="preserve"> that </w:t>
      </w:r>
      <w:r w:rsidR="0035799C">
        <w:rPr>
          <w:sz w:val="24"/>
          <w:szCs w:val="24"/>
        </w:rPr>
        <w:t xml:space="preserve">catastrophic costs were experienced by </w:t>
      </w:r>
      <w:r w:rsidR="00617A69" w:rsidRPr="00266F2B">
        <w:rPr>
          <w:sz w:val="24"/>
          <w:szCs w:val="24"/>
        </w:rPr>
        <w:t>61% of TB-affected households</w:t>
      </w:r>
      <w:r w:rsidR="00617A69">
        <w:rPr>
          <w:sz w:val="24"/>
          <w:szCs w:val="24"/>
        </w:rPr>
        <w:fldChar w:fldCharType="begin" w:fldLock="1"/>
      </w:r>
      <w:r w:rsidR="00461CAB">
        <w:rPr>
          <w:sz w:val="24"/>
          <w:szCs w:val="24"/>
        </w:rPr>
        <w:instrText>ADDIN CSL_CITATION {"citationItems":[{"id":"ITEM-1","itemData":{"author":[{"dropping-particle":"","family":"Gurung","given":"S","non-dropping-particle":"","parse-names":false,"suffix":""},{"dropping-particle":"","family":"Dixit","given":"K","non-dropping-particle":"","parse-names":false,"suffix":""},{"dropping-particle":"","family":"Rai","given":"B","non-dropping-particle":"","parse-names":false,"suffix":""},{"dropping-particle":"","family":"Caws","given":"M","non-dropping-particle":"","parse-names":false,"suffix":""},{"dropping-particle":"","family":"Paudel","given":"PR","non-dropping-particle":"","parse-names":false,"suffix":""},{"dropping-particle":"","family":"Dhital","given":"R","non-dropping-particle":"","parse-names":false,"suffix":""},{"dropping-particle":"","family":"Acharya","given":"S","non-dropping-particle":"","parse-names":false,"suffix":""},{"dropping-particle":"","family":"Budhathoki","given":"G","non-dropping-particle":"","parse-names":false,"suffix":""},{"dropping-particle":"","family":"Malla","given":"D","non-dropping-particle":"","parse-names":false,"suffix":""},{"dropping-particle":"","family":"Levy","given":"JW","non-dropping-particle":"","parse-names":false,"suffix":""},{"dropping-particle":"","family":"Rest","given":"J","non-dropping-particle":"van","parse-names":false,"suffix":""},{"dropping-particle":"","family":"Lonnroth","given":"K","non-dropping-particle":"","parse-names":false,"suffix":""},{"dropping-particle":"","family":"Viney","given":"K","non-dropping-particle":"","parse-names":false,"suffix":""},{"dropping-particle":"","family":"Ramsay","given":"A","non-dropping-particle":"","parse-names":false,"suffix":""},{"dropping-particle":"","family":"Wingfield","given":"T","non-dropping-particle":"","parse-names":false,"suffix":""},{"dropping-particle":"","family":"Basnyat","given":"B","non-dropping-particle":"","parse-names":false,"suffix":""},{"dropping-particle":"","family":"Thapa","given":"A","non-dropping-particle":"","parse-names":false,"suffix":""},{"dropping-particle":"","family":"Squire","given":"SB","non-dropping-particle":"","parse-names":false,"suffix":""},{"dropping-particle":"","family":"Wang","given":"D","non-dropping-particle":"","parse-names":false,"suffix":""},{"dropping-particle":"","family":"Mishra","given":"G","non-dropping-particle":"","parse-names":false,"suffix":""},{"dropping-particle":"","family":"Shah","given":"K","non-dropping-particle":"","parse-names":false,"suffix":""},{"dropping-particle":"","family":"Shreshta","given":"S","non-dropping-particle":"","parse-names":false,"suffix":""},{"dropping-particle":"","family":"Teixeira de Siqueira-Filha","given":"N","non-dropping-particle":"","parse-names":false,"suffix":""}],"container-title":"Infectious Diseases of Poverty","id":"ITEM-1","issue":"99","issued":{"date-parts":[["2019"]]},"title":"The role of active case finding in reducing patient incurred catastrophic costs for tuberculosis in Nepal","type":"article-journal","volume":"8"},"uris":["http://www.mendeley.com/documents/?uuid=7ee77266-f415-42d6-9a20-b7b371f23db2"]}],"mendeley":{"formattedCitation":"&lt;sup&gt;13&lt;/sup&gt;","plainTextFormattedCitation":"13","previouslyFormattedCitation":"&lt;sup&gt;13&lt;/sup&gt;"},"properties":{"noteIndex":0},"schema":"https://github.com/citation-style-language/schema/raw/master/csl-citation.json"}</w:instrText>
      </w:r>
      <w:r w:rsidR="00617A69">
        <w:rPr>
          <w:sz w:val="24"/>
          <w:szCs w:val="24"/>
        </w:rPr>
        <w:fldChar w:fldCharType="separate"/>
      </w:r>
      <w:r w:rsidR="00937425" w:rsidRPr="00937425">
        <w:rPr>
          <w:noProof/>
          <w:sz w:val="24"/>
          <w:szCs w:val="24"/>
          <w:vertAlign w:val="superscript"/>
        </w:rPr>
        <w:t>13</w:t>
      </w:r>
      <w:r w:rsidR="00617A69">
        <w:rPr>
          <w:sz w:val="24"/>
          <w:szCs w:val="24"/>
        </w:rPr>
        <w:fldChar w:fldCharType="end"/>
      </w:r>
      <w:r w:rsidR="00617A69">
        <w:rPr>
          <w:sz w:val="24"/>
          <w:szCs w:val="24"/>
        </w:rPr>
        <w:t xml:space="preserve"> </w:t>
      </w:r>
      <w:r w:rsidR="00891D6F">
        <w:rPr>
          <w:sz w:val="24"/>
          <w:szCs w:val="24"/>
        </w:rPr>
        <w:t xml:space="preserve">and identified </w:t>
      </w:r>
      <w:r w:rsidR="00BD2599">
        <w:rPr>
          <w:sz w:val="24"/>
          <w:szCs w:val="24"/>
        </w:rPr>
        <w:lastRenderedPageBreak/>
        <w:t xml:space="preserve">distinct socioeconomic </w:t>
      </w:r>
      <w:r w:rsidR="00046D82">
        <w:rPr>
          <w:sz w:val="24"/>
          <w:szCs w:val="24"/>
        </w:rPr>
        <w:t>factors impeding access to TB services</w:t>
      </w:r>
      <w:r w:rsidR="00891D6F">
        <w:rPr>
          <w:sz w:val="24"/>
          <w:szCs w:val="24"/>
        </w:rPr>
        <w:t xml:space="preserve"> </w:t>
      </w:r>
      <w:r w:rsidR="00BD2599">
        <w:rPr>
          <w:sz w:val="24"/>
          <w:szCs w:val="24"/>
        </w:rPr>
        <w:t xml:space="preserve">(Figure </w:t>
      </w:r>
      <w:r w:rsidR="002F5958">
        <w:rPr>
          <w:sz w:val="24"/>
          <w:szCs w:val="24"/>
        </w:rPr>
        <w:t>1</w:t>
      </w:r>
      <w:r w:rsidR="00BD2599">
        <w:rPr>
          <w:sz w:val="24"/>
          <w:szCs w:val="24"/>
        </w:rPr>
        <w:t>).</w:t>
      </w:r>
      <w:r w:rsidR="00BD2599">
        <w:rPr>
          <w:sz w:val="24"/>
          <w:szCs w:val="24"/>
        </w:rPr>
        <w:fldChar w:fldCharType="begin" w:fldLock="1"/>
      </w:r>
      <w:r w:rsidR="00461CAB">
        <w:rPr>
          <w:sz w:val="24"/>
          <w:szCs w:val="24"/>
        </w:rPr>
        <w:instrText>ADDIN CSL_CITATION {"citationItems":[{"id":"ITEM-1","itemData":{"author":[{"dropping-particle":"","family":"Dixit","given":"K","non-dropping-particle":"","parse-names":false,"suffix":""},{"dropping-particle":"","family":"Gurung","given":"SC","non-dropping-particle":"","parse-names":false,"suffix":""},{"dropping-particle":"","family":"Dhital","given":"R","non-dropping-particle":"","parse-names":false,"suffix":""},{"dropping-particle":"","family":"Rai","given":"B","non-dropping-particle":"","parse-names":false,"suffix":""},{"dropping-particle":"","family":"Caws","given":"M","non-dropping-particle":"","parse-names":false,"suffix":""},{"dropping-particle":"","family":"Wingfield","given":"T","non-dropping-particle":"","parse-names":false,"suffix":""}],"container-title":"The 50th Union World Conference on Lung Health","id":"ITEM-1","issued":{"date-parts":[["2019"]]},"page":"PS-33-C8","title":"Barriers and facilitators to accessing and engaging in tuberculosis care: a qualitative study from Nepal","type":"paper-conference"},"uris":["http://www.mendeley.com/documents/?uuid=19afa42b-9e39-4763-a7e3-178918679987"]}],"mendeley":{"formattedCitation":"&lt;sup&gt;14&lt;/sup&gt;","plainTextFormattedCitation":"14","previouslyFormattedCitation":"&lt;sup&gt;14&lt;/sup&gt;"},"properties":{"noteIndex":0},"schema":"https://github.com/citation-style-language/schema/raw/master/csl-citation.json"}</w:instrText>
      </w:r>
      <w:r w:rsidR="00BD2599">
        <w:rPr>
          <w:sz w:val="24"/>
          <w:szCs w:val="24"/>
        </w:rPr>
        <w:fldChar w:fldCharType="separate"/>
      </w:r>
      <w:r w:rsidR="00937425" w:rsidRPr="00937425">
        <w:rPr>
          <w:noProof/>
          <w:sz w:val="24"/>
          <w:szCs w:val="24"/>
          <w:vertAlign w:val="superscript"/>
        </w:rPr>
        <w:t>14</w:t>
      </w:r>
      <w:r w:rsidR="00BD2599">
        <w:rPr>
          <w:sz w:val="24"/>
          <w:szCs w:val="24"/>
        </w:rPr>
        <w:fldChar w:fldCharType="end"/>
      </w:r>
      <w:r w:rsidR="00BD2599">
        <w:rPr>
          <w:sz w:val="24"/>
          <w:szCs w:val="24"/>
        </w:rPr>
        <w:t xml:space="preserve"> </w:t>
      </w:r>
      <w:r w:rsidR="00BD2599" w:rsidRPr="00266F2B">
        <w:rPr>
          <w:sz w:val="24"/>
          <w:szCs w:val="24"/>
        </w:rPr>
        <w:t xml:space="preserve"> </w:t>
      </w:r>
      <w:r w:rsidR="0052708D">
        <w:rPr>
          <w:sz w:val="24"/>
          <w:szCs w:val="24"/>
        </w:rPr>
        <w:t xml:space="preserve">Focus group </w:t>
      </w:r>
      <w:r w:rsidR="008551D5">
        <w:rPr>
          <w:sz w:val="24"/>
          <w:szCs w:val="24"/>
        </w:rPr>
        <w:t xml:space="preserve">discussions </w:t>
      </w:r>
      <w:r w:rsidR="0052708D">
        <w:rPr>
          <w:sz w:val="24"/>
          <w:szCs w:val="24"/>
        </w:rPr>
        <w:t xml:space="preserve">(FGDs) </w:t>
      </w:r>
      <w:r w:rsidR="008551D5">
        <w:rPr>
          <w:sz w:val="24"/>
          <w:szCs w:val="24"/>
        </w:rPr>
        <w:t xml:space="preserve">characterised where along the patient pathway from TB symptoms to care seeking, diagnosis, treatment, and treatment outcome, support interventions could be delivered (Figure </w:t>
      </w:r>
      <w:r w:rsidR="002F5958">
        <w:rPr>
          <w:sz w:val="24"/>
          <w:szCs w:val="24"/>
        </w:rPr>
        <w:t>2</w:t>
      </w:r>
      <w:r w:rsidR="008551D5">
        <w:rPr>
          <w:sz w:val="24"/>
          <w:szCs w:val="24"/>
        </w:rPr>
        <w:t>).</w:t>
      </w:r>
      <w:r w:rsidR="007A6D6B">
        <w:rPr>
          <w:sz w:val="24"/>
          <w:szCs w:val="24"/>
        </w:rPr>
        <w:t xml:space="preserve"> </w:t>
      </w:r>
      <w:r w:rsidR="008551D5">
        <w:rPr>
          <w:sz w:val="24"/>
          <w:szCs w:val="24"/>
        </w:rPr>
        <w:t xml:space="preserve">The research also demonstrated that </w:t>
      </w:r>
      <w:r w:rsidR="008551D5" w:rsidRPr="00266F2B">
        <w:rPr>
          <w:sz w:val="24"/>
          <w:szCs w:val="24"/>
        </w:rPr>
        <w:t xml:space="preserve">people with TB </w:t>
      </w:r>
      <w:r w:rsidR="008551D5">
        <w:rPr>
          <w:sz w:val="24"/>
          <w:szCs w:val="24"/>
        </w:rPr>
        <w:t xml:space="preserve">in Nepal commonly </w:t>
      </w:r>
      <w:r w:rsidR="008551D5" w:rsidRPr="00266F2B">
        <w:rPr>
          <w:sz w:val="24"/>
          <w:szCs w:val="24"/>
        </w:rPr>
        <w:t>experienced self-stigma</w:t>
      </w:r>
      <w:r w:rsidR="008551D5">
        <w:rPr>
          <w:sz w:val="24"/>
          <w:szCs w:val="24"/>
        </w:rPr>
        <w:fldChar w:fldCharType="begin" w:fldLock="1"/>
      </w:r>
      <w:r w:rsidR="00461CAB">
        <w:rPr>
          <w:sz w:val="24"/>
          <w:szCs w:val="24"/>
        </w:rPr>
        <w:instrText>ADDIN CSL_CITATION {"citationItems":[{"id":"ITEM-1","itemData":{"author":[{"dropping-particle":"","family":"Dixit","given":"K","non-dropping-particle":"","parse-names":false,"suffix":""},{"dropping-particle":"","family":"Gurung","given":"SC","non-dropping-particle":"","parse-names":false,"suffix":""},{"dropping-particle":"","family":"Dhital","given":"R","non-dropping-particle":"","parse-names":false,"suffix":""},{"dropping-particle":"","family":"Caws","given":"M","non-dropping-particle":"","parse-names":false,"suffix":""},{"dropping-particle":"","family":"Wingfield","given":"T","non-dropping-particle":"","parse-names":false,"suffix":""}],"container-title":"11th European Congress on Tropical Medicine and International Health","id":"ITEM-1","issued":{"date-parts":[["2019"]]},"page":"Poster 948","title":"Patient and stakeholder perspectives on barriers and facilitators to tuberculosis care in Nepal","type":"paper-conference"},"uris":["http://www.mendeley.com/documents/?uuid=4de82ac0-58f4-4cae-b686-940f9b853e64"]}],"mendeley":{"formattedCitation":"&lt;sup&gt;15&lt;/sup&gt;","plainTextFormattedCitation":"15","previouslyFormattedCitation":"&lt;sup&gt;15&lt;/sup&gt;"},"properties":{"noteIndex":0},"schema":"https://github.com/citation-style-language/schema/raw/master/csl-citation.json"}</w:instrText>
      </w:r>
      <w:r w:rsidR="008551D5">
        <w:rPr>
          <w:sz w:val="24"/>
          <w:szCs w:val="24"/>
        </w:rPr>
        <w:fldChar w:fldCharType="separate"/>
      </w:r>
      <w:r w:rsidR="00937425" w:rsidRPr="00937425">
        <w:rPr>
          <w:noProof/>
          <w:sz w:val="24"/>
          <w:szCs w:val="24"/>
          <w:vertAlign w:val="superscript"/>
        </w:rPr>
        <w:t>15</w:t>
      </w:r>
      <w:r w:rsidR="008551D5">
        <w:rPr>
          <w:sz w:val="24"/>
          <w:szCs w:val="24"/>
        </w:rPr>
        <w:fldChar w:fldCharType="end"/>
      </w:r>
      <w:r w:rsidR="008551D5" w:rsidRPr="00266F2B">
        <w:rPr>
          <w:sz w:val="24"/>
          <w:szCs w:val="24"/>
        </w:rPr>
        <w:t xml:space="preserve"> </w:t>
      </w:r>
      <w:r w:rsidR="008551D5">
        <w:rPr>
          <w:sz w:val="24"/>
          <w:szCs w:val="24"/>
        </w:rPr>
        <w:t>and exploratory analyses suggested that</w:t>
      </w:r>
      <w:r w:rsidR="008551D5" w:rsidRPr="00266F2B">
        <w:rPr>
          <w:sz w:val="24"/>
          <w:szCs w:val="24"/>
        </w:rPr>
        <w:t xml:space="preserve"> experiencing stigma was associated with catastrophic costs and </w:t>
      </w:r>
      <w:r w:rsidR="00046D82">
        <w:rPr>
          <w:sz w:val="24"/>
          <w:szCs w:val="24"/>
        </w:rPr>
        <w:t>worse</w:t>
      </w:r>
      <w:r w:rsidR="008551D5" w:rsidRPr="00266F2B">
        <w:rPr>
          <w:sz w:val="24"/>
          <w:szCs w:val="24"/>
        </w:rPr>
        <w:t xml:space="preserve"> TB treatment outcomes.</w:t>
      </w:r>
      <w:r w:rsidR="008551D5">
        <w:rPr>
          <w:sz w:val="24"/>
          <w:szCs w:val="24"/>
        </w:rPr>
        <w:fldChar w:fldCharType="begin" w:fldLock="1"/>
      </w:r>
      <w:r w:rsidR="00461CAB">
        <w:rPr>
          <w:sz w:val="24"/>
          <w:szCs w:val="24"/>
        </w:rPr>
        <w:instrText>ADDIN CSL_CITATION {"citationItems":[{"id":"ITEM-1","itemData":{"abstract":"Introduction Reducing poverty and health inequality remain a global imperative, enshrined in the United Nation’s Sustainable Development Goals. Poorer people have a higher likelihood of ill-health, malnutrition, and limited healthcare access. This talk will highlight that there are few infectious diseases that better illustrate this health-wealth association than TB, the archetypal disease of poverty. Objectives • To understand the social determinants of TB infection, disease, and adverse TB treatment outcomes • To explore the socioeconomic consequences at an individual- and household-level of being ill with TB disease • To review the available evidence on the health and non-health impacts of socioeconomic support for TB-affected households Presentation Summary This presentation will give a brief overview of the intimate relationship of TB and poverty throughout history. It will then describe recent research addressing the social determinants of TB, including the development of an innovative WHO-endorsed threshold for measuring catastrophic costs of TB-affected households and results from the world’s first trial of an integrated socioeconomic intervention to improve TB prevention and cure in TB-affected households (the “HRESIPT” and “CRESIPT” trials in Peru). Finally, the talk will disseminate preliminary results of ongoing studies developing and evaluating socioeconomic interventions for TB-affected households in Nepal, Vietnam and Mozambique. Conclusions It is hoped that the findings from the expansion of this multi-disciplinary research addressing the social determinants of TB, which involves strong community participation, will lead to policy and practice changes that reduce poverty and improve health and wellbeing of TB-affected households in diverse country settings.","author":[{"dropping-particle":"","family":"Dixit","given":"K","non-dropping-particle":"","parse-names":false,"suffix":""},{"dropping-particle":"","family":"Rai","given":"B","non-dropping-particle":"","parse-names":false,"suffix":""},{"dropping-particle":"","family":"Gurung","given":"SC","non-dropping-particle":"","parse-names":false,"suffix":""},{"dropping-particle":"","family":"Dhital","given":"R","non-dropping-particle":"","parse-names":false,"suffix":""},{"dropping-particle":"","family":"Siqueira Filha","given":"N","non-dropping-particle":"","parse-names":false,"suffix":""},{"dropping-particle":"","family":"Wingfield","given":"T","non-dropping-particle":"","parse-names":false,"suffix":""}],"container-title":"European Congress on Tropical Medicine and International Health","id":"ITEM-1","issued":{"date-parts":[["2019"]]},"title":"Addressing the social determinants and consequences of tuberculosis in Nepal","type":"paper-conference"},"uris":["http://www.mendeley.com/documents/?uuid=b024415d-5497-4c9f-92f8-5ae4ff9b91d9"]}],"mendeley":{"formattedCitation":"&lt;sup&gt;16&lt;/sup&gt;","plainTextFormattedCitation":"16","previouslyFormattedCitation":"&lt;sup&gt;16&lt;/sup&gt;"},"properties":{"noteIndex":0},"schema":"https://github.com/citation-style-language/schema/raw/master/csl-citation.json"}</w:instrText>
      </w:r>
      <w:r w:rsidR="008551D5">
        <w:rPr>
          <w:sz w:val="24"/>
          <w:szCs w:val="24"/>
        </w:rPr>
        <w:fldChar w:fldCharType="separate"/>
      </w:r>
      <w:r w:rsidR="00937425" w:rsidRPr="00937425">
        <w:rPr>
          <w:noProof/>
          <w:sz w:val="24"/>
          <w:szCs w:val="24"/>
          <w:vertAlign w:val="superscript"/>
        </w:rPr>
        <w:t>16</w:t>
      </w:r>
      <w:r w:rsidR="008551D5">
        <w:rPr>
          <w:sz w:val="24"/>
          <w:szCs w:val="24"/>
        </w:rPr>
        <w:fldChar w:fldCharType="end"/>
      </w:r>
      <w:r w:rsidR="008551D5">
        <w:rPr>
          <w:sz w:val="24"/>
          <w:szCs w:val="24"/>
        </w:rPr>
        <w:t xml:space="preserve"> </w:t>
      </w:r>
    </w:p>
    <w:p w14:paraId="6A5BFE70" w14:textId="15916B17" w:rsidR="000505DE" w:rsidRDefault="000505DE" w:rsidP="000505DE">
      <w:pPr>
        <w:spacing w:after="0"/>
        <w:jc w:val="both"/>
        <w:rPr>
          <w:sz w:val="24"/>
          <w:szCs w:val="24"/>
        </w:rPr>
      </w:pPr>
    </w:p>
    <w:p w14:paraId="06C61E16" w14:textId="797CE577" w:rsidR="007A6D6B" w:rsidRDefault="007A6D6B" w:rsidP="000505DE">
      <w:pPr>
        <w:spacing w:after="0"/>
        <w:jc w:val="both"/>
        <w:rPr>
          <w:sz w:val="24"/>
          <w:szCs w:val="24"/>
        </w:rPr>
      </w:pPr>
    </w:p>
    <w:p w14:paraId="477BFE44" w14:textId="77777777" w:rsidR="007A6D6B" w:rsidRDefault="007A6D6B" w:rsidP="000505DE">
      <w:pPr>
        <w:spacing w:after="0"/>
        <w:jc w:val="both"/>
        <w:rPr>
          <w:sz w:val="24"/>
          <w:szCs w:val="24"/>
        </w:rPr>
      </w:pPr>
    </w:p>
    <w:p w14:paraId="577C23BB" w14:textId="40748FC7" w:rsidR="008551D5" w:rsidRPr="002F5958" w:rsidRDefault="008551D5" w:rsidP="002F5958">
      <w:pPr>
        <w:rPr>
          <w:b/>
          <w:bCs/>
          <w:sz w:val="24"/>
          <w:szCs w:val="24"/>
          <w:lang w:val="en-US" w:bidi="ne-NP"/>
        </w:rPr>
      </w:pPr>
      <w:bookmarkStart w:id="1" w:name="_Toc89100893"/>
      <w:r w:rsidRPr="002F5958">
        <w:rPr>
          <w:b/>
          <w:bCs/>
          <w:sz w:val="24"/>
          <w:szCs w:val="24"/>
          <w:lang w:val="en-US" w:bidi="ne-NP"/>
        </w:rPr>
        <w:t xml:space="preserve">Figure </w:t>
      </w:r>
      <w:r w:rsidR="002F5958" w:rsidRPr="002F5958">
        <w:rPr>
          <w:b/>
          <w:bCs/>
          <w:sz w:val="24"/>
          <w:szCs w:val="24"/>
          <w:lang w:val="en-US" w:bidi="ne-NP"/>
        </w:rPr>
        <w:t>1</w:t>
      </w:r>
      <w:r w:rsidRPr="002F5958">
        <w:rPr>
          <w:b/>
          <w:bCs/>
          <w:sz w:val="24"/>
          <w:szCs w:val="24"/>
          <w:lang w:val="en-US" w:bidi="ne-NP"/>
        </w:rPr>
        <w:t>: Perceived barriers and facilitators to accessing</w:t>
      </w:r>
      <w:r w:rsidR="00E973C4">
        <w:rPr>
          <w:b/>
          <w:bCs/>
          <w:sz w:val="24"/>
          <w:szCs w:val="24"/>
          <w:lang w:val="en-US" w:bidi="ne-NP"/>
        </w:rPr>
        <w:t xml:space="preserve"> tuberculosis</w:t>
      </w:r>
      <w:r w:rsidRPr="002F5958">
        <w:rPr>
          <w:b/>
          <w:bCs/>
          <w:sz w:val="24"/>
          <w:szCs w:val="24"/>
          <w:lang w:val="en-US" w:bidi="ne-NP"/>
        </w:rPr>
        <w:t xml:space="preserve"> </w:t>
      </w:r>
      <w:r w:rsidR="00E973C4">
        <w:rPr>
          <w:b/>
          <w:bCs/>
          <w:sz w:val="24"/>
          <w:szCs w:val="24"/>
          <w:lang w:val="en-US" w:bidi="ne-NP"/>
        </w:rPr>
        <w:t>(</w:t>
      </w:r>
      <w:r w:rsidRPr="002F5958">
        <w:rPr>
          <w:b/>
          <w:bCs/>
          <w:sz w:val="24"/>
          <w:szCs w:val="24"/>
          <w:lang w:val="en-US" w:bidi="ne-NP"/>
        </w:rPr>
        <w:t>TB</w:t>
      </w:r>
      <w:r w:rsidR="00E973C4">
        <w:rPr>
          <w:b/>
          <w:bCs/>
          <w:sz w:val="24"/>
          <w:szCs w:val="24"/>
          <w:lang w:val="en-US" w:bidi="ne-NP"/>
        </w:rPr>
        <w:t>)</w:t>
      </w:r>
      <w:r w:rsidRPr="002F5958">
        <w:rPr>
          <w:b/>
          <w:bCs/>
          <w:sz w:val="24"/>
          <w:szCs w:val="24"/>
          <w:lang w:val="en-US" w:bidi="ne-NP"/>
        </w:rPr>
        <w:t xml:space="preserve"> services in Nepal</w:t>
      </w:r>
      <w:bookmarkEnd w:id="1"/>
    </w:p>
    <w:p w14:paraId="43A7C38E" w14:textId="77777777" w:rsidR="002F5958" w:rsidRPr="002F5958" w:rsidRDefault="002F5958" w:rsidP="002F5958">
      <w:pPr>
        <w:rPr>
          <w:lang w:val="en-US" w:bidi="ne-NP"/>
        </w:rPr>
      </w:pPr>
    </w:p>
    <w:p w14:paraId="019F0B3D" w14:textId="253C3E8C" w:rsidR="008551D5" w:rsidRPr="00E72E32" w:rsidRDefault="00BC4453" w:rsidP="008551D5">
      <w:pPr>
        <w:spacing w:after="200" w:line="276" w:lineRule="auto"/>
        <w:jc w:val="center"/>
        <w:rPr>
          <w:rFonts w:eastAsia="Calibri" w:cs="Arial"/>
          <w:b/>
          <w:bCs/>
          <w:sz w:val="24"/>
          <w:szCs w:val="24"/>
          <w:lang w:val="en-US" w:bidi="ne-NP"/>
        </w:rPr>
      </w:pPr>
      <w:r>
        <w:rPr>
          <w:rFonts w:eastAsia="Calibri" w:cs="Arial"/>
          <w:b/>
          <w:bCs/>
          <w:noProof/>
          <w:sz w:val="24"/>
          <w:szCs w:val="24"/>
          <w:lang w:val="en-US" w:bidi="ne-NP"/>
        </w:rPr>
        <w:drawing>
          <wp:inline distT="0" distB="0" distL="0" distR="0" wp14:anchorId="133846EC" wp14:editId="710578D7">
            <wp:extent cx="5200650" cy="5047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5047615"/>
                    </a:xfrm>
                    <a:prstGeom prst="rect">
                      <a:avLst/>
                    </a:prstGeom>
                    <a:noFill/>
                  </pic:spPr>
                </pic:pic>
              </a:graphicData>
            </a:graphic>
          </wp:inline>
        </w:drawing>
      </w:r>
    </w:p>
    <w:p w14:paraId="2DB74DB2" w14:textId="05F910F2" w:rsidR="00BC4453" w:rsidRDefault="008551D5" w:rsidP="00BC4453">
      <w:pPr>
        <w:spacing w:after="200" w:line="276" w:lineRule="auto"/>
        <w:jc w:val="both"/>
        <w:rPr>
          <w:rFonts w:eastAsia="Calibri" w:cs="Arial"/>
          <w:i/>
          <w:iCs/>
          <w:sz w:val="24"/>
          <w:szCs w:val="24"/>
          <w:lang w:bidi="ne-NP"/>
        </w:rPr>
      </w:pPr>
      <w:r w:rsidRPr="00E72E32">
        <w:rPr>
          <w:rFonts w:eastAsia="Calibri" w:cs="Arial"/>
          <w:i/>
          <w:iCs/>
          <w:sz w:val="24"/>
          <w:szCs w:val="24"/>
          <w:lang w:bidi="ne-NP"/>
        </w:rPr>
        <w:t>L</w:t>
      </w:r>
      <w:r w:rsidRPr="00BD2599">
        <w:rPr>
          <w:rFonts w:eastAsia="Calibri" w:cs="Arial"/>
          <w:i/>
          <w:iCs/>
          <w:sz w:val="24"/>
          <w:szCs w:val="24"/>
          <w:lang w:bidi="ne-NP"/>
        </w:rPr>
        <w:t>egend: The inner white circle contains the key categories that influence TB service access and engagement, which are adapted from a World Health Organization Medication Adherence Framework.</w:t>
      </w:r>
      <w:r w:rsidRPr="00E72E32">
        <w:rPr>
          <w:rFonts w:eastAsia="Calibri" w:cs="Arial"/>
          <w:i/>
          <w:iCs/>
          <w:sz w:val="24"/>
          <w:szCs w:val="24"/>
          <w:lang w:bidi="ne-NP"/>
        </w:rPr>
        <w:fldChar w:fldCharType="begin" w:fldLock="1"/>
      </w:r>
      <w:r w:rsidR="00461CAB">
        <w:rPr>
          <w:rFonts w:eastAsia="Calibri" w:cs="Arial"/>
          <w:i/>
          <w:iCs/>
          <w:sz w:val="24"/>
          <w:szCs w:val="24"/>
          <w:lang w:bidi="ne-NP"/>
        </w:rPr>
        <w:instrText>ADDIN CSL_CITATION {"citationItems":[{"id":"ITEM-1","itemData":{"DOI":"10.2471/blt.14.147231","ISSN":"0042-9686","abstract":"OBJECTIVE: To assess the design, delivery and outcomes of interventions to improve adherence to treatment for paediatric tuberculosis in low- and middle-income countries and develop a contextual framework for such interventions.\\n\\nMETHODS: We searched PubMed and Cochrane databases for reports published between 1 January 2003 and 1 December 2013 on interventions to improve adherence to treatment for tuberculosis that included patients younger than 20 years who lived in a low- or middle-income country. For potentially relevant articles that lacked paediatric outcomes, we contacted the authors of the studies. We assessed heterogeneity and risk of bias. To evaluate treatment success - i.e. the combination of treatment completion and cure - we performed random-effects meta-analysis. We identified areas of need for improved intervention practices.\\n\\nFINDINGS: We included 15 studies in 11 countries for the qualitative analysis and of these studies, 11 qualified for the meta-analysis - representing 1279 children. Of the interventions described in the 15 studies, two focused on education, one on psychosocial support, seven on care delivery, four on health systems and one on financial provisions. The children in intervention arms had higher rates of treatment success, compared with those in control groups (odds ratio: 3.02; 95% confidence interval: 2.19-4.15). Using the results of our analyses, we developed a framework around factors that promoted or threatened treatment completion.\\n\\nCONCLUSION: Various interventions to improve adherence to treatment for paediatric tuberculosis appear both feasible and effective in low- and middle-income countries.\\n\\nAbstract available from the publisher.\\n\\nAbstract available from the publisher.\\n\\nAbstract available from the publisher.\\n\\nAbstract available from the publisher.\\n\\nAbstract available from the publisher.","author":[{"dropping-particle":"","family":"Weaver","given":"Meaghann S","non-dropping-particle":"","parse-names":false,"suffix":""},{"dropping-particle":"","family":"Lönnroth","given":"Knut","non-dropping-particle":"","parse-names":false,"suffix":""},{"dropping-particle":"","family":"Howard","given":"Scott C","non-dropping-particle":"","parse-names":false,"suffix":""},{"dropping-particle":"","family":"Roter","given":"Debra L","non-dropping-particle":"","parse-names":false,"suffix":""},{"dropping-particle":"","family":"Lam","given":"Catherine G","non-dropping-particle":"","parse-names":false,"suffix":""}],"container-title":"Bulletin of the World Health Organization","id":"ITEM-1","issue":"10","issued":{"date-parts":[["2015"]]},"page":"700-711B","title":"Interventions to improve adherence to treatment for paediatric tuberculosis in low- and middle-income countries: a systematic review and meta-analysis","type":"article-journal","volume":"93"},"uris":["http://www.mendeley.com/documents/?uuid=f16ef1d1-5520-4b29-bab2-b5bdf0b14f15"]}],"mendeley":{"formattedCitation":"&lt;sup&gt;17&lt;/sup&gt;","plainTextFormattedCitation":"17","previouslyFormattedCitation":"&lt;sup&gt;17&lt;/sup&gt;"},"properties":{"noteIndex":0},"schema":"https://github.com/citation-style-language/schema/raw/master/csl-citation.json"}</w:instrText>
      </w:r>
      <w:r w:rsidRPr="00E72E32">
        <w:rPr>
          <w:rFonts w:eastAsia="Calibri" w:cs="Arial"/>
          <w:i/>
          <w:iCs/>
          <w:sz w:val="24"/>
          <w:szCs w:val="24"/>
          <w:lang w:bidi="ne-NP"/>
        </w:rPr>
        <w:fldChar w:fldCharType="separate"/>
      </w:r>
      <w:r w:rsidR="00937425" w:rsidRPr="00937425">
        <w:rPr>
          <w:rFonts w:eastAsia="Calibri" w:cs="Arial"/>
          <w:iCs/>
          <w:noProof/>
          <w:sz w:val="24"/>
          <w:szCs w:val="24"/>
          <w:vertAlign w:val="superscript"/>
          <w:lang w:bidi="ne-NP"/>
        </w:rPr>
        <w:t>17</w:t>
      </w:r>
      <w:r w:rsidRPr="00E72E32">
        <w:rPr>
          <w:rFonts w:eastAsia="Calibri" w:cs="Arial"/>
          <w:i/>
          <w:iCs/>
          <w:sz w:val="24"/>
          <w:szCs w:val="24"/>
          <w:lang w:bidi="ne-NP"/>
        </w:rPr>
        <w:fldChar w:fldCharType="end"/>
      </w:r>
      <w:r w:rsidRPr="00BD2599">
        <w:rPr>
          <w:rFonts w:eastAsia="Calibri" w:cs="Arial"/>
          <w:i/>
          <w:iCs/>
          <w:sz w:val="24"/>
          <w:szCs w:val="24"/>
          <w:lang w:bidi="ne-NP"/>
        </w:rPr>
        <w:t xml:space="preserve"> The middle red circle indicates the main barriers identified for each category, which may threaten access to TB services. The outer green circle indicates the main facilitators (current or potential) for each category, which may enhance access to TB services. Barriers </w:t>
      </w:r>
      <w:r w:rsidRPr="00BD2599">
        <w:rPr>
          <w:rFonts w:eastAsia="Calibri" w:cs="Arial"/>
          <w:i/>
          <w:iCs/>
          <w:sz w:val="24"/>
          <w:szCs w:val="24"/>
          <w:lang w:bidi="ne-NP"/>
        </w:rPr>
        <w:lastRenderedPageBreak/>
        <w:t>relating to “TB, health, and basic education”, “Social protection and nutrition”, and “Psychosocial” were perceived by the project team to be modifiable by a household level socioeconomic intervention. Barriers relating to the “Health System” were perceived by the project team to be non-modifiable by a household</w:t>
      </w:r>
      <w:r w:rsidRPr="00E72E32">
        <w:rPr>
          <w:rFonts w:eastAsia="Calibri" w:cs="Arial"/>
          <w:i/>
          <w:iCs/>
          <w:sz w:val="24"/>
          <w:szCs w:val="24"/>
          <w:lang w:bidi="ne-NP"/>
        </w:rPr>
        <w:t xml:space="preserve"> </w:t>
      </w:r>
      <w:r w:rsidRPr="00BD2599">
        <w:rPr>
          <w:rFonts w:eastAsia="Calibri" w:cs="Arial"/>
          <w:i/>
          <w:iCs/>
          <w:sz w:val="24"/>
          <w:szCs w:val="24"/>
          <w:lang w:bidi="ne-NP"/>
        </w:rPr>
        <w:t xml:space="preserve">level socioeconomic intervention and are, therefore, separated from the other categories and represented by dotted lines. “PPM” </w:t>
      </w:r>
      <w:r w:rsidR="00E424CC">
        <w:rPr>
          <w:rFonts w:eastAsia="Calibri" w:cs="Arial"/>
          <w:i/>
          <w:iCs/>
          <w:sz w:val="24"/>
          <w:szCs w:val="24"/>
          <w:lang w:bidi="ne-NP"/>
        </w:rPr>
        <w:t xml:space="preserve">is “Public Private Mix” and, </w:t>
      </w:r>
      <w:r w:rsidRPr="00BD2599">
        <w:rPr>
          <w:rFonts w:eastAsia="Calibri" w:cs="Arial"/>
          <w:i/>
          <w:iCs/>
          <w:sz w:val="24"/>
          <w:szCs w:val="24"/>
          <w:lang w:bidi="ne-NP"/>
        </w:rPr>
        <w:t>as a health system barrier</w:t>
      </w:r>
      <w:r w:rsidR="00E424CC">
        <w:rPr>
          <w:rFonts w:eastAsia="Calibri" w:cs="Arial"/>
          <w:i/>
          <w:iCs/>
          <w:sz w:val="24"/>
          <w:szCs w:val="24"/>
          <w:lang w:bidi="ne-NP"/>
        </w:rPr>
        <w:t>,</w:t>
      </w:r>
      <w:r w:rsidRPr="00BD2599">
        <w:rPr>
          <w:rFonts w:eastAsia="Calibri" w:cs="Arial"/>
          <w:i/>
          <w:iCs/>
          <w:sz w:val="24"/>
          <w:szCs w:val="24"/>
          <w:lang w:bidi="ne-NP"/>
        </w:rPr>
        <w:t xml:space="preserve"> refers to the protracted and convoluted patient journey through public and private healthcare providers, which was reported as being associated with increased economic impact, especially related to out-of-pocket costs.</w:t>
      </w:r>
      <w:r w:rsidR="00BC4453">
        <w:rPr>
          <w:rFonts w:eastAsia="Calibri" w:cs="Arial"/>
          <w:i/>
          <w:iCs/>
          <w:sz w:val="24"/>
          <w:szCs w:val="24"/>
          <w:lang w:bidi="ne-NP"/>
        </w:rPr>
        <w:t xml:space="preserve"> </w:t>
      </w:r>
      <w:r w:rsidR="00A474C5">
        <w:rPr>
          <w:rFonts w:eastAsia="Calibri" w:cs="Arial"/>
          <w:i/>
          <w:iCs/>
          <w:sz w:val="24"/>
          <w:szCs w:val="24"/>
          <w:lang w:bidi="ne-NP"/>
        </w:rPr>
        <w:t xml:space="preserve">The surrounding </w:t>
      </w:r>
      <w:r w:rsidR="002A53C5" w:rsidRPr="00A474C5">
        <w:rPr>
          <w:rFonts w:eastAsia="Calibri" w:cs="Arial"/>
          <w:i/>
          <w:iCs/>
          <w:sz w:val="24"/>
          <w:szCs w:val="24"/>
          <w:lang w:bidi="ne-NP"/>
        </w:rPr>
        <w:t>KII</w:t>
      </w:r>
      <w:r w:rsidR="00A474C5">
        <w:rPr>
          <w:rFonts w:eastAsia="Calibri" w:cs="Arial"/>
          <w:i/>
          <w:iCs/>
          <w:sz w:val="24"/>
          <w:szCs w:val="24"/>
          <w:lang w:bidi="ne-NP"/>
        </w:rPr>
        <w:t xml:space="preserve"> s</w:t>
      </w:r>
      <w:r w:rsidR="00BC4453" w:rsidRPr="00A474C5">
        <w:rPr>
          <w:rFonts w:eastAsia="Calibri" w:cs="Arial"/>
          <w:i/>
          <w:iCs/>
          <w:sz w:val="24"/>
          <w:szCs w:val="24"/>
          <w:lang w:bidi="ne-NP"/>
        </w:rPr>
        <w:t>ectional</w:t>
      </w:r>
      <w:r w:rsidR="00BC4453" w:rsidRPr="00E26273">
        <w:rPr>
          <w:rFonts w:eastAsia="Calibri" w:cs="Arial"/>
          <w:i/>
          <w:iCs/>
          <w:sz w:val="24"/>
          <w:szCs w:val="24"/>
          <w:lang w:bidi="ne-NP"/>
        </w:rPr>
        <w:t xml:space="preserve"> arrows indicate the cross-FGD finding that adequate funding and advocacy, and political will and commitment were perceiv</w:t>
      </w:r>
      <w:r w:rsidR="00BC4453">
        <w:rPr>
          <w:rFonts w:eastAsia="Calibri" w:cs="Arial"/>
          <w:i/>
          <w:iCs/>
          <w:sz w:val="24"/>
          <w:szCs w:val="24"/>
          <w:lang w:bidi="ne-NP"/>
        </w:rPr>
        <w:t>e</w:t>
      </w:r>
      <w:r w:rsidR="00BC4453" w:rsidRPr="00E26273">
        <w:rPr>
          <w:rFonts w:eastAsia="Calibri" w:cs="Arial"/>
          <w:i/>
          <w:iCs/>
          <w:sz w:val="24"/>
          <w:szCs w:val="24"/>
          <w:lang w:bidi="ne-NP"/>
        </w:rPr>
        <w:t>d as vital structural factors to enable the facilitators identified to overcome the barriers identified.</w:t>
      </w:r>
      <w:r w:rsidR="00046D82">
        <w:rPr>
          <w:rFonts w:eastAsia="Calibri" w:cs="Arial"/>
          <w:i/>
          <w:iCs/>
          <w:sz w:val="24"/>
          <w:szCs w:val="24"/>
          <w:lang w:bidi="ne-NP"/>
        </w:rPr>
        <w:t xml:space="preserve"> Note: This figure and legend are reproduced </w:t>
      </w:r>
      <w:r w:rsidR="00DE199B">
        <w:rPr>
          <w:rFonts w:eastAsia="Calibri" w:cs="Arial"/>
          <w:i/>
          <w:iCs/>
          <w:sz w:val="24"/>
          <w:szCs w:val="24"/>
          <w:lang w:bidi="ne-NP"/>
        </w:rPr>
        <w:t xml:space="preserve">with permission </w:t>
      </w:r>
      <w:r w:rsidR="00046D82">
        <w:rPr>
          <w:rFonts w:eastAsia="Calibri" w:cs="Arial"/>
          <w:i/>
          <w:iCs/>
          <w:sz w:val="24"/>
          <w:szCs w:val="24"/>
          <w:lang w:bidi="ne-NP"/>
        </w:rPr>
        <w:t xml:space="preserve">from </w:t>
      </w:r>
      <w:r w:rsidR="00DE199B">
        <w:rPr>
          <w:rFonts w:eastAsia="Calibri" w:cs="Arial"/>
          <w:i/>
          <w:iCs/>
          <w:sz w:val="24"/>
          <w:szCs w:val="24"/>
          <w:lang w:bidi="ne-NP"/>
        </w:rPr>
        <w:t xml:space="preserve">a paper by </w:t>
      </w:r>
      <w:r w:rsidR="00046D82">
        <w:rPr>
          <w:rFonts w:eastAsia="Calibri" w:cs="Arial"/>
          <w:i/>
          <w:iCs/>
          <w:sz w:val="24"/>
          <w:szCs w:val="24"/>
          <w:lang w:bidi="ne-NP"/>
        </w:rPr>
        <w:t>Dixit et al</w:t>
      </w:r>
      <w:r w:rsidR="00B6578B">
        <w:rPr>
          <w:rFonts w:eastAsia="Calibri" w:cs="Arial"/>
          <w:i/>
          <w:iCs/>
          <w:sz w:val="24"/>
          <w:szCs w:val="24"/>
          <w:lang w:bidi="ne-NP"/>
        </w:rPr>
        <w:t xml:space="preserve"> </w:t>
      </w:r>
      <w:r w:rsidR="00DE199B">
        <w:rPr>
          <w:rFonts w:eastAsia="Calibri" w:cs="Arial"/>
          <w:i/>
          <w:iCs/>
          <w:sz w:val="24"/>
          <w:szCs w:val="24"/>
          <w:lang w:bidi="ne-NP"/>
        </w:rPr>
        <w:t>published in</w:t>
      </w:r>
      <w:r w:rsidR="00B6578B">
        <w:rPr>
          <w:rFonts w:eastAsia="Calibri" w:cs="Arial"/>
          <w:i/>
          <w:iCs/>
          <w:sz w:val="24"/>
          <w:szCs w:val="24"/>
          <w:lang w:bidi="ne-NP"/>
        </w:rPr>
        <w:t xml:space="preserve"> BMJ Open under a CC BY public copyright license.</w:t>
      </w:r>
      <w:r w:rsidR="00DE199B">
        <w:rPr>
          <w:rFonts w:eastAsia="Calibri" w:cs="Arial"/>
          <w:i/>
          <w:iCs/>
          <w:sz w:val="24"/>
          <w:szCs w:val="24"/>
          <w:lang w:bidi="ne-NP"/>
        </w:rPr>
        <w:fldChar w:fldCharType="begin" w:fldLock="1"/>
      </w:r>
      <w:r w:rsidR="000855E1">
        <w:rPr>
          <w:rFonts w:eastAsia="Calibri" w:cs="Arial"/>
          <w:i/>
          <w:iCs/>
          <w:sz w:val="24"/>
          <w:szCs w:val="24"/>
          <w:lang w:bidi="ne-NP"/>
        </w:rPr>
        <w:instrText>ADDIN CSL_CITATION {"citationItems":[{"id":"ITEM-1","itemData":{"DOI":"10.1136/BMJOPEN-2021-049900","ISSN":"2044-6055","PMID":"34598986","abstract":"Objective Psychosocial and economic (socioeconomic) barriers, including poverty, stigma and catastrophic costs, impede access to tuberculosis (TB) services in low-income countries. We aimed to characterise the socioeconomic barriers and facilitators of accessing TB services in Nepal to inform the design of a locally appropriate socioeconomic support intervention for TB-affected households.\n\nDesign From August 2018 to July 2019, we conducted an exploratory qualitative study consisting of semistructured focus group discussions (FGDs) with purposively selected multisectoral stakeholders. The data were managed in NVivo V.12, coded by consensus and analysed thematically.\n\nSetting The study was conducted in four districts, Makwanpur, Chitwan, Dhanusha and Mahottari, which have a high prevalence of poverty and TB.\n\nParticipants Seven FGDs were conducted with 54 in-country stakeholders, grouped by stakeholders, including people with TB (n=21), community stakeholders (n=13) and multidisciplinary TB healthcare professionals (n=20) from the National TB Programme.\n\nResults The perceived socioeconomic barriers to accessing TB services were: inadequate TB knowledge and advocacy; high food and transportation costs; income loss and stigma. The perceived facilitators to accessing TB care and services were: enhanced championing and awareness-raising about TB and TB services; social protection including health insurance; cash, vouchers and/or nutritional allowance to cover food and travel costs; and psychosocial support and counselling integrated with existing adherence counselling from the National TB Programme.\n\nConclusion These results suggest that support interventions that integrate TB education, psychosocial counselling and expand on existing cash transfer schemes would be locally appropriate and could address the socioeconomic barriers to accessing and engaging with TB services faced by TB-affected households in Nepal. The findings have been used to inform the design of a socioeconomic support intervention for TB-affected households. The acceptability, feasibility and impact of this intervention on TB-related costs, stigma and TB treatment outcomes, is now being evaluated in a pilot implementation study in Nepal.\n\nAll data relevant to the study are included in the article or uploaded as online supplemental information.","author":[{"dropping-particle":"","family":"Dixit","given":"Kritika","non-dropping-particle":"","parse-names":false,"suffix":""},{"dropping-particle":"","family":"Biermann","given":"Olivia","non-dropping-particle":"","parse-names":false,"suffix":""},{"dropping-particle":"","family":"Rai","given":"Bhol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Raj","non-dropping-particle":"","parse-names":false,"suffix":""},{"dropping-particle":"","family":"Pandit","given":"Ram Narayan","non-dropping-particle":"","parse-names":false,"suffix":""},{"dropping-particle":"","family":"Sah","given":"Manoj Kumar","non-dropping-particle":"","parse-names":false,"suffix":""},{"dropping-particle":"","family":"Majhi","given":"Govinda","non-dropping-particle":"","parse-names":false,"suffix":""},{"dropping-particle":"","family":"Levy","given":"Jens","non-dropping-particle":"","parse-names":false,"suffix":""},{"dropping-particle":"Van","family":"Rest","given":"Job","non-dropping-particle":"","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Sidney","given":"Kristi","non-dropping-particle":"","parse-names":false,"suffix":""},{"dropping-particle":"","family":"Wingfield","given":"Tom","non-dropping-particle":"","parse-names":false,"suffix":""}],"container-title":"BMJ Open","id":"ITEM-1","issue":"10","issued":{"date-parts":[["2021","10","1"]]},"page":"e049900","publisher":"British Medical Journal Publishing Group","title":"Barriers and facilitators to accessing tuberculosis care in Nepal: a qualitative study to inform the design of a socioeconomic support intervention","type":"article-journal","volume":"11"},"uris":["http://www.mendeley.com/documents/?uuid=f9da80db-25f2-388a-9cfb-ec7d738f34bb"]}],"mendeley":{"formattedCitation":"&lt;sup&gt;18&lt;/sup&gt;","plainTextFormattedCitation":"18","previouslyFormattedCitation":"&lt;sup&gt;18&lt;/sup&gt;"},"properties":{"noteIndex":0},"schema":"https://github.com/citation-style-language/schema/raw/master/csl-citation.json"}</w:instrText>
      </w:r>
      <w:r w:rsidR="00DE199B">
        <w:rPr>
          <w:rFonts w:eastAsia="Calibri" w:cs="Arial"/>
          <w:i/>
          <w:iCs/>
          <w:sz w:val="24"/>
          <w:szCs w:val="24"/>
          <w:lang w:bidi="ne-NP"/>
        </w:rPr>
        <w:fldChar w:fldCharType="separate"/>
      </w:r>
      <w:r w:rsidR="00DE199B" w:rsidRPr="00DE199B">
        <w:rPr>
          <w:rFonts w:eastAsia="Calibri" w:cs="Arial"/>
          <w:iCs/>
          <w:noProof/>
          <w:sz w:val="24"/>
          <w:szCs w:val="24"/>
          <w:vertAlign w:val="superscript"/>
          <w:lang w:bidi="ne-NP"/>
        </w:rPr>
        <w:t>18</w:t>
      </w:r>
      <w:r w:rsidR="00DE199B">
        <w:rPr>
          <w:rFonts w:eastAsia="Calibri" w:cs="Arial"/>
          <w:i/>
          <w:iCs/>
          <w:sz w:val="24"/>
          <w:szCs w:val="24"/>
          <w:lang w:bidi="ne-NP"/>
        </w:rPr>
        <w:fldChar w:fldCharType="end"/>
      </w:r>
      <w:r w:rsidR="00DE199B">
        <w:rPr>
          <w:rFonts w:eastAsia="Calibri" w:cs="Arial"/>
          <w:i/>
          <w:iCs/>
          <w:sz w:val="24"/>
          <w:szCs w:val="24"/>
          <w:lang w:bidi="ne-NP"/>
        </w:rPr>
        <w:t xml:space="preserve"> Abbreviations: </w:t>
      </w:r>
      <w:r w:rsidR="005E0F9F">
        <w:rPr>
          <w:rFonts w:eastAsia="Calibri" w:cs="Arial"/>
          <w:i/>
          <w:iCs/>
          <w:sz w:val="24"/>
          <w:szCs w:val="24"/>
          <w:lang w:bidi="ne-NP"/>
        </w:rPr>
        <w:t>DS-TB = drug-sensitive TB; NTP = National TB Program</w:t>
      </w:r>
      <w:r w:rsidR="005E0F9F">
        <w:rPr>
          <w:rFonts w:eastAsia="Calibri" w:cs="Arial"/>
          <w:i/>
          <w:iCs/>
          <w:sz w:val="24"/>
          <w:szCs w:val="24"/>
          <w:lang w:bidi="ne-NP"/>
        </w:rPr>
        <w:t xml:space="preserve">; and </w:t>
      </w:r>
      <w:r w:rsidR="00026107">
        <w:rPr>
          <w:rFonts w:eastAsia="Calibri" w:cs="Arial"/>
          <w:i/>
          <w:iCs/>
          <w:sz w:val="24"/>
          <w:szCs w:val="24"/>
          <w:lang w:bidi="ne-NP"/>
        </w:rPr>
        <w:t>TB = tuberculosis.</w:t>
      </w:r>
    </w:p>
    <w:p w14:paraId="2DC8320F" w14:textId="77777777" w:rsidR="002F5958" w:rsidRDefault="002F5958" w:rsidP="002F5958">
      <w:pPr>
        <w:rPr>
          <w:b/>
          <w:bCs/>
          <w:sz w:val="24"/>
          <w:szCs w:val="24"/>
          <w:lang w:val="en-US" w:bidi="ne-NP"/>
        </w:rPr>
      </w:pPr>
      <w:bookmarkStart w:id="2" w:name="_Toc89100894"/>
    </w:p>
    <w:p w14:paraId="14EDD1FE" w14:textId="3BD0AC55" w:rsidR="008551D5" w:rsidRPr="002F5958" w:rsidRDefault="008551D5" w:rsidP="002F5958">
      <w:pPr>
        <w:rPr>
          <w:b/>
          <w:bCs/>
          <w:sz w:val="24"/>
          <w:szCs w:val="24"/>
          <w:lang w:val="en-US" w:bidi="ne-NP"/>
        </w:rPr>
      </w:pPr>
      <w:r w:rsidRPr="002F5958">
        <w:rPr>
          <w:b/>
          <w:bCs/>
          <w:sz w:val="24"/>
          <w:szCs w:val="24"/>
          <w:lang w:val="en-US" w:bidi="ne-NP"/>
        </w:rPr>
        <w:t xml:space="preserve">Figure </w:t>
      </w:r>
      <w:r w:rsidR="002F5958" w:rsidRPr="002F5958">
        <w:rPr>
          <w:b/>
          <w:bCs/>
          <w:sz w:val="24"/>
          <w:szCs w:val="24"/>
          <w:lang w:val="en-US" w:bidi="ne-NP"/>
        </w:rPr>
        <w:t>2</w:t>
      </w:r>
      <w:r w:rsidRPr="002F5958">
        <w:rPr>
          <w:b/>
          <w:bCs/>
          <w:sz w:val="24"/>
          <w:szCs w:val="24"/>
          <w:lang w:val="en-US" w:bidi="ne-NP"/>
        </w:rPr>
        <w:t xml:space="preserve">: Facilitators along the </w:t>
      </w:r>
      <w:r w:rsidR="00E973C4">
        <w:rPr>
          <w:b/>
          <w:bCs/>
          <w:sz w:val="24"/>
          <w:szCs w:val="24"/>
          <w:lang w:val="en-US" w:bidi="ne-NP"/>
        </w:rPr>
        <w:t>tuberculosis (</w:t>
      </w:r>
      <w:r w:rsidR="002F5958" w:rsidRPr="002F5958">
        <w:rPr>
          <w:b/>
          <w:bCs/>
          <w:sz w:val="24"/>
          <w:szCs w:val="24"/>
          <w:lang w:val="en-US" w:bidi="ne-NP"/>
        </w:rPr>
        <w:t>TB</w:t>
      </w:r>
      <w:r w:rsidR="00E973C4">
        <w:rPr>
          <w:b/>
          <w:bCs/>
          <w:sz w:val="24"/>
          <w:szCs w:val="24"/>
          <w:lang w:val="en-US" w:bidi="ne-NP"/>
        </w:rPr>
        <w:t>)</w:t>
      </w:r>
      <w:r w:rsidR="002F5958" w:rsidRPr="002F5958">
        <w:rPr>
          <w:b/>
          <w:bCs/>
          <w:sz w:val="24"/>
          <w:szCs w:val="24"/>
          <w:lang w:val="en-US" w:bidi="ne-NP"/>
        </w:rPr>
        <w:t xml:space="preserve"> </w:t>
      </w:r>
      <w:r w:rsidRPr="002F5958">
        <w:rPr>
          <w:b/>
          <w:bCs/>
          <w:sz w:val="24"/>
          <w:szCs w:val="24"/>
          <w:lang w:val="en-US" w:bidi="ne-NP"/>
        </w:rPr>
        <w:t>patient pathway</w:t>
      </w:r>
      <w:bookmarkEnd w:id="2"/>
    </w:p>
    <w:p w14:paraId="458B6E0E" w14:textId="77777777" w:rsidR="008551D5" w:rsidRPr="008551D5" w:rsidRDefault="008551D5" w:rsidP="008551D5">
      <w:pPr>
        <w:rPr>
          <w:lang w:val="en-US" w:bidi="ne-NP"/>
        </w:rPr>
      </w:pPr>
    </w:p>
    <w:p w14:paraId="5A3D54AB" w14:textId="3E9659A8" w:rsidR="008551D5" w:rsidRPr="008551D5" w:rsidRDefault="008551D5" w:rsidP="008551D5">
      <w:pPr>
        <w:rPr>
          <w:lang w:val="en-US" w:bidi="ne-NP"/>
        </w:rPr>
      </w:pPr>
      <w:r>
        <w:rPr>
          <w:noProof/>
          <w:lang w:val="en-US" w:bidi="ne-NP"/>
        </w:rPr>
        <w:drawing>
          <wp:inline distT="0" distB="0" distL="0" distR="0" wp14:anchorId="51B15503" wp14:editId="29297A7B">
            <wp:extent cx="5743575" cy="30117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8" r="14905" b="6899"/>
                    <a:stretch/>
                  </pic:blipFill>
                  <pic:spPr bwMode="auto">
                    <a:xfrm>
                      <a:off x="0" y="0"/>
                      <a:ext cx="5757894" cy="3019265"/>
                    </a:xfrm>
                    <a:prstGeom prst="rect">
                      <a:avLst/>
                    </a:prstGeom>
                    <a:noFill/>
                    <a:ln>
                      <a:noFill/>
                    </a:ln>
                    <a:extLst>
                      <a:ext uri="{53640926-AAD7-44D8-BBD7-CCE9431645EC}">
                        <a14:shadowObscured xmlns:a14="http://schemas.microsoft.com/office/drawing/2010/main"/>
                      </a:ext>
                    </a:extLst>
                  </pic:spPr>
                </pic:pic>
              </a:graphicData>
            </a:graphic>
          </wp:inline>
        </w:drawing>
      </w:r>
    </w:p>
    <w:p w14:paraId="79FB7562" w14:textId="60FB5159" w:rsidR="008551D5" w:rsidRPr="005B6BC9" w:rsidRDefault="008551D5" w:rsidP="00BD2599">
      <w:pPr>
        <w:spacing w:before="240"/>
        <w:jc w:val="both"/>
        <w:rPr>
          <w:i/>
          <w:iCs/>
          <w:sz w:val="24"/>
          <w:szCs w:val="24"/>
        </w:rPr>
      </w:pPr>
      <w:r>
        <w:rPr>
          <w:i/>
          <w:iCs/>
          <w:sz w:val="24"/>
          <w:szCs w:val="24"/>
        </w:rPr>
        <w:t xml:space="preserve">Legend: The figure shows the facilitators identified to support people with TB throughout their patient journey (central arrows in bold) to get diagnosed promptly, engage with care, and become cured, and their households to avoid catastrophic costs. The upper section shows facilitators that are achieved at household and community level and so could potentially be included in design of a household-level support intervention for TB-affected households </w:t>
      </w:r>
      <w:r w:rsidR="00B6578B">
        <w:rPr>
          <w:i/>
          <w:iCs/>
          <w:sz w:val="24"/>
          <w:szCs w:val="24"/>
        </w:rPr>
        <w:t>for trial evaluation</w:t>
      </w:r>
      <w:r>
        <w:rPr>
          <w:i/>
          <w:iCs/>
          <w:sz w:val="24"/>
          <w:szCs w:val="24"/>
        </w:rPr>
        <w:t xml:space="preserve">. The lower section shows facilitators that are achieved at the health system level and would not be included in design of a </w:t>
      </w:r>
      <w:r w:rsidR="007B3AE8">
        <w:rPr>
          <w:i/>
          <w:iCs/>
          <w:sz w:val="24"/>
          <w:szCs w:val="24"/>
        </w:rPr>
        <w:t xml:space="preserve">TB-affected </w:t>
      </w:r>
      <w:r>
        <w:rPr>
          <w:i/>
          <w:iCs/>
          <w:sz w:val="24"/>
          <w:szCs w:val="24"/>
        </w:rPr>
        <w:t xml:space="preserve">household-level support intervention. The two headed arrows in upper and lower section show the specific facilitators </w:t>
      </w:r>
      <w:r>
        <w:rPr>
          <w:i/>
          <w:iCs/>
          <w:sz w:val="24"/>
          <w:szCs w:val="24"/>
        </w:rPr>
        <w:lastRenderedPageBreak/>
        <w:t xml:space="preserve">identified and </w:t>
      </w:r>
      <w:r w:rsidR="006018C2">
        <w:rPr>
          <w:i/>
          <w:iCs/>
          <w:sz w:val="24"/>
          <w:szCs w:val="24"/>
        </w:rPr>
        <w:t>the length of the arrow indicates which stages along the patient pathway the intervention could influence or modify.</w:t>
      </w:r>
      <w:r w:rsidR="00B6578B">
        <w:rPr>
          <w:i/>
          <w:iCs/>
          <w:sz w:val="24"/>
          <w:szCs w:val="24"/>
        </w:rPr>
        <w:t xml:space="preserve"> </w:t>
      </w:r>
      <w:r w:rsidR="005B6BC9">
        <w:rPr>
          <w:i/>
          <w:iCs/>
          <w:sz w:val="24"/>
          <w:szCs w:val="24"/>
        </w:rPr>
        <w:t>Figure and legend reproduced with permission from Dixit et al</w:t>
      </w:r>
      <w:r w:rsidR="005B6BC9">
        <w:rPr>
          <w:i/>
          <w:iCs/>
          <w:sz w:val="24"/>
          <w:szCs w:val="24"/>
          <w:vertAlign w:val="superscript"/>
        </w:rPr>
        <w:t xml:space="preserve">14 </w:t>
      </w:r>
      <w:r w:rsidR="005B6BC9">
        <w:rPr>
          <w:i/>
          <w:iCs/>
          <w:sz w:val="24"/>
          <w:szCs w:val="24"/>
        </w:rPr>
        <w:t>poster presentation PS-33-C8 at the 50</w:t>
      </w:r>
      <w:r w:rsidR="005B6BC9" w:rsidRPr="005B6BC9">
        <w:rPr>
          <w:i/>
          <w:iCs/>
          <w:sz w:val="24"/>
          <w:szCs w:val="24"/>
          <w:vertAlign w:val="superscript"/>
        </w:rPr>
        <w:t>th</w:t>
      </w:r>
      <w:r w:rsidR="005B6BC9">
        <w:rPr>
          <w:i/>
          <w:iCs/>
          <w:sz w:val="24"/>
          <w:szCs w:val="24"/>
        </w:rPr>
        <w:t xml:space="preserve"> Union World Conference on Lung Health International Union Against Tuberculosis and Lung Diseases Annual General Meeting in Hyderabad, India.</w:t>
      </w:r>
    </w:p>
    <w:p w14:paraId="4B8C108A" w14:textId="0BEDF28B" w:rsidR="004B14EF" w:rsidRDefault="004B14EF">
      <w:pPr>
        <w:rPr>
          <w:sz w:val="24"/>
          <w:szCs w:val="24"/>
        </w:rPr>
      </w:pPr>
    </w:p>
    <w:p w14:paraId="6B07BD43" w14:textId="319F6182" w:rsidR="006018C2" w:rsidRDefault="006018C2" w:rsidP="000A17ED">
      <w:pPr>
        <w:spacing w:before="240"/>
        <w:jc w:val="both"/>
        <w:rPr>
          <w:sz w:val="24"/>
          <w:szCs w:val="24"/>
        </w:rPr>
      </w:pPr>
      <w:r>
        <w:rPr>
          <w:sz w:val="24"/>
          <w:szCs w:val="24"/>
        </w:rPr>
        <w:t xml:space="preserve">The culmination of the </w:t>
      </w:r>
      <w:proofErr w:type="spellStart"/>
      <w:r w:rsidR="00E05D78">
        <w:rPr>
          <w:sz w:val="24"/>
          <w:szCs w:val="24"/>
        </w:rPr>
        <w:t>Wellcome</w:t>
      </w:r>
      <w:proofErr w:type="spellEnd"/>
      <w:r w:rsidR="00E05D78">
        <w:rPr>
          <w:sz w:val="24"/>
          <w:szCs w:val="24"/>
        </w:rPr>
        <w:t xml:space="preserve"> Seed Award </w:t>
      </w:r>
      <w:r>
        <w:rPr>
          <w:sz w:val="24"/>
          <w:szCs w:val="24"/>
        </w:rPr>
        <w:t>research was a multisectoral participatory workshop</w:t>
      </w:r>
      <w:r w:rsidR="007B3AE8">
        <w:rPr>
          <w:sz w:val="24"/>
          <w:szCs w:val="24"/>
        </w:rPr>
        <w:t xml:space="preserve">. </w:t>
      </w:r>
      <w:r w:rsidR="00026107">
        <w:rPr>
          <w:sz w:val="24"/>
          <w:szCs w:val="24"/>
        </w:rPr>
        <w:t>During the</w:t>
      </w:r>
      <w:r w:rsidR="007B3AE8">
        <w:rPr>
          <w:sz w:val="24"/>
          <w:szCs w:val="24"/>
        </w:rPr>
        <w:t xml:space="preserve"> workshop</w:t>
      </w:r>
      <w:r w:rsidR="00026107">
        <w:rPr>
          <w:sz w:val="24"/>
          <w:szCs w:val="24"/>
        </w:rPr>
        <w:t>,</w:t>
      </w:r>
      <w:r w:rsidR="007B3AE8">
        <w:rPr>
          <w:sz w:val="24"/>
          <w:szCs w:val="24"/>
        </w:rPr>
        <w:t xml:space="preserve"> </w:t>
      </w:r>
      <w:r w:rsidR="0022711C">
        <w:rPr>
          <w:sz w:val="24"/>
          <w:szCs w:val="24"/>
        </w:rPr>
        <w:t xml:space="preserve">participants </w:t>
      </w:r>
      <w:r w:rsidR="007B3AE8">
        <w:rPr>
          <w:sz w:val="24"/>
          <w:szCs w:val="24"/>
        </w:rPr>
        <w:t xml:space="preserve">created </w:t>
      </w:r>
      <w:r w:rsidR="0022711C">
        <w:rPr>
          <w:sz w:val="24"/>
          <w:szCs w:val="24"/>
        </w:rPr>
        <w:t xml:space="preserve">and voted on </w:t>
      </w:r>
      <w:r>
        <w:rPr>
          <w:sz w:val="24"/>
          <w:szCs w:val="24"/>
        </w:rPr>
        <w:t xml:space="preserve">a list of socioeconomic </w:t>
      </w:r>
      <w:r w:rsidR="0022711C">
        <w:rPr>
          <w:sz w:val="24"/>
          <w:szCs w:val="24"/>
        </w:rPr>
        <w:t xml:space="preserve">support </w:t>
      </w:r>
      <w:r>
        <w:rPr>
          <w:sz w:val="24"/>
          <w:szCs w:val="24"/>
        </w:rPr>
        <w:t xml:space="preserve">interventions </w:t>
      </w:r>
      <w:r w:rsidR="0022711C">
        <w:rPr>
          <w:sz w:val="24"/>
          <w:szCs w:val="24"/>
        </w:rPr>
        <w:t>for households affected by TB</w:t>
      </w:r>
      <w:r>
        <w:rPr>
          <w:sz w:val="24"/>
          <w:szCs w:val="24"/>
        </w:rPr>
        <w:t xml:space="preserve"> in Nepal </w:t>
      </w:r>
      <w:r w:rsidR="0022711C">
        <w:rPr>
          <w:sz w:val="24"/>
          <w:szCs w:val="24"/>
        </w:rPr>
        <w:t xml:space="preserve">that were perceived as suitable for further </w:t>
      </w:r>
      <w:r>
        <w:rPr>
          <w:sz w:val="24"/>
          <w:szCs w:val="24"/>
        </w:rPr>
        <w:t>trial</w:t>
      </w:r>
      <w:r w:rsidR="0022711C">
        <w:rPr>
          <w:sz w:val="24"/>
          <w:szCs w:val="24"/>
        </w:rPr>
        <w:t xml:space="preserve"> evaluation</w:t>
      </w:r>
      <w:r>
        <w:rPr>
          <w:sz w:val="24"/>
          <w:szCs w:val="24"/>
        </w:rPr>
        <w:t>.</w:t>
      </w:r>
      <w:r>
        <w:rPr>
          <w:sz w:val="24"/>
          <w:szCs w:val="24"/>
        </w:rPr>
        <w:fldChar w:fldCharType="begin" w:fldLock="1"/>
      </w:r>
      <w:r w:rsidR="000855E1">
        <w:rPr>
          <w:sz w:val="24"/>
          <w:szCs w:val="24"/>
        </w:rPr>
        <w:instrText>ADDIN CSL_CITATION {"citationItems":[{"id":"ITEM-1","itemData":{"DOI":"10.3390/tropicalmed5020098","ISSN":"24146366","abstract":"Tuberculosis (TB), the leading single infectious diseases killer globally, is driven by poverty. Conversely, having TB worsens impoverishment. During TB illness, lost income and out-of-pocket costs can become \"catastrophic\", leading patients to abandon treatment, develop drug-resistance, and die. WHO's 2015 End TB Strategy recommends eliminating catastrophic costs and providing socioeconomic support for TB-affected people. However, there is negligible evidence to guide the design and implementation of such socioeconomic support, especially in low-income, TB-endemic countries. A national, multi-sectoral workshop was held in Kathmandu, Nepal, on the 11th and 12th September 2019, to develop a shortlist of feasible, locally appropriate socioeconomic support interventions for TB-affected households in Nepal, a low-income country with significant TB burden. The workshop brought together key stakeholders in Nepal including from the Ministry of Health and Population, Department of Health Services, Provincial Health Directorate, Health Offices, National TB Program (NTP); and TB/Leprosy Officers, healthcare workers, community health volunteers, TB-affected people, and external development partners (EDP). During the workshop, participants reviewed current Nepal NTP data and strategy, discussed the preliminary results of a mixed-methods study of the socioeconomic determinants and consequences of TB in Nepal, described existing and potential socioeconomic interventions for TB-affected households in Nepal, and selected the most promising interventions for future randomized controlled trial evaluations in Nepal. This report describes the activities, outcomes, and recommendations from the workshop.","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Disease","id":"ITEM-1","issue":"2","issued":{"date-parts":[["2020"]]},"page":"1-15","title":"Developing feasible, locally appropriate socioeconomic support for TB-affected households in Nepal","type":"article-journal","volume":"5"},"uris":["http://www.mendeley.com/documents/?uuid=d535ca02-b1c1-43f5-87d1-14629dd94752"]}],"mendeley":{"formattedCitation":"&lt;sup&gt;19&lt;/sup&gt;","plainTextFormattedCitation":"19","previouslyFormattedCitation":"&lt;sup&gt;19&lt;/sup&gt;"},"properties":{"noteIndex":0},"schema":"https://github.com/citation-style-language/schema/raw/master/csl-citation.json"}</w:instrText>
      </w:r>
      <w:r>
        <w:rPr>
          <w:sz w:val="24"/>
          <w:szCs w:val="24"/>
        </w:rPr>
        <w:fldChar w:fldCharType="separate"/>
      </w:r>
      <w:r w:rsidR="00DE199B" w:rsidRPr="00DE199B">
        <w:rPr>
          <w:noProof/>
          <w:sz w:val="24"/>
          <w:szCs w:val="24"/>
          <w:vertAlign w:val="superscript"/>
        </w:rPr>
        <w:t>19</w:t>
      </w:r>
      <w:r>
        <w:rPr>
          <w:sz w:val="24"/>
          <w:szCs w:val="24"/>
        </w:rPr>
        <w:fldChar w:fldCharType="end"/>
      </w:r>
      <w:r>
        <w:rPr>
          <w:sz w:val="24"/>
          <w:szCs w:val="24"/>
        </w:rPr>
        <w:t xml:space="preserve"> </w:t>
      </w:r>
      <w:r w:rsidR="0022711C">
        <w:rPr>
          <w:sz w:val="24"/>
          <w:szCs w:val="24"/>
        </w:rPr>
        <w:t xml:space="preserve">Participants opted for an intervention of TB education and stigma counselling during a household visit, and unconditional monthly cash transfers (see </w:t>
      </w:r>
      <w:r w:rsidR="00B06827">
        <w:rPr>
          <w:sz w:val="24"/>
          <w:szCs w:val="24"/>
        </w:rPr>
        <w:t xml:space="preserve">Rai </w:t>
      </w:r>
      <w:r w:rsidR="00B06827" w:rsidRPr="00B06827">
        <w:rPr>
          <w:i/>
          <w:iCs/>
          <w:sz w:val="24"/>
          <w:szCs w:val="24"/>
        </w:rPr>
        <w:t>et al</w:t>
      </w:r>
      <w:r w:rsidR="00B06827">
        <w:rPr>
          <w:sz w:val="24"/>
          <w:szCs w:val="24"/>
        </w:rPr>
        <w:t xml:space="preserve"> </w:t>
      </w:r>
      <w:r w:rsidR="00B06827">
        <w:rPr>
          <w:sz w:val="24"/>
          <w:szCs w:val="24"/>
        </w:rPr>
        <w:fldChar w:fldCharType="begin" w:fldLock="1"/>
      </w:r>
      <w:r w:rsidR="000855E1">
        <w:rPr>
          <w:sz w:val="24"/>
          <w:szCs w:val="24"/>
        </w:rPr>
        <w:instrText>ADDIN CSL_CITATION {"citationItems":[{"id":"ITEM-1","itemData":{"DOI":"10.3390/tropicalmed5020098","ISSN":"24146366","abstract":"Tuberculosis (TB), the leading single infectious diseases killer globally, is driven by poverty. Conversely, having TB worsens impoverishment. During TB illness, lost income and out-of-pocket costs can become \"catastrophic\", leading patients to abandon treatment, develop drug-resistance, and die. WHO's 2015 End TB Strategy recommends eliminating catastrophic costs and providing socioeconomic support for TB-affected people. However, there is negligible evidence to guide the design and implementation of such socioeconomic support, especially in low-income, TB-endemic countries. A national, multi-sectoral workshop was held in Kathmandu, Nepal, on the 11th and 12th September 2019, to develop a shortlist of feasible, locally appropriate socioeconomic support interventions for TB-affected households in Nepal, a low-income country with significant TB burden. The workshop brought together key stakeholders in Nepal including from the Ministry of Health and Population, Department of Health Services, Provincial Health Directorate, Health Offices, National TB Program (NTP); and TB/Leprosy Officers, healthcare workers, community health volunteers, TB-affected people, and external development partners (EDP). During the workshop, participants reviewed current Nepal NTP data and strategy, discussed the preliminary results of a mixed-methods study of the socioeconomic determinants and consequences of TB in Nepal, described existing and potential socioeconomic interventions for TB-affected households in Nepal, and selected the most promising interventions for future randomized controlled trial evaluations in Nepal. This report describes the activities, outcomes, and recommendations from the workshop.","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Disease","id":"ITEM-1","issue":"2","issued":{"date-parts":[["2020"]]},"page":"1-15","title":"Developing feasible, locally appropriate socioeconomic support for TB-affected households in Nepal","type":"article-journal","volume":"5"},"uris":["http://www.mendeley.com/documents/?uuid=d535ca02-b1c1-43f5-87d1-14629dd94752"]}],"mendeley":{"formattedCitation":"&lt;sup&gt;19&lt;/sup&gt;","plainTextFormattedCitation":"19","previouslyFormattedCitation":"&lt;sup&gt;19&lt;/sup&gt;"},"properties":{"noteIndex":0},"schema":"https://github.com/citation-style-language/schema/raw/master/csl-citation.json"}</w:instrText>
      </w:r>
      <w:r w:rsidR="00B06827">
        <w:rPr>
          <w:sz w:val="24"/>
          <w:szCs w:val="24"/>
        </w:rPr>
        <w:fldChar w:fldCharType="separate"/>
      </w:r>
      <w:r w:rsidR="00DE199B" w:rsidRPr="00DE199B">
        <w:rPr>
          <w:noProof/>
          <w:sz w:val="24"/>
          <w:szCs w:val="24"/>
          <w:vertAlign w:val="superscript"/>
        </w:rPr>
        <w:t>19</w:t>
      </w:r>
      <w:r w:rsidR="00B06827">
        <w:rPr>
          <w:sz w:val="24"/>
          <w:szCs w:val="24"/>
        </w:rPr>
        <w:fldChar w:fldCharType="end"/>
      </w:r>
      <w:r w:rsidR="00B06827">
        <w:rPr>
          <w:sz w:val="24"/>
          <w:szCs w:val="24"/>
        </w:rPr>
        <w:t xml:space="preserve"> </w:t>
      </w:r>
      <w:r w:rsidR="0022711C">
        <w:rPr>
          <w:sz w:val="24"/>
          <w:szCs w:val="24"/>
        </w:rPr>
        <w:t>for more detail</w:t>
      </w:r>
      <w:r w:rsidR="00B06827">
        <w:rPr>
          <w:sz w:val="24"/>
          <w:szCs w:val="24"/>
        </w:rPr>
        <w:t>)</w:t>
      </w:r>
      <w:r w:rsidR="0022711C">
        <w:rPr>
          <w:sz w:val="24"/>
          <w:szCs w:val="24"/>
        </w:rPr>
        <w:t xml:space="preserve">. </w:t>
      </w:r>
    </w:p>
    <w:p w14:paraId="369CBC77" w14:textId="07BBB59E" w:rsidR="00DD76EE" w:rsidRDefault="00DD76EE">
      <w:pPr>
        <w:rPr>
          <w:rFonts w:eastAsia="Calibri" w:cstheme="minorHAnsi"/>
          <w:b/>
          <w:bCs/>
          <w:sz w:val="28"/>
          <w:szCs w:val="28"/>
          <w:lang w:val="en-US" w:bidi="en-US"/>
        </w:rPr>
      </w:pPr>
    </w:p>
    <w:p w14:paraId="04AEE540" w14:textId="19679A72" w:rsidR="007A6D6B" w:rsidRPr="00DD76EE" w:rsidRDefault="007A6D6B" w:rsidP="00797DEC">
      <w:pPr>
        <w:spacing w:before="240" w:after="200" w:line="276" w:lineRule="auto"/>
        <w:jc w:val="both"/>
        <w:rPr>
          <w:rFonts w:eastAsia="Calibri" w:cstheme="minorHAnsi"/>
          <w:b/>
          <w:bCs/>
          <w:sz w:val="28"/>
          <w:szCs w:val="28"/>
          <w:lang w:val="en-US" w:bidi="en-US"/>
        </w:rPr>
      </w:pPr>
      <w:r w:rsidRPr="00DD76EE">
        <w:rPr>
          <w:rFonts w:eastAsia="Calibri" w:cstheme="minorHAnsi"/>
          <w:b/>
          <w:bCs/>
          <w:sz w:val="28"/>
          <w:szCs w:val="28"/>
          <w:lang w:val="en-US" w:bidi="en-US"/>
        </w:rPr>
        <w:t>Protocol</w:t>
      </w:r>
    </w:p>
    <w:p w14:paraId="306AB6CB" w14:textId="639FA893" w:rsidR="007A6D6B" w:rsidRPr="00DD76EE" w:rsidRDefault="007A6D6B" w:rsidP="007A6D6B">
      <w:pPr>
        <w:spacing w:line="276" w:lineRule="auto"/>
        <w:jc w:val="both"/>
        <w:rPr>
          <w:b/>
          <w:bCs/>
          <w:sz w:val="24"/>
          <w:szCs w:val="24"/>
        </w:rPr>
      </w:pPr>
      <w:r w:rsidRPr="00DD76EE">
        <w:rPr>
          <w:b/>
          <w:bCs/>
          <w:sz w:val="24"/>
          <w:szCs w:val="24"/>
        </w:rPr>
        <w:t xml:space="preserve">Ethical </w:t>
      </w:r>
      <w:r w:rsidR="0061146F">
        <w:rPr>
          <w:b/>
          <w:bCs/>
          <w:sz w:val="24"/>
          <w:szCs w:val="24"/>
        </w:rPr>
        <w:t>statement</w:t>
      </w:r>
    </w:p>
    <w:p w14:paraId="16A1D826" w14:textId="20E13AAA" w:rsidR="007A6D6B" w:rsidRPr="007A6D6B" w:rsidRDefault="009F5D83" w:rsidP="007A6D6B">
      <w:pPr>
        <w:spacing w:line="276" w:lineRule="auto"/>
        <w:jc w:val="both"/>
        <w:rPr>
          <w:sz w:val="24"/>
          <w:szCs w:val="24"/>
        </w:rPr>
      </w:pPr>
      <w:r>
        <w:rPr>
          <w:sz w:val="24"/>
          <w:szCs w:val="24"/>
        </w:rPr>
        <w:t>The</w:t>
      </w:r>
      <w:r w:rsidR="007A6D6B" w:rsidRPr="007A6D6B">
        <w:rPr>
          <w:sz w:val="24"/>
          <w:szCs w:val="24"/>
        </w:rPr>
        <w:t xml:space="preserve"> </w:t>
      </w:r>
      <w:r w:rsidRPr="007A6D6B">
        <w:rPr>
          <w:sz w:val="24"/>
          <w:szCs w:val="24"/>
        </w:rPr>
        <w:t>research ethics committee</w:t>
      </w:r>
      <w:r>
        <w:rPr>
          <w:sz w:val="24"/>
          <w:szCs w:val="24"/>
        </w:rPr>
        <w:t>s of the</w:t>
      </w:r>
      <w:r w:rsidRPr="007A6D6B">
        <w:rPr>
          <w:sz w:val="24"/>
          <w:szCs w:val="24"/>
        </w:rPr>
        <w:t xml:space="preserve"> </w:t>
      </w:r>
      <w:r w:rsidR="007A6D6B">
        <w:rPr>
          <w:sz w:val="24"/>
          <w:szCs w:val="24"/>
        </w:rPr>
        <w:t>Liverpool School of Tropical Medicine, UK,</w:t>
      </w:r>
      <w:r w:rsidR="007A6D6B" w:rsidRPr="007A6D6B">
        <w:rPr>
          <w:sz w:val="24"/>
          <w:szCs w:val="24"/>
        </w:rPr>
        <w:t xml:space="preserve"> (approval</w:t>
      </w:r>
      <w:r w:rsidR="00F9125A">
        <w:rPr>
          <w:sz w:val="24"/>
          <w:szCs w:val="24"/>
        </w:rPr>
        <w:t xml:space="preserve"> </w:t>
      </w:r>
      <w:r w:rsidR="007A6D6B" w:rsidRPr="007A6D6B">
        <w:rPr>
          <w:sz w:val="24"/>
          <w:szCs w:val="24"/>
        </w:rPr>
        <w:t>number 2</w:t>
      </w:r>
      <w:r w:rsidR="00F9125A">
        <w:rPr>
          <w:sz w:val="24"/>
          <w:szCs w:val="24"/>
        </w:rPr>
        <w:t>0-098</w:t>
      </w:r>
      <w:r w:rsidR="007A6D6B" w:rsidRPr="007A6D6B">
        <w:rPr>
          <w:sz w:val="24"/>
          <w:szCs w:val="24"/>
        </w:rPr>
        <w:t>) and the National Health Research Council</w:t>
      </w:r>
      <w:r w:rsidR="00F9125A">
        <w:rPr>
          <w:sz w:val="24"/>
          <w:szCs w:val="24"/>
        </w:rPr>
        <w:t xml:space="preserve"> </w:t>
      </w:r>
      <w:r w:rsidR="007A6D6B" w:rsidRPr="007A6D6B">
        <w:rPr>
          <w:sz w:val="24"/>
          <w:szCs w:val="24"/>
        </w:rPr>
        <w:t xml:space="preserve">of Nepal (NHRC) research ethics committee </w:t>
      </w:r>
      <w:r w:rsidR="00F9125A" w:rsidRPr="007A6D6B">
        <w:rPr>
          <w:sz w:val="24"/>
          <w:szCs w:val="24"/>
        </w:rPr>
        <w:t>(approval number 3</w:t>
      </w:r>
      <w:r w:rsidR="00F9125A">
        <w:rPr>
          <w:sz w:val="24"/>
          <w:szCs w:val="24"/>
        </w:rPr>
        <w:t>63</w:t>
      </w:r>
      <w:r w:rsidR="00F9125A" w:rsidRPr="007A6D6B">
        <w:rPr>
          <w:sz w:val="24"/>
          <w:szCs w:val="24"/>
        </w:rPr>
        <w:t>/20</w:t>
      </w:r>
      <w:r w:rsidR="00F9125A">
        <w:rPr>
          <w:sz w:val="24"/>
          <w:szCs w:val="24"/>
        </w:rPr>
        <w:t>21</w:t>
      </w:r>
      <w:r w:rsidR="00F9125A" w:rsidRPr="007A6D6B">
        <w:rPr>
          <w:sz w:val="24"/>
          <w:szCs w:val="24"/>
        </w:rPr>
        <w:t>)</w:t>
      </w:r>
      <w:r>
        <w:rPr>
          <w:sz w:val="24"/>
          <w:szCs w:val="24"/>
        </w:rPr>
        <w:t xml:space="preserve"> approved the study in September 2021</w:t>
      </w:r>
      <w:r w:rsidR="00F9125A">
        <w:rPr>
          <w:sz w:val="24"/>
          <w:szCs w:val="24"/>
        </w:rPr>
        <w:t>.</w:t>
      </w:r>
      <w:r w:rsidR="00207240">
        <w:rPr>
          <w:sz w:val="24"/>
          <w:szCs w:val="24"/>
        </w:rPr>
        <w:t xml:space="preserve"> NHRC will make at least one site visit and audit of ASCOT project documents during the lifetime of the ASCOT pilot trial. </w:t>
      </w:r>
    </w:p>
    <w:p w14:paraId="37967DEA" w14:textId="1C7484B1" w:rsidR="0079445F" w:rsidRDefault="009F5D83" w:rsidP="0079445F">
      <w:pPr>
        <w:spacing w:line="276" w:lineRule="auto"/>
        <w:jc w:val="both"/>
      </w:pPr>
      <w:r>
        <w:rPr>
          <w:sz w:val="24"/>
          <w:szCs w:val="24"/>
        </w:rPr>
        <w:t>All study participants will be provided with p</w:t>
      </w:r>
      <w:r w:rsidR="0079445F" w:rsidRPr="0079445F">
        <w:rPr>
          <w:sz w:val="24"/>
          <w:szCs w:val="24"/>
        </w:rPr>
        <w:t xml:space="preserve">articipant information leaflets </w:t>
      </w:r>
      <w:r w:rsidR="00555D3C">
        <w:rPr>
          <w:sz w:val="24"/>
          <w:szCs w:val="24"/>
        </w:rPr>
        <w:t xml:space="preserve">prior to completion of </w:t>
      </w:r>
      <w:r w:rsidR="0079445F" w:rsidRPr="0079445F">
        <w:rPr>
          <w:sz w:val="24"/>
          <w:szCs w:val="24"/>
        </w:rPr>
        <w:t>written</w:t>
      </w:r>
      <w:r w:rsidR="0079445F">
        <w:rPr>
          <w:sz w:val="24"/>
          <w:szCs w:val="24"/>
        </w:rPr>
        <w:t xml:space="preserve"> </w:t>
      </w:r>
      <w:r w:rsidR="0079445F" w:rsidRPr="0079445F">
        <w:rPr>
          <w:sz w:val="24"/>
          <w:szCs w:val="24"/>
        </w:rPr>
        <w:t>informed consent</w:t>
      </w:r>
      <w:r>
        <w:rPr>
          <w:sz w:val="24"/>
          <w:szCs w:val="24"/>
        </w:rPr>
        <w:t xml:space="preserve"> (see</w:t>
      </w:r>
      <w:r w:rsidR="0079445F" w:rsidRPr="0079445F">
        <w:rPr>
          <w:sz w:val="24"/>
          <w:szCs w:val="24"/>
        </w:rPr>
        <w:t xml:space="preserve"> Extended </w:t>
      </w:r>
      <w:r w:rsidR="003234B3">
        <w:rPr>
          <w:sz w:val="24"/>
          <w:szCs w:val="24"/>
        </w:rPr>
        <w:t>d</w:t>
      </w:r>
      <w:r w:rsidR="0079445F" w:rsidRPr="0079445F">
        <w:rPr>
          <w:sz w:val="24"/>
          <w:szCs w:val="24"/>
        </w:rPr>
        <w:t>ata</w:t>
      </w:r>
      <w:r w:rsidR="003234B3" w:rsidRPr="00463954">
        <w:rPr>
          <w:sz w:val="24"/>
          <w:szCs w:val="24"/>
          <w:vertAlign w:val="superscript"/>
        </w:rPr>
        <w:t>55</w:t>
      </w:r>
      <w:r>
        <w:rPr>
          <w:sz w:val="24"/>
          <w:szCs w:val="24"/>
        </w:rPr>
        <w:t>)</w:t>
      </w:r>
      <w:r w:rsidR="0079445F" w:rsidRPr="0079445F">
        <w:rPr>
          <w:sz w:val="24"/>
          <w:szCs w:val="24"/>
        </w:rPr>
        <w:t>.</w:t>
      </w:r>
      <w:r w:rsidR="0079445F" w:rsidRPr="0079445F">
        <w:t xml:space="preserve"> </w:t>
      </w:r>
    </w:p>
    <w:p w14:paraId="16B27CDC" w14:textId="4D395E8C" w:rsidR="0061146F" w:rsidRDefault="0061146F" w:rsidP="0061146F">
      <w:pPr>
        <w:spacing w:line="276" w:lineRule="auto"/>
        <w:jc w:val="both"/>
      </w:pPr>
      <w:r w:rsidRPr="0061146F">
        <w:rPr>
          <w:sz w:val="24"/>
          <w:szCs w:val="24"/>
        </w:rPr>
        <w:t xml:space="preserve">Informed consent will </w:t>
      </w:r>
      <w:r w:rsidR="009F5D83">
        <w:rPr>
          <w:sz w:val="24"/>
          <w:szCs w:val="24"/>
        </w:rPr>
        <w:t>adhere to G</w:t>
      </w:r>
      <w:r w:rsidR="00555D3C">
        <w:rPr>
          <w:sz w:val="24"/>
          <w:szCs w:val="24"/>
        </w:rPr>
        <w:t>ood Clinical Practice (G</w:t>
      </w:r>
      <w:r w:rsidR="009F5D83">
        <w:rPr>
          <w:sz w:val="24"/>
          <w:szCs w:val="24"/>
        </w:rPr>
        <w:t>CP</w:t>
      </w:r>
      <w:r w:rsidR="00555D3C">
        <w:rPr>
          <w:sz w:val="24"/>
          <w:szCs w:val="24"/>
        </w:rPr>
        <w:t>)</w:t>
      </w:r>
      <w:r w:rsidR="009F5D83">
        <w:rPr>
          <w:sz w:val="24"/>
          <w:szCs w:val="24"/>
        </w:rPr>
        <w:t xml:space="preserve"> principles and relevant regulatory requirements</w:t>
      </w:r>
      <w:r w:rsidR="007D6DAF">
        <w:rPr>
          <w:sz w:val="24"/>
          <w:szCs w:val="24"/>
        </w:rPr>
        <w:t xml:space="preserve"> nationally and internationally</w:t>
      </w:r>
      <w:r w:rsidR="009F5D83">
        <w:rPr>
          <w:sz w:val="24"/>
          <w:szCs w:val="24"/>
        </w:rPr>
        <w:t xml:space="preserve">. It will </w:t>
      </w:r>
      <w:r w:rsidRPr="0061146F">
        <w:rPr>
          <w:sz w:val="24"/>
          <w:szCs w:val="24"/>
        </w:rPr>
        <w:t xml:space="preserve">be initiated </w:t>
      </w:r>
      <w:r w:rsidR="009F5D83">
        <w:rPr>
          <w:sz w:val="24"/>
          <w:szCs w:val="24"/>
        </w:rPr>
        <w:t>before</w:t>
      </w:r>
      <w:r w:rsidRPr="0061146F">
        <w:rPr>
          <w:sz w:val="24"/>
          <w:szCs w:val="24"/>
        </w:rPr>
        <w:t xml:space="preserve"> an individual agree</w:t>
      </w:r>
      <w:r w:rsidR="009F5D83">
        <w:rPr>
          <w:sz w:val="24"/>
          <w:szCs w:val="24"/>
        </w:rPr>
        <w:t>s</w:t>
      </w:r>
      <w:r w:rsidRPr="0061146F">
        <w:rPr>
          <w:sz w:val="24"/>
          <w:szCs w:val="24"/>
        </w:rPr>
        <w:t xml:space="preserve"> to participate in the ASCOT pilot trial and will continue throughout that individual’s participation. Discussion of </w:t>
      </w:r>
      <w:r w:rsidR="007D6DAF">
        <w:rPr>
          <w:sz w:val="24"/>
          <w:szCs w:val="24"/>
        </w:rPr>
        <w:t xml:space="preserve">the conditions, </w:t>
      </w:r>
      <w:r w:rsidRPr="0061146F">
        <w:rPr>
          <w:sz w:val="24"/>
          <w:szCs w:val="24"/>
        </w:rPr>
        <w:t xml:space="preserve">objectives, </w:t>
      </w:r>
      <w:proofErr w:type="gramStart"/>
      <w:r w:rsidRPr="0061146F">
        <w:rPr>
          <w:sz w:val="24"/>
          <w:szCs w:val="24"/>
        </w:rPr>
        <w:t>risks</w:t>
      </w:r>
      <w:proofErr w:type="gramEnd"/>
      <w:r w:rsidRPr="0061146F">
        <w:rPr>
          <w:sz w:val="24"/>
          <w:szCs w:val="24"/>
        </w:rPr>
        <w:t xml:space="preserve"> and inconveniences of this research will be provided to the participant, by ASCOT team members </w:t>
      </w:r>
      <w:r w:rsidR="007D6DAF">
        <w:rPr>
          <w:sz w:val="24"/>
          <w:szCs w:val="24"/>
        </w:rPr>
        <w:t>with training in</w:t>
      </w:r>
      <w:r w:rsidRPr="0061146F">
        <w:rPr>
          <w:sz w:val="24"/>
          <w:szCs w:val="24"/>
        </w:rPr>
        <w:t xml:space="preserve"> informed consent </w:t>
      </w:r>
      <w:r w:rsidR="007D6DAF">
        <w:rPr>
          <w:sz w:val="24"/>
          <w:szCs w:val="24"/>
        </w:rPr>
        <w:t>processes and procedures including the</w:t>
      </w:r>
      <w:r w:rsidRPr="0061146F">
        <w:rPr>
          <w:sz w:val="24"/>
          <w:szCs w:val="24"/>
        </w:rPr>
        <w:t xml:space="preserve"> Participant Information Sheet (PIS)</w:t>
      </w:r>
      <w:r w:rsidR="00963CB8">
        <w:rPr>
          <w:sz w:val="24"/>
          <w:szCs w:val="24"/>
        </w:rPr>
        <w:t>. The PIS reiterates</w:t>
      </w:r>
      <w:r w:rsidRPr="0061146F">
        <w:rPr>
          <w:sz w:val="24"/>
          <w:szCs w:val="24"/>
        </w:rPr>
        <w:t xml:space="preserve"> that </w:t>
      </w:r>
      <w:r w:rsidR="00963CB8">
        <w:rPr>
          <w:sz w:val="24"/>
          <w:szCs w:val="24"/>
        </w:rPr>
        <w:t xml:space="preserve">trial </w:t>
      </w:r>
      <w:r w:rsidRPr="0061146F">
        <w:rPr>
          <w:sz w:val="24"/>
          <w:szCs w:val="24"/>
        </w:rPr>
        <w:t>participation is voluntary and withdraw</w:t>
      </w:r>
      <w:r w:rsidR="00963CB8">
        <w:rPr>
          <w:sz w:val="24"/>
          <w:szCs w:val="24"/>
        </w:rPr>
        <w:t>al</w:t>
      </w:r>
      <w:r w:rsidRPr="0061146F">
        <w:rPr>
          <w:sz w:val="24"/>
          <w:szCs w:val="24"/>
        </w:rPr>
        <w:t xml:space="preserve"> </w:t>
      </w:r>
      <w:r w:rsidR="00963CB8">
        <w:rPr>
          <w:sz w:val="24"/>
          <w:szCs w:val="24"/>
        </w:rPr>
        <w:t>from the trial is possible</w:t>
      </w:r>
      <w:r w:rsidRPr="0061146F">
        <w:rPr>
          <w:sz w:val="24"/>
          <w:szCs w:val="24"/>
        </w:rPr>
        <w:t xml:space="preserve"> at any time and for any reason. </w:t>
      </w:r>
      <w:r w:rsidR="00963CB8">
        <w:rPr>
          <w:sz w:val="24"/>
          <w:szCs w:val="24"/>
        </w:rPr>
        <w:t>Time will be given by the team member taking consent to ensure that t</w:t>
      </w:r>
      <w:r w:rsidRPr="0061146F">
        <w:rPr>
          <w:sz w:val="24"/>
          <w:szCs w:val="24"/>
        </w:rPr>
        <w:t xml:space="preserve">he participant or delegate </w:t>
      </w:r>
      <w:r w:rsidR="00963CB8">
        <w:rPr>
          <w:sz w:val="24"/>
          <w:szCs w:val="24"/>
        </w:rPr>
        <w:t xml:space="preserve">for </w:t>
      </w:r>
      <w:r w:rsidRPr="0061146F">
        <w:rPr>
          <w:sz w:val="24"/>
          <w:szCs w:val="24"/>
        </w:rPr>
        <w:t>the participant</w:t>
      </w:r>
      <w:r w:rsidR="00963CB8">
        <w:rPr>
          <w:sz w:val="24"/>
          <w:szCs w:val="24"/>
        </w:rPr>
        <w:t xml:space="preserve"> has ample </w:t>
      </w:r>
      <w:r w:rsidRPr="0061146F">
        <w:rPr>
          <w:sz w:val="24"/>
          <w:szCs w:val="24"/>
        </w:rPr>
        <w:t xml:space="preserve">opportunity to </w:t>
      </w:r>
      <w:r w:rsidR="00963CB8">
        <w:rPr>
          <w:sz w:val="24"/>
          <w:szCs w:val="24"/>
        </w:rPr>
        <w:t>consider the information, pose</w:t>
      </w:r>
      <w:r w:rsidRPr="0061146F">
        <w:rPr>
          <w:sz w:val="24"/>
          <w:szCs w:val="24"/>
        </w:rPr>
        <w:t xml:space="preserve"> questions </w:t>
      </w:r>
      <w:r w:rsidR="00963CB8">
        <w:rPr>
          <w:sz w:val="24"/>
          <w:szCs w:val="24"/>
        </w:rPr>
        <w:t xml:space="preserve">and discuss </w:t>
      </w:r>
      <w:r w:rsidRPr="0061146F">
        <w:rPr>
          <w:sz w:val="24"/>
          <w:szCs w:val="24"/>
        </w:rPr>
        <w:t xml:space="preserve">the ASCOT pilot trial with </w:t>
      </w:r>
      <w:r w:rsidR="00963CB8">
        <w:rPr>
          <w:sz w:val="24"/>
          <w:szCs w:val="24"/>
        </w:rPr>
        <w:t xml:space="preserve">friends, </w:t>
      </w:r>
      <w:r w:rsidRPr="0061146F">
        <w:rPr>
          <w:sz w:val="24"/>
          <w:szCs w:val="24"/>
        </w:rPr>
        <w:t xml:space="preserve">family members, and/or others as required. </w:t>
      </w:r>
    </w:p>
    <w:p w14:paraId="47597F0D" w14:textId="50F8EC38" w:rsidR="0079445F" w:rsidRPr="0079445F" w:rsidRDefault="006410EC" w:rsidP="0079445F">
      <w:pPr>
        <w:spacing w:line="276" w:lineRule="auto"/>
        <w:jc w:val="both"/>
        <w:rPr>
          <w:sz w:val="24"/>
          <w:szCs w:val="24"/>
        </w:rPr>
      </w:pPr>
      <w:r>
        <w:rPr>
          <w:sz w:val="24"/>
          <w:szCs w:val="24"/>
        </w:rPr>
        <w:t>The team will liaise closely with the relevant local NTP staff throughout the project. To examine treatment outcomes during the trial, participants’ NTP</w:t>
      </w:r>
      <w:r w:rsidR="0079445F" w:rsidRPr="0079445F">
        <w:rPr>
          <w:sz w:val="24"/>
          <w:szCs w:val="24"/>
        </w:rPr>
        <w:t xml:space="preserve"> medical records </w:t>
      </w:r>
      <w:r>
        <w:rPr>
          <w:sz w:val="24"/>
          <w:szCs w:val="24"/>
        </w:rPr>
        <w:t>will be photocopied from the Nepal NTP register</w:t>
      </w:r>
      <w:r w:rsidR="008C0979">
        <w:rPr>
          <w:sz w:val="24"/>
          <w:szCs w:val="24"/>
        </w:rPr>
        <w:t>. The photocopies will</w:t>
      </w:r>
      <w:r>
        <w:rPr>
          <w:sz w:val="24"/>
          <w:szCs w:val="24"/>
        </w:rPr>
        <w:t xml:space="preserve"> </w:t>
      </w:r>
      <w:r w:rsidR="0079445F" w:rsidRPr="0079445F">
        <w:rPr>
          <w:sz w:val="24"/>
          <w:szCs w:val="24"/>
        </w:rPr>
        <w:t>obscur</w:t>
      </w:r>
      <w:r w:rsidR="008C0979">
        <w:rPr>
          <w:sz w:val="24"/>
          <w:szCs w:val="24"/>
        </w:rPr>
        <w:t>e</w:t>
      </w:r>
      <w:r w:rsidR="0079445F" w:rsidRPr="0079445F">
        <w:rPr>
          <w:sz w:val="24"/>
          <w:szCs w:val="24"/>
        </w:rPr>
        <w:t xml:space="preserve"> the pa</w:t>
      </w:r>
      <w:r w:rsidR="008C0979">
        <w:rPr>
          <w:sz w:val="24"/>
          <w:szCs w:val="24"/>
        </w:rPr>
        <w:t>rticipant</w:t>
      </w:r>
      <w:r w:rsidR="0079445F" w:rsidRPr="0079445F">
        <w:rPr>
          <w:sz w:val="24"/>
          <w:szCs w:val="24"/>
        </w:rPr>
        <w:t>’s identifiable details</w:t>
      </w:r>
      <w:r w:rsidR="008C0979">
        <w:rPr>
          <w:sz w:val="24"/>
          <w:szCs w:val="24"/>
        </w:rPr>
        <w:t xml:space="preserve"> and a </w:t>
      </w:r>
      <w:r w:rsidR="0079445F" w:rsidRPr="0079445F">
        <w:rPr>
          <w:sz w:val="24"/>
          <w:szCs w:val="24"/>
        </w:rPr>
        <w:t xml:space="preserve">unique </w:t>
      </w:r>
      <w:r w:rsidR="008C0979">
        <w:rPr>
          <w:sz w:val="24"/>
          <w:szCs w:val="24"/>
        </w:rPr>
        <w:t xml:space="preserve">participant </w:t>
      </w:r>
      <w:r w:rsidR="0079445F" w:rsidRPr="0079445F">
        <w:rPr>
          <w:sz w:val="24"/>
          <w:szCs w:val="24"/>
        </w:rPr>
        <w:t>study number identifier</w:t>
      </w:r>
      <w:r w:rsidR="008C0979">
        <w:rPr>
          <w:sz w:val="24"/>
          <w:szCs w:val="24"/>
        </w:rPr>
        <w:t xml:space="preserve"> added</w:t>
      </w:r>
      <w:r w:rsidR="0079445F" w:rsidRPr="0079445F">
        <w:rPr>
          <w:sz w:val="24"/>
          <w:szCs w:val="24"/>
        </w:rPr>
        <w:t>.</w:t>
      </w:r>
      <w:r w:rsidR="0079445F">
        <w:rPr>
          <w:sz w:val="24"/>
          <w:szCs w:val="24"/>
        </w:rPr>
        <w:t xml:space="preserve"> </w:t>
      </w:r>
    </w:p>
    <w:p w14:paraId="4771968E" w14:textId="0EFF7E6E" w:rsidR="00BD015A" w:rsidRDefault="00BD015A" w:rsidP="007A6D6B">
      <w:pPr>
        <w:spacing w:line="276" w:lineRule="auto"/>
        <w:jc w:val="both"/>
        <w:rPr>
          <w:b/>
          <w:bCs/>
          <w:sz w:val="24"/>
          <w:szCs w:val="24"/>
        </w:rPr>
      </w:pPr>
      <w:r>
        <w:rPr>
          <w:b/>
          <w:bCs/>
          <w:sz w:val="24"/>
          <w:szCs w:val="24"/>
        </w:rPr>
        <w:lastRenderedPageBreak/>
        <w:t xml:space="preserve">Trial </w:t>
      </w:r>
      <w:r w:rsidR="00AF7968">
        <w:rPr>
          <w:b/>
          <w:bCs/>
          <w:sz w:val="24"/>
          <w:szCs w:val="24"/>
        </w:rPr>
        <w:t>r</w:t>
      </w:r>
      <w:r>
        <w:rPr>
          <w:b/>
          <w:bCs/>
          <w:sz w:val="24"/>
          <w:szCs w:val="24"/>
        </w:rPr>
        <w:t>egistration</w:t>
      </w:r>
    </w:p>
    <w:p w14:paraId="662AA0B3" w14:textId="7BEEEFC2" w:rsidR="00BD015A" w:rsidRPr="00461CAB" w:rsidRDefault="00BD015A" w:rsidP="007A6D6B">
      <w:pPr>
        <w:spacing w:line="276" w:lineRule="auto"/>
        <w:jc w:val="both"/>
        <w:rPr>
          <w:sz w:val="24"/>
          <w:szCs w:val="24"/>
        </w:rPr>
      </w:pPr>
      <w:r w:rsidRPr="00461CAB">
        <w:rPr>
          <w:sz w:val="24"/>
          <w:szCs w:val="24"/>
        </w:rPr>
        <w:t>The ASCOT Pilot Trial is registered with the International Standard Randomised Controlled Trial Number website (</w:t>
      </w:r>
      <w:hyperlink r:id="rId16" w:history="1">
        <w:r w:rsidRPr="00EB2F54">
          <w:rPr>
            <w:rStyle w:val="Hyperlink"/>
            <w:sz w:val="24"/>
            <w:szCs w:val="24"/>
          </w:rPr>
          <w:t>ISRCTN</w:t>
        </w:r>
        <w:r w:rsidRPr="00EB2F54">
          <w:rPr>
            <w:rStyle w:val="Hyperlink"/>
            <w:sz w:val="24"/>
            <w:szCs w:val="24"/>
          </w:rPr>
          <w:t>17025974</w:t>
        </w:r>
      </w:hyperlink>
      <w:r w:rsidRPr="00461CAB">
        <w:rPr>
          <w:sz w:val="24"/>
          <w:szCs w:val="24"/>
        </w:rPr>
        <w:t>)</w:t>
      </w:r>
      <w:r w:rsidR="00461CAB">
        <w:rPr>
          <w:sz w:val="24"/>
          <w:szCs w:val="24"/>
        </w:rPr>
        <w:fldChar w:fldCharType="begin" w:fldLock="1"/>
      </w:r>
      <w:r w:rsidR="000855E1">
        <w:rPr>
          <w:sz w:val="24"/>
          <w:szCs w:val="24"/>
        </w:rPr>
        <w:instrText>ADDIN CSL_CITATION {"citationItems":[{"id":"ITEM-1","itemData":{"URL":"https://www.isrctn.com/ISRCTN17025974","accessed":{"date-parts":[["2022","1","27"]]},"id":"ITEM-1","issued":{"date-parts":[["0"]]},"title":"ISRCTN - ISRCTN17025974: Addressing the social determinants and consequences of tuberculosis","type":"webpage"},"uris":["http://www.mendeley.com/documents/?uuid=041976b1-43a0-3989-ac52-8588adc7855c"]}],"mendeley":{"formattedCitation":"&lt;sup&gt;20&lt;/sup&gt;","plainTextFormattedCitation":"20","previouslyFormattedCitation":"&lt;sup&gt;20&lt;/sup&gt;"},"properties":{"noteIndex":0},"schema":"https://github.com/citation-style-language/schema/raw/master/csl-citation.json"}</w:instrText>
      </w:r>
      <w:r w:rsidR="00461CAB">
        <w:rPr>
          <w:sz w:val="24"/>
          <w:szCs w:val="24"/>
        </w:rPr>
        <w:fldChar w:fldCharType="separate"/>
      </w:r>
      <w:r w:rsidR="00DE199B" w:rsidRPr="00DE199B">
        <w:rPr>
          <w:noProof/>
          <w:sz w:val="24"/>
          <w:szCs w:val="24"/>
          <w:vertAlign w:val="superscript"/>
        </w:rPr>
        <w:t>20</w:t>
      </w:r>
      <w:r w:rsidR="00461CAB">
        <w:rPr>
          <w:sz w:val="24"/>
          <w:szCs w:val="24"/>
        </w:rPr>
        <w:fldChar w:fldCharType="end"/>
      </w:r>
      <w:r w:rsidRPr="00461CAB">
        <w:rPr>
          <w:sz w:val="24"/>
          <w:szCs w:val="24"/>
        </w:rPr>
        <w:t xml:space="preserve"> and the protocol adheres to</w:t>
      </w:r>
      <w:r w:rsidR="00461CAB" w:rsidRPr="00461CAB">
        <w:rPr>
          <w:sz w:val="24"/>
          <w:szCs w:val="24"/>
        </w:rPr>
        <w:t xml:space="preserve"> – and subsequent project reports will adhere to -</w:t>
      </w:r>
      <w:r w:rsidRPr="00461CAB">
        <w:rPr>
          <w:sz w:val="24"/>
          <w:szCs w:val="24"/>
        </w:rPr>
        <w:t xml:space="preserve"> the SPIRIT 2013 </w:t>
      </w:r>
      <w:r w:rsidR="00461CAB" w:rsidRPr="00461CAB">
        <w:rPr>
          <w:sz w:val="24"/>
          <w:szCs w:val="24"/>
        </w:rPr>
        <w:t>Statement</w:t>
      </w:r>
      <w:r w:rsidR="00461CAB">
        <w:rPr>
          <w:sz w:val="24"/>
          <w:szCs w:val="24"/>
        </w:rPr>
        <w:t xml:space="preserve"> where applicable</w:t>
      </w:r>
      <w:r w:rsidRPr="00461CAB">
        <w:rPr>
          <w:sz w:val="24"/>
          <w:szCs w:val="24"/>
        </w:rPr>
        <w:t>.</w:t>
      </w:r>
      <w:r w:rsidR="00461CAB">
        <w:rPr>
          <w:sz w:val="24"/>
          <w:szCs w:val="24"/>
        </w:rPr>
        <w:fldChar w:fldCharType="begin" w:fldLock="1"/>
      </w:r>
      <w:r w:rsidR="000855E1">
        <w:rPr>
          <w:sz w:val="24"/>
          <w:szCs w:val="24"/>
        </w:rPr>
        <w:instrText>ADDIN CSL_CITATION {"citationItems":[{"id":"ITEM-1","itemData":{"DOI":"10.7326/0003-4819-158-3-201302050-00583","ISSN":"15393704","PMID":"23295957","abstract":"The protocol of a clinical trial serves as the foundation for study planning, conduct, reporting, and appraisal. However, trial protocols and existing protocol guidelines vary greatly in content and quality. This article describes the systematic development and scope of SPIRIT (Standard Protocol Items: Recommendations for Interventional Trials) 2013, a guideline for the minimum content of a clinical trial protocol. The 33-item SPIRIT checklist applies to protocols for all clinical trials and focuses on content rather than format. The checklist recommends a full description of what is planned; it does not prescribe how to design or conduct a trial. By providing guidance for key content, the SPIRIT recommendations aim to facilitate the drafting of high-quality protocols. Adherence to SPIRIT would also enhance the transparency and completeness of trial protocols for the benefit of investigators, trial participants, patients, sponsors, funders, research ethics committees or institutional review boards, peer reviewers, journals, trial registries, policymakers, regulators, and other key stakeholders. © 2013 American College of Physicians.","author":[{"dropping-particle":"","family":"Chan","given":"An Wen","non-dropping-particle":"","parse-names":false,"suffix":""},{"dropping-particle":"","family":"Tetzlaff","given":"Jennifer M.","non-dropping-particle":"","parse-names":false,"suffix":""},{"dropping-particle":"","family":"Altman","given":"Douglas G.","non-dropping-particle":"","parse-names":false,"suffix":""},{"dropping-particle":"","family":"Laupacis","given":"Andreas","non-dropping-particle":"","parse-names":false,"suffix":""},{"dropping-particle":"","family":"Gøtzsche","given":"Peter C.","non-dropping-particle":"","parse-names":false,"suffix":""},{"dropping-particle":"","family":"Krleža-Jerić","given":"Karmela","non-dropping-particle":"","parse-names":false,"suffix":""},{"dropping-particle":"","family":"Hróbjartsson","given":"Asbjørn","non-dropping-particle":"","parse-names":false,"suffix":""},{"dropping-particle":"","family":"Mann","given":"Howard","non-dropping-particle":"","parse-names":false,"suffix":""},{"dropping-particle":"","family":"Dickersin","given":"Kay","non-dropping-particle":"","parse-names":false,"suffix":""},{"dropping-particle":"","family":"Berlin","given":"Jesse A.","non-dropping-particle":"","parse-names":false,"suffix":""},{"dropping-particle":"","family":"Doré","given":"Caroline J.","non-dropping-particle":"","parse-names":false,"suffix":""},{"dropping-particle":"","family":"Parulekar","given":"Wendy R.","non-dropping-particle":"","parse-names":false,"suffix":""},{"dropping-particle":"","family":"Summerskill","given":"William S.M.","non-dropping-particle":"","parse-names":false,"suffix":""},{"dropping-particle":"","family":"Groves","given":"Trish","non-dropping-particle":"","parse-names":false,"suffix":""},{"dropping-particle":"","family":"Schulz","given":"Kenneth F.","non-dropping-particle":"","parse-names":false,"suffix":""},{"dropping-particle":"","family":"Sox","given":"Harold C.","non-dropping-particle":"","parse-names":false,"suffix":""},{"dropping-particle":"","family":"Rockhold","given":"Frank W.","non-dropping-particle":"","parse-names":false,"suffix":""},{"dropping-particle":"","family":"Rennie","given":"Drummond","non-dropping-particle":"","parse-names":false,"suffix":""},{"dropping-particle":"","family":"Moher","given":"David","non-dropping-particle":"","parse-names":false,"suffix":""}],"container-title":"Annals of internal medicine","id":"ITEM-1","issue":"3","issued":{"date-parts":[["2013","2","5"]]},"page":"200","publisher":"PMC Canada manuscript submission","title":"SPIRIT 2013 Statement: Defining Standard Protocol Items for Clinical Trials","type":"article-journal","volume":"158"},"uris":["http://www.mendeley.com/documents/?uuid=5b713d81-59fa-3f96-9626-1df8430cad5d"]}],"mendeley":{"formattedCitation":"&lt;sup&gt;21&lt;/sup&gt;","plainTextFormattedCitation":"21","previouslyFormattedCitation":"&lt;sup&gt;21&lt;/sup&gt;"},"properties":{"noteIndex":0},"schema":"https://github.com/citation-style-language/schema/raw/master/csl-citation.json"}</w:instrText>
      </w:r>
      <w:r w:rsidR="00461CAB">
        <w:rPr>
          <w:sz w:val="24"/>
          <w:szCs w:val="24"/>
        </w:rPr>
        <w:fldChar w:fldCharType="separate"/>
      </w:r>
      <w:r w:rsidR="00DE199B" w:rsidRPr="00DE199B">
        <w:rPr>
          <w:noProof/>
          <w:sz w:val="24"/>
          <w:szCs w:val="24"/>
          <w:vertAlign w:val="superscript"/>
        </w:rPr>
        <w:t>21</w:t>
      </w:r>
      <w:r w:rsidR="00461CAB">
        <w:rPr>
          <w:sz w:val="24"/>
          <w:szCs w:val="24"/>
        </w:rPr>
        <w:fldChar w:fldCharType="end"/>
      </w:r>
      <w:r w:rsidRPr="00461CAB">
        <w:rPr>
          <w:sz w:val="24"/>
          <w:szCs w:val="24"/>
        </w:rPr>
        <w:t xml:space="preserve"> </w:t>
      </w:r>
    </w:p>
    <w:p w14:paraId="4949E5B7" w14:textId="7AA204B8" w:rsidR="007A6D6B" w:rsidRPr="00DD76EE" w:rsidRDefault="007A6D6B" w:rsidP="007A6D6B">
      <w:pPr>
        <w:spacing w:line="276" w:lineRule="auto"/>
        <w:jc w:val="both"/>
        <w:rPr>
          <w:b/>
          <w:bCs/>
          <w:sz w:val="24"/>
          <w:szCs w:val="24"/>
        </w:rPr>
      </w:pPr>
      <w:r w:rsidRPr="00DD76EE">
        <w:rPr>
          <w:b/>
          <w:bCs/>
          <w:sz w:val="24"/>
          <w:szCs w:val="24"/>
        </w:rPr>
        <w:t xml:space="preserve">Study </w:t>
      </w:r>
      <w:r w:rsidR="004E21C9">
        <w:rPr>
          <w:b/>
          <w:bCs/>
          <w:sz w:val="24"/>
          <w:szCs w:val="24"/>
        </w:rPr>
        <w:t>d</w:t>
      </w:r>
      <w:r w:rsidRPr="00DD76EE">
        <w:rPr>
          <w:b/>
          <w:bCs/>
          <w:sz w:val="24"/>
          <w:szCs w:val="24"/>
        </w:rPr>
        <w:t>esign</w:t>
      </w:r>
    </w:p>
    <w:p w14:paraId="42513523" w14:textId="73A93CE0" w:rsidR="007A6D6B" w:rsidRPr="00E05D78" w:rsidRDefault="007A6D6B" w:rsidP="007A6D6B">
      <w:pPr>
        <w:spacing w:line="276" w:lineRule="auto"/>
        <w:jc w:val="both"/>
        <w:rPr>
          <w:bCs/>
          <w:sz w:val="24"/>
          <w:szCs w:val="24"/>
        </w:rPr>
      </w:pPr>
      <w:r>
        <w:rPr>
          <w:sz w:val="24"/>
          <w:szCs w:val="24"/>
        </w:rPr>
        <w:t>ASCOT is a</w:t>
      </w:r>
      <w:r w:rsidRPr="00B6573F">
        <w:rPr>
          <w:bCs/>
          <w:sz w:val="24"/>
          <w:szCs w:val="24"/>
        </w:rPr>
        <w:t>n adaptive randomised-controlled pilot trial and mixed-methods process evaluation.</w:t>
      </w:r>
      <w:r w:rsidRPr="00E05D78">
        <w:rPr>
          <w:bCs/>
          <w:sz w:val="24"/>
          <w:szCs w:val="24"/>
        </w:rPr>
        <w:t xml:space="preserve"> Adaptive randomised-controlled design is the optimal method to generate new knowledge on the </w:t>
      </w:r>
      <w:r>
        <w:rPr>
          <w:bCs/>
          <w:sz w:val="24"/>
          <w:szCs w:val="24"/>
        </w:rPr>
        <w:t>implementation and impact of the socioeconomic</w:t>
      </w:r>
      <w:r w:rsidRPr="00E05D78">
        <w:rPr>
          <w:bCs/>
          <w:sz w:val="24"/>
          <w:szCs w:val="24"/>
        </w:rPr>
        <w:t xml:space="preserve"> </w:t>
      </w:r>
      <w:r>
        <w:rPr>
          <w:bCs/>
          <w:sz w:val="24"/>
          <w:szCs w:val="24"/>
        </w:rPr>
        <w:t>support intervention</w:t>
      </w:r>
      <w:r w:rsidRPr="00E05D78">
        <w:rPr>
          <w:bCs/>
          <w:sz w:val="24"/>
          <w:szCs w:val="24"/>
        </w:rPr>
        <w:t xml:space="preserve">. </w:t>
      </w:r>
      <w:r>
        <w:rPr>
          <w:bCs/>
          <w:sz w:val="24"/>
          <w:szCs w:val="24"/>
        </w:rPr>
        <w:t xml:space="preserve">As recommended by the Medical Research Council, UK, this </w:t>
      </w:r>
      <w:r w:rsidRPr="00E05D78">
        <w:rPr>
          <w:bCs/>
          <w:sz w:val="24"/>
          <w:szCs w:val="24"/>
        </w:rPr>
        <w:t>mixed-methods pr</w:t>
      </w:r>
      <w:r>
        <w:rPr>
          <w:bCs/>
          <w:sz w:val="24"/>
          <w:szCs w:val="24"/>
        </w:rPr>
        <w:t>ocess evaluation of a pilot trial will</w:t>
      </w:r>
      <w:r w:rsidRPr="00E05D78">
        <w:rPr>
          <w:bCs/>
          <w:sz w:val="24"/>
          <w:szCs w:val="24"/>
        </w:rPr>
        <w:t>: provide rich data; better understand context, causal mechanisms, and generalisability; reduce Type III errors (dismissing a</w:t>
      </w:r>
      <w:r>
        <w:rPr>
          <w:bCs/>
          <w:sz w:val="24"/>
          <w:szCs w:val="24"/>
        </w:rPr>
        <w:t xml:space="preserve"> potentially</w:t>
      </w:r>
      <w:r w:rsidRPr="00E05D78">
        <w:rPr>
          <w:bCs/>
          <w:sz w:val="24"/>
          <w:szCs w:val="24"/>
        </w:rPr>
        <w:t xml:space="preserve"> impactful intervention due to implementation failure); and improve design and delivery of the definitive, future trial.</w:t>
      </w:r>
      <w:r w:rsidRPr="00E05D78">
        <w:rPr>
          <w:bCs/>
          <w:sz w:val="24"/>
          <w:szCs w:val="24"/>
        </w:rPr>
        <w:fldChar w:fldCharType="begin" w:fldLock="1"/>
      </w:r>
      <w:r w:rsidR="000855E1">
        <w:rPr>
          <w:bCs/>
          <w:sz w:val="24"/>
          <w:szCs w:val="24"/>
        </w:rPr>
        <w:instrText>ADDIN CSL_CITATION {"citationItems":[{"id":"ITEM-1","itemData":{"author":[{"dropping-particle":"","family":"Laura Linnan &amp; Allan Steckler","given":"","non-dropping-particle":"","parse-names":false,"suffix":""}],"container-title":"Process Evaluation for Public Health Interventions and Research","id":"ITEM-1","issued":{"date-parts":[["2002"]]},"page":"1-23","title":"Process Evaluation for Public Health Interventions and Research: An Overview","type":"article-journal"},"uris":["http://www.mendeley.com/documents/?uuid=073d4271-49d1-4d53-9f41-304bb36519b7"]}],"mendeley":{"formattedCitation":"&lt;sup&gt;22&lt;/sup&gt;","plainTextFormattedCitation":"22","previouslyFormattedCitation":"&lt;sup&gt;22&lt;/sup&gt;"},"properties":{"noteIndex":0},"schema":"https://github.com/citation-style-language/schema/raw/master/csl-citation.json"}</w:instrText>
      </w:r>
      <w:r w:rsidRPr="00E05D78">
        <w:rPr>
          <w:bCs/>
          <w:sz w:val="24"/>
          <w:szCs w:val="24"/>
        </w:rPr>
        <w:fldChar w:fldCharType="separate"/>
      </w:r>
      <w:r w:rsidR="00DE199B" w:rsidRPr="00DE199B">
        <w:rPr>
          <w:bCs/>
          <w:noProof/>
          <w:sz w:val="24"/>
          <w:szCs w:val="24"/>
          <w:vertAlign w:val="superscript"/>
        </w:rPr>
        <w:t>22</w:t>
      </w:r>
      <w:r w:rsidRPr="00E05D78">
        <w:rPr>
          <w:sz w:val="24"/>
          <w:szCs w:val="24"/>
        </w:rPr>
        <w:fldChar w:fldCharType="end"/>
      </w:r>
      <w:r w:rsidRPr="00E05D78">
        <w:rPr>
          <w:bCs/>
          <w:sz w:val="24"/>
          <w:szCs w:val="24"/>
        </w:rPr>
        <w:t xml:space="preserve"> </w:t>
      </w:r>
    </w:p>
    <w:p w14:paraId="6E678266" w14:textId="6946B0BE" w:rsidR="00674C0E" w:rsidRPr="00DD76EE" w:rsidRDefault="00DD76EE" w:rsidP="00797DEC">
      <w:pPr>
        <w:spacing w:before="240" w:after="200" w:line="276" w:lineRule="auto"/>
        <w:jc w:val="both"/>
        <w:rPr>
          <w:rFonts w:eastAsia="Calibri" w:cstheme="minorHAnsi"/>
          <w:b/>
          <w:bCs/>
          <w:sz w:val="24"/>
          <w:szCs w:val="24"/>
          <w:lang w:val="en-US" w:bidi="en-US"/>
        </w:rPr>
      </w:pPr>
      <w:r w:rsidRPr="00DD76EE">
        <w:rPr>
          <w:rFonts w:eastAsia="Calibri" w:cstheme="minorHAnsi"/>
          <w:b/>
          <w:bCs/>
          <w:sz w:val="24"/>
          <w:szCs w:val="24"/>
          <w:lang w:val="en-US" w:bidi="en-US"/>
        </w:rPr>
        <w:t>Primary aim</w:t>
      </w:r>
    </w:p>
    <w:p w14:paraId="732CB6F8" w14:textId="44BF2CA6" w:rsidR="004B14EF" w:rsidRDefault="00674C0E" w:rsidP="00674C0E">
      <w:pPr>
        <w:spacing w:before="240" w:after="200" w:line="276" w:lineRule="auto"/>
        <w:jc w:val="both"/>
        <w:rPr>
          <w:rFonts w:eastAsiaTheme="majorEastAsia" w:cstheme="majorBidi"/>
          <w:color w:val="FFFFFF" w:themeColor="background1"/>
          <w:sz w:val="30"/>
          <w:szCs w:val="30"/>
        </w:rPr>
      </w:pPr>
      <w:r>
        <w:rPr>
          <w:rFonts w:eastAsia="Calibri" w:cstheme="minorHAnsi"/>
          <w:sz w:val="24"/>
          <w:szCs w:val="24"/>
          <w:lang w:val="en-US" w:bidi="en-US"/>
        </w:rPr>
        <w:t xml:space="preserve">The primary aim of the ASCOT pilot trial is to </w:t>
      </w:r>
      <w:r w:rsidRPr="00674C0E">
        <w:rPr>
          <w:sz w:val="24"/>
        </w:rPr>
        <w:t>evaluate the feasibility and acceptability of a socioeconomic support intervention for TB-affected households in Nepal.</w:t>
      </w:r>
    </w:p>
    <w:p w14:paraId="426BFA50" w14:textId="77777777" w:rsidR="00DD76EE" w:rsidRPr="00DD76EE" w:rsidRDefault="00DD76EE" w:rsidP="009F57A1">
      <w:pPr>
        <w:pStyle w:val="ListParagraph"/>
        <w:spacing w:line="276" w:lineRule="auto"/>
        <w:ind w:left="0"/>
        <w:rPr>
          <w:b/>
          <w:bCs/>
          <w:sz w:val="24"/>
          <w:szCs w:val="24"/>
        </w:rPr>
      </w:pPr>
      <w:r w:rsidRPr="00DD76EE">
        <w:rPr>
          <w:b/>
          <w:bCs/>
          <w:sz w:val="24"/>
          <w:szCs w:val="24"/>
        </w:rPr>
        <w:t>Secondary aims</w:t>
      </w:r>
    </w:p>
    <w:p w14:paraId="066F61CF" w14:textId="77777777" w:rsidR="00DD76EE" w:rsidRDefault="00DD76EE" w:rsidP="009F57A1">
      <w:pPr>
        <w:pStyle w:val="ListParagraph"/>
        <w:spacing w:line="276" w:lineRule="auto"/>
        <w:ind w:left="0"/>
        <w:rPr>
          <w:sz w:val="24"/>
          <w:szCs w:val="24"/>
        </w:rPr>
      </w:pPr>
    </w:p>
    <w:p w14:paraId="556D7735" w14:textId="436EA2FB" w:rsidR="009F57A1" w:rsidRPr="00674C0E" w:rsidRDefault="0027251A" w:rsidP="009F57A1">
      <w:pPr>
        <w:pStyle w:val="ListParagraph"/>
        <w:spacing w:line="276" w:lineRule="auto"/>
        <w:ind w:left="0"/>
        <w:rPr>
          <w:sz w:val="24"/>
          <w:szCs w:val="24"/>
        </w:rPr>
      </w:pPr>
      <w:r w:rsidRPr="00674C0E">
        <w:rPr>
          <w:sz w:val="24"/>
          <w:szCs w:val="24"/>
        </w:rPr>
        <w:t>Secondary aims are to</w:t>
      </w:r>
      <w:r w:rsidR="00EA4683" w:rsidRPr="00674C0E">
        <w:rPr>
          <w:sz w:val="24"/>
          <w:szCs w:val="24"/>
        </w:rPr>
        <w:t xml:space="preserve"> evaluate the ASCOT socioeconomic support intervention with relation to</w:t>
      </w:r>
      <w:r w:rsidRPr="00674C0E">
        <w:rPr>
          <w:sz w:val="24"/>
          <w:szCs w:val="24"/>
        </w:rPr>
        <w:t>:</w:t>
      </w:r>
    </w:p>
    <w:p w14:paraId="6753CD57" w14:textId="49EC6A61" w:rsidR="0027251A" w:rsidRPr="00674C0E" w:rsidRDefault="00EA4683" w:rsidP="0027251A">
      <w:pPr>
        <w:pStyle w:val="ListParagraph"/>
        <w:numPr>
          <w:ilvl w:val="0"/>
          <w:numId w:val="33"/>
        </w:numPr>
        <w:spacing w:line="276" w:lineRule="auto"/>
        <w:rPr>
          <w:sz w:val="24"/>
          <w:szCs w:val="24"/>
        </w:rPr>
      </w:pPr>
      <w:r w:rsidRPr="00674C0E">
        <w:rPr>
          <w:sz w:val="24"/>
          <w:szCs w:val="24"/>
        </w:rPr>
        <w:t>Health systems readiness to deliver the implementation in Nepal</w:t>
      </w:r>
    </w:p>
    <w:p w14:paraId="767620B3" w14:textId="55DE6668" w:rsidR="0027251A" w:rsidRPr="00674C0E" w:rsidRDefault="00EA4683" w:rsidP="0027251A">
      <w:pPr>
        <w:pStyle w:val="ListParagraph"/>
        <w:numPr>
          <w:ilvl w:val="0"/>
          <w:numId w:val="33"/>
        </w:numPr>
        <w:spacing w:line="276" w:lineRule="auto"/>
        <w:rPr>
          <w:sz w:val="24"/>
          <w:szCs w:val="24"/>
        </w:rPr>
      </w:pPr>
      <w:r w:rsidRPr="00674C0E">
        <w:rPr>
          <w:sz w:val="24"/>
          <w:szCs w:val="24"/>
        </w:rPr>
        <w:t>Scalability of the intervention into routine, national-level practice in Nepal</w:t>
      </w:r>
    </w:p>
    <w:p w14:paraId="46E26DB4" w14:textId="00185FA4" w:rsidR="00565962" w:rsidRDefault="0027251A" w:rsidP="00E05D78">
      <w:pPr>
        <w:spacing w:line="276" w:lineRule="auto"/>
        <w:jc w:val="both"/>
        <w:rPr>
          <w:sz w:val="24"/>
          <w:szCs w:val="24"/>
        </w:rPr>
      </w:pPr>
      <w:r>
        <w:rPr>
          <w:sz w:val="24"/>
          <w:szCs w:val="24"/>
        </w:rPr>
        <w:t>Exploratory</w:t>
      </w:r>
      <w:r w:rsidR="00565962">
        <w:rPr>
          <w:sz w:val="24"/>
          <w:szCs w:val="24"/>
        </w:rPr>
        <w:t xml:space="preserve"> aims </w:t>
      </w:r>
      <w:r w:rsidR="00E05D78">
        <w:rPr>
          <w:sz w:val="24"/>
          <w:szCs w:val="24"/>
        </w:rPr>
        <w:t>are to</w:t>
      </w:r>
      <w:r w:rsidR="00565962">
        <w:rPr>
          <w:sz w:val="24"/>
          <w:szCs w:val="24"/>
        </w:rPr>
        <w:t>:</w:t>
      </w:r>
    </w:p>
    <w:p w14:paraId="122964C3" w14:textId="101BE7E7" w:rsidR="0085223B" w:rsidRDefault="0027251A" w:rsidP="00E05D78">
      <w:pPr>
        <w:pStyle w:val="ListParagraph"/>
        <w:numPr>
          <w:ilvl w:val="0"/>
          <w:numId w:val="25"/>
        </w:numPr>
        <w:spacing w:line="276" w:lineRule="auto"/>
        <w:jc w:val="both"/>
        <w:rPr>
          <w:sz w:val="24"/>
          <w:szCs w:val="24"/>
        </w:rPr>
      </w:pPr>
      <w:r>
        <w:rPr>
          <w:sz w:val="24"/>
          <w:szCs w:val="24"/>
        </w:rPr>
        <w:t xml:space="preserve">assess </w:t>
      </w:r>
      <w:r w:rsidR="00565962">
        <w:rPr>
          <w:sz w:val="24"/>
          <w:szCs w:val="24"/>
        </w:rPr>
        <w:t xml:space="preserve">the impact of the intervention on </w:t>
      </w:r>
      <w:r w:rsidR="00565962" w:rsidRPr="00565962">
        <w:rPr>
          <w:sz w:val="24"/>
          <w:szCs w:val="24"/>
        </w:rPr>
        <w:t xml:space="preserve">TB </w:t>
      </w:r>
      <w:r w:rsidR="00EC0333">
        <w:rPr>
          <w:sz w:val="24"/>
          <w:szCs w:val="24"/>
        </w:rPr>
        <w:t xml:space="preserve">treatment </w:t>
      </w:r>
      <w:r w:rsidR="00565962" w:rsidRPr="00565962">
        <w:rPr>
          <w:sz w:val="24"/>
          <w:szCs w:val="24"/>
        </w:rPr>
        <w:t xml:space="preserve">outcomes, stigma, mental health, and catastrophic </w:t>
      </w:r>
      <w:proofErr w:type="gramStart"/>
      <w:r w:rsidR="00565962" w:rsidRPr="00565962">
        <w:rPr>
          <w:sz w:val="24"/>
          <w:szCs w:val="24"/>
        </w:rPr>
        <w:t>costs</w:t>
      </w:r>
      <w:r w:rsidR="0085223B">
        <w:rPr>
          <w:sz w:val="24"/>
          <w:szCs w:val="24"/>
        </w:rPr>
        <w:t>;</w:t>
      </w:r>
      <w:proofErr w:type="gramEnd"/>
      <w:r w:rsidR="0085223B">
        <w:rPr>
          <w:sz w:val="24"/>
          <w:szCs w:val="24"/>
        </w:rPr>
        <w:t xml:space="preserve"> </w:t>
      </w:r>
      <w:r w:rsidR="00565962" w:rsidRPr="00565962">
        <w:rPr>
          <w:sz w:val="24"/>
          <w:szCs w:val="24"/>
        </w:rPr>
        <w:t xml:space="preserve"> </w:t>
      </w:r>
    </w:p>
    <w:p w14:paraId="6F61086E" w14:textId="77777777" w:rsidR="009B1743" w:rsidRDefault="0085223B" w:rsidP="00E05D78">
      <w:pPr>
        <w:pStyle w:val="ListParagraph"/>
        <w:numPr>
          <w:ilvl w:val="0"/>
          <w:numId w:val="25"/>
        </w:numPr>
        <w:spacing w:line="276" w:lineRule="auto"/>
        <w:jc w:val="both"/>
        <w:rPr>
          <w:sz w:val="24"/>
          <w:szCs w:val="24"/>
        </w:rPr>
      </w:pPr>
      <w:r>
        <w:rPr>
          <w:sz w:val="24"/>
          <w:szCs w:val="24"/>
        </w:rPr>
        <w:t>generat</w:t>
      </w:r>
      <w:r w:rsidR="00E05D78">
        <w:rPr>
          <w:sz w:val="24"/>
          <w:szCs w:val="24"/>
        </w:rPr>
        <w:t>e</w:t>
      </w:r>
      <w:r>
        <w:rPr>
          <w:sz w:val="24"/>
          <w:szCs w:val="24"/>
        </w:rPr>
        <w:t xml:space="preserve"> a</w:t>
      </w:r>
      <w:r w:rsidR="00565962" w:rsidRPr="00565962">
        <w:rPr>
          <w:sz w:val="24"/>
          <w:szCs w:val="24"/>
        </w:rPr>
        <w:t>n open-access project manual detailing the preparatory mixed-methods research with key stakeholders</w:t>
      </w:r>
      <w:r w:rsidR="00E05D78">
        <w:rPr>
          <w:sz w:val="24"/>
          <w:szCs w:val="24"/>
        </w:rPr>
        <w:t xml:space="preserve">, </w:t>
      </w:r>
      <w:r w:rsidR="00565962" w:rsidRPr="00565962">
        <w:rPr>
          <w:sz w:val="24"/>
          <w:szCs w:val="24"/>
        </w:rPr>
        <w:t>pilot trial methods</w:t>
      </w:r>
      <w:r w:rsidR="00E05D78">
        <w:rPr>
          <w:sz w:val="24"/>
          <w:szCs w:val="24"/>
        </w:rPr>
        <w:t xml:space="preserve">, and </w:t>
      </w:r>
      <w:r w:rsidR="00565962" w:rsidRPr="00565962">
        <w:rPr>
          <w:sz w:val="24"/>
          <w:szCs w:val="24"/>
        </w:rPr>
        <w:t>implementation costs</w:t>
      </w:r>
      <w:r w:rsidR="009B1743">
        <w:rPr>
          <w:sz w:val="24"/>
          <w:szCs w:val="24"/>
        </w:rPr>
        <w:t>; and</w:t>
      </w:r>
    </w:p>
    <w:p w14:paraId="2D458122" w14:textId="77777777" w:rsidR="009B1743" w:rsidRDefault="009B1743" w:rsidP="00E05D78">
      <w:pPr>
        <w:pStyle w:val="ListParagraph"/>
        <w:numPr>
          <w:ilvl w:val="0"/>
          <w:numId w:val="25"/>
        </w:numPr>
        <w:spacing w:line="276" w:lineRule="auto"/>
        <w:jc w:val="both"/>
        <w:rPr>
          <w:sz w:val="24"/>
          <w:szCs w:val="24"/>
        </w:rPr>
      </w:pPr>
      <w:r>
        <w:rPr>
          <w:sz w:val="24"/>
          <w:szCs w:val="24"/>
        </w:rPr>
        <w:t xml:space="preserve">inform design and increase likelihood of funding and implementation success of a large-scale randomised controlled trial of socioeconomic support for TB-affected households in Nepal. </w:t>
      </w:r>
    </w:p>
    <w:p w14:paraId="28470FDB" w14:textId="6487F24A" w:rsidR="0085223B" w:rsidRPr="009B1743" w:rsidRDefault="009B1743" w:rsidP="009B1743">
      <w:pPr>
        <w:spacing w:line="276" w:lineRule="auto"/>
        <w:jc w:val="both"/>
        <w:rPr>
          <w:sz w:val="24"/>
          <w:szCs w:val="24"/>
        </w:rPr>
      </w:pPr>
      <w:r w:rsidRPr="009B1743">
        <w:rPr>
          <w:sz w:val="24"/>
          <w:szCs w:val="24"/>
        </w:rPr>
        <w:t xml:space="preserve">The </w:t>
      </w:r>
      <w:r w:rsidR="00F136B7">
        <w:rPr>
          <w:sz w:val="24"/>
          <w:szCs w:val="24"/>
        </w:rPr>
        <w:t xml:space="preserve">planned </w:t>
      </w:r>
      <w:r w:rsidRPr="009B1743">
        <w:rPr>
          <w:sz w:val="24"/>
          <w:szCs w:val="24"/>
        </w:rPr>
        <w:t>larger</w:t>
      </w:r>
      <w:r>
        <w:rPr>
          <w:sz w:val="24"/>
          <w:szCs w:val="24"/>
        </w:rPr>
        <w:t>, well-powered, follow-on randomised controlled</w:t>
      </w:r>
      <w:r w:rsidRPr="009B1743">
        <w:rPr>
          <w:sz w:val="24"/>
          <w:szCs w:val="24"/>
        </w:rPr>
        <w:t xml:space="preserve"> trial </w:t>
      </w:r>
      <w:r w:rsidR="00F136B7">
        <w:rPr>
          <w:sz w:val="24"/>
          <w:szCs w:val="24"/>
        </w:rPr>
        <w:t>will</w:t>
      </w:r>
      <w:r w:rsidRPr="009B1743">
        <w:rPr>
          <w:sz w:val="24"/>
          <w:szCs w:val="24"/>
        </w:rPr>
        <w:t xml:space="preserve"> have short-term outcomes including increased access to TB services and longer-term outcomes including increased TB outcome measures, mitigation of catastrophic costs, </w:t>
      </w:r>
      <w:r>
        <w:rPr>
          <w:sz w:val="24"/>
          <w:szCs w:val="24"/>
        </w:rPr>
        <w:t>reduced self-stigma</w:t>
      </w:r>
      <w:r w:rsidR="006A17EF">
        <w:rPr>
          <w:sz w:val="24"/>
          <w:szCs w:val="24"/>
        </w:rPr>
        <w:t>,</w:t>
      </w:r>
      <w:r>
        <w:rPr>
          <w:sz w:val="24"/>
          <w:szCs w:val="24"/>
        </w:rPr>
        <w:t xml:space="preserve"> and </w:t>
      </w:r>
      <w:r w:rsidR="006A17EF">
        <w:rPr>
          <w:sz w:val="24"/>
          <w:szCs w:val="24"/>
        </w:rPr>
        <w:t>improved mental wellbeing</w:t>
      </w:r>
      <w:r>
        <w:rPr>
          <w:sz w:val="24"/>
          <w:szCs w:val="24"/>
        </w:rPr>
        <w:t xml:space="preserve"> among people with TB</w:t>
      </w:r>
      <w:r w:rsidRPr="009B1743">
        <w:rPr>
          <w:sz w:val="24"/>
          <w:szCs w:val="24"/>
        </w:rPr>
        <w:t xml:space="preserve"> (see ASCOT Logic Model, Figure </w:t>
      </w:r>
      <w:r w:rsidR="00674C0E">
        <w:rPr>
          <w:sz w:val="24"/>
          <w:szCs w:val="24"/>
        </w:rPr>
        <w:t>3</w:t>
      </w:r>
      <w:r w:rsidRPr="009B1743">
        <w:rPr>
          <w:sz w:val="24"/>
          <w:szCs w:val="24"/>
        </w:rPr>
        <w:t>).</w:t>
      </w:r>
    </w:p>
    <w:p w14:paraId="0775F177" w14:textId="349C00FA" w:rsidR="00DD76EE" w:rsidRPr="00DD76EE" w:rsidRDefault="00DD76EE" w:rsidP="00DD76EE">
      <w:pPr>
        <w:pStyle w:val="ListParagraph"/>
        <w:spacing w:line="276" w:lineRule="auto"/>
        <w:ind w:left="0"/>
        <w:jc w:val="both"/>
        <w:rPr>
          <w:b/>
          <w:bCs/>
          <w:sz w:val="24"/>
          <w:szCs w:val="24"/>
        </w:rPr>
      </w:pPr>
      <w:r w:rsidRPr="00DD76EE">
        <w:rPr>
          <w:b/>
          <w:bCs/>
          <w:sz w:val="24"/>
          <w:szCs w:val="24"/>
        </w:rPr>
        <w:t xml:space="preserve">Study </w:t>
      </w:r>
      <w:r w:rsidR="00E5664E">
        <w:rPr>
          <w:b/>
          <w:bCs/>
          <w:sz w:val="24"/>
          <w:szCs w:val="24"/>
        </w:rPr>
        <w:t>s</w:t>
      </w:r>
      <w:r w:rsidRPr="00DD76EE">
        <w:rPr>
          <w:b/>
          <w:bCs/>
          <w:sz w:val="24"/>
          <w:szCs w:val="24"/>
        </w:rPr>
        <w:t>etting</w:t>
      </w:r>
    </w:p>
    <w:p w14:paraId="2243EB2A" w14:textId="24E7E0E1" w:rsidR="00DD7EA9" w:rsidRPr="0085223B" w:rsidRDefault="00DD7EA9" w:rsidP="00DD7EA9">
      <w:pPr>
        <w:jc w:val="both"/>
        <w:rPr>
          <w:sz w:val="24"/>
        </w:rPr>
      </w:pPr>
      <w:r w:rsidRPr="004B14EF">
        <w:rPr>
          <w:sz w:val="24"/>
          <w:lang w:val="en-US"/>
        </w:rPr>
        <w:lastRenderedPageBreak/>
        <w:t xml:space="preserve">Nepal is a lower middle-income country with </w:t>
      </w:r>
      <w:r w:rsidR="003B2F99">
        <w:rPr>
          <w:sz w:val="24"/>
          <w:lang w:val="en-US"/>
        </w:rPr>
        <w:t xml:space="preserve">a </w:t>
      </w:r>
      <w:r w:rsidRPr="004B14EF">
        <w:rPr>
          <w:sz w:val="24"/>
          <w:lang w:val="en-US"/>
        </w:rPr>
        <w:t xml:space="preserve">TB incidence </w:t>
      </w:r>
      <w:r w:rsidR="003B2F99">
        <w:rPr>
          <w:sz w:val="24"/>
          <w:lang w:val="en-US"/>
        </w:rPr>
        <w:t xml:space="preserve">of </w:t>
      </w:r>
      <w:r w:rsidRPr="004B14EF">
        <w:rPr>
          <w:sz w:val="24"/>
          <w:lang w:val="en-US"/>
        </w:rPr>
        <w:t>245/100,000</w:t>
      </w:r>
      <w:r w:rsidR="003B2F99">
        <w:rPr>
          <w:sz w:val="24"/>
          <w:lang w:val="en-US"/>
        </w:rPr>
        <w:t xml:space="preserve"> people per year</w:t>
      </w:r>
      <w:r w:rsidRPr="004B14EF">
        <w:rPr>
          <w:sz w:val="24"/>
          <w:lang w:val="en-US"/>
        </w:rPr>
        <w:t>.</w:t>
      </w:r>
      <w:r w:rsidRPr="004B14EF">
        <w:rPr>
          <w:sz w:val="24"/>
          <w:lang w:val="en-US"/>
        </w:rPr>
        <w:fldChar w:fldCharType="begin" w:fldLock="1"/>
      </w:r>
      <w:r w:rsidR="000855E1">
        <w:rPr>
          <w:sz w:val="24"/>
          <w:lang w:val="en-US"/>
        </w:rPr>
        <w:instrText>ADDIN CSL_CITATION {"citationItems":[{"id":"ITEM-1","itemData":{"author":[{"dropping-particle":"","family":"National Tuberculosis Control Center","given":"","non-dropping-particle":"","parse-names":false,"suffix":""}],"id":"ITEM-1","issued":{"date-parts":[["2020"]]},"title":"Nepal National TB Prevalence Survey Brief","type":"report"},"uris":["http://www.mendeley.com/documents/?uuid=5a809763-da98-4290-af47-d282de9e1713","http://www.mendeley.com/documents/?uuid=db05613f-3e85-4076-8dac-bee779597dd8"]}],"mendeley":{"formattedCitation":"&lt;sup&gt;23&lt;/sup&gt;","plainTextFormattedCitation":"23","previouslyFormattedCitation":"&lt;sup&gt;23&lt;/sup&gt;"},"properties":{"noteIndex":0},"schema":"https://github.com/citation-style-language/schema/raw/master/csl-citation.json"}</w:instrText>
      </w:r>
      <w:r w:rsidRPr="004B14EF">
        <w:rPr>
          <w:sz w:val="24"/>
          <w:lang w:val="en-US"/>
        </w:rPr>
        <w:fldChar w:fldCharType="separate"/>
      </w:r>
      <w:r w:rsidR="00DE199B" w:rsidRPr="00DE199B">
        <w:rPr>
          <w:noProof/>
          <w:sz w:val="24"/>
          <w:vertAlign w:val="superscript"/>
          <w:lang w:val="en-US"/>
        </w:rPr>
        <w:t>23</w:t>
      </w:r>
      <w:r w:rsidRPr="004B14EF">
        <w:rPr>
          <w:sz w:val="24"/>
        </w:rPr>
        <w:fldChar w:fldCharType="end"/>
      </w:r>
      <w:r w:rsidRPr="004B14EF">
        <w:rPr>
          <w:sz w:val="24"/>
          <w:lang w:val="en-US"/>
        </w:rPr>
        <w:t xml:space="preserve"> </w:t>
      </w:r>
      <w:r w:rsidR="003B2F99">
        <w:rPr>
          <w:sz w:val="24"/>
          <w:lang w:val="en-US"/>
        </w:rPr>
        <w:t>Moreover</w:t>
      </w:r>
      <w:r>
        <w:rPr>
          <w:sz w:val="24"/>
          <w:lang w:val="en-US"/>
        </w:rPr>
        <w:t xml:space="preserve">, </w:t>
      </w:r>
      <w:r w:rsidRPr="003C482E">
        <w:rPr>
          <w:sz w:val="24"/>
        </w:rPr>
        <w:t>TB</w:t>
      </w:r>
      <w:r w:rsidR="003B2F99">
        <w:rPr>
          <w:sz w:val="24"/>
        </w:rPr>
        <w:t xml:space="preserve"> is</w:t>
      </w:r>
      <w:r w:rsidRPr="003C482E">
        <w:rPr>
          <w:sz w:val="24"/>
        </w:rPr>
        <w:t xml:space="preserve"> the seventh leading cause of death</w:t>
      </w:r>
      <w:r w:rsidR="003B2F99">
        <w:rPr>
          <w:sz w:val="24"/>
        </w:rPr>
        <w:t xml:space="preserve"> in Nepal</w:t>
      </w:r>
      <w:r w:rsidRPr="003C482E">
        <w:rPr>
          <w:sz w:val="24"/>
        </w:rPr>
        <w:t>.</w:t>
      </w:r>
      <w:r w:rsidRPr="003C482E">
        <w:rPr>
          <w:sz w:val="24"/>
          <w:lang w:bidi="en-US"/>
        </w:rPr>
        <w:fldChar w:fldCharType="begin" w:fldLock="1"/>
      </w:r>
      <w:r w:rsidR="000855E1">
        <w:rPr>
          <w:sz w:val="24"/>
          <w:lang w:bidi="en-US"/>
        </w:rPr>
        <w:instrText>ADDIN CSL_CITATION {"citationItems":[{"id":"ITEM-1","itemData":{"author":[{"dropping-particle":"","family":"NTC","given":"","non-dropping-particle":"","parse-names":false,"suffix":""}],"id":"ITEM-1","issued":{"date-parts":[["2018"]]},"title":"National Tuberculosis Program Nepal. Annual report 2074/75 (2018)","type":"report","volume":"75"},"uris":["http://www.mendeley.com/documents/?uuid=1035fbf2-43d7-4b06-ac06-3cb76077333c","http://www.mendeley.com/documents/?uuid=f4b82112-7fe1-4bd0-bd19-9967dff0f83d"]}],"mendeley":{"formattedCitation":"&lt;sup&gt;24&lt;/sup&gt;","plainTextFormattedCitation":"24","previouslyFormattedCitation":"&lt;sup&gt;24&lt;/sup&gt;"},"properties":{"noteIndex":0},"schema":"https://github.com/citation-style-language/schema/raw/master/csl-citation.json"}</w:instrText>
      </w:r>
      <w:r w:rsidRPr="003C482E">
        <w:rPr>
          <w:sz w:val="24"/>
          <w:lang w:bidi="en-US"/>
        </w:rPr>
        <w:fldChar w:fldCharType="separate"/>
      </w:r>
      <w:r w:rsidR="00DE199B" w:rsidRPr="00DE199B">
        <w:rPr>
          <w:noProof/>
          <w:sz w:val="24"/>
          <w:vertAlign w:val="superscript"/>
          <w:lang w:bidi="en-US"/>
        </w:rPr>
        <w:t>24</w:t>
      </w:r>
      <w:r w:rsidRPr="003C482E">
        <w:rPr>
          <w:sz w:val="24"/>
        </w:rPr>
        <w:fldChar w:fldCharType="end"/>
      </w:r>
      <w:r w:rsidRPr="003C482E">
        <w:rPr>
          <w:sz w:val="24"/>
        </w:rPr>
        <w:t xml:space="preserve"> </w:t>
      </w:r>
      <w:r>
        <w:rPr>
          <w:sz w:val="24"/>
        </w:rPr>
        <w:t>Multi-drug resistance (</w:t>
      </w:r>
      <w:r w:rsidRPr="00200415">
        <w:rPr>
          <w:sz w:val="24"/>
        </w:rPr>
        <w:t>MDR</w:t>
      </w:r>
      <w:r>
        <w:rPr>
          <w:sz w:val="24"/>
        </w:rPr>
        <w:t>)</w:t>
      </w:r>
      <w:r w:rsidRPr="00200415">
        <w:rPr>
          <w:sz w:val="24"/>
        </w:rPr>
        <w:t xml:space="preserve"> rates </w:t>
      </w:r>
      <w:r>
        <w:rPr>
          <w:sz w:val="24"/>
        </w:rPr>
        <w:t xml:space="preserve">are low </w:t>
      </w:r>
      <w:r w:rsidR="003B2F99">
        <w:rPr>
          <w:sz w:val="24"/>
        </w:rPr>
        <w:t>in new cases but affect approximately 1 in 7 people being retreated for TB</w:t>
      </w:r>
      <w:r w:rsidRPr="00200415">
        <w:rPr>
          <w:sz w:val="24"/>
        </w:rPr>
        <w:t>.</w:t>
      </w:r>
      <w:r w:rsidR="007E46EE">
        <w:rPr>
          <w:sz w:val="24"/>
        </w:rPr>
        <w:t xml:space="preserve"> Rates of treatment</w:t>
      </w:r>
      <w:r>
        <w:rPr>
          <w:sz w:val="24"/>
        </w:rPr>
        <w:t xml:space="preserve"> success </w:t>
      </w:r>
      <w:r w:rsidR="007E46EE">
        <w:rPr>
          <w:sz w:val="24"/>
        </w:rPr>
        <w:t xml:space="preserve">are over </w:t>
      </w:r>
      <w:r>
        <w:rPr>
          <w:sz w:val="24"/>
        </w:rPr>
        <w:t xml:space="preserve">90% </w:t>
      </w:r>
      <w:r w:rsidR="007E46EE">
        <w:rPr>
          <w:sz w:val="24"/>
        </w:rPr>
        <w:t>but lower for people with MDR-TB (70%) and very low for people with HIV-TB co-infection (9%). Trea</w:t>
      </w:r>
      <w:r>
        <w:rPr>
          <w:sz w:val="24"/>
        </w:rPr>
        <w:t xml:space="preserve">tment coverage </w:t>
      </w:r>
      <w:r w:rsidR="007E46EE">
        <w:rPr>
          <w:sz w:val="24"/>
        </w:rPr>
        <w:t xml:space="preserve">is </w:t>
      </w:r>
      <w:r>
        <w:rPr>
          <w:sz w:val="24"/>
        </w:rPr>
        <w:t>70%</w:t>
      </w:r>
      <w:r w:rsidR="007E46EE">
        <w:rPr>
          <w:sz w:val="24"/>
        </w:rPr>
        <w:t xml:space="preserve"> indicating difficulties with access to TB services</w:t>
      </w:r>
      <w:r>
        <w:rPr>
          <w:sz w:val="24"/>
        </w:rPr>
        <w:t xml:space="preserve">. </w:t>
      </w:r>
      <w:r w:rsidR="007E46EE">
        <w:rPr>
          <w:sz w:val="24"/>
        </w:rPr>
        <w:t xml:space="preserve">This is compounded by stigma and discrimination towards people with TB and self-stigmatisation, which have been </w:t>
      </w:r>
      <w:r w:rsidR="00EB1020">
        <w:rPr>
          <w:sz w:val="24"/>
        </w:rPr>
        <w:t xml:space="preserve">found to be prevalent in </w:t>
      </w:r>
      <w:r w:rsidR="007E46EE">
        <w:rPr>
          <w:sz w:val="24"/>
        </w:rPr>
        <w:t>cohort studies in Nepal</w:t>
      </w:r>
      <w:r w:rsidRPr="003C482E">
        <w:rPr>
          <w:sz w:val="24"/>
        </w:rPr>
        <w:t>.</w:t>
      </w:r>
      <w:r w:rsidRPr="003C482E">
        <w:rPr>
          <w:sz w:val="24"/>
        </w:rPr>
        <w:fldChar w:fldCharType="begin" w:fldLock="1"/>
      </w:r>
      <w:r w:rsidR="000855E1">
        <w:rPr>
          <w:sz w:val="24"/>
        </w:rPr>
        <w:instrText>ADDIN CSL_CITATION {"citationItems":[{"id":"ITEM-1","itemData":{"DOI":"10.1186/1471-2458-14-46","ISBN":"1471-2458 (Electronic)\\r1471-2458 (Linking)","ISSN":"14712458","PMID":"24438351","abstract":"BACKGROUND: People with multi-drug resistant tuberculosis (MDR-TB) in low-income countries face many problems during treatment, and cure rates are low. The purpose of the study was (a) to identify and document the problems experienced by people receiving care for MDR-TB, and how they cope when support is not provided, to inform development of strategies; (b) to estimate the effectiveness of two resultant strategies, counselling alone, and joint counselling and financial support, of increasing DOTS-plus treatment success under routine programme conditions.\\n\\nMETHODS: A mixed-method study comprising a formative qualitative study, pilot intervention study and explanatory qualitative study to better understand barriers to completion of treatment for MDR-TB. Participants were all people starting MDR-TB treatment in seven DOTS-plus centres in the Kathmandu Valley, Nepal during January to December 2008. The primary outcome measure was cure, as internationally defined.\\n\\nRESULTS: MDR-TB treatment caused extreme social, financial and employment hardship. Most patients had to move house and leave their job, and reported major stigmatisation. They were concerned about the long-term effects of their disease, and feared infecting others. In the resultant pilot intervention study, the two strategies appeared to improve treatment outcomes: cure rates for those receiving counselling, combined support and no support were 85%, 76% and 67% respectively. Compared with no support, the (adjusted) risk ratios of cure for those receiving counselling and receiving combined support were 1.2 (95% CI 1.0 to 1.6) and 1.2 (95% CI 0.9 to 1.6) respectively. The explanatory study demonstrated that patients valued both forms of support.\\n\\nCONCLUSIONS: MDR-TB patients are extremely vulnerable to stigma and extreme financial hardship. Provision of counselling and financial support may not only reduce their vulnerability, but also increase cure rates. National Tuberculosis Programmes should consider incorporating financial support and counselling into MDR-TB care: costs are low, and benefits high, especially since costs to society of incomplete treatment and potential for incurable TB are extremely high.","author":[{"dropping-particle":"","family":"Baral","given":"Sushil C.","non-dropping-particle":"","parse-names":false,"suffix":""},{"dropping-particle":"","family":"Aryal","given":"Yeshoda","non-dropping-particle":"","parse-names":false,"suffix":""},{"dropping-particle":"","family":"Bhattrai","given":"Rekha","non-dropping-particle":"","parse-names":false,"suffix":""},{"dropping-particle":"","family":"King","given":"Rebecca","non-dropping-particle":"","parse-names":false,"suffix":""},{"dropping-particle":"","family":"Newell","given":"James N.","non-dropping-particle":"","parse-names":false,"suffix":""}],"container-title":"BMC Public Health","id":"ITEM-1","issue":"1","issued":{"date-parts":[["2014"]]},"title":"The importance of providing counselling and financial support to patients receiving treatment for multi-drug resistant TB: Mixed method qualitative and pilot intervention studies","type":"article-journal","volume":"14"},"uris":["http://www.mendeley.com/documents/?uuid=315490d9-f6a1-4565-a34f-304e1daae230"]},{"id":"ITEM-2","itemData":{"author":[{"dropping-particle":"","family":"Dixit","given":"K","non-dropping-particle":"","parse-names":false,"suffix":""},{"dropping-particle":"","family":"Gurung","given":"SC","non-dropping-particle":"","parse-names":false,"suffix":""},{"dropping-particle":"","family":"Dhital","given":"R","non-dropping-particle":"","parse-names":false,"suffix":""},{"dropping-particle":"","family":"Rai","given":"B","non-dropping-particle":"","parse-names":false,"suffix":""},{"dropping-particle":"","family":"Caws","given":"M","non-dropping-particle":"","parse-names":false,"suffix":""},{"dropping-particle":"","family":"Wingfield","given":"T","non-dropping-particle":"","parse-names":false,"suffix":""}],"container-title":"The 50th Union World Conference on Lung Health","id":"ITEM-2","issued":{"date-parts":[["2019"]]},"page":"PS-33-C8","title":"Barriers and facilitators to accessing and engaging in tuberculosis care: a qualitative study from Nepal","type":"paper-conference"},"uris":["http://www.mendeley.com/documents/?uuid=19afa42b-9e39-4763-a7e3-178918679987"]},{"id":"ITEM-3","itemData":{"author":[{"dropping-particle":"","family":"Dixit","given":"K","non-dropping-particle":"","parse-names":false,"suffix":""},{"dropping-particle":"","family":"Gurung","given":"SC","non-dropping-particle":"","parse-names":false,"suffix":""},{"dropping-particle":"","family":"Dhital","given":"R","non-dropping-particle":"","parse-names":false,"suffix":""},{"dropping-particle":"","family":"Caws","given":"M","non-dropping-particle":"","parse-names":false,"suffix":""},{"dropping-particle":"","family":"Wingfield","given":"T","non-dropping-particle":"","parse-names":false,"suffix":""}],"container-title":"11th European Congress on Tropical Medicine and International Health","id":"ITEM-3","issued":{"date-parts":[["2019"]]},"page":"Poster 948","title":"Patient and stakeholder perspectives on barriers and facilitators to tuberculosis care in Nepal","type":"paper-conference"},"uris":["http://www.mendeley.com/documents/?uuid=4de82ac0-58f4-4cae-b686-940f9b853e64"]}],"mendeley":{"formattedCitation":"&lt;sup&gt;14,15,25&lt;/sup&gt;","plainTextFormattedCitation":"14,15,25","previouslyFormattedCitation":"&lt;sup&gt;14,15,25&lt;/sup&gt;"},"properties":{"noteIndex":0},"schema":"https://github.com/citation-style-language/schema/raw/master/csl-citation.json"}</w:instrText>
      </w:r>
      <w:r w:rsidRPr="003C482E">
        <w:rPr>
          <w:sz w:val="24"/>
        </w:rPr>
        <w:fldChar w:fldCharType="separate"/>
      </w:r>
      <w:r w:rsidR="00DE199B" w:rsidRPr="00DE199B">
        <w:rPr>
          <w:noProof/>
          <w:sz w:val="24"/>
          <w:vertAlign w:val="superscript"/>
        </w:rPr>
        <w:t>14,15,25</w:t>
      </w:r>
      <w:r w:rsidRPr="003C482E">
        <w:rPr>
          <w:sz w:val="24"/>
        </w:rPr>
        <w:fldChar w:fldCharType="end"/>
      </w:r>
    </w:p>
    <w:p w14:paraId="22A17663" w14:textId="3EF8A5DE" w:rsidR="00DD7EA9" w:rsidRPr="004B14EF" w:rsidRDefault="00DD7EA9" w:rsidP="00DD7EA9">
      <w:pPr>
        <w:jc w:val="both"/>
        <w:rPr>
          <w:sz w:val="24"/>
          <w:lang w:val="en-US"/>
        </w:rPr>
      </w:pPr>
      <w:r w:rsidRPr="004B14EF">
        <w:rPr>
          <w:sz w:val="24"/>
          <w:lang w:val="en-US"/>
        </w:rPr>
        <w:t xml:space="preserve">The National Tuberculosis Program (NTP) strategy focuses on a biomedical approach to address TB, including recent advances such as </w:t>
      </w:r>
      <w:r w:rsidR="00EB1020">
        <w:rPr>
          <w:sz w:val="24"/>
          <w:lang w:val="en-US"/>
        </w:rPr>
        <w:t>expanded access to</w:t>
      </w:r>
      <w:r w:rsidRPr="004B14EF">
        <w:rPr>
          <w:sz w:val="24"/>
          <w:lang w:val="en-US"/>
        </w:rPr>
        <w:t xml:space="preserve"> molecular diagnostic tests such as Xpert MTB/RIF®.</w:t>
      </w:r>
      <w:r w:rsidRPr="004B14EF">
        <w:rPr>
          <w:sz w:val="24"/>
          <w:lang w:val="en-US"/>
        </w:rPr>
        <w:fldChar w:fldCharType="begin" w:fldLock="1"/>
      </w:r>
      <w:r w:rsidR="000855E1">
        <w:rPr>
          <w:sz w:val="24"/>
          <w:lang w:val="en-US"/>
        </w:rPr>
        <w:instrText>ADDIN CSL_CITATION {"citationItems":[{"id":"ITEM-1","itemData":{"author":[{"dropping-particle":"","family":"NTC","given":"","non-dropping-particle":"","parse-names":false,"suffix":""}],"id":"ITEM-1","issued":{"date-parts":[["2018"]]},"title":"National Tuberculosis Program Nepal. Annual report 2074/75 (2018)","type":"report","volume":"75"},"uris":["http://www.mendeley.com/documents/?uuid=f4b82112-7fe1-4bd0-bd19-9967dff0f83d"]}],"mendeley":{"formattedCitation":"&lt;sup&gt;24&lt;/sup&gt;","plainTextFormattedCitation":"24","previouslyFormattedCitation":"&lt;sup&gt;24&lt;/sup&gt;"},"properties":{"noteIndex":0},"schema":"https://github.com/citation-style-language/schema/raw/master/csl-citation.json"}</w:instrText>
      </w:r>
      <w:r w:rsidRPr="004B14EF">
        <w:rPr>
          <w:sz w:val="24"/>
          <w:lang w:val="en-US"/>
        </w:rPr>
        <w:fldChar w:fldCharType="separate"/>
      </w:r>
      <w:r w:rsidR="00DE199B" w:rsidRPr="00DE199B">
        <w:rPr>
          <w:noProof/>
          <w:sz w:val="24"/>
          <w:vertAlign w:val="superscript"/>
          <w:lang w:val="en-US"/>
        </w:rPr>
        <w:t>24</w:t>
      </w:r>
      <w:r w:rsidRPr="004B14EF">
        <w:rPr>
          <w:sz w:val="24"/>
        </w:rPr>
        <w:fldChar w:fldCharType="end"/>
      </w:r>
      <w:r w:rsidRPr="004B14EF">
        <w:rPr>
          <w:sz w:val="24"/>
          <w:lang w:val="en-US"/>
        </w:rPr>
        <w:t xml:space="preserve"> Nevertheless, despite free basic TB diagnostic tests and medicines and financial support for people with </w:t>
      </w:r>
      <w:r w:rsidR="00277CF3">
        <w:rPr>
          <w:sz w:val="24"/>
          <w:lang w:val="en-US"/>
        </w:rPr>
        <w:t>MDR-TB</w:t>
      </w:r>
      <w:r w:rsidRPr="004B14EF">
        <w:rPr>
          <w:sz w:val="24"/>
          <w:lang w:val="en-US"/>
        </w:rPr>
        <w:t xml:space="preserve">, </w:t>
      </w:r>
      <w:r w:rsidR="00277CF3">
        <w:rPr>
          <w:sz w:val="24"/>
          <w:lang w:val="en-US"/>
        </w:rPr>
        <w:t>50% of TB-affected</w:t>
      </w:r>
      <w:r w:rsidRPr="004B14EF">
        <w:rPr>
          <w:sz w:val="24"/>
          <w:lang w:val="en-US"/>
        </w:rPr>
        <w:t xml:space="preserve"> people </w:t>
      </w:r>
      <w:r w:rsidR="00277CF3">
        <w:rPr>
          <w:sz w:val="24"/>
          <w:lang w:val="en-US"/>
        </w:rPr>
        <w:t xml:space="preserve">experience </w:t>
      </w:r>
      <w:r w:rsidRPr="004B14EF">
        <w:rPr>
          <w:sz w:val="24"/>
          <w:lang w:val="en-US"/>
        </w:rPr>
        <w:t>catastrophic costs (</w:t>
      </w:r>
      <w:r w:rsidR="00277CF3">
        <w:rPr>
          <w:sz w:val="24"/>
          <w:lang w:val="en-US"/>
        </w:rPr>
        <w:t xml:space="preserve">defined as </w:t>
      </w:r>
      <w:r w:rsidRPr="004B14EF">
        <w:rPr>
          <w:sz w:val="24"/>
          <w:lang w:val="en-US"/>
        </w:rPr>
        <w:t>total TB-related costs and lo</w:t>
      </w:r>
      <w:r w:rsidR="00277CF3">
        <w:rPr>
          <w:sz w:val="24"/>
          <w:lang w:val="en-US"/>
        </w:rPr>
        <w:t>st</w:t>
      </w:r>
      <w:r w:rsidRPr="004B14EF">
        <w:rPr>
          <w:sz w:val="24"/>
          <w:lang w:val="en-US"/>
        </w:rPr>
        <w:t xml:space="preserve"> income &gt;20% of a household’s annual income) </w:t>
      </w:r>
      <w:r w:rsidR="00277CF3">
        <w:rPr>
          <w:sz w:val="24"/>
          <w:lang w:val="en-US"/>
        </w:rPr>
        <w:t>of TB illness and care seeking</w:t>
      </w:r>
      <w:r w:rsidRPr="004B14EF">
        <w:rPr>
          <w:sz w:val="24"/>
          <w:lang w:val="en-US"/>
        </w:rPr>
        <w:t xml:space="preserve"> in Nepal. Such costs include travel for Directly Observed Therapy (DOT),</w:t>
      </w:r>
      <w:r w:rsidR="00277CF3">
        <w:rPr>
          <w:sz w:val="24"/>
          <w:lang w:val="en-US"/>
        </w:rPr>
        <w:t xml:space="preserve"> expenses for additional nutrition</w:t>
      </w:r>
      <w:r w:rsidRPr="004B14EF">
        <w:rPr>
          <w:sz w:val="24"/>
          <w:lang w:val="en-US"/>
        </w:rPr>
        <w:t>, and los</w:t>
      </w:r>
      <w:r w:rsidR="00277CF3">
        <w:rPr>
          <w:sz w:val="24"/>
          <w:lang w:val="en-US"/>
        </w:rPr>
        <w:t>s of</w:t>
      </w:r>
      <w:r w:rsidRPr="004B14EF">
        <w:rPr>
          <w:sz w:val="24"/>
          <w:lang w:val="en-US"/>
        </w:rPr>
        <w:t xml:space="preserve"> income, which can </w:t>
      </w:r>
      <w:r w:rsidR="00277CF3">
        <w:rPr>
          <w:sz w:val="24"/>
          <w:lang w:val="en-US"/>
        </w:rPr>
        <w:t xml:space="preserve">lead to lower rates of TB treatment success, </w:t>
      </w:r>
      <w:r w:rsidRPr="004B14EF">
        <w:rPr>
          <w:sz w:val="24"/>
          <w:lang w:val="en-US"/>
        </w:rPr>
        <w:t xml:space="preserve">especially </w:t>
      </w:r>
      <w:r w:rsidR="00277CF3">
        <w:rPr>
          <w:sz w:val="24"/>
          <w:lang w:val="en-US"/>
        </w:rPr>
        <w:t>amongst underserved</w:t>
      </w:r>
      <w:r w:rsidRPr="004B14EF">
        <w:rPr>
          <w:sz w:val="24"/>
          <w:lang w:val="en-US"/>
        </w:rPr>
        <w:t xml:space="preserve"> households.</w:t>
      </w:r>
      <w:r w:rsidRPr="004B14EF">
        <w:rPr>
          <w:sz w:val="24"/>
          <w:lang w:val="en-US"/>
        </w:rPr>
        <w:fldChar w:fldCharType="begin" w:fldLock="1"/>
      </w:r>
      <w:r w:rsidR="000855E1">
        <w:rPr>
          <w:sz w:val="24"/>
          <w:lang w:val="en-US"/>
        </w:rPr>
        <w:instrText>ADDIN CSL_CITATION {"citationItems":[{"id":"ITEM-1","itemData":{"author":[{"dropping-particle":"","family":"Bam","given":"T S","non-dropping-particle":"","parse-names":false,"suffix":""},{"dropping-particle":"","family":"Gunneberg","given":"C","non-dropping-particle":"","parse-names":false,"suffix":""},{"dropping-particle":"","family":"Chamroonsawasdi","given":"K","non-dropping-particle":"","parse-names":false,"suffix":""},{"dropping-particle":"","family":"Bam","given":"D S","non-dropping-particle":"","parse-names":false,"suffix":""},{"dropping-particle":"","family":"Aalberg","given":"O","non-dropping-particle":"","parse-names":false,"suffix":""},{"dropping-particle":"","family":"Kasland","given":"O","non-dropping-particle":"","parse-names":false,"suffix":""},{"dropping-particle":"","family":"Shiyalap","given":"K","non-dropping-particle":"","parse-names":false,"suffix":""},{"dropping-particle":"","family":"Srisorrachatr","given":"S","non-dropping-particle":"","parse-names":false,"suffix":""}],"id":"ITEM-1","issue":"9517","issued":{"date-parts":[["2006"]]},"page":"270-276","title":"Factors affecting patient adherence to DOTS in urban Kathmandu , Nepal","type":"article-journal","volume":"10"},"uris":["http://www.mendeley.com/documents/?uuid=dcbbde11-a08f-4919-86ab-d502f45dd658"]},{"id":"ITEM-2","itemData":{"DOI":"10.1186/1471-2458-14-46","ISBN":"1471-2458 (Electronic)\\r1471-2458 (Linking)","ISSN":"14712458","PMID":"24438351","abstract":"BACKGROUND: People with multi-drug resistant tuberculosis (MDR-TB) in low-income countries face many problems during treatment, and cure rates are low. The purpose of the study was (a) to identify and document the problems experienced by people receiving care for MDR-TB, and how they cope when support is not provided, to inform development of strategies; (b) to estimate the effectiveness of two resultant strategies, counselling alone, and joint counselling and financial support, of increasing DOTS-plus treatment success under routine programme conditions.\\n\\nMETHODS: A mixed-method study comprising a formative qualitative study, pilot intervention study and explanatory qualitative study to better understand barriers to completion of treatment for MDR-TB. Participants were all people starting MDR-TB treatment in seven DOTS-plus centres in the Kathmandu Valley, Nepal during January to December 2008. The primary outcome measure was cure, as internationally defined.\\n\\nRESULTS: MDR-TB treatment caused extreme social, financial and employment hardship. Most patients had to move house and leave their job, and reported major stigmatisation. They were concerned about the long-term effects of their disease, and feared infecting others. In the resultant pilot intervention study, the two strategies appeared to improve treatment outcomes: cure rates for those receiving counselling, combined support and no support were 85%, 76% and 67% respectively. Compared with no support, the (adjusted) risk ratios of cure for those receiving counselling and receiving combined support were 1.2 (95% CI 1.0 to 1.6) and 1.2 (95% CI 0.9 to 1.6) respectively. The explanatory study demonstrated that patients valued both forms of support.\\n\\nCONCLUSIONS: MDR-TB patients are extremely vulnerable to stigma and extreme financial hardship. Provision of counselling and financial support may not only reduce their vulnerability, but also increase cure rates. National Tuberculosis Programmes should consider incorporating financial support and counselling into MDR-TB care: costs are low, and benefits high, especially since costs to society of incomplete treatment and potential for incurable TB are extremely high.","author":[{"dropping-particle":"","family":"Baral","given":"Sushil C.","non-dropping-particle":"","parse-names":false,"suffix":""},{"dropping-particle":"","family":"Aryal","given":"Yeshoda","non-dropping-particle":"","parse-names":false,"suffix":""},{"dropping-particle":"","family":"Bhattrai","given":"Rekha","non-dropping-particle":"","parse-names":false,"suffix":""},{"dropping-particle":"","family":"King","given":"Rebecca","non-dropping-particle":"","parse-names":false,"suffix":""},{"dropping-particle":"","family":"Newell","given":"James N.","non-dropping-particle":"","parse-names":false,"suffix":""}],"container-title":"BMC Public Health","id":"ITEM-2","issue":"1","issued":{"date-parts":[["2014"]]},"title":"The importance of providing counselling and financial support to patients receiving treatment for multi-drug resistant TB: Mixed method qualitative and pilot intervention studies","type":"article-journal","volume":"14"},"uris":["http://www.mendeley.com/documents/?uuid=315490d9-f6a1-4565-a34f-304e1daae230"]},{"id":"ITEM-3","itemData":{"DOI":"10.1186/s40249-016-0117-x","ISBN":"2049-9957 (Electronic)\\r2049-9957 (Linking)","ISSN":"20499957","PMID":"27009093","abstract":"BACKGROUND: A major impediment to the treatment of TB is a diagnostic process that requires multiple visits. Descriptions of patient costs associated with diagnosis use different protocols and are not comparable. METHODS: We aimed to describe the direct costs incurred by adults attending TB diagnostic centres in four countries and factors associated with expenditure for diagnosis. Surveys of 2225 adults attending smear-microscopy centres in Nigeria, Nepal, Ethiopia and Yemen. Adults &gt;18 years with cough &gt;2 weeks were enrolled prospectively. Direct costs were quantified using structured questionnaires. Patients with costs &gt;75(th) quartile were considered to have high expenditure (cases) and compared with patients with costs &lt;75(th) quartile to identify factors associated with high expenditure. RESULTS: The most significant expenses were due to clinic fees and transport. Most participants attended the centres with companions. High expenditure was associated with attending with company, residing in rural areas/other towns and illiteracy. CONCLUSIONS: The costs incurred by patients are substantial and share common patterns across countries. Removing user fees, transparent charging policies and reimbursing clinic expenses would reduce the poverty-inducing effects of direct diagnostic costs. In locations with limited resources, support could be prioritised for those most at risk of high expenditure; those who are illiterate, attend the service with company and rural residents.","author":[{"dropping-particle":"","family":"Cuevas","given":"Rachel M.Anderson","non-dropping-particle":"de","parse-names":false,"suffix":""},{"dropping-particle":"","family":"Lawson","given":"Lovett","non-dropping-particle":"","parse-names":false,"suffix":""},{"dropping-particle":"","family":"Al-Sonboli","given":"Najla","non-dropping-particle":"","parse-names":false,"suffix":""},{"dropping-particle":"","family":"Al-Aghbari","given":"Nasher","non-dropping-particle":"","parse-names":false,"suffix":""},{"dropping-particle":"","family":"Arbide","given":"Isabel","non-dropping-particle":"","parse-names":false,"suffix":""},{"dropping-particle":"","family":"Sherchand","given":"Jeevan B.","non-dropping-particle":"","parse-names":false,"suffix":""},{"dropping-particle":"","family":"Nnamdi","given":"Emenyonu E.","non-dropping-particle":"","parse-names":false,"suffix":""},{"dropping-particle":"","family":"Aseffa","given":"Abraham","non-dropping-particle":"","parse-names":false,"suffix":""},{"dropping-particle":"","family":"Yassin","given":"Mohammed A.","non-dropping-particle":"","parse-names":false,"suffix":""},{"dropping-particle":"","family":"Abdurrahman","given":"Saddiq T.","non-dropping-particle":"","parse-names":false,"suffix":""},{"dropping-particle":"","family":"Obasanya","given":"Joshua","non-dropping-particle":"","parse-names":false,"suffix":""},{"dropping-particle":"","family":"Olanrewaju","given":"Oladimeji","non-dropping-particle":"","parse-names":false,"suffix":""},{"dropping-particle":"","family":"Datiko","given":"Daniel","non-dropping-particle":"","parse-names":false,"suffix":""},{"dropping-particle":"","family":"Theobald","given":"Sally J.","non-dropping-particle":"","parse-names":false,"suffix":""},{"dropping-particle":"","family":"Ramsay","given":"Andrew","non-dropping-particle":"","parse-names":false,"suffix":""},{"dropping-particle":"","family":"Squire","given":"S. Bertel","non-dropping-particle":"","parse-names":false,"suffix":""},{"dropping-particle":"","family":"Cuevas","given":"Luis E.","non-dropping-particle":"","parse-names":false,"suffix":""}],"container-title":"Infectious Diseases of Poverty","id":"ITEM-3","issue":"1","issued":{"date-parts":[["2016"]]},"page":"1-9","publisher":"Infectious Diseases of Poverty","title":"Patients direct costs to undergo TB diagnosis","type":"article-journal","volume":"5"},"uris":["http://www.mendeley.com/documents/?uuid=bb8569a5-a8fd-48bf-99e7-72939e2eb9c5"]},{"id":"ITEM-4","itemData":{"author":[{"dropping-particle":"","family":"Gurung","given":"S","non-dropping-particle":"","parse-names":false,"suffix":""},{"dropping-particle":"","family":"Dixit","given":"K","non-dropping-particle":"","parse-names":false,"suffix":""},{"dropping-particle":"","family":"Rai","given":"B","non-dropping-particle":"","parse-names":false,"suffix":""},{"dropping-particle":"","family":"Caws","given":"M","non-dropping-particle":"","parse-names":false,"suffix":""},{"dropping-particle":"","family":"Paudel","given":"PR","non-dropping-particle":"","parse-names":false,"suffix":""},{"dropping-particle":"","family":"Dhital","given":"R","non-dropping-particle":"","parse-names":false,"suffix":""},{"dropping-particle":"","family":"Acharya","given":"S","non-dropping-particle":"","parse-names":false,"suffix":""},{"dropping-particle":"","family":"Budhathoki","given":"G","non-dropping-particle":"","parse-names":false,"suffix":""},{"dropping-particle":"","family":"Malla","given":"D","non-dropping-particle":"","parse-names":false,"suffix":""},{"dropping-particle":"","family":"Levy","given":"JW","non-dropping-particle":"","parse-names":false,"suffix":""},{"dropping-particle":"","family":"Rest","given":"J","non-dropping-particle":"van","parse-names":false,"suffix":""},{"dropping-particle":"","family":"Lonnroth","given":"K","non-dropping-particle":"","parse-names":false,"suffix":""},{"dropping-particle":"","family":"Viney","given":"K","non-dropping-particle":"","parse-names":false,"suffix":""},{"dropping-particle":"","family":"Ramsay","given":"A","non-dropping-particle":"","parse-names":false,"suffix":""},{"dropping-particle":"","family":"Wingfield","given":"T","non-dropping-particle":"","parse-names":false,"suffix":""},{"dropping-particle":"","family":"Basnyat","given":"B","non-dropping-particle":"","parse-names":false,"suffix":""},{"dropping-particle":"","family":"Thapa","given":"A","non-dropping-particle":"","parse-names":false,"suffix":""},{"dropping-particle":"","family":"Squire","given":"SB","non-dropping-particle":"","parse-names":false,"suffix":""},{"dropping-particle":"","family":"Wang","given":"D","non-dropping-particle":"","parse-names":false,"suffix":""},{"dropping-particle":"","family":"Mishra","given":"G","non-dropping-particle":"","parse-names":false,"suffix":""},{"dropping-particle":"","family":"Shah","given":"K","non-dropping-particle":"","parse-names":false,"suffix":""},{"dropping-particle":"","family":"Shreshta","given":"S","non-dropping-particle":"","parse-names":false,"suffix":""},{"dropping-particle":"","family":"Teixeira de Siqueira-Filha","given":"N","non-dropping-particle":"","parse-names":false,"suffix":""}],"container-title":"Infectious Diseases of Poverty","id":"ITEM-4","issue":"99","issued":{"date-parts":[["2019"]]},"title":"The role of active case finding in reducing patient incurred catastrophic costs for tuberculosis in Nepal","type":"article-journal","volume":"8"},"uris":["http://www.mendeley.com/documents/?uuid=7ee77266-f415-42d6-9a20-b7b371f23db2"]}],"mendeley":{"formattedCitation":"&lt;sup&gt;13,25–27&lt;/sup&gt;","plainTextFormattedCitation":"13,25–27","previouslyFormattedCitation":"&lt;sup&gt;13,25–27&lt;/sup&gt;"},"properties":{"noteIndex":0},"schema":"https://github.com/citation-style-language/schema/raw/master/csl-citation.json"}</w:instrText>
      </w:r>
      <w:r w:rsidRPr="004B14EF">
        <w:rPr>
          <w:sz w:val="24"/>
          <w:lang w:val="en-US"/>
        </w:rPr>
        <w:fldChar w:fldCharType="separate"/>
      </w:r>
      <w:r w:rsidR="00DE199B" w:rsidRPr="00DE199B">
        <w:rPr>
          <w:noProof/>
          <w:sz w:val="24"/>
          <w:vertAlign w:val="superscript"/>
          <w:lang w:val="en-US"/>
        </w:rPr>
        <w:t>13,25–27</w:t>
      </w:r>
      <w:r w:rsidRPr="004B14EF">
        <w:rPr>
          <w:sz w:val="24"/>
        </w:rPr>
        <w:fldChar w:fldCharType="end"/>
      </w:r>
      <w:r w:rsidRPr="004B14EF">
        <w:rPr>
          <w:sz w:val="24"/>
          <w:lang w:val="en-US"/>
        </w:rPr>
        <w:t xml:space="preserve"> </w:t>
      </w:r>
      <w:r>
        <w:rPr>
          <w:sz w:val="24"/>
          <w:lang w:val="en-US"/>
        </w:rPr>
        <w:t>To address this, Objective 1 of the Ministry of Health and Population National TB Control Centre’s National Strategic Plan to End Tuberculosis in Nepal, 2021-2026 is “</w:t>
      </w:r>
      <w:r w:rsidR="00277CF3">
        <w:rPr>
          <w:sz w:val="24"/>
          <w:lang w:val="en-US"/>
        </w:rPr>
        <w:t>t</w:t>
      </w:r>
      <w:r>
        <w:rPr>
          <w:sz w:val="24"/>
          <w:lang w:val="en-US"/>
        </w:rPr>
        <w:t>o strengthen the health system and improve quality TB services under universal health coverage and ensure no TB-affected family faces catastrophic costs due to TB by 2025”.</w:t>
      </w:r>
    </w:p>
    <w:p w14:paraId="27477C6C" w14:textId="03663014" w:rsidR="00DD7EA9" w:rsidRDefault="00277CF3" w:rsidP="00DD7EA9">
      <w:pPr>
        <w:jc w:val="both"/>
        <w:rPr>
          <w:sz w:val="24"/>
          <w:lang w:val="en-US"/>
        </w:rPr>
      </w:pPr>
      <w:r>
        <w:rPr>
          <w:sz w:val="24"/>
        </w:rPr>
        <w:t>Fewer than one in two people</w:t>
      </w:r>
      <w:r w:rsidR="00DD7EA9" w:rsidRPr="003C482E">
        <w:rPr>
          <w:sz w:val="24"/>
        </w:rPr>
        <w:t xml:space="preserve"> </w:t>
      </w:r>
      <w:r>
        <w:rPr>
          <w:sz w:val="24"/>
        </w:rPr>
        <w:t>in Nepal are</w:t>
      </w:r>
      <w:r w:rsidR="00DD7EA9" w:rsidRPr="003C482E">
        <w:rPr>
          <w:sz w:val="24"/>
        </w:rPr>
        <w:t xml:space="preserve"> </w:t>
      </w:r>
      <w:r>
        <w:rPr>
          <w:sz w:val="24"/>
        </w:rPr>
        <w:t>covered</w:t>
      </w:r>
      <w:r w:rsidR="00DD7EA9" w:rsidRPr="003C482E">
        <w:rPr>
          <w:sz w:val="24"/>
        </w:rPr>
        <w:t xml:space="preserve"> by a basic social protection floor and one</w:t>
      </w:r>
      <w:r>
        <w:rPr>
          <w:sz w:val="24"/>
        </w:rPr>
        <w:t xml:space="preserve"> in four</w:t>
      </w:r>
      <w:r w:rsidR="00DD7EA9" w:rsidRPr="003C482E">
        <w:rPr>
          <w:sz w:val="24"/>
        </w:rPr>
        <w:t xml:space="preserve"> live </w:t>
      </w:r>
      <w:r>
        <w:rPr>
          <w:sz w:val="24"/>
        </w:rPr>
        <w:t>in poverty</w:t>
      </w:r>
      <w:r w:rsidR="00DD7EA9" w:rsidRPr="003C482E">
        <w:rPr>
          <w:sz w:val="24"/>
        </w:rPr>
        <w:t>.</w:t>
      </w:r>
      <w:r w:rsidR="00DD7EA9" w:rsidRPr="003C482E">
        <w:rPr>
          <w:sz w:val="24"/>
        </w:rPr>
        <w:fldChar w:fldCharType="begin" w:fldLock="1"/>
      </w:r>
      <w:r w:rsidR="000855E1">
        <w:rPr>
          <w:sz w:val="24"/>
        </w:rPr>
        <w:instrText>ADDIN CSL_CITATION {"citationItems":[{"id":"ITEM-1","itemData":{"ISBN":"978-92-4-156564-6","author":[{"dropping-particle":"","family":"WHO","given":"","non-dropping-particle":"","parse-names":false,"suffix":""}],"id":"ITEM-1","issued":{"date-parts":[["2018"]]},"title":"World Health Organisation Global Tuberculosis Report 2018","type":"report"},"uris":["http://www.mendeley.com/documents/?uuid=7347bce4-26b9-450f-9ac5-ded6c7020a3e"]}],"mendeley":{"formattedCitation":"&lt;sup&gt;28&lt;/sup&gt;","plainTextFormattedCitation":"28","previouslyFormattedCitation":"&lt;sup&gt;28&lt;/sup&gt;"},"properties":{"noteIndex":0},"schema":"https://github.com/citation-style-language/schema/raw/master/csl-citation.json"}</w:instrText>
      </w:r>
      <w:r w:rsidR="00DD7EA9" w:rsidRPr="003C482E">
        <w:rPr>
          <w:sz w:val="24"/>
        </w:rPr>
        <w:fldChar w:fldCharType="separate"/>
      </w:r>
      <w:r w:rsidR="00DE199B" w:rsidRPr="00DE199B">
        <w:rPr>
          <w:noProof/>
          <w:sz w:val="24"/>
          <w:vertAlign w:val="superscript"/>
        </w:rPr>
        <w:t>28</w:t>
      </w:r>
      <w:r w:rsidR="00DD7EA9" w:rsidRPr="003C482E">
        <w:rPr>
          <w:sz w:val="24"/>
        </w:rPr>
        <w:fldChar w:fldCharType="end"/>
      </w:r>
      <w:r w:rsidR="00DD7EA9" w:rsidRPr="003C482E">
        <w:rPr>
          <w:sz w:val="24"/>
        </w:rPr>
        <w:t xml:space="preserve"> Despite </w:t>
      </w:r>
      <w:r w:rsidR="00E56CBF">
        <w:rPr>
          <w:sz w:val="24"/>
        </w:rPr>
        <w:t>widespread use of DOT</w:t>
      </w:r>
      <w:r w:rsidR="00DD7EA9" w:rsidRPr="003C482E">
        <w:rPr>
          <w:sz w:val="24"/>
        </w:rPr>
        <w:t xml:space="preserve">, </w:t>
      </w:r>
      <w:r w:rsidR="00E56CBF">
        <w:rPr>
          <w:sz w:val="24"/>
        </w:rPr>
        <w:t>greater</w:t>
      </w:r>
      <w:r w:rsidR="00DD7EA9" w:rsidRPr="003C482E">
        <w:rPr>
          <w:sz w:val="24"/>
        </w:rPr>
        <w:t xml:space="preserve"> GeneXpert </w:t>
      </w:r>
      <w:r w:rsidR="00E56CBF">
        <w:rPr>
          <w:sz w:val="24"/>
        </w:rPr>
        <w:t>coverage</w:t>
      </w:r>
      <w:r w:rsidR="00DD7EA9" w:rsidRPr="003C482E">
        <w:rPr>
          <w:sz w:val="24"/>
        </w:rPr>
        <w:t xml:space="preserve">, and </w:t>
      </w:r>
      <w:r w:rsidR="00E56CBF">
        <w:rPr>
          <w:sz w:val="24"/>
        </w:rPr>
        <w:t>intensified</w:t>
      </w:r>
      <w:r w:rsidR="00DD7EA9" w:rsidRPr="003C482E">
        <w:rPr>
          <w:sz w:val="24"/>
        </w:rPr>
        <w:t xml:space="preserve"> case finding, TB </w:t>
      </w:r>
      <w:r w:rsidR="00E56CBF">
        <w:rPr>
          <w:sz w:val="24"/>
        </w:rPr>
        <w:t>services</w:t>
      </w:r>
      <w:r w:rsidR="00DD7EA9" w:rsidRPr="003C482E">
        <w:rPr>
          <w:sz w:val="24"/>
        </w:rPr>
        <w:t xml:space="preserve"> in Nepal </w:t>
      </w:r>
      <w:r w:rsidR="00E56CBF">
        <w:rPr>
          <w:sz w:val="24"/>
        </w:rPr>
        <w:t>are challenged</w:t>
      </w:r>
      <w:r w:rsidR="00DD7EA9" w:rsidRPr="003C482E">
        <w:rPr>
          <w:sz w:val="24"/>
        </w:rPr>
        <w:t xml:space="preserve"> by </w:t>
      </w:r>
      <w:r w:rsidR="00E56CBF">
        <w:rPr>
          <w:sz w:val="24"/>
        </w:rPr>
        <w:t xml:space="preserve">significant </w:t>
      </w:r>
      <w:r w:rsidR="00DD7EA9" w:rsidRPr="003C482E">
        <w:rPr>
          <w:sz w:val="24"/>
        </w:rPr>
        <w:t xml:space="preserve">geographical </w:t>
      </w:r>
      <w:r w:rsidR="00E56CBF">
        <w:rPr>
          <w:sz w:val="24"/>
        </w:rPr>
        <w:t>barriers</w:t>
      </w:r>
      <w:r w:rsidR="00DD7EA9" w:rsidRPr="003C482E">
        <w:rPr>
          <w:sz w:val="24"/>
        </w:rPr>
        <w:t>, including mountain</w:t>
      </w:r>
      <w:r w:rsidR="00E56CBF">
        <w:rPr>
          <w:sz w:val="24"/>
        </w:rPr>
        <w:t>s, flooding, landslides, and poor road infrastructure, all of which can hamper</w:t>
      </w:r>
      <w:r w:rsidR="00DD7EA9" w:rsidRPr="003C482E">
        <w:rPr>
          <w:sz w:val="24"/>
        </w:rPr>
        <w:t xml:space="preserve"> TB </w:t>
      </w:r>
      <w:r w:rsidR="00E56CBF">
        <w:rPr>
          <w:sz w:val="24"/>
        </w:rPr>
        <w:t xml:space="preserve">prevention and </w:t>
      </w:r>
      <w:r w:rsidR="00DD7EA9" w:rsidRPr="003C482E">
        <w:rPr>
          <w:sz w:val="24"/>
        </w:rPr>
        <w:t>treatment outcomes.</w:t>
      </w:r>
      <w:r w:rsidR="00DD7EA9" w:rsidRPr="003C482E">
        <w:rPr>
          <w:sz w:val="24"/>
        </w:rPr>
        <w:fldChar w:fldCharType="begin" w:fldLock="1"/>
      </w:r>
      <w:r w:rsidR="000855E1">
        <w:rPr>
          <w:sz w:val="24"/>
        </w:rPr>
        <w:instrText>ADDIN CSL_CITATION {"citationItems":[{"id":"ITEM-1","itemData":{"ISBN":"978-92-4-156564-6","author":[{"dropping-particle":"","family":"WHO","given":"","non-dropping-particle":"","parse-names":false,"suffix":""}],"id":"ITEM-1","issued":{"date-parts":[["2018"]]},"title":"World Health Organisation Global Tuberculosis Report 2018","type":"report"},"uris":["http://www.mendeley.com/documents/?uuid=7347bce4-26b9-450f-9ac5-ded6c7020a3e"]},{"id":"ITEM-2","itemData":{"author":[{"dropping-particle":"","family":"NTC","given":"","non-dropping-particle":"","parse-names":false,"suffix":""}],"id":"ITEM-2","issued":{"date-parts":[["2018"]]},"title":"National Tuberculosis Program Nepal. Annual report 2074/75 (2018)","type":"report","volume":"75"},"uris":["http://www.mendeley.com/documents/?uuid=f4b82112-7fe1-4bd0-bd19-9967dff0f83d"]},{"id":"ITEM-3","itemData":{"DOI":"10.1186/s40249-016-0117-x","ISBN":"2049-9957 (Electronic)\\r2049-9957 (Linking)","ISSN":"20499957","PMID":"27009093","abstract":"BACKGROUND: A major impediment to the treatment of TB is a diagnostic process that requires multiple visits. Descriptions of patient costs associated with diagnosis use different protocols and are not comparable. METHODS: We aimed to describe the direct costs incurred by adults attending TB diagnostic centres in four countries and factors associated with expenditure for diagnosis. Surveys of 2225 adults attending smear-microscopy centres in Nigeria, Nepal, Ethiopia and Yemen. Adults &gt;18 years with cough &gt;2 weeks were enrolled prospectively. Direct costs were quantified using structured questionnaires. Patients with costs &gt;75(th) quartile were considered to have high expenditure (cases) and compared with patients with costs &lt;75(th) quartile to identify factors associated with high expenditure. RESULTS: The most significant expenses were due to clinic fees and transport. Most participants attended the centres with companions. High expenditure was associated with attending with company, residing in rural areas/other towns and illiteracy. CONCLUSIONS: The costs incurred by patients are substantial and share common patterns across countries. Removing user fees, transparent charging policies and reimbursing clinic expenses would reduce the poverty-inducing effects of direct diagnostic costs. In locations with limited resources, support could be prioritised for those most at risk of high expenditure; those who are illiterate, attend the service with company and rural residents.","author":[{"dropping-particle":"","family":"Cuevas","given":"Rachel M.Anderson","non-dropping-particle":"de","parse-names":false,"suffix":""},{"dropping-particle":"","family":"Lawson","given":"Lovett","non-dropping-particle":"","parse-names":false,"suffix":""},{"dropping-particle":"","family":"Al-Sonboli","given":"Najla","non-dropping-particle":"","parse-names":false,"suffix":""},{"dropping-particle":"","family":"Al-Aghbari","given":"Nasher","non-dropping-particle":"","parse-names":false,"suffix":""},{"dropping-particle":"","family":"Arbide","given":"Isabel","non-dropping-particle":"","parse-names":false,"suffix":""},{"dropping-particle":"","family":"Sherchand","given":"Jeevan B.","non-dropping-particle":"","parse-names":false,"suffix":""},{"dropping-particle":"","family":"Nnamdi","given":"Emenyonu E.","non-dropping-particle":"","parse-names":false,"suffix":""},{"dropping-particle":"","family":"Aseffa","given":"Abraham","non-dropping-particle":"","parse-names":false,"suffix":""},{"dropping-particle":"","family":"Yassin","given":"Mohammed A.","non-dropping-particle":"","parse-names":false,"suffix":""},{"dropping-particle":"","family":"Abdurrahman","given":"Saddiq T.","non-dropping-particle":"","parse-names":false,"suffix":""},{"dropping-particle":"","family":"Obasanya","given":"Joshua","non-dropping-particle":"","parse-names":false,"suffix":""},{"dropping-particle":"","family":"Olanrewaju","given":"Oladimeji","non-dropping-particle":"","parse-names":false,"suffix":""},{"dropping-particle":"","family":"Datiko","given":"Daniel","non-dropping-particle":"","parse-names":false,"suffix":""},{"dropping-particle":"","family":"Theobald","given":"Sally J.","non-dropping-particle":"","parse-names":false,"suffix":""},{"dropping-particle":"","family":"Ramsay","given":"Andrew","non-dropping-particle":"","parse-names":false,"suffix":""},{"dropping-particle":"","family":"Squire","given":"S. Bertel","non-dropping-particle":"","parse-names":false,"suffix":""},{"dropping-particle":"","family":"Cuevas","given":"Luis E.","non-dropping-particle":"","parse-names":false,"suffix":""}],"container-title":"Infectious Diseases of Poverty","id":"ITEM-3","issue":"1","issued":{"date-parts":[["2016"]]},"page":"1-9","publisher":"Infectious Diseases of Poverty","title":"Patients direct costs to undergo TB diagnosis","type":"article-journal","volume":"5"},"uris":["http://www.mendeley.com/documents/?uuid=bb8569a5-a8fd-48bf-99e7-72939e2eb9c5"]},{"id":"ITEM-4","itemData":{"author":[{"dropping-particle":"","family":"Bam","given":"T S","non-dropping-particle":"","parse-names":false,"suffix":""},{"dropping-particle":"","family":"Gunneberg","given":"C","non-dropping-particle":"","parse-names":false,"suffix":""},{"dropping-particle":"","family":"Chamroonsawasdi","given":"K","non-dropping-particle":"","parse-names":false,"suffix":""},{"dropping-particle":"","family":"Bam","given":"D S","non-dropping-particle":"","parse-names":false,"suffix":""},{"dropping-particle":"","family":"Aalberg","given":"O","non-dropping-particle":"","parse-names":false,"suffix":""},{"dropping-particle":"","family":"Kasland","given":"O","non-dropping-particle":"","parse-names":false,"suffix":""},{"dropping-particle":"","family":"Shiyalap","given":"K","non-dropping-particle":"","parse-names":false,"suffix":""},{"dropping-particle":"","family":"Srisorrachatr","given":"S","non-dropping-particle":"","parse-names":false,"suffix":""}],"id":"ITEM-4","issue":"9517","issued":{"date-parts":[["2006"]]},"page":"270-276","title":"Factors affecting patient adherence to DOTS in urban Kathmandu , Nepal","type":"article-journal","volume":"10"},"uris":["http://www.mendeley.com/documents/?uuid=dcbbde11-a08f-4919-86ab-d502f45dd658"]},{"id":"ITEM-5","itemData":{"DOI":"10.1186/1472-6963-8-7","ISBN":"1472696387","author":[{"dropping-particle":"","family":"Ha","given":"Augustinus","non-dropping-particle":"","parse-names":false,"suffix":""},{"dropping-particle":"","family":"Bijlsma","given":"Merijn W","non-dropping-particle":"","parse-names":false,"suffix":""},{"dropping-particle":"","family":"Malla","given":"Puspha","non-dropping-particle":"","parse-names":false,"suffix":""},{"dropping-particle":"","family":"Shrestha","given":"Binjwala","non-dropping-particle":"","parse-names":false,"suffix":""},{"dropping-particle":"","family":"Delnoij","given":"Diana M J","non-dropping-particle":"","parse-names":false,"suffix":""}],"container-title":"BMC Health Services Research","id":"ITEM-5","issued":{"date-parts":[["2008"]]},"page":"1-10","title":"The road to tuberculosis treatment in rural Nepal : A qualitative assessment of 26 journeys","type":"article-journal","volume":"10"},"uris":["http://www.mendeley.com/documents/?uuid=dc2b2c21-f213-4407-8bd6-936a19604a3b"]}],"mendeley":{"formattedCitation":"&lt;sup&gt;24,26–29&lt;/sup&gt;","plainTextFormattedCitation":"24,26–29","previouslyFormattedCitation":"&lt;sup&gt;24,26–29&lt;/sup&gt;"},"properties":{"noteIndex":0},"schema":"https://github.com/citation-style-language/schema/raw/master/csl-citation.json"}</w:instrText>
      </w:r>
      <w:r w:rsidR="00DD7EA9" w:rsidRPr="003C482E">
        <w:rPr>
          <w:sz w:val="24"/>
        </w:rPr>
        <w:fldChar w:fldCharType="separate"/>
      </w:r>
      <w:r w:rsidR="00DE199B" w:rsidRPr="00DE199B">
        <w:rPr>
          <w:noProof/>
          <w:sz w:val="24"/>
          <w:vertAlign w:val="superscript"/>
        </w:rPr>
        <w:t>24,26–29</w:t>
      </w:r>
      <w:r w:rsidR="00DD7EA9" w:rsidRPr="003C482E">
        <w:rPr>
          <w:sz w:val="24"/>
        </w:rPr>
        <w:fldChar w:fldCharType="end"/>
      </w:r>
      <w:r w:rsidR="00DD7EA9" w:rsidRPr="003C482E">
        <w:rPr>
          <w:sz w:val="24"/>
        </w:rPr>
        <w:t xml:space="preserve"> </w:t>
      </w:r>
      <w:r w:rsidR="00DD7EA9" w:rsidRPr="004B14EF">
        <w:rPr>
          <w:sz w:val="24"/>
          <w:lang w:val="en-US"/>
        </w:rPr>
        <w:t xml:space="preserve">The Nepal NTP provides 3,000 Nepalese Rupees (~27 USD) </w:t>
      </w:r>
      <w:r w:rsidR="00E56CBF">
        <w:rPr>
          <w:sz w:val="24"/>
          <w:lang w:val="en-US"/>
        </w:rPr>
        <w:t xml:space="preserve">monthly cash transfers to people with MDR-TB receiving ambulatory care, nominally </w:t>
      </w:r>
      <w:r w:rsidR="00DD7EA9" w:rsidRPr="004B14EF">
        <w:rPr>
          <w:sz w:val="24"/>
          <w:lang w:val="en-US"/>
        </w:rPr>
        <w:t>for</w:t>
      </w:r>
      <w:r w:rsidR="00E56CBF">
        <w:rPr>
          <w:sz w:val="24"/>
          <w:lang w:val="en-US"/>
        </w:rPr>
        <w:t xml:space="preserve"> nutrition and transport.</w:t>
      </w:r>
      <w:r w:rsidR="00DD7EA9" w:rsidRPr="004B14EF">
        <w:rPr>
          <w:sz w:val="24"/>
          <w:lang w:val="en-US"/>
        </w:rPr>
        <w:fldChar w:fldCharType="begin" w:fldLock="1"/>
      </w:r>
      <w:r w:rsidR="000855E1">
        <w:rPr>
          <w:sz w:val="24"/>
          <w:lang w:val="en-US"/>
        </w:rPr>
        <w:instrText>ADDIN CSL_CITATION {"citationItems":[{"id":"ITEM-1","itemData":{"author":[{"dropping-particle":"","family":"NTC","given":"","non-dropping-particle":"","parse-names":false,"suffix":""}],"id":"ITEM-1","issued":{"date-parts":[["2018"]]},"title":"National Tuberculosis Program Nepal. Annual report 2074/75 (2018)","type":"report","volume":"75"},"uris":["http://www.mendeley.com/documents/?uuid=f4b82112-7fe1-4bd0-bd19-9967dff0f83d"]}],"mendeley":{"formattedCitation":"&lt;sup&gt;24&lt;/sup&gt;","plainTextFormattedCitation":"24","previouslyFormattedCitation":"&lt;sup&gt;24&lt;/sup&gt;"},"properties":{"noteIndex":0},"schema":"https://github.com/citation-style-language/schema/raw/master/csl-citation.json"}</w:instrText>
      </w:r>
      <w:r w:rsidR="00DD7EA9" w:rsidRPr="004B14EF">
        <w:rPr>
          <w:sz w:val="24"/>
          <w:lang w:val="en-US"/>
        </w:rPr>
        <w:fldChar w:fldCharType="separate"/>
      </w:r>
      <w:r w:rsidR="00DE199B" w:rsidRPr="00DE199B">
        <w:rPr>
          <w:noProof/>
          <w:sz w:val="24"/>
          <w:vertAlign w:val="superscript"/>
          <w:lang w:val="en-US"/>
        </w:rPr>
        <w:t>24</w:t>
      </w:r>
      <w:r w:rsidR="00DD7EA9" w:rsidRPr="004B14EF">
        <w:rPr>
          <w:sz w:val="24"/>
        </w:rPr>
        <w:fldChar w:fldCharType="end"/>
      </w:r>
      <w:r w:rsidR="00DD7EA9" w:rsidRPr="004B14EF">
        <w:rPr>
          <w:sz w:val="24"/>
          <w:lang w:val="en-US"/>
        </w:rPr>
        <w:t xml:space="preserve"> </w:t>
      </w:r>
      <w:r w:rsidR="00D139DD">
        <w:rPr>
          <w:sz w:val="24"/>
          <w:lang w:val="en-US"/>
        </w:rPr>
        <w:t>People with drug-sensitive TB (DS-TB) do not currently receive any financial support in Nepal</w:t>
      </w:r>
      <w:r w:rsidR="00DD7EA9" w:rsidRPr="004B14EF">
        <w:rPr>
          <w:sz w:val="24"/>
          <w:lang w:val="en-US"/>
        </w:rPr>
        <w:t>.</w:t>
      </w:r>
      <w:r w:rsidR="00DD7EA9" w:rsidRPr="004B14EF">
        <w:rPr>
          <w:sz w:val="24"/>
          <w:lang w:val="en-US"/>
        </w:rPr>
        <w:fldChar w:fldCharType="begin" w:fldLock="1"/>
      </w:r>
      <w:r w:rsidR="000855E1">
        <w:rPr>
          <w:sz w:val="24"/>
          <w:lang w:val="en-US"/>
        </w:rPr>
        <w:instrText>ADDIN CSL_CITATION {"citationItems":[{"id":"ITEM-1","itemData":{"DOI":"10.3390/tropicalmed5020098","ISSN":"24146366","abstract":"Tuberculosis (TB), the leading single infectious diseases killer globally, is driven by poverty. Conversely, having TB worsens impoverishment. During TB illness, lost income and out-of-pocket costs can become \"catastrophic\", leading patients to abandon treatment, develop drug-resistance, and die. WHO's 2015 End TB Strategy recommends eliminating catastrophic costs and providing socioeconomic support for TB-affected people. However, there is negligible evidence to guide the design and implementation of such socioeconomic support, especially in low-income, TB-endemic countries. A national, multi-sectoral workshop was held in Kathmandu, Nepal, on the 11th and 12th September 2019, to develop a shortlist of feasible, locally appropriate socioeconomic support interventions for TB-affected households in Nepal, a low-income country with significant TB burden. The workshop brought together key stakeholders in Nepal including from the Ministry of Health and Population, Department of Health Services, Provincial Health Directorate, Health Offices, National TB Program (NTP); and TB/Leprosy Officers, healthcare workers, community health volunteers, TB-affected people, and external development partners (EDP). During the workshop, participants reviewed current Nepal NTP data and strategy, discussed the preliminary results of a mixed-methods study of the socioeconomic determinants and consequences of TB in Nepal, described existing and potential socioeconomic interventions for TB-affected households in Nepal, and selected the most promising interventions for future randomized controlled trial evaluations in Nepal. This report describes the activities, outcomes, and recommendations from the workshop.","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Disease","id":"ITEM-1","issue":"2","issued":{"date-parts":[["2020"]]},"page":"1-15","title":"Developing feasible, locally appropriate socioeconomic support for TB-affected households in Nepal","type":"article-journal","volume":"5"},"uris":["http://www.mendeley.com/documents/?uuid=d535ca02-b1c1-43f5-87d1-14629dd94752"]}],"mendeley":{"formattedCitation":"&lt;sup&gt;19&lt;/sup&gt;","plainTextFormattedCitation":"19","previouslyFormattedCitation":"&lt;sup&gt;19&lt;/sup&gt;"},"properties":{"noteIndex":0},"schema":"https://github.com/citation-style-language/schema/raw/master/csl-citation.json"}</w:instrText>
      </w:r>
      <w:r w:rsidR="00DD7EA9" w:rsidRPr="004B14EF">
        <w:rPr>
          <w:sz w:val="24"/>
          <w:lang w:val="en-US"/>
        </w:rPr>
        <w:fldChar w:fldCharType="separate"/>
      </w:r>
      <w:r w:rsidR="00DE199B" w:rsidRPr="00DE199B">
        <w:rPr>
          <w:noProof/>
          <w:sz w:val="24"/>
          <w:vertAlign w:val="superscript"/>
          <w:lang w:val="en-US"/>
        </w:rPr>
        <w:t>19</w:t>
      </w:r>
      <w:r w:rsidR="00DD7EA9" w:rsidRPr="004B14EF">
        <w:rPr>
          <w:sz w:val="24"/>
        </w:rPr>
        <w:fldChar w:fldCharType="end"/>
      </w:r>
      <w:r w:rsidR="00DD7EA9" w:rsidRPr="004B14EF">
        <w:rPr>
          <w:sz w:val="24"/>
          <w:lang w:val="en-US"/>
        </w:rPr>
        <w:t xml:space="preserve"> </w:t>
      </w:r>
    </w:p>
    <w:p w14:paraId="52AA2235" w14:textId="76717185" w:rsidR="00DD76EE" w:rsidRDefault="00DD7EA9" w:rsidP="00DD76EE">
      <w:pPr>
        <w:spacing w:line="276" w:lineRule="auto"/>
        <w:jc w:val="both"/>
        <w:rPr>
          <w:rFonts w:cs="Arial"/>
          <w:bCs/>
          <w:color w:val="000000"/>
          <w:sz w:val="24"/>
          <w:szCs w:val="24"/>
        </w:rPr>
      </w:pPr>
      <w:r>
        <w:rPr>
          <w:rFonts w:cs="Arial"/>
          <w:bCs/>
          <w:color w:val="000000"/>
          <w:sz w:val="24"/>
          <w:szCs w:val="24"/>
        </w:rPr>
        <w:t>The ASCOT Pilot Trial will take place in f</w:t>
      </w:r>
      <w:r w:rsidR="00DD76EE" w:rsidRPr="0085223B">
        <w:rPr>
          <w:rFonts w:cs="Arial"/>
          <w:bCs/>
          <w:color w:val="000000"/>
          <w:sz w:val="24"/>
          <w:szCs w:val="24"/>
        </w:rPr>
        <w:t xml:space="preserve">our districts of Nepal purposively selected due to similar TB and poverty profiles: </w:t>
      </w:r>
      <w:proofErr w:type="spellStart"/>
      <w:r w:rsidR="00DD76EE" w:rsidRPr="0085223B">
        <w:rPr>
          <w:rFonts w:cs="Arial"/>
          <w:bCs/>
          <w:color w:val="000000"/>
          <w:sz w:val="24"/>
          <w:szCs w:val="24"/>
        </w:rPr>
        <w:t>Pyuthan</w:t>
      </w:r>
      <w:proofErr w:type="spellEnd"/>
      <w:r w:rsidR="00DD76EE">
        <w:rPr>
          <w:rFonts w:cs="Arial"/>
          <w:bCs/>
          <w:color w:val="000000"/>
          <w:sz w:val="24"/>
          <w:szCs w:val="24"/>
        </w:rPr>
        <w:t xml:space="preserve">, </w:t>
      </w:r>
      <w:r w:rsidR="00DD76EE" w:rsidRPr="0085223B">
        <w:rPr>
          <w:rFonts w:cs="Arial"/>
          <w:bCs/>
          <w:color w:val="000000"/>
          <w:sz w:val="24"/>
          <w:szCs w:val="24"/>
        </w:rPr>
        <w:t xml:space="preserve">Chitwan, </w:t>
      </w:r>
      <w:proofErr w:type="spellStart"/>
      <w:r w:rsidR="00DD76EE" w:rsidRPr="0085223B">
        <w:rPr>
          <w:rFonts w:cs="Arial"/>
          <w:bCs/>
          <w:color w:val="000000"/>
          <w:sz w:val="24"/>
          <w:szCs w:val="24"/>
        </w:rPr>
        <w:t>Mahottari</w:t>
      </w:r>
      <w:proofErr w:type="spellEnd"/>
      <w:r w:rsidR="00DD76EE" w:rsidRPr="0085223B">
        <w:rPr>
          <w:rFonts w:cs="Arial"/>
          <w:bCs/>
          <w:color w:val="000000"/>
          <w:sz w:val="24"/>
          <w:szCs w:val="24"/>
        </w:rPr>
        <w:t xml:space="preserve">, </w:t>
      </w:r>
      <w:r w:rsidR="00DD76EE">
        <w:rPr>
          <w:rFonts w:cs="Arial"/>
          <w:bCs/>
          <w:color w:val="000000"/>
          <w:sz w:val="24"/>
          <w:szCs w:val="24"/>
        </w:rPr>
        <w:t xml:space="preserve">and </w:t>
      </w:r>
      <w:r w:rsidR="00DD76EE" w:rsidRPr="0085223B">
        <w:rPr>
          <w:rFonts w:cs="Arial"/>
          <w:bCs/>
          <w:color w:val="000000"/>
          <w:sz w:val="24"/>
          <w:szCs w:val="24"/>
        </w:rPr>
        <w:t xml:space="preserve">Morang </w:t>
      </w:r>
      <w:r w:rsidR="00DD76EE">
        <w:rPr>
          <w:rFonts w:cs="Arial"/>
          <w:bCs/>
          <w:color w:val="000000"/>
          <w:sz w:val="24"/>
          <w:szCs w:val="24"/>
        </w:rPr>
        <w:t>(Figure 4)</w:t>
      </w:r>
      <w:r w:rsidR="00DD76EE" w:rsidRPr="0085223B">
        <w:rPr>
          <w:rFonts w:cs="Arial"/>
          <w:bCs/>
          <w:color w:val="000000"/>
          <w:sz w:val="24"/>
          <w:szCs w:val="24"/>
        </w:rPr>
        <w:t>. In these districts, over 35% of people live below the poverty line, 40% are undernourished, and TB incidence is ~150/100,000 people.</w:t>
      </w:r>
      <w:r w:rsidR="00DD76EE" w:rsidRPr="0085223B">
        <w:rPr>
          <w:rFonts w:cs="Arial"/>
          <w:bCs/>
          <w:color w:val="000000"/>
          <w:sz w:val="24"/>
          <w:szCs w:val="24"/>
        </w:rPr>
        <w:fldChar w:fldCharType="begin" w:fldLock="1"/>
      </w:r>
      <w:r w:rsidR="000855E1">
        <w:rPr>
          <w:rFonts w:cs="Arial"/>
          <w:bCs/>
          <w:color w:val="000000"/>
          <w:sz w:val="24"/>
          <w:szCs w:val="24"/>
        </w:rPr>
        <w:instrText>ADDIN CSL_CITATION {"citationItems":[{"id":"ITEM-1","itemData":{"author":[{"dropping-particle":"","family":"Mascie-Taylor","given":"Nicholas","non-dropping-particle":"","parse-names":false,"suffix":""},{"dropping-particle":"","family":"Lucas","given":"Simon","non-dropping-particle":"","parse-names":false,"suffix":""},{"dropping-particle":"","family":"Powis","given":"Ben","non-dropping-particle":"","parse-names":false,"suffix":""},{"dropping-particle":"","family":"Mesko","given":"Natasha","non-dropping-particle":"","parse-names":false,"suffix":""}],"id":"ITEM-1","issued":{"date-parts":[["2013"]]},"number-of-pages":"263","title":"Regional Dimensions of Poverty and Vulnerability in Nepal - Background Reports. Department For International Development, UK.","type":"report"},"uris":["http://www.mendeley.com/documents/?uuid=233ef7ed-870e-4cef-b327-4454cf1c0598"]}],"mendeley":{"formattedCitation":"&lt;sup&gt;30&lt;/sup&gt;","plainTextFormattedCitation":"30","previouslyFormattedCitation":"&lt;sup&gt;30&lt;/sup&gt;"},"properties":{"noteIndex":0},"schema":"https://github.com/citation-style-language/schema/raw/master/csl-citation.json"}</w:instrText>
      </w:r>
      <w:r w:rsidR="00DD76EE" w:rsidRPr="0085223B">
        <w:rPr>
          <w:rFonts w:cs="Arial"/>
          <w:bCs/>
          <w:color w:val="000000"/>
          <w:sz w:val="24"/>
          <w:szCs w:val="24"/>
        </w:rPr>
        <w:fldChar w:fldCharType="separate"/>
      </w:r>
      <w:r w:rsidR="00DE199B" w:rsidRPr="00DE199B">
        <w:rPr>
          <w:rFonts w:cs="Arial"/>
          <w:bCs/>
          <w:noProof/>
          <w:color w:val="000000"/>
          <w:sz w:val="24"/>
          <w:szCs w:val="24"/>
          <w:vertAlign w:val="superscript"/>
        </w:rPr>
        <w:t>30</w:t>
      </w:r>
      <w:r w:rsidR="00DD76EE" w:rsidRPr="0085223B">
        <w:rPr>
          <w:rFonts w:cs="Arial"/>
          <w:color w:val="000000"/>
          <w:sz w:val="24"/>
          <w:szCs w:val="24"/>
        </w:rPr>
        <w:fldChar w:fldCharType="end"/>
      </w:r>
      <w:r w:rsidR="00DD76EE" w:rsidRPr="0085223B">
        <w:rPr>
          <w:rFonts w:cs="Arial"/>
          <w:bCs/>
          <w:color w:val="000000"/>
          <w:sz w:val="24"/>
          <w:szCs w:val="24"/>
        </w:rPr>
        <w:t xml:space="preserve"> Moreover, the 2019 national prevalence survey showed more than half of TB cases never reach TB services, </w:t>
      </w:r>
      <w:r w:rsidR="00DD76EE">
        <w:rPr>
          <w:rFonts w:cs="Arial"/>
          <w:bCs/>
          <w:color w:val="000000"/>
          <w:sz w:val="24"/>
          <w:szCs w:val="24"/>
        </w:rPr>
        <w:t>including</w:t>
      </w:r>
      <w:r w:rsidR="00DD76EE" w:rsidRPr="0085223B">
        <w:rPr>
          <w:rFonts w:cs="Arial"/>
          <w:bCs/>
          <w:color w:val="000000"/>
          <w:sz w:val="24"/>
          <w:szCs w:val="24"/>
        </w:rPr>
        <w:t xml:space="preserve"> due to social and economic barriers to access.</w:t>
      </w:r>
    </w:p>
    <w:p w14:paraId="72FFFDFC" w14:textId="77777777" w:rsidR="00DD76EE" w:rsidRPr="00DD76EE" w:rsidRDefault="00DD76EE" w:rsidP="00DD76EE">
      <w:pPr>
        <w:autoSpaceDE w:val="0"/>
        <w:autoSpaceDN w:val="0"/>
        <w:adjustRightInd w:val="0"/>
        <w:spacing w:after="0" w:line="276" w:lineRule="auto"/>
        <w:jc w:val="both"/>
        <w:rPr>
          <w:b/>
          <w:sz w:val="24"/>
          <w:szCs w:val="24"/>
        </w:rPr>
      </w:pPr>
      <w:r w:rsidRPr="00DD76EE">
        <w:rPr>
          <w:b/>
          <w:sz w:val="24"/>
          <w:szCs w:val="24"/>
        </w:rPr>
        <w:t>Study population</w:t>
      </w:r>
    </w:p>
    <w:p w14:paraId="61BF9525" w14:textId="77777777" w:rsidR="00DD76EE" w:rsidRDefault="00DD76EE" w:rsidP="00DD76EE">
      <w:pPr>
        <w:autoSpaceDE w:val="0"/>
        <w:autoSpaceDN w:val="0"/>
        <w:adjustRightInd w:val="0"/>
        <w:spacing w:after="0" w:line="276" w:lineRule="auto"/>
        <w:jc w:val="both"/>
        <w:rPr>
          <w:b/>
          <w:i/>
          <w:iCs/>
          <w:sz w:val="24"/>
          <w:szCs w:val="24"/>
        </w:rPr>
      </w:pPr>
      <w:r>
        <w:rPr>
          <w:b/>
          <w:i/>
          <w:iCs/>
          <w:sz w:val="24"/>
          <w:szCs w:val="24"/>
        </w:rPr>
        <w:t>Participant identification, recruitment, and follow-up.</w:t>
      </w:r>
    </w:p>
    <w:p w14:paraId="0DC99C2A" w14:textId="77777777" w:rsidR="00DD76EE" w:rsidRDefault="00DD76EE" w:rsidP="00DD76EE">
      <w:pPr>
        <w:autoSpaceDE w:val="0"/>
        <w:autoSpaceDN w:val="0"/>
        <w:adjustRightInd w:val="0"/>
        <w:spacing w:after="0" w:line="276" w:lineRule="auto"/>
        <w:jc w:val="both"/>
        <w:rPr>
          <w:bCs/>
          <w:sz w:val="24"/>
          <w:szCs w:val="24"/>
        </w:rPr>
      </w:pPr>
      <w:r>
        <w:rPr>
          <w:bCs/>
          <w:sz w:val="24"/>
          <w:szCs w:val="24"/>
        </w:rPr>
        <w:t xml:space="preserve">There will be two study populations involved in ASCOT. The first will be the people with TB </w:t>
      </w:r>
      <w:r w:rsidRPr="00F136B7">
        <w:rPr>
          <w:bCs/>
          <w:sz w:val="24"/>
          <w:szCs w:val="24"/>
        </w:rPr>
        <w:t xml:space="preserve">diagnosed by active- (ACF) and passive case-finding (PCF), </w:t>
      </w:r>
      <w:r>
        <w:rPr>
          <w:bCs/>
          <w:sz w:val="24"/>
          <w:szCs w:val="24"/>
        </w:rPr>
        <w:t xml:space="preserve">recruited to the pilot trial and process evaluation, who will randomised to an ASCOT study arm following recruitment. The second will be multisectoral, key stakeholders recruited to participate in the </w:t>
      </w:r>
      <w:r w:rsidRPr="004C6D60">
        <w:rPr>
          <w:bCs/>
          <w:sz w:val="24"/>
          <w:szCs w:val="24"/>
        </w:rPr>
        <w:t xml:space="preserve">complementary </w:t>
      </w:r>
      <w:r w:rsidRPr="004C6D60">
        <w:rPr>
          <w:bCs/>
          <w:sz w:val="24"/>
          <w:szCs w:val="24"/>
        </w:rPr>
        <w:lastRenderedPageBreak/>
        <w:t>enhanced process evaluation</w:t>
      </w:r>
      <w:r>
        <w:rPr>
          <w:bCs/>
          <w:sz w:val="24"/>
          <w:szCs w:val="24"/>
        </w:rPr>
        <w:t>, which will evaluate not only acceptability and feasibility but also health systems readiness. The two populations are detailed separately below.</w:t>
      </w:r>
    </w:p>
    <w:p w14:paraId="0A78A412" w14:textId="77777777" w:rsidR="00DD76EE" w:rsidRDefault="00DD76EE" w:rsidP="00DD76EE">
      <w:pPr>
        <w:autoSpaceDE w:val="0"/>
        <w:autoSpaceDN w:val="0"/>
        <w:adjustRightInd w:val="0"/>
        <w:spacing w:after="0" w:line="276" w:lineRule="auto"/>
        <w:jc w:val="both"/>
        <w:rPr>
          <w:bCs/>
          <w:sz w:val="24"/>
          <w:szCs w:val="24"/>
        </w:rPr>
      </w:pPr>
    </w:p>
    <w:p w14:paraId="12035A1F" w14:textId="77777777" w:rsidR="003942F0" w:rsidRDefault="00DD76EE" w:rsidP="00DD76EE">
      <w:pPr>
        <w:autoSpaceDE w:val="0"/>
        <w:autoSpaceDN w:val="0"/>
        <w:adjustRightInd w:val="0"/>
        <w:spacing w:after="0" w:line="276" w:lineRule="auto"/>
        <w:jc w:val="both"/>
        <w:rPr>
          <w:b/>
          <w:i/>
          <w:iCs/>
          <w:sz w:val="24"/>
          <w:szCs w:val="24"/>
        </w:rPr>
      </w:pPr>
      <w:r w:rsidRPr="00FE7F4A">
        <w:rPr>
          <w:b/>
          <w:i/>
          <w:iCs/>
          <w:sz w:val="24"/>
          <w:szCs w:val="24"/>
        </w:rPr>
        <w:t>Pilot trial participant population</w:t>
      </w:r>
    </w:p>
    <w:p w14:paraId="513AEB7A" w14:textId="4FC05F16" w:rsidR="00DD76EE" w:rsidRDefault="00DD76EE" w:rsidP="00DD76EE">
      <w:pPr>
        <w:autoSpaceDE w:val="0"/>
        <w:autoSpaceDN w:val="0"/>
        <w:adjustRightInd w:val="0"/>
        <w:spacing w:after="0" w:line="276" w:lineRule="auto"/>
        <w:jc w:val="both"/>
        <w:rPr>
          <w:bCs/>
          <w:sz w:val="24"/>
          <w:szCs w:val="24"/>
        </w:rPr>
      </w:pPr>
      <w:bookmarkStart w:id="3" w:name="_Hlk57540673"/>
      <w:r>
        <w:rPr>
          <w:bCs/>
          <w:sz w:val="24"/>
          <w:szCs w:val="24"/>
        </w:rPr>
        <w:t xml:space="preserve">Each of the four study sites will consecutively recruit 32 people with TB to reach the required pilot trial sample size of 128 </w:t>
      </w:r>
      <w:r w:rsidRPr="00DC07FF">
        <w:rPr>
          <w:bCs/>
          <w:sz w:val="24"/>
          <w:szCs w:val="24"/>
        </w:rPr>
        <w:t>people</w:t>
      </w:r>
      <w:r>
        <w:rPr>
          <w:bCs/>
          <w:sz w:val="24"/>
          <w:szCs w:val="24"/>
        </w:rPr>
        <w:t>.</w:t>
      </w:r>
      <w:r w:rsidRPr="00DC07FF">
        <w:rPr>
          <w:bCs/>
          <w:sz w:val="24"/>
          <w:szCs w:val="24"/>
        </w:rPr>
        <w:t xml:space="preserve"> </w:t>
      </w:r>
      <w:r>
        <w:rPr>
          <w:bCs/>
          <w:sz w:val="24"/>
          <w:szCs w:val="24"/>
        </w:rPr>
        <w:t xml:space="preserve">Potential participants will be invited to participate during </w:t>
      </w:r>
      <w:r w:rsidRPr="00DC07FF">
        <w:rPr>
          <w:bCs/>
          <w:sz w:val="24"/>
          <w:szCs w:val="24"/>
        </w:rPr>
        <w:t>attend</w:t>
      </w:r>
      <w:r>
        <w:rPr>
          <w:bCs/>
          <w:sz w:val="24"/>
          <w:szCs w:val="24"/>
        </w:rPr>
        <w:t>ance at the</w:t>
      </w:r>
      <w:r w:rsidRPr="00DC07FF">
        <w:rPr>
          <w:bCs/>
          <w:sz w:val="24"/>
          <w:szCs w:val="24"/>
        </w:rPr>
        <w:t xml:space="preserve"> NTP TB with a </w:t>
      </w:r>
      <w:r>
        <w:rPr>
          <w:bCs/>
          <w:sz w:val="24"/>
          <w:szCs w:val="24"/>
        </w:rPr>
        <w:t>specific</w:t>
      </w:r>
      <w:r w:rsidRPr="00DC07FF">
        <w:rPr>
          <w:bCs/>
          <w:sz w:val="24"/>
          <w:szCs w:val="24"/>
        </w:rPr>
        <w:t xml:space="preserve"> informed consent </w:t>
      </w:r>
      <w:r>
        <w:rPr>
          <w:bCs/>
          <w:sz w:val="24"/>
          <w:szCs w:val="24"/>
        </w:rPr>
        <w:t xml:space="preserve">form and participant information sheet </w:t>
      </w:r>
      <w:r w:rsidRPr="00DC07FF">
        <w:rPr>
          <w:bCs/>
          <w:sz w:val="24"/>
          <w:szCs w:val="24"/>
        </w:rPr>
        <w:t>(</w:t>
      </w:r>
      <w:r>
        <w:rPr>
          <w:bCs/>
          <w:sz w:val="24"/>
          <w:szCs w:val="24"/>
        </w:rPr>
        <w:t xml:space="preserve">see </w:t>
      </w:r>
      <w:r w:rsidR="003234B3">
        <w:rPr>
          <w:bCs/>
          <w:sz w:val="24"/>
          <w:szCs w:val="24"/>
        </w:rPr>
        <w:t>Extended data</w:t>
      </w:r>
      <w:r w:rsidR="003234B3" w:rsidRPr="00463954">
        <w:rPr>
          <w:bCs/>
          <w:sz w:val="24"/>
          <w:szCs w:val="24"/>
          <w:vertAlign w:val="superscript"/>
        </w:rPr>
        <w:t>55</w:t>
      </w:r>
      <w:r w:rsidRPr="004C6D60">
        <w:rPr>
          <w:bCs/>
          <w:sz w:val="24"/>
          <w:szCs w:val="24"/>
        </w:rPr>
        <w:t>).</w:t>
      </w:r>
      <w:r>
        <w:rPr>
          <w:bCs/>
          <w:sz w:val="24"/>
          <w:szCs w:val="24"/>
        </w:rPr>
        <w:t xml:space="preserve"> </w:t>
      </w:r>
    </w:p>
    <w:p w14:paraId="5C689636" w14:textId="77777777" w:rsidR="00DD76EE" w:rsidRDefault="00DD76EE" w:rsidP="00DD76EE">
      <w:pPr>
        <w:autoSpaceDE w:val="0"/>
        <w:autoSpaceDN w:val="0"/>
        <w:adjustRightInd w:val="0"/>
        <w:spacing w:after="0" w:line="276" w:lineRule="auto"/>
        <w:jc w:val="both"/>
        <w:rPr>
          <w:bCs/>
          <w:sz w:val="24"/>
          <w:szCs w:val="24"/>
        </w:rPr>
      </w:pPr>
    </w:p>
    <w:p w14:paraId="33578F3A" w14:textId="4FA06D26" w:rsidR="00DD76EE" w:rsidRDefault="00DD76EE" w:rsidP="00DD76EE">
      <w:pPr>
        <w:autoSpaceDE w:val="0"/>
        <w:autoSpaceDN w:val="0"/>
        <w:adjustRightInd w:val="0"/>
        <w:spacing w:after="0" w:line="276" w:lineRule="auto"/>
        <w:jc w:val="both"/>
        <w:rPr>
          <w:sz w:val="24"/>
          <w:szCs w:val="24"/>
        </w:rPr>
      </w:pPr>
      <w:r>
        <w:rPr>
          <w:bCs/>
          <w:sz w:val="24"/>
          <w:szCs w:val="24"/>
        </w:rPr>
        <w:t xml:space="preserve">Inclusion criteria </w:t>
      </w:r>
      <w:r w:rsidR="0006281F">
        <w:rPr>
          <w:bCs/>
          <w:sz w:val="24"/>
          <w:szCs w:val="24"/>
        </w:rPr>
        <w:t xml:space="preserve">for the pilot trial participants </w:t>
      </w:r>
      <w:proofErr w:type="gramStart"/>
      <w:r>
        <w:rPr>
          <w:bCs/>
          <w:sz w:val="24"/>
          <w:szCs w:val="24"/>
        </w:rPr>
        <w:t>are:</w:t>
      </w:r>
      <w:proofErr w:type="gramEnd"/>
      <w:r>
        <w:rPr>
          <w:bCs/>
          <w:sz w:val="24"/>
          <w:szCs w:val="24"/>
        </w:rPr>
        <w:t xml:space="preserve"> a person aged</w:t>
      </w:r>
      <w:r w:rsidRPr="00FE7F4A">
        <w:rPr>
          <w:sz w:val="24"/>
          <w:szCs w:val="24"/>
        </w:rPr>
        <w:t xml:space="preserve"> 18 years or older </w:t>
      </w:r>
      <w:r w:rsidRPr="00A4200E">
        <w:rPr>
          <w:sz w:val="24"/>
          <w:szCs w:val="24"/>
        </w:rPr>
        <w:t xml:space="preserve">with </w:t>
      </w:r>
      <w:r>
        <w:rPr>
          <w:sz w:val="24"/>
          <w:szCs w:val="24"/>
        </w:rPr>
        <w:t>microbiolo</w:t>
      </w:r>
      <w:r w:rsidRPr="00A4200E">
        <w:rPr>
          <w:sz w:val="24"/>
          <w:szCs w:val="24"/>
        </w:rPr>
        <w:t>gically</w:t>
      </w:r>
      <w:r>
        <w:rPr>
          <w:sz w:val="24"/>
          <w:szCs w:val="24"/>
        </w:rPr>
        <w:t>-c</w:t>
      </w:r>
      <w:r w:rsidRPr="00A4200E">
        <w:rPr>
          <w:sz w:val="24"/>
          <w:szCs w:val="24"/>
        </w:rPr>
        <w:t xml:space="preserve">onfirmed TB </w:t>
      </w:r>
      <w:r>
        <w:rPr>
          <w:sz w:val="24"/>
          <w:szCs w:val="24"/>
        </w:rPr>
        <w:t>n</w:t>
      </w:r>
      <w:r w:rsidRPr="008454CE">
        <w:rPr>
          <w:sz w:val="24"/>
          <w:szCs w:val="24"/>
        </w:rPr>
        <w:t>otified to the Nepal National TB Program</w:t>
      </w:r>
      <w:r>
        <w:rPr>
          <w:sz w:val="24"/>
          <w:szCs w:val="24"/>
        </w:rPr>
        <w:t xml:space="preserve"> (NTP) </w:t>
      </w:r>
      <w:r w:rsidRPr="008454CE">
        <w:rPr>
          <w:sz w:val="24"/>
          <w:szCs w:val="24"/>
        </w:rPr>
        <w:t xml:space="preserve">and </w:t>
      </w:r>
      <w:r>
        <w:rPr>
          <w:sz w:val="24"/>
          <w:szCs w:val="24"/>
        </w:rPr>
        <w:t>r</w:t>
      </w:r>
      <w:r w:rsidRPr="008454CE">
        <w:rPr>
          <w:sz w:val="24"/>
          <w:szCs w:val="24"/>
        </w:rPr>
        <w:t>egistered</w:t>
      </w:r>
      <w:r>
        <w:rPr>
          <w:sz w:val="24"/>
          <w:szCs w:val="24"/>
        </w:rPr>
        <w:t xml:space="preserve"> </w:t>
      </w:r>
      <w:r w:rsidRPr="008454CE">
        <w:rPr>
          <w:sz w:val="24"/>
          <w:szCs w:val="24"/>
        </w:rPr>
        <w:t>in the TB register of a TB clinic within the study site district</w:t>
      </w:r>
      <w:r>
        <w:rPr>
          <w:sz w:val="24"/>
          <w:szCs w:val="24"/>
        </w:rPr>
        <w:t>, whether diagnosed through ACF or PCF; and able to provide w</w:t>
      </w:r>
      <w:r w:rsidRPr="001B316E">
        <w:rPr>
          <w:sz w:val="24"/>
          <w:szCs w:val="24"/>
        </w:rPr>
        <w:t>ritten</w:t>
      </w:r>
      <w:r>
        <w:rPr>
          <w:sz w:val="24"/>
          <w:szCs w:val="24"/>
        </w:rPr>
        <w:t xml:space="preserve">, </w:t>
      </w:r>
      <w:r w:rsidRPr="001B316E">
        <w:rPr>
          <w:sz w:val="24"/>
          <w:szCs w:val="24"/>
        </w:rPr>
        <w:t>informed consent</w:t>
      </w:r>
      <w:r>
        <w:rPr>
          <w:sz w:val="24"/>
          <w:szCs w:val="24"/>
        </w:rPr>
        <w:t xml:space="preserve"> or assent (or thumb print if unable to write). The project team will be aware of the participant’s TB resistance profile but the profile itself does not form a</w:t>
      </w:r>
      <w:r w:rsidR="00343C25">
        <w:rPr>
          <w:sz w:val="24"/>
          <w:szCs w:val="24"/>
        </w:rPr>
        <w:t xml:space="preserve"> </w:t>
      </w:r>
      <w:r>
        <w:rPr>
          <w:sz w:val="24"/>
          <w:szCs w:val="24"/>
        </w:rPr>
        <w:t xml:space="preserve">part of the eligibility criteria to participate. In the study sites, resistance to rifampicin and/or isoniazid </w:t>
      </w:r>
      <w:r w:rsidRPr="008930C0">
        <w:rPr>
          <w:sz w:val="24"/>
          <w:szCs w:val="24"/>
        </w:rPr>
        <w:t xml:space="preserve">will usually be </w:t>
      </w:r>
      <w:r>
        <w:rPr>
          <w:sz w:val="24"/>
          <w:szCs w:val="24"/>
        </w:rPr>
        <w:t>reported</w:t>
      </w:r>
      <w:r w:rsidRPr="008930C0">
        <w:rPr>
          <w:sz w:val="24"/>
          <w:szCs w:val="24"/>
        </w:rPr>
        <w:t xml:space="preserve"> within 24-48 hours </w:t>
      </w:r>
      <w:r>
        <w:rPr>
          <w:sz w:val="24"/>
          <w:szCs w:val="24"/>
        </w:rPr>
        <w:t xml:space="preserve">of initial TB diagnosis </w:t>
      </w:r>
      <w:r w:rsidRPr="008930C0">
        <w:rPr>
          <w:sz w:val="24"/>
          <w:szCs w:val="24"/>
        </w:rPr>
        <w:t>using GeneXpert</w:t>
      </w:r>
      <w:r>
        <w:rPr>
          <w:sz w:val="24"/>
          <w:szCs w:val="24"/>
        </w:rPr>
        <w:t xml:space="preserve"> molecular testing and then confirmed by phenotypic sensitivity testing. </w:t>
      </w:r>
    </w:p>
    <w:p w14:paraId="411E7658" w14:textId="77777777" w:rsidR="00DD76EE" w:rsidRDefault="00DD76EE" w:rsidP="00DD76EE">
      <w:pPr>
        <w:autoSpaceDE w:val="0"/>
        <w:autoSpaceDN w:val="0"/>
        <w:adjustRightInd w:val="0"/>
        <w:spacing w:after="0" w:line="276" w:lineRule="auto"/>
        <w:jc w:val="both"/>
        <w:rPr>
          <w:sz w:val="24"/>
          <w:szCs w:val="24"/>
        </w:rPr>
      </w:pPr>
    </w:p>
    <w:p w14:paraId="48AED261" w14:textId="597DC055" w:rsidR="00DD76EE" w:rsidRDefault="00DD76EE" w:rsidP="00DD76EE">
      <w:pPr>
        <w:autoSpaceDE w:val="0"/>
        <w:autoSpaceDN w:val="0"/>
        <w:adjustRightInd w:val="0"/>
        <w:spacing w:after="0" w:line="276" w:lineRule="auto"/>
        <w:jc w:val="both"/>
        <w:rPr>
          <w:bCs/>
          <w:sz w:val="24"/>
          <w:szCs w:val="24"/>
        </w:rPr>
      </w:pPr>
      <w:r>
        <w:rPr>
          <w:sz w:val="24"/>
          <w:szCs w:val="24"/>
        </w:rPr>
        <w:t xml:space="preserve">Exclusion criteria </w:t>
      </w:r>
      <w:r w:rsidR="0006281F">
        <w:rPr>
          <w:sz w:val="24"/>
          <w:szCs w:val="24"/>
        </w:rPr>
        <w:t xml:space="preserve">for the pilot trial participants </w:t>
      </w:r>
      <w:proofErr w:type="gramStart"/>
      <w:r>
        <w:rPr>
          <w:sz w:val="24"/>
          <w:szCs w:val="24"/>
        </w:rPr>
        <w:t>are:</w:t>
      </w:r>
      <w:proofErr w:type="gramEnd"/>
      <w:r>
        <w:rPr>
          <w:color w:val="000000" w:themeColor="text1"/>
          <w:sz w:val="24"/>
          <w:szCs w:val="24"/>
        </w:rPr>
        <w:t xml:space="preserve"> a person aged</w:t>
      </w:r>
      <w:r w:rsidRPr="00FE7F4A">
        <w:rPr>
          <w:sz w:val="24"/>
          <w:szCs w:val="24"/>
        </w:rPr>
        <w:t xml:space="preserve"> under 18 years of age</w:t>
      </w:r>
      <w:r>
        <w:rPr>
          <w:sz w:val="24"/>
          <w:szCs w:val="24"/>
        </w:rPr>
        <w:t>; another member of the potential trial participant’s household is already a participant in the ASCOT study; a person n</w:t>
      </w:r>
      <w:r w:rsidRPr="008454CE">
        <w:rPr>
          <w:sz w:val="24"/>
          <w:szCs w:val="24"/>
        </w:rPr>
        <w:t xml:space="preserve">ot notified to Nepal National TB Program and </w:t>
      </w:r>
      <w:r>
        <w:rPr>
          <w:sz w:val="24"/>
          <w:szCs w:val="24"/>
        </w:rPr>
        <w:t xml:space="preserve">not </w:t>
      </w:r>
      <w:r w:rsidRPr="008454CE">
        <w:rPr>
          <w:sz w:val="24"/>
          <w:szCs w:val="24"/>
        </w:rPr>
        <w:t>registered in the TB register of a TB clinic within the study site district</w:t>
      </w:r>
      <w:r>
        <w:rPr>
          <w:sz w:val="24"/>
          <w:szCs w:val="24"/>
        </w:rPr>
        <w:t xml:space="preserve">; and a person </w:t>
      </w:r>
      <w:r w:rsidRPr="00AE3E33">
        <w:rPr>
          <w:sz w:val="24"/>
          <w:szCs w:val="24"/>
        </w:rPr>
        <w:t xml:space="preserve">who is </w:t>
      </w:r>
      <w:r>
        <w:rPr>
          <w:sz w:val="24"/>
          <w:szCs w:val="24"/>
        </w:rPr>
        <w:t xml:space="preserve">unable to provide written, informed consent or thumb print. </w:t>
      </w:r>
      <w:r w:rsidRPr="00FD121A">
        <w:rPr>
          <w:bCs/>
          <w:sz w:val="24"/>
          <w:szCs w:val="24"/>
        </w:rPr>
        <w:t>In addition to the above, pilot trial participants who receive an alternative diagnosis during their treatment (</w:t>
      </w:r>
      <w:proofErr w:type="gramStart"/>
      <w:r w:rsidRPr="00FD121A">
        <w:rPr>
          <w:bCs/>
          <w:sz w:val="24"/>
          <w:szCs w:val="24"/>
        </w:rPr>
        <w:t>e.g.</w:t>
      </w:r>
      <w:proofErr w:type="gramEnd"/>
      <w:r w:rsidRPr="00FD121A">
        <w:rPr>
          <w:bCs/>
          <w:sz w:val="24"/>
          <w:szCs w:val="24"/>
        </w:rPr>
        <w:t xml:space="preserve"> diagnosis of TB rescinded and, in some cases, alternative non-TB diagnosis made) and are removed from the NTP register will also be excluded from further follow-up.</w:t>
      </w:r>
    </w:p>
    <w:p w14:paraId="75C9A6DB" w14:textId="77777777" w:rsidR="00DD76EE" w:rsidRDefault="00DD76EE" w:rsidP="00DD76EE">
      <w:pPr>
        <w:autoSpaceDE w:val="0"/>
        <w:autoSpaceDN w:val="0"/>
        <w:adjustRightInd w:val="0"/>
        <w:spacing w:after="0" w:line="276" w:lineRule="auto"/>
        <w:jc w:val="both"/>
        <w:rPr>
          <w:bCs/>
          <w:sz w:val="24"/>
          <w:szCs w:val="24"/>
        </w:rPr>
      </w:pPr>
    </w:p>
    <w:p w14:paraId="3598F4FE" w14:textId="77777777" w:rsidR="003942F0" w:rsidRDefault="00DD76EE" w:rsidP="00DD76EE">
      <w:pPr>
        <w:autoSpaceDE w:val="0"/>
        <w:autoSpaceDN w:val="0"/>
        <w:adjustRightInd w:val="0"/>
        <w:spacing w:after="0" w:line="276" w:lineRule="auto"/>
        <w:jc w:val="both"/>
        <w:rPr>
          <w:b/>
          <w:i/>
          <w:iCs/>
          <w:sz w:val="24"/>
          <w:szCs w:val="24"/>
        </w:rPr>
      </w:pPr>
      <w:r w:rsidRPr="00B8267A">
        <w:rPr>
          <w:b/>
          <w:i/>
          <w:iCs/>
          <w:sz w:val="24"/>
          <w:szCs w:val="24"/>
        </w:rPr>
        <w:t>Enhanced process evaluation participant population</w:t>
      </w:r>
    </w:p>
    <w:bookmarkEnd w:id="3"/>
    <w:p w14:paraId="541314AC" w14:textId="7A9227D4" w:rsidR="00DD76EE" w:rsidRDefault="00555D3C" w:rsidP="00DD76EE">
      <w:pPr>
        <w:autoSpaceDE w:val="0"/>
        <w:autoSpaceDN w:val="0"/>
        <w:adjustRightInd w:val="0"/>
        <w:spacing w:after="0" w:line="276" w:lineRule="auto"/>
        <w:jc w:val="both"/>
        <w:rPr>
          <w:bCs/>
          <w:sz w:val="24"/>
          <w:szCs w:val="24"/>
        </w:rPr>
      </w:pPr>
      <w:r>
        <w:rPr>
          <w:bCs/>
          <w:sz w:val="24"/>
          <w:szCs w:val="24"/>
        </w:rPr>
        <w:t xml:space="preserve">During our previous </w:t>
      </w:r>
      <w:proofErr w:type="spellStart"/>
      <w:r>
        <w:rPr>
          <w:bCs/>
          <w:sz w:val="24"/>
          <w:szCs w:val="24"/>
        </w:rPr>
        <w:t>Wellcome</w:t>
      </w:r>
      <w:proofErr w:type="spellEnd"/>
      <w:r>
        <w:rPr>
          <w:bCs/>
          <w:sz w:val="24"/>
          <w:szCs w:val="24"/>
        </w:rPr>
        <w:t xml:space="preserve"> Seed Award research, we performed a desk-based scoping exercise to identify k</w:t>
      </w:r>
      <w:r w:rsidR="00D139DD" w:rsidRPr="00DF38FF">
        <w:rPr>
          <w:bCs/>
          <w:sz w:val="24"/>
          <w:szCs w:val="24"/>
        </w:rPr>
        <w:t xml:space="preserve">ey </w:t>
      </w:r>
      <w:r w:rsidR="00DF38FF" w:rsidRPr="00DF38FF">
        <w:rPr>
          <w:bCs/>
          <w:sz w:val="24"/>
          <w:szCs w:val="24"/>
        </w:rPr>
        <w:t xml:space="preserve">in-country </w:t>
      </w:r>
      <w:r w:rsidR="00D139DD" w:rsidRPr="00DF38FF">
        <w:rPr>
          <w:bCs/>
          <w:sz w:val="24"/>
          <w:szCs w:val="24"/>
        </w:rPr>
        <w:t xml:space="preserve">stakeholders </w:t>
      </w:r>
      <w:r w:rsidR="00DF38FF" w:rsidRPr="00DF38FF">
        <w:rPr>
          <w:bCs/>
          <w:sz w:val="24"/>
          <w:szCs w:val="24"/>
        </w:rPr>
        <w:t xml:space="preserve">in Nepal </w:t>
      </w:r>
      <w:r>
        <w:rPr>
          <w:bCs/>
          <w:sz w:val="24"/>
          <w:szCs w:val="24"/>
        </w:rPr>
        <w:t xml:space="preserve">with expertise in and/or experience of TB and social protection, which is </w:t>
      </w:r>
      <w:r w:rsidR="000855E1">
        <w:rPr>
          <w:bCs/>
          <w:sz w:val="24"/>
          <w:szCs w:val="24"/>
        </w:rPr>
        <w:t xml:space="preserve">described in further </w:t>
      </w:r>
      <w:r>
        <w:rPr>
          <w:bCs/>
          <w:sz w:val="24"/>
          <w:szCs w:val="24"/>
        </w:rPr>
        <w:t xml:space="preserve">detail in </w:t>
      </w:r>
      <w:r w:rsidR="005E0F9F">
        <w:rPr>
          <w:bCs/>
          <w:sz w:val="24"/>
          <w:szCs w:val="24"/>
        </w:rPr>
        <w:t>Dixit et al</w:t>
      </w:r>
      <w:r>
        <w:rPr>
          <w:bCs/>
          <w:sz w:val="24"/>
          <w:szCs w:val="24"/>
        </w:rPr>
        <w:t>.</w:t>
      </w:r>
      <w:r w:rsidR="000855E1">
        <w:rPr>
          <w:bCs/>
          <w:sz w:val="24"/>
          <w:szCs w:val="24"/>
        </w:rPr>
        <w:fldChar w:fldCharType="begin" w:fldLock="1"/>
      </w:r>
      <w:r w:rsidR="000855E1">
        <w:rPr>
          <w:bCs/>
          <w:sz w:val="24"/>
          <w:szCs w:val="24"/>
        </w:rPr>
        <w:instrText>ADDIN CSL_CITATION {"citationItems":[{"id":"ITEM-1","itemData":{"author":[{"dropping-particle":"","family":"Dixit","given":"K","non-dropping-particle":"","parse-names":false,"suffix":""},{"dropping-particle":"","family":"Rai","given":"B","non-dropping-particle":"","parse-names":false,"suffix":""},{"dropping-particle":"","family":"Aryal","given":"TP","non-dropping-particle":"","parse-names":false,"suffix":""},{"dropping-particle":"","family":"Mishra","given":"G","non-dropping-particle":"","parse-names":false,"suffix":""},{"dropping-particle":"","family":"Teixeira de Siqueira-Filha","given":"N","non-dropping-particle":"","parse-names":false,"suffix":""},{"dropping-particle":"","family":"Paudel","given":"PR","non-dropping-particle":"","parse-names":false,"suffix":""},{"dropping-particle":"","family":"Levy","given":"JW","non-dropping-particle":"","parse-names":false,"suffix":""},{"dropping-particle":"","family":"Rest","given":"J","non-dropping-particle":"van","parse-names":false,"suffix":""},{"dropping-particle":"","family":"Gurung","given":"SC","non-dropping-particle":"","parse-names":false,"suffix":""},{"dropping-particle":"","family":"Dhital","given":"R","non-dropping-particle":"","parse-names":false,"suffix":""},{"dropping-particle":"","family":"Biermann","given":"O","non-dropping-particle":"","parse-names":false,"suffix":""},{"dropping-particle":"","family":"Viney","given":"K","non-dropping-particle":"","parse-names":false,"suffix":""},{"dropping-particle":"","family":"Lönnroth","given":"K","non-dropping-particle":"","parse-names":false,"suffix":""},{"dropping-particle":"","family":"Squire","given":"SB","non-dropping-particle":"","parse-names":false,"suffix":""},{"dropping-particle":"","family":"Caws","given":"M","non-dropping-particle":"","parse-names":false,"suffix":""},{"dropping-particle":"","family":"Wingfield","given":"T","non-dropping-particle":"","parse-names":false,"suffix":""}],"container-title":"Wellcome Open Research","id":"ITEM-1","issued":{"date-parts":[["2020"]]},"title":"Research protocol for a mixed-methods study to characterise and address the socioeconomic impact of accessing TB diagnosis and care in Nepal","type":"article-journal"},"uris":["http://www.mendeley.com/documents/?uuid=97f09b4b-941d-4a55-a03d-7430ff34494b"]}],"mendeley":{"formattedCitation":"&lt;sup&gt;12&lt;/sup&gt;","plainTextFormattedCitation":"12"},"properties":{"noteIndex":0},"schema":"https://github.com/citation-style-language/schema/raw/master/csl-citation.json"}</w:instrText>
      </w:r>
      <w:r w:rsidR="000855E1">
        <w:rPr>
          <w:bCs/>
          <w:sz w:val="24"/>
          <w:szCs w:val="24"/>
        </w:rPr>
        <w:fldChar w:fldCharType="separate"/>
      </w:r>
      <w:r w:rsidR="000855E1" w:rsidRPr="000855E1">
        <w:rPr>
          <w:bCs/>
          <w:noProof/>
          <w:sz w:val="24"/>
          <w:szCs w:val="24"/>
          <w:vertAlign w:val="superscript"/>
        </w:rPr>
        <w:t>12</w:t>
      </w:r>
      <w:r w:rsidR="000855E1">
        <w:rPr>
          <w:bCs/>
          <w:sz w:val="24"/>
          <w:szCs w:val="24"/>
        </w:rPr>
        <w:fldChar w:fldCharType="end"/>
      </w:r>
      <w:r>
        <w:rPr>
          <w:bCs/>
          <w:sz w:val="24"/>
          <w:szCs w:val="24"/>
        </w:rPr>
        <w:t xml:space="preserve"> We will update this scoping exercise to ensure a current and relevant list of potential stakeholders is produced</w:t>
      </w:r>
      <w:r w:rsidR="00DF38FF" w:rsidRPr="00DF38FF">
        <w:rPr>
          <w:bCs/>
          <w:sz w:val="24"/>
          <w:szCs w:val="24"/>
        </w:rPr>
        <w:t>.</w:t>
      </w:r>
      <w:r w:rsidR="00DF38FF">
        <w:rPr>
          <w:b/>
          <w:i/>
          <w:iCs/>
          <w:sz w:val="24"/>
          <w:szCs w:val="24"/>
        </w:rPr>
        <w:t xml:space="preserve"> </w:t>
      </w:r>
      <w:r w:rsidR="00DD76EE">
        <w:rPr>
          <w:bCs/>
          <w:sz w:val="24"/>
          <w:szCs w:val="24"/>
        </w:rPr>
        <w:t xml:space="preserve">The stakeholders will </w:t>
      </w:r>
      <w:proofErr w:type="gramStart"/>
      <w:r w:rsidR="00DD76EE">
        <w:rPr>
          <w:bCs/>
          <w:sz w:val="24"/>
          <w:szCs w:val="24"/>
        </w:rPr>
        <w:t>be</w:t>
      </w:r>
      <w:r w:rsidR="00DD76EE" w:rsidRPr="008365D6">
        <w:rPr>
          <w:bCs/>
          <w:sz w:val="24"/>
          <w:szCs w:val="24"/>
        </w:rPr>
        <w:t>:</w:t>
      </w:r>
      <w:proofErr w:type="gramEnd"/>
      <w:r w:rsidR="00DD76EE" w:rsidRPr="008365D6">
        <w:rPr>
          <w:bCs/>
          <w:sz w:val="24"/>
          <w:szCs w:val="24"/>
        </w:rPr>
        <w:t xml:space="preserve"> civil-society </w:t>
      </w:r>
      <w:r w:rsidR="00DD76EE">
        <w:rPr>
          <w:bCs/>
          <w:sz w:val="24"/>
          <w:szCs w:val="24"/>
        </w:rPr>
        <w:t xml:space="preserve">organisation (CSO) </w:t>
      </w:r>
      <w:r w:rsidR="00DD76EE" w:rsidRPr="008365D6">
        <w:rPr>
          <w:bCs/>
          <w:sz w:val="24"/>
          <w:szCs w:val="24"/>
        </w:rPr>
        <w:t>representatives</w:t>
      </w:r>
      <w:r w:rsidR="00DD76EE">
        <w:rPr>
          <w:bCs/>
          <w:sz w:val="24"/>
          <w:szCs w:val="24"/>
        </w:rPr>
        <w:t xml:space="preserve"> including from cooperatives, women’s groups,</w:t>
      </w:r>
      <w:r w:rsidR="00CB0EC3">
        <w:rPr>
          <w:bCs/>
          <w:sz w:val="24"/>
          <w:szCs w:val="24"/>
        </w:rPr>
        <w:t xml:space="preserve"> and</w:t>
      </w:r>
      <w:r w:rsidR="00DD76EE">
        <w:rPr>
          <w:bCs/>
          <w:sz w:val="24"/>
          <w:szCs w:val="24"/>
        </w:rPr>
        <w:t xml:space="preserve"> grass roots organisations</w:t>
      </w:r>
      <w:r w:rsidR="00DD76EE" w:rsidRPr="008365D6">
        <w:rPr>
          <w:bCs/>
          <w:sz w:val="24"/>
          <w:szCs w:val="24"/>
        </w:rPr>
        <w:t>; community leaders</w:t>
      </w:r>
      <w:r w:rsidR="00DD76EE">
        <w:rPr>
          <w:bCs/>
          <w:sz w:val="24"/>
          <w:szCs w:val="24"/>
        </w:rPr>
        <w:t xml:space="preserve"> (e.g. district elders)</w:t>
      </w:r>
      <w:r w:rsidR="00DD76EE" w:rsidRPr="008365D6">
        <w:rPr>
          <w:bCs/>
          <w:sz w:val="24"/>
          <w:szCs w:val="24"/>
        </w:rPr>
        <w:t xml:space="preserve">; social-protection </w:t>
      </w:r>
      <w:r w:rsidR="00DD76EE">
        <w:rPr>
          <w:bCs/>
          <w:sz w:val="24"/>
          <w:szCs w:val="24"/>
        </w:rPr>
        <w:t>decision makers</w:t>
      </w:r>
      <w:r w:rsidR="00DD76EE" w:rsidRPr="008365D6">
        <w:rPr>
          <w:bCs/>
          <w:sz w:val="24"/>
          <w:szCs w:val="24"/>
        </w:rPr>
        <w:t xml:space="preserve">; </w:t>
      </w:r>
      <w:r w:rsidR="00DD76EE">
        <w:rPr>
          <w:bCs/>
          <w:sz w:val="24"/>
          <w:szCs w:val="24"/>
        </w:rPr>
        <w:t>N</w:t>
      </w:r>
      <w:r w:rsidR="00DD76EE" w:rsidRPr="008365D6">
        <w:rPr>
          <w:bCs/>
          <w:sz w:val="24"/>
          <w:szCs w:val="24"/>
        </w:rPr>
        <w:t xml:space="preserve">TP </w:t>
      </w:r>
      <w:r w:rsidR="00DD76EE">
        <w:rPr>
          <w:bCs/>
          <w:sz w:val="24"/>
          <w:szCs w:val="24"/>
        </w:rPr>
        <w:t xml:space="preserve">leaders and </w:t>
      </w:r>
      <w:r w:rsidR="00DD76EE" w:rsidRPr="008365D6">
        <w:rPr>
          <w:bCs/>
          <w:sz w:val="24"/>
          <w:szCs w:val="24"/>
        </w:rPr>
        <w:t>managers</w:t>
      </w:r>
      <w:r w:rsidR="00DD76EE">
        <w:rPr>
          <w:bCs/>
          <w:sz w:val="24"/>
          <w:szCs w:val="24"/>
        </w:rPr>
        <w:t>;</w:t>
      </w:r>
      <w:r w:rsidR="00DD76EE" w:rsidRPr="008365D6">
        <w:rPr>
          <w:bCs/>
          <w:sz w:val="24"/>
          <w:szCs w:val="24"/>
        </w:rPr>
        <w:t xml:space="preserve"> and </w:t>
      </w:r>
      <w:r w:rsidR="00DD76EE">
        <w:rPr>
          <w:bCs/>
          <w:sz w:val="24"/>
          <w:szCs w:val="24"/>
        </w:rPr>
        <w:t xml:space="preserve">NTP </w:t>
      </w:r>
      <w:r w:rsidR="00DD76EE" w:rsidRPr="008365D6">
        <w:rPr>
          <w:bCs/>
          <w:sz w:val="24"/>
          <w:szCs w:val="24"/>
        </w:rPr>
        <w:t>multi-disciplinary staff</w:t>
      </w:r>
      <w:r w:rsidR="00DD76EE">
        <w:rPr>
          <w:bCs/>
          <w:sz w:val="24"/>
          <w:szCs w:val="24"/>
        </w:rPr>
        <w:t>, predominantly from the study sites</w:t>
      </w:r>
      <w:r w:rsidR="00DD76EE" w:rsidRPr="008365D6">
        <w:rPr>
          <w:bCs/>
          <w:sz w:val="24"/>
          <w:szCs w:val="24"/>
        </w:rPr>
        <w:t>.</w:t>
      </w:r>
      <w:r w:rsidR="00DD76EE">
        <w:rPr>
          <w:bCs/>
          <w:sz w:val="24"/>
          <w:szCs w:val="24"/>
        </w:rPr>
        <w:t xml:space="preserve"> Additional stakeholders will be ASCOT field team members including community health supervisors (CHSs), female community health volunteers (FCHVs), and District Program Coordinators (DPCs); and a subset of people with TB recruited to each arm of the ASCOT study will be purposively selected. Purposive </w:t>
      </w:r>
      <w:r w:rsidR="00DD76EE">
        <w:rPr>
          <w:bCs/>
          <w:sz w:val="24"/>
          <w:szCs w:val="24"/>
        </w:rPr>
        <w:lastRenderedPageBreak/>
        <w:t>selection will aim to achieve representation by gender, age, poverty level, comorbidities (</w:t>
      </w:r>
      <w:proofErr w:type="gramStart"/>
      <w:r w:rsidR="00DD76EE">
        <w:rPr>
          <w:bCs/>
          <w:sz w:val="24"/>
          <w:szCs w:val="24"/>
        </w:rPr>
        <w:t>e.g.</w:t>
      </w:r>
      <w:proofErr w:type="gramEnd"/>
      <w:r w:rsidR="00DD76EE">
        <w:rPr>
          <w:bCs/>
          <w:sz w:val="24"/>
          <w:szCs w:val="24"/>
        </w:rPr>
        <w:t xml:space="preserve"> HIV), and in the case of participants, ASCOT arm.  </w:t>
      </w:r>
    </w:p>
    <w:p w14:paraId="7B0CE0B9" w14:textId="77777777" w:rsidR="00DD76EE" w:rsidRDefault="00DD76EE" w:rsidP="00DD76EE">
      <w:pPr>
        <w:autoSpaceDE w:val="0"/>
        <w:autoSpaceDN w:val="0"/>
        <w:adjustRightInd w:val="0"/>
        <w:spacing w:after="0" w:line="276" w:lineRule="auto"/>
        <w:jc w:val="both"/>
        <w:rPr>
          <w:bCs/>
          <w:sz w:val="24"/>
          <w:szCs w:val="24"/>
        </w:rPr>
      </w:pPr>
    </w:p>
    <w:p w14:paraId="38161C08" w14:textId="77777777" w:rsidR="00DD76EE" w:rsidRPr="00B8267A" w:rsidRDefault="00DD76EE" w:rsidP="00DD76EE">
      <w:pPr>
        <w:autoSpaceDE w:val="0"/>
        <w:autoSpaceDN w:val="0"/>
        <w:adjustRightInd w:val="0"/>
        <w:spacing w:after="0" w:line="276" w:lineRule="auto"/>
        <w:jc w:val="both"/>
        <w:rPr>
          <w:bCs/>
          <w:sz w:val="24"/>
          <w:szCs w:val="24"/>
        </w:rPr>
      </w:pPr>
      <w:r>
        <w:rPr>
          <w:bCs/>
          <w:sz w:val="24"/>
          <w:szCs w:val="24"/>
        </w:rPr>
        <w:t xml:space="preserve">The following stakeholders will be invited to participate in </w:t>
      </w:r>
      <w:r w:rsidRPr="00B8267A">
        <w:rPr>
          <w:bCs/>
          <w:sz w:val="24"/>
          <w:szCs w:val="24"/>
        </w:rPr>
        <w:t>separate focus group discussions (FGDs):</w:t>
      </w:r>
    </w:p>
    <w:p w14:paraId="433E3E71"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Civil Society Organisation (CSO) representatives (n=5)</w:t>
      </w:r>
    </w:p>
    <w:p w14:paraId="45EE3F3B"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Community leaders (n=5)</w:t>
      </w:r>
    </w:p>
    <w:p w14:paraId="5FFC8D87"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NTP multi-disciplinary staff (n=5)</w:t>
      </w:r>
    </w:p>
    <w:p w14:paraId="76CE5EBD"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ASCOT Community Health Supervisors (CHS) (n=5)</w:t>
      </w:r>
    </w:p>
    <w:p w14:paraId="66156BAC"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ASCOT Female Community Health Volunteers (FCHVs) (n=5)</w:t>
      </w:r>
    </w:p>
    <w:p w14:paraId="5ED09ECB" w14:textId="77777777" w:rsidR="00DD76EE" w:rsidRDefault="00DD76EE" w:rsidP="00DD76EE">
      <w:pPr>
        <w:pStyle w:val="ListParagraph"/>
        <w:numPr>
          <w:ilvl w:val="0"/>
          <w:numId w:val="26"/>
        </w:numPr>
        <w:autoSpaceDE w:val="0"/>
        <w:autoSpaceDN w:val="0"/>
        <w:adjustRightInd w:val="0"/>
        <w:spacing w:after="0" w:line="276" w:lineRule="auto"/>
        <w:jc w:val="both"/>
        <w:rPr>
          <w:bCs/>
          <w:sz w:val="24"/>
          <w:szCs w:val="24"/>
        </w:rPr>
      </w:pPr>
      <w:r>
        <w:rPr>
          <w:bCs/>
          <w:sz w:val="24"/>
          <w:szCs w:val="24"/>
        </w:rPr>
        <w:t>People with TB (separate FGDs of n=5 with participants from each study arm, including those found by ACF and PCF)</w:t>
      </w:r>
    </w:p>
    <w:p w14:paraId="0468AE83" w14:textId="77777777" w:rsidR="00DD76EE" w:rsidRDefault="00DD76EE" w:rsidP="00DD76EE">
      <w:pPr>
        <w:autoSpaceDE w:val="0"/>
        <w:autoSpaceDN w:val="0"/>
        <w:adjustRightInd w:val="0"/>
        <w:spacing w:after="0" w:line="276" w:lineRule="auto"/>
        <w:jc w:val="both"/>
        <w:rPr>
          <w:bCs/>
          <w:sz w:val="24"/>
          <w:szCs w:val="24"/>
        </w:rPr>
      </w:pPr>
    </w:p>
    <w:p w14:paraId="3EFB861F" w14:textId="77777777" w:rsidR="00DD76EE" w:rsidRPr="00B8267A" w:rsidRDefault="00DD76EE" w:rsidP="00DD76EE">
      <w:pPr>
        <w:autoSpaceDE w:val="0"/>
        <w:autoSpaceDN w:val="0"/>
        <w:adjustRightInd w:val="0"/>
        <w:spacing w:after="0" w:line="276" w:lineRule="auto"/>
        <w:jc w:val="both"/>
        <w:rPr>
          <w:bCs/>
          <w:sz w:val="24"/>
          <w:szCs w:val="24"/>
        </w:rPr>
      </w:pPr>
      <w:r w:rsidRPr="00A43C88">
        <w:rPr>
          <w:bCs/>
          <w:sz w:val="24"/>
          <w:szCs w:val="24"/>
        </w:rPr>
        <w:t xml:space="preserve">The following stakeholders will be invited to participate in </w:t>
      </w:r>
      <w:r w:rsidRPr="00B8267A">
        <w:rPr>
          <w:bCs/>
          <w:sz w:val="24"/>
          <w:szCs w:val="24"/>
        </w:rPr>
        <w:t>key informant interviews (KIIs):</w:t>
      </w:r>
    </w:p>
    <w:p w14:paraId="52552562" w14:textId="77777777" w:rsidR="00DD76EE" w:rsidRDefault="00DD76EE" w:rsidP="00DD76EE">
      <w:pPr>
        <w:pStyle w:val="ListParagraph"/>
        <w:numPr>
          <w:ilvl w:val="0"/>
          <w:numId w:val="27"/>
        </w:numPr>
        <w:autoSpaceDE w:val="0"/>
        <w:autoSpaceDN w:val="0"/>
        <w:adjustRightInd w:val="0"/>
        <w:spacing w:after="0" w:line="276" w:lineRule="auto"/>
        <w:jc w:val="both"/>
        <w:rPr>
          <w:bCs/>
          <w:sz w:val="24"/>
          <w:szCs w:val="24"/>
        </w:rPr>
      </w:pPr>
      <w:r>
        <w:rPr>
          <w:bCs/>
          <w:sz w:val="24"/>
          <w:szCs w:val="24"/>
        </w:rPr>
        <w:t>NTP managers (n=5)</w:t>
      </w:r>
    </w:p>
    <w:p w14:paraId="2787FD71" w14:textId="77777777" w:rsidR="00DD76EE" w:rsidRDefault="00DD76EE" w:rsidP="00DD76EE">
      <w:pPr>
        <w:pStyle w:val="ListParagraph"/>
        <w:numPr>
          <w:ilvl w:val="0"/>
          <w:numId w:val="27"/>
        </w:numPr>
        <w:autoSpaceDE w:val="0"/>
        <w:autoSpaceDN w:val="0"/>
        <w:adjustRightInd w:val="0"/>
        <w:spacing w:after="0" w:line="276" w:lineRule="auto"/>
        <w:jc w:val="both"/>
        <w:rPr>
          <w:bCs/>
          <w:sz w:val="24"/>
          <w:szCs w:val="24"/>
        </w:rPr>
      </w:pPr>
      <w:r>
        <w:rPr>
          <w:bCs/>
          <w:sz w:val="24"/>
          <w:szCs w:val="24"/>
        </w:rPr>
        <w:t>Social protection decision makers (n=5)</w:t>
      </w:r>
    </w:p>
    <w:p w14:paraId="27128D8D" w14:textId="77777777" w:rsidR="00DD76EE" w:rsidRDefault="00DD76EE" w:rsidP="00DD76EE">
      <w:pPr>
        <w:pStyle w:val="ListParagraph"/>
        <w:numPr>
          <w:ilvl w:val="0"/>
          <w:numId w:val="27"/>
        </w:numPr>
        <w:autoSpaceDE w:val="0"/>
        <w:autoSpaceDN w:val="0"/>
        <w:adjustRightInd w:val="0"/>
        <w:spacing w:after="0" w:line="276" w:lineRule="auto"/>
        <w:jc w:val="both"/>
        <w:rPr>
          <w:bCs/>
          <w:sz w:val="24"/>
          <w:szCs w:val="24"/>
        </w:rPr>
      </w:pPr>
      <w:r>
        <w:rPr>
          <w:bCs/>
          <w:sz w:val="24"/>
          <w:szCs w:val="24"/>
        </w:rPr>
        <w:t>ASCOT District Program Coordinators (DPCs) (n=5)</w:t>
      </w:r>
    </w:p>
    <w:p w14:paraId="0DCD283A" w14:textId="77777777" w:rsidR="00DD76EE" w:rsidRDefault="00DD76EE" w:rsidP="00DD76EE">
      <w:pPr>
        <w:autoSpaceDE w:val="0"/>
        <w:autoSpaceDN w:val="0"/>
        <w:adjustRightInd w:val="0"/>
        <w:spacing w:after="0" w:line="276" w:lineRule="auto"/>
        <w:jc w:val="both"/>
        <w:rPr>
          <w:bCs/>
          <w:sz w:val="24"/>
          <w:szCs w:val="24"/>
        </w:rPr>
      </w:pPr>
    </w:p>
    <w:p w14:paraId="128CEFEC" w14:textId="505033A5" w:rsidR="00DD76EE" w:rsidRDefault="00DD76EE" w:rsidP="00DD76EE">
      <w:pPr>
        <w:autoSpaceDE w:val="0"/>
        <w:autoSpaceDN w:val="0"/>
        <w:adjustRightInd w:val="0"/>
        <w:spacing w:after="0" w:line="276" w:lineRule="auto"/>
        <w:jc w:val="both"/>
        <w:rPr>
          <w:sz w:val="24"/>
          <w:szCs w:val="24"/>
        </w:rPr>
      </w:pPr>
      <w:r w:rsidRPr="00B8267A">
        <w:rPr>
          <w:bCs/>
          <w:sz w:val="24"/>
          <w:szCs w:val="24"/>
        </w:rPr>
        <w:t xml:space="preserve">Inclusion criteria </w:t>
      </w:r>
      <w:r w:rsidR="0006281F">
        <w:rPr>
          <w:bCs/>
          <w:sz w:val="24"/>
          <w:szCs w:val="24"/>
        </w:rPr>
        <w:t xml:space="preserve">for the process evaluation participants </w:t>
      </w:r>
      <w:proofErr w:type="gramStart"/>
      <w:r w:rsidRPr="00B8267A">
        <w:rPr>
          <w:bCs/>
          <w:sz w:val="24"/>
          <w:szCs w:val="24"/>
        </w:rPr>
        <w:t>are:</w:t>
      </w:r>
      <w:proofErr w:type="gramEnd"/>
      <w:r w:rsidRPr="00B8267A">
        <w:rPr>
          <w:bCs/>
          <w:sz w:val="24"/>
          <w:szCs w:val="24"/>
        </w:rPr>
        <w:t xml:space="preserve"> </w:t>
      </w:r>
      <w:r>
        <w:rPr>
          <w:sz w:val="24"/>
          <w:szCs w:val="24"/>
        </w:rPr>
        <w:t>aged</w:t>
      </w:r>
      <w:r w:rsidRPr="00B8267A">
        <w:rPr>
          <w:sz w:val="24"/>
          <w:szCs w:val="24"/>
        </w:rPr>
        <w:t xml:space="preserve"> 18 years or older</w:t>
      </w:r>
      <w:r>
        <w:rPr>
          <w:sz w:val="24"/>
          <w:szCs w:val="24"/>
        </w:rPr>
        <w:t>; identified by scoping review or, if a person with TB participated in ASCOT pilot trial whether recruited by ACF or PCF; able to provide w</w:t>
      </w:r>
      <w:r w:rsidRPr="001B316E">
        <w:rPr>
          <w:sz w:val="24"/>
          <w:szCs w:val="24"/>
        </w:rPr>
        <w:t>ritten</w:t>
      </w:r>
      <w:r>
        <w:rPr>
          <w:sz w:val="24"/>
          <w:szCs w:val="24"/>
        </w:rPr>
        <w:t xml:space="preserve">, </w:t>
      </w:r>
      <w:r w:rsidRPr="001B316E">
        <w:rPr>
          <w:sz w:val="24"/>
          <w:szCs w:val="24"/>
        </w:rPr>
        <w:t>informed consent</w:t>
      </w:r>
      <w:r>
        <w:rPr>
          <w:sz w:val="24"/>
          <w:szCs w:val="24"/>
        </w:rPr>
        <w:t xml:space="preserve"> (or thumb print if unable to write).</w:t>
      </w:r>
    </w:p>
    <w:p w14:paraId="43DCE2B6" w14:textId="77777777" w:rsidR="00DD76EE" w:rsidRDefault="00DD76EE" w:rsidP="00DD76EE">
      <w:pPr>
        <w:autoSpaceDE w:val="0"/>
        <w:autoSpaceDN w:val="0"/>
        <w:adjustRightInd w:val="0"/>
        <w:spacing w:after="0" w:line="276" w:lineRule="auto"/>
        <w:jc w:val="both"/>
        <w:rPr>
          <w:sz w:val="24"/>
          <w:szCs w:val="24"/>
        </w:rPr>
      </w:pPr>
    </w:p>
    <w:p w14:paraId="0BF23FE1" w14:textId="718B3AAE" w:rsidR="00DD76EE" w:rsidRDefault="00DD76EE" w:rsidP="00DD76EE">
      <w:pPr>
        <w:autoSpaceDE w:val="0"/>
        <w:autoSpaceDN w:val="0"/>
        <w:adjustRightInd w:val="0"/>
        <w:spacing w:after="0" w:line="276" w:lineRule="auto"/>
        <w:jc w:val="both"/>
        <w:rPr>
          <w:sz w:val="24"/>
          <w:szCs w:val="24"/>
        </w:rPr>
      </w:pPr>
      <w:r>
        <w:rPr>
          <w:sz w:val="24"/>
          <w:szCs w:val="24"/>
        </w:rPr>
        <w:t>Exclusion criteria</w:t>
      </w:r>
      <w:r w:rsidR="0006281F">
        <w:rPr>
          <w:sz w:val="24"/>
          <w:szCs w:val="24"/>
        </w:rPr>
        <w:t xml:space="preserve"> for the process evaluation participants </w:t>
      </w:r>
      <w:proofErr w:type="gramStart"/>
      <w:r w:rsidR="0006281F">
        <w:rPr>
          <w:sz w:val="24"/>
          <w:szCs w:val="24"/>
        </w:rPr>
        <w:t>are</w:t>
      </w:r>
      <w:r>
        <w:rPr>
          <w:sz w:val="24"/>
          <w:szCs w:val="24"/>
        </w:rPr>
        <w:t>:</w:t>
      </w:r>
      <w:proofErr w:type="gramEnd"/>
      <w:r>
        <w:rPr>
          <w:sz w:val="24"/>
          <w:szCs w:val="24"/>
        </w:rPr>
        <w:t xml:space="preserve"> </w:t>
      </w:r>
      <w:r w:rsidRPr="00B8267A">
        <w:rPr>
          <w:sz w:val="24"/>
          <w:szCs w:val="24"/>
        </w:rPr>
        <w:t>under 18 years of age</w:t>
      </w:r>
      <w:r>
        <w:rPr>
          <w:sz w:val="24"/>
          <w:szCs w:val="24"/>
        </w:rPr>
        <w:t>; n</w:t>
      </w:r>
      <w:r w:rsidRPr="00B8267A">
        <w:rPr>
          <w:sz w:val="24"/>
          <w:szCs w:val="24"/>
        </w:rPr>
        <w:t>ot identified by scoping review or, if a person with TB did not participate in ASCOT pilot trial</w:t>
      </w:r>
      <w:r>
        <w:rPr>
          <w:sz w:val="24"/>
          <w:szCs w:val="24"/>
        </w:rPr>
        <w:t>; and u</w:t>
      </w:r>
      <w:r w:rsidRPr="00B8267A">
        <w:rPr>
          <w:sz w:val="24"/>
          <w:szCs w:val="24"/>
        </w:rPr>
        <w:t>nable to provide written, informed consent or thumb print</w:t>
      </w:r>
      <w:r>
        <w:rPr>
          <w:sz w:val="24"/>
          <w:szCs w:val="24"/>
        </w:rPr>
        <w:t>.</w:t>
      </w:r>
    </w:p>
    <w:p w14:paraId="3FFAB13E" w14:textId="0F6E811A" w:rsidR="0006281F" w:rsidRDefault="0006281F" w:rsidP="00DD76EE">
      <w:pPr>
        <w:autoSpaceDE w:val="0"/>
        <w:autoSpaceDN w:val="0"/>
        <w:adjustRightInd w:val="0"/>
        <w:spacing w:after="0" w:line="276" w:lineRule="auto"/>
        <w:jc w:val="both"/>
        <w:rPr>
          <w:sz w:val="24"/>
          <w:szCs w:val="24"/>
        </w:rPr>
      </w:pPr>
    </w:p>
    <w:p w14:paraId="2658FF37" w14:textId="77777777" w:rsidR="0006281F" w:rsidRPr="0006281F" w:rsidRDefault="0006281F" w:rsidP="0006281F">
      <w:pPr>
        <w:autoSpaceDE w:val="0"/>
        <w:autoSpaceDN w:val="0"/>
        <w:adjustRightInd w:val="0"/>
        <w:spacing w:after="0" w:line="276" w:lineRule="auto"/>
        <w:jc w:val="both"/>
        <w:rPr>
          <w:b/>
          <w:i/>
          <w:iCs/>
          <w:sz w:val="24"/>
          <w:szCs w:val="24"/>
        </w:rPr>
      </w:pPr>
      <w:r w:rsidRPr="0006281F">
        <w:rPr>
          <w:b/>
          <w:i/>
          <w:iCs/>
          <w:sz w:val="24"/>
          <w:szCs w:val="24"/>
        </w:rPr>
        <w:t>Sample size and statistical power.</w:t>
      </w:r>
    </w:p>
    <w:p w14:paraId="20130DA0" w14:textId="77777777" w:rsidR="0006281F" w:rsidRDefault="0006281F" w:rsidP="0006281F">
      <w:pPr>
        <w:autoSpaceDE w:val="0"/>
        <w:autoSpaceDN w:val="0"/>
        <w:adjustRightInd w:val="0"/>
        <w:spacing w:after="0" w:line="276" w:lineRule="auto"/>
        <w:jc w:val="both"/>
        <w:rPr>
          <w:bCs/>
          <w:sz w:val="24"/>
          <w:szCs w:val="24"/>
        </w:rPr>
      </w:pPr>
    </w:p>
    <w:p w14:paraId="586314EE" w14:textId="641D1CF3" w:rsidR="0006281F" w:rsidRDefault="0006281F" w:rsidP="0006281F">
      <w:pPr>
        <w:autoSpaceDE w:val="0"/>
        <w:autoSpaceDN w:val="0"/>
        <w:adjustRightInd w:val="0"/>
        <w:spacing w:after="0" w:line="276" w:lineRule="auto"/>
        <w:jc w:val="both"/>
        <w:rPr>
          <w:bCs/>
          <w:sz w:val="24"/>
          <w:szCs w:val="24"/>
        </w:rPr>
      </w:pPr>
      <w:r w:rsidRPr="00C95C29">
        <w:rPr>
          <w:bCs/>
          <w:sz w:val="24"/>
          <w:szCs w:val="24"/>
        </w:rPr>
        <w:t>A sample of ≥40 people is recommended for pilot trials and process evaluations</w:t>
      </w:r>
      <w:r w:rsidRPr="00C95C29">
        <w:rPr>
          <w:bCs/>
          <w:sz w:val="24"/>
          <w:szCs w:val="24"/>
        </w:rPr>
        <w:fldChar w:fldCharType="begin" w:fldLock="1"/>
      </w:r>
      <w:r w:rsidR="000855E1">
        <w:rPr>
          <w:bCs/>
          <w:sz w:val="24"/>
          <w:szCs w:val="24"/>
        </w:rPr>
        <w:instrText>ADDIN CSL_CITATION {"citationItems":[{"id":"ITEM-1","itemData":{"DOI":"http://www.populationhealthsciences.org/MRC-PHSRN-Process-evaluation-guidance-final-2-.pdf","ISBN":"1134470495","ISSN":"1756-1833","PMID":"25791983","abstract":"This document provides researchers, practitioners, funders, journal editors and policy-makers with guidance in planning, designing, conducting and appraising process evaluations of complex interventions. The background, aims and scope are set out in more detail in Chapter 1, which provides an overview of core aims for process evaluation, and introduces the framework which guides the remainder of the document. The guidance is then divided into two core sections: Process Evaluation Theory (Section A) and Process Evaluation Practice (Section B). Section A brings together a range of theories and frameworks which can inform process evaluation, and current debates. Section B provides a more practical ‘how to’ guide. Readers may find it useful to start with the section which directly addresses their needs, rather than reading the document cover to cover. The guidance is written from the perspectives of researchers with experience of process evaluations alongside trials of complex public health interventions (interventions focused upon primary or secondary prevention of disease, or positive health promotion, rather than treatment of illness). However, it is also relevant to stakeholders from other research domains, such as health services or education. This executive summary will provide a brief overview of why process evaluation is necessary, what it is, and how to plan, design and conduct a process evaluation.","author":[{"dropping-particle":"","family":"Moore","given":"Graham","non-dropping-particle":"","parse-names":false,"suffix":""},{"dropping-particle":"","family":"Audrey","given":"Suzanne","non-dropping-particle":"","parse-names":false,"suffix":""},{"dropping-particle":"","family":"Barker","given":"Mary","non-dropping-particle":"","parse-names":false,"suffix":""},{"dropping-particle":"","family":"Bond","given":"Lyndal","non-dropping-particle":"","parse-names":false,"suffix":""},{"dropping-particle":"","family":"Bonell","given":"Chris","non-dropping-particle":"","parse-names":false,"suffix":""},{"dropping-particle":"","family":"Hardeman","given":"Wendy","non-dropping-particle":"","parse-names":false,"suffix":""},{"dropping-particle":"","family":"Moore","given":"Laurence","non-dropping-particle":"","parse-names":false,"suffix":""},{"dropping-particle":"","family":"O'Cathain","given":"Alicia","non-dropping-particle":"","parse-names":false,"suffix":""},{"dropping-particle":"","family":"Tinati","given":"Tannaze","non-dropping-particle":"","parse-names":false,"suffix":""},{"dropping-particle":"","family":"Wight","given":"Daniel","non-dropping-particle":"","parse-names":false,"suffix":""},{"dropping-particle":"","family":"Baird","given":"Janis","non-dropping-particle":"","parse-names":false,"suffix":""}],"container-title":"Decipher.Uk.Net","id":"ITEM-1","issued":{"date-parts":[["2014"]]},"page":"19-75","title":"Process evaluation of complex interventions","type":"article-journal"},"uris":["http://www.mendeley.com/documents/?uuid=677ac2fd-30c6-42ac-8202-1d7b82735ff5"]}],"mendeley":{"formattedCitation":"&lt;sup&gt;31&lt;/sup&gt;","plainTextFormattedCitation":"31","previouslyFormattedCitation":"&lt;sup&gt;31&lt;/sup&gt;"},"properties":{"noteIndex":0},"schema":"https://github.com/citation-style-language/schema/raw/master/csl-citation.json"}</w:instrText>
      </w:r>
      <w:r w:rsidRPr="00C95C29">
        <w:rPr>
          <w:bCs/>
          <w:sz w:val="24"/>
          <w:szCs w:val="24"/>
        </w:rPr>
        <w:fldChar w:fldCharType="separate"/>
      </w:r>
      <w:r w:rsidR="00DE199B" w:rsidRPr="00DE199B">
        <w:rPr>
          <w:bCs/>
          <w:noProof/>
          <w:sz w:val="24"/>
          <w:szCs w:val="24"/>
          <w:vertAlign w:val="superscript"/>
        </w:rPr>
        <w:t>31</w:t>
      </w:r>
      <w:r w:rsidRPr="00C95C29">
        <w:rPr>
          <w:sz w:val="24"/>
          <w:szCs w:val="24"/>
        </w:rPr>
        <w:fldChar w:fldCharType="end"/>
      </w:r>
      <w:r w:rsidRPr="00C95C29">
        <w:rPr>
          <w:bCs/>
          <w:sz w:val="24"/>
          <w:szCs w:val="24"/>
        </w:rPr>
        <w:t xml:space="preserve"> and ~100 people for TB costs data.</w:t>
      </w:r>
      <w:r w:rsidRPr="00C95C29">
        <w:rPr>
          <w:bCs/>
          <w:sz w:val="24"/>
          <w:szCs w:val="24"/>
        </w:rPr>
        <w:fldChar w:fldCharType="begin" w:fldLock="1"/>
      </w:r>
      <w:r w:rsidR="000855E1">
        <w:rPr>
          <w:bCs/>
          <w:sz w:val="24"/>
          <w:szCs w:val="24"/>
        </w:rPr>
        <w:instrText>ADDIN CSL_CITATION {"citationItems":[{"id":"ITEM-1","itemData":{"DOI":"10.1136/bmjopen-2016-014386","ISSN":"20446055","abstract":"Introduction Multidrug-resistant tuberculosis (MDR-TB) poses a serious financial challenge to health systems and patients. The current treatment for patients with MDR-TB takes up to 24 months to complete. Evidence for a shorter regimen which differs from the standard WHO recommended MDR-TB regimen and typically lasts between 9 and 12 months has been reported from Bangladesh. This evaluation aims to assess the economic impact of a shortened regimen on patients and health systems. This evaluation is innovative as it combines patient and health system costs, as well as operational modelling in assessing the impact. Methods and analysis An economic evaluation nested in a clinical trial with 2 arms will be performed at 4 facilities. The primary outcome measure is incremental cost to the health system of the study regimen compared with the control regimen. Secondary outcome measures are mean incremental costs incurred by patients by treatment outcome; patient costs by category (direct medical costs, transport, food and accommodation costs, and cost of guardians/accompanying persons and lost time); health systems cost by category and drugs; and costs related to serious adverse events. Ethics and dissemination The study has been evaluated and approved by the Ethics Advisory Group of the International Union Against Tuberculosis and Lung Disease; South African Medical Research Ethics Committee; Wits Health Consortium Protocol Review Committee; University of the Witwatersrand Human Research Ethics Committee; University of Kwazulu-Natal Biomedical Research Ethics Committee; St Peter TB Specialized Hospital Ethical Review Committee; AHRI-ALERT Ethical Review Committee, and all participants will provide written informed consent. The results of the economic evaluation will be published in a peer-reviewed journal. Trial registration number ISRCTN78372190.","author":[{"dropping-particle":"","family":"Gama","given":"Elvis","non-dropping-particle":"","parse-names":false,"suffix":""},{"dropping-particle":"","family":"Madan","given":"Jason","non-dropping-particle":"","parse-names":false,"suffix":""},{"dropping-particle":"","family":"Langley","given":"Ivor","non-dropping-particle":"","parse-names":false,"suffix":""},{"dropping-particle":"","family":"Girma","given":"Mamo","non-dropping-particle":"","parse-names":false,"suffix":""},{"dropping-particle":"","family":"Evans","given":"Denise","non-dropping-particle":"","parse-names":false,"suffix":""},{"dropping-particle":"","family":"Rosen","given":"Sydney","non-dropping-particle":"","parse-names":false,"suffix":""},{"dropping-particle":"","family":"Squire","given":"S. Bertel","non-dropping-particle":"","parse-names":false,"suffix":""}],"container-title":"BMJ Open","id":"ITEM-1","issue":"10","issued":{"date-parts":[["2016"]]},"page":"1-7","title":"Economic evaluation of a shortened standardised treatment regimen of antituberculosis drugs for patients with multidrug-resistant tuberculosis (STREAM): Study protocol","type":"article-journal","volume":"6"},"uris":["http://www.mendeley.com/documents/?uuid=286b5bbb-ee81-447b-a82a-513295dad27d"]}],"mendeley":{"formattedCitation":"&lt;sup&gt;32&lt;/sup&gt;","plainTextFormattedCitation":"32","previouslyFormattedCitation":"&lt;sup&gt;32&lt;/sup&gt;"},"properties":{"noteIndex":0},"schema":"https://github.com/citation-style-language/schema/raw/master/csl-citation.json"}</w:instrText>
      </w:r>
      <w:r w:rsidRPr="00C95C29">
        <w:rPr>
          <w:bCs/>
          <w:sz w:val="24"/>
          <w:szCs w:val="24"/>
        </w:rPr>
        <w:fldChar w:fldCharType="separate"/>
      </w:r>
      <w:r w:rsidR="00DE199B" w:rsidRPr="00DE199B">
        <w:rPr>
          <w:bCs/>
          <w:noProof/>
          <w:sz w:val="24"/>
          <w:szCs w:val="24"/>
          <w:vertAlign w:val="superscript"/>
        </w:rPr>
        <w:t>32</w:t>
      </w:r>
      <w:r w:rsidRPr="00C95C29">
        <w:rPr>
          <w:sz w:val="24"/>
          <w:szCs w:val="24"/>
        </w:rPr>
        <w:fldChar w:fldCharType="end"/>
      </w:r>
      <w:r w:rsidRPr="00C95C29">
        <w:rPr>
          <w:bCs/>
          <w:sz w:val="24"/>
          <w:szCs w:val="24"/>
        </w:rPr>
        <w:t xml:space="preserve"> </w:t>
      </w:r>
      <w:r>
        <w:rPr>
          <w:bCs/>
          <w:sz w:val="24"/>
          <w:szCs w:val="24"/>
        </w:rPr>
        <w:t>Our previous research in the study site attained recruitment rates of &gt;90% of those invited</w:t>
      </w:r>
      <w:r w:rsidR="00A24F0D">
        <w:rPr>
          <w:bCs/>
          <w:sz w:val="24"/>
          <w:szCs w:val="24"/>
        </w:rPr>
        <w:t xml:space="preserve">, </w:t>
      </w:r>
      <w:r>
        <w:rPr>
          <w:bCs/>
          <w:sz w:val="24"/>
          <w:szCs w:val="24"/>
        </w:rPr>
        <w:t xml:space="preserve">attrition </w:t>
      </w:r>
      <w:r w:rsidR="00A24F0D">
        <w:rPr>
          <w:bCs/>
          <w:sz w:val="24"/>
          <w:szCs w:val="24"/>
        </w:rPr>
        <w:t xml:space="preserve">during follow-up </w:t>
      </w:r>
      <w:r>
        <w:rPr>
          <w:bCs/>
          <w:sz w:val="24"/>
          <w:szCs w:val="24"/>
        </w:rPr>
        <w:t>was less than 5%</w:t>
      </w:r>
      <w:r w:rsidR="00A24F0D">
        <w:rPr>
          <w:bCs/>
          <w:sz w:val="24"/>
          <w:szCs w:val="24"/>
        </w:rPr>
        <w:t>, and we anticipate similar rates during the ASCOT project</w:t>
      </w:r>
      <w:r>
        <w:rPr>
          <w:bCs/>
          <w:sz w:val="24"/>
          <w:szCs w:val="24"/>
        </w:rPr>
        <w:t>.</w:t>
      </w:r>
      <w:r>
        <w:rPr>
          <w:bCs/>
          <w:sz w:val="24"/>
          <w:szCs w:val="24"/>
        </w:rPr>
        <w:fldChar w:fldCharType="begin" w:fldLock="1"/>
      </w:r>
      <w:r w:rsidR="00461CAB">
        <w:rPr>
          <w:bCs/>
          <w:sz w:val="24"/>
          <w:szCs w:val="24"/>
        </w:rPr>
        <w:instrText>ADDIN CSL_CITATION {"citationItems":[{"id":"ITEM-1","itemData":{"author":[{"dropping-particle":"","family":"Dixit","given":"K","non-dropping-particle":"","parse-names":false,"suffix":""},{"dropping-particle":"","family":"Gurung","given":"SC","non-dropping-particle":"","parse-names":false,"suffix":""},{"dropping-particle":"","family":"Dhital","given":"R","non-dropping-particle":"","parse-names":false,"suffix":""},{"dropping-particle":"","family":"Caws","given":"M","non-dropping-particle":"","parse-names":false,"suffix":""},{"dropping-particle":"","family":"Wingfield","given":"T","non-dropping-particle":"","parse-names":false,"suffix":""}],"container-title":"11th European Congress on Tropical Medicine and International Health","id":"ITEM-1","issued":{"date-parts":[["2019"]]},"page":"Poster 948","title":"Patient and stakeholder perspectives on barriers and facilitators to tuberculosis care in Nepal","type":"paper-conference"},"uris":["http://www.mendeley.com/documents/?uuid=4de82ac0-58f4-4cae-b686-940f9b853e64"]}],"mendeley":{"formattedCitation":"&lt;sup&gt;15&lt;/sup&gt;","plainTextFormattedCitation":"15","previouslyFormattedCitation":"&lt;sup&gt;15&lt;/sup&gt;"},"properties":{"noteIndex":0},"schema":"https://github.com/citation-style-language/schema/raw/master/csl-citation.json"}</w:instrText>
      </w:r>
      <w:r>
        <w:rPr>
          <w:bCs/>
          <w:sz w:val="24"/>
          <w:szCs w:val="24"/>
        </w:rPr>
        <w:fldChar w:fldCharType="separate"/>
      </w:r>
      <w:r w:rsidR="00937425" w:rsidRPr="00937425">
        <w:rPr>
          <w:bCs/>
          <w:noProof/>
          <w:sz w:val="24"/>
          <w:szCs w:val="24"/>
          <w:vertAlign w:val="superscript"/>
        </w:rPr>
        <w:t>15</w:t>
      </w:r>
      <w:r>
        <w:rPr>
          <w:bCs/>
          <w:sz w:val="24"/>
          <w:szCs w:val="24"/>
        </w:rPr>
        <w:fldChar w:fldCharType="end"/>
      </w:r>
      <w:r>
        <w:rPr>
          <w:bCs/>
          <w:sz w:val="24"/>
          <w:szCs w:val="24"/>
        </w:rPr>
        <w:t xml:space="preserve"> We have budget allowance for minor </w:t>
      </w:r>
      <w:r w:rsidR="0014685A">
        <w:rPr>
          <w:bCs/>
          <w:sz w:val="24"/>
          <w:szCs w:val="24"/>
        </w:rPr>
        <w:t>coronavirus disease 2019 (Covid-19)</w:t>
      </w:r>
      <w:r>
        <w:rPr>
          <w:bCs/>
          <w:sz w:val="24"/>
          <w:szCs w:val="24"/>
        </w:rPr>
        <w:t xml:space="preserve"> under-recruitment or attrition and plan to continue recruitment of people with TB until we recruit 128 participants to ensure the sample size of 100 with complete data available is met. </w:t>
      </w:r>
    </w:p>
    <w:p w14:paraId="6C26E4FF" w14:textId="77777777" w:rsidR="0006281F" w:rsidRDefault="0006281F" w:rsidP="0006281F">
      <w:pPr>
        <w:autoSpaceDE w:val="0"/>
        <w:autoSpaceDN w:val="0"/>
        <w:adjustRightInd w:val="0"/>
        <w:spacing w:after="0" w:line="276" w:lineRule="auto"/>
        <w:jc w:val="both"/>
        <w:rPr>
          <w:bCs/>
          <w:sz w:val="24"/>
          <w:szCs w:val="24"/>
        </w:rPr>
      </w:pPr>
    </w:p>
    <w:p w14:paraId="1D5B734D" w14:textId="759C7AC4" w:rsidR="0006281F" w:rsidRDefault="0006281F" w:rsidP="00DD76EE">
      <w:pPr>
        <w:autoSpaceDE w:val="0"/>
        <w:autoSpaceDN w:val="0"/>
        <w:adjustRightInd w:val="0"/>
        <w:spacing w:after="0" w:line="276" w:lineRule="auto"/>
        <w:jc w:val="both"/>
        <w:rPr>
          <w:sz w:val="24"/>
          <w:szCs w:val="24"/>
        </w:rPr>
      </w:pPr>
      <w:r w:rsidRPr="00C95C29">
        <w:rPr>
          <w:bCs/>
          <w:sz w:val="24"/>
          <w:szCs w:val="24"/>
        </w:rPr>
        <w:t xml:space="preserve">Information power (saturation) is estimated to be reached at </w:t>
      </w:r>
      <w:r>
        <w:rPr>
          <w:bCs/>
          <w:sz w:val="24"/>
          <w:szCs w:val="24"/>
        </w:rPr>
        <w:t>25 FGD and 15</w:t>
      </w:r>
      <w:r w:rsidRPr="00C95C29">
        <w:rPr>
          <w:bCs/>
          <w:sz w:val="24"/>
          <w:szCs w:val="24"/>
        </w:rPr>
        <w:t xml:space="preserve"> </w:t>
      </w:r>
      <w:r>
        <w:rPr>
          <w:bCs/>
          <w:sz w:val="24"/>
          <w:szCs w:val="24"/>
        </w:rPr>
        <w:t>KII</w:t>
      </w:r>
      <w:r w:rsidRPr="00C95C29">
        <w:rPr>
          <w:bCs/>
          <w:sz w:val="24"/>
          <w:szCs w:val="24"/>
        </w:rPr>
        <w:t xml:space="preserve"> participants.</w:t>
      </w:r>
      <w:r w:rsidRPr="00C95C29">
        <w:rPr>
          <w:bCs/>
          <w:sz w:val="24"/>
          <w:szCs w:val="24"/>
        </w:rPr>
        <w:fldChar w:fldCharType="begin" w:fldLock="1"/>
      </w:r>
      <w:r w:rsidR="000855E1">
        <w:rPr>
          <w:bCs/>
          <w:sz w:val="24"/>
          <w:szCs w:val="24"/>
        </w:rPr>
        <w:instrText>ADDIN CSL_CITATION {"citationItems":[{"id":"ITEM-1","itemData":{"DOI":"10.1186/s12889-015-2128-0","ISBN":"1471-2458 (Electronic)\r1471-2458 (Linking)","ISSN":"14712458","PMID":"26293238","abstract":"Cash transfers are key interventions in the World Health Organisation’s post-2015 global TB policy. However, evidence guiding TB-specific cash transfer implementation is limited. We designed, implemented and refined a novel TB-specific socioeconomic intervention that included cash transfers, which aimed to support TB prevention and cure in resource-constrained shantytowns in Lima, Peru for: the Community Randomized Evaluation of a Socioeconomic Intervention to Prevent TB (CRESIPT) project.","author":[{"dropping-particle":"","family":"Wingfield","given":"Tom","non-dropping-particle":"","parse-names":false,"suffix":""},{"dropping-particle":"","family":"Boccia","given":"Delia","non-dropping-particle":"","parse-names":false,"suffix":""},{"dropping-particle":"","family":"Tovar","given":"Marco A.","non-dropping-particle":"","parse-names":false,"suffix":""},{"dropping-particle":"","family":"Huff","given":"Doug","non-dropping-particle":"","parse-names":false,"suffix":""},{"dropping-particle":"","family":"Montoya","given":"Rosario","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A.","non-dropping-particle":"","parse-names":false,"suffix":""}],"container-title":"BMC Public Health","id":"ITEM-1","issue":"1","issued":{"date-parts":[["2015"]]},"page":"1-16","publisher":"BMC Public Health","title":"Designing and implementing a socioeconomic intervention to enhance TB control: Operational evidence from the CRESIPT project in Peru","type":"article-journal","volume":"15"},"uris":["http://www.mendeley.com/documents/?uuid=a9f55e22-d703-4048-a8af-bc24fddec03f"]}],"mendeley":{"formattedCitation":"&lt;sup&gt;33&lt;/sup&gt;","plainTextFormattedCitation":"33","previouslyFormattedCitation":"&lt;sup&gt;33&lt;/sup&gt;"},"properties":{"noteIndex":0},"schema":"https://github.com/citation-style-language/schema/raw/master/csl-citation.json"}</w:instrText>
      </w:r>
      <w:r w:rsidRPr="00C95C29">
        <w:rPr>
          <w:bCs/>
          <w:sz w:val="24"/>
          <w:szCs w:val="24"/>
        </w:rPr>
        <w:fldChar w:fldCharType="separate"/>
      </w:r>
      <w:r w:rsidR="00DE199B" w:rsidRPr="00DE199B">
        <w:rPr>
          <w:bCs/>
          <w:noProof/>
          <w:sz w:val="24"/>
          <w:szCs w:val="24"/>
          <w:vertAlign w:val="superscript"/>
        </w:rPr>
        <w:t>33</w:t>
      </w:r>
      <w:r w:rsidRPr="00C95C29">
        <w:rPr>
          <w:sz w:val="24"/>
          <w:szCs w:val="24"/>
        </w:rPr>
        <w:fldChar w:fldCharType="end"/>
      </w:r>
      <w:r w:rsidRPr="00C95C29">
        <w:rPr>
          <w:bCs/>
          <w:sz w:val="24"/>
          <w:szCs w:val="24"/>
        </w:rPr>
        <w:t xml:space="preserve"> Purposive selection of participants and implementers </w:t>
      </w:r>
      <w:r>
        <w:rPr>
          <w:bCs/>
          <w:sz w:val="24"/>
          <w:szCs w:val="24"/>
        </w:rPr>
        <w:t xml:space="preserve">for FGDs and KIIs </w:t>
      </w:r>
      <w:r w:rsidRPr="00C95C29">
        <w:rPr>
          <w:bCs/>
          <w:sz w:val="24"/>
          <w:szCs w:val="24"/>
        </w:rPr>
        <w:t>will ensure gender, district, poverty, and NTP/project role diversity.</w:t>
      </w:r>
      <w:r>
        <w:rPr>
          <w:bCs/>
          <w:sz w:val="24"/>
          <w:szCs w:val="24"/>
        </w:rPr>
        <w:t xml:space="preserve"> Previous uptake of FGDs and KIIs was good but we will </w:t>
      </w:r>
      <w:r>
        <w:rPr>
          <w:sz w:val="24"/>
          <w:szCs w:val="24"/>
        </w:rPr>
        <w:t>invite approximately 40 stakeholders as contingency.</w:t>
      </w:r>
    </w:p>
    <w:p w14:paraId="67895375" w14:textId="77777777" w:rsidR="00DD76EE" w:rsidRDefault="00DD76EE" w:rsidP="00DD76EE">
      <w:pPr>
        <w:autoSpaceDE w:val="0"/>
        <w:autoSpaceDN w:val="0"/>
        <w:adjustRightInd w:val="0"/>
        <w:spacing w:after="0" w:line="276" w:lineRule="auto"/>
        <w:jc w:val="both"/>
        <w:rPr>
          <w:sz w:val="24"/>
          <w:szCs w:val="24"/>
        </w:rPr>
      </w:pPr>
    </w:p>
    <w:p w14:paraId="06819B44" w14:textId="63EF1F8C" w:rsidR="00DD76EE" w:rsidRDefault="00DD76EE" w:rsidP="00DD76EE">
      <w:pPr>
        <w:spacing w:line="276" w:lineRule="auto"/>
        <w:jc w:val="both"/>
        <w:rPr>
          <w:sz w:val="24"/>
          <w:szCs w:val="24"/>
        </w:rPr>
        <w:sectPr w:rsidR="00DD76EE" w:rsidSect="00F164BD">
          <w:pgSz w:w="11906" w:h="16838"/>
          <w:pgMar w:top="1440" w:right="1440" w:bottom="1440" w:left="1440" w:header="708" w:footer="708" w:gutter="0"/>
          <w:cols w:space="708"/>
          <w:docGrid w:linePitch="360"/>
        </w:sectPr>
      </w:pPr>
    </w:p>
    <w:p w14:paraId="289F9330" w14:textId="5D3A81D9" w:rsidR="009B1743" w:rsidRPr="00A24F0D" w:rsidRDefault="009B1743" w:rsidP="009B1743">
      <w:pPr>
        <w:pStyle w:val="Heading3"/>
        <w:rPr>
          <w:rFonts w:asciiTheme="minorHAnsi" w:hAnsiTheme="minorHAnsi" w:cstheme="minorHAnsi"/>
          <w:b/>
          <w:bCs/>
          <w:color w:val="000000" w:themeColor="text1"/>
        </w:rPr>
      </w:pPr>
      <w:bookmarkStart w:id="4" w:name="_Toc89100899"/>
      <w:r w:rsidRPr="00A24F0D">
        <w:rPr>
          <w:rFonts w:asciiTheme="minorHAnsi" w:hAnsiTheme="minorHAnsi" w:cstheme="minorHAnsi"/>
          <w:b/>
          <w:bCs/>
          <w:color w:val="000000" w:themeColor="text1"/>
        </w:rPr>
        <w:lastRenderedPageBreak/>
        <w:t xml:space="preserve">Figure </w:t>
      </w:r>
      <w:r w:rsidR="00674C0E" w:rsidRPr="00A24F0D">
        <w:rPr>
          <w:rFonts w:asciiTheme="minorHAnsi" w:hAnsiTheme="minorHAnsi" w:cstheme="minorHAnsi"/>
          <w:b/>
          <w:bCs/>
          <w:color w:val="000000" w:themeColor="text1"/>
        </w:rPr>
        <w:t>3</w:t>
      </w:r>
      <w:r w:rsidRPr="00A24F0D">
        <w:rPr>
          <w:rFonts w:asciiTheme="minorHAnsi" w:hAnsiTheme="minorHAnsi" w:cstheme="minorHAnsi"/>
          <w:b/>
          <w:bCs/>
          <w:color w:val="000000" w:themeColor="text1"/>
        </w:rPr>
        <w:t>: ASCOT Logic Model</w:t>
      </w:r>
      <w:bookmarkEnd w:id="4"/>
    </w:p>
    <w:p w14:paraId="31E8FC2C" w14:textId="27CFCA0C" w:rsidR="009B1743" w:rsidRDefault="009B1743" w:rsidP="009B1743">
      <w:pPr>
        <w:spacing w:before="240" w:line="276" w:lineRule="auto"/>
        <w:jc w:val="both"/>
        <w:rPr>
          <w:sz w:val="24"/>
          <w:szCs w:val="24"/>
        </w:rPr>
      </w:pPr>
      <w:r>
        <w:rPr>
          <w:noProof/>
          <w:sz w:val="24"/>
          <w:szCs w:val="24"/>
          <w:lang w:val="en-US" w:bidi="ne-NP"/>
        </w:rPr>
        <w:drawing>
          <wp:inline distT="0" distB="0" distL="0" distR="0" wp14:anchorId="4C24A96D" wp14:editId="74CB74BC">
            <wp:extent cx="8878964"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2" r="329"/>
                    <a:stretch/>
                  </pic:blipFill>
                  <pic:spPr bwMode="auto">
                    <a:xfrm>
                      <a:off x="0" y="0"/>
                      <a:ext cx="8890798" cy="2785007"/>
                    </a:xfrm>
                    <a:prstGeom prst="rect">
                      <a:avLst/>
                    </a:prstGeom>
                    <a:noFill/>
                    <a:ln>
                      <a:noFill/>
                    </a:ln>
                    <a:extLst>
                      <a:ext uri="{53640926-AAD7-44D8-BBD7-CCE9431645EC}">
                        <a14:shadowObscured xmlns:a14="http://schemas.microsoft.com/office/drawing/2010/main"/>
                      </a:ext>
                    </a:extLst>
                  </pic:spPr>
                </pic:pic>
              </a:graphicData>
            </a:graphic>
          </wp:inline>
        </w:drawing>
      </w:r>
    </w:p>
    <w:p w14:paraId="27315821" w14:textId="597960FD" w:rsidR="009B1743" w:rsidRDefault="00A24F0D" w:rsidP="009B1743">
      <w:pPr>
        <w:spacing w:line="276" w:lineRule="auto"/>
        <w:jc w:val="both"/>
        <w:rPr>
          <w:sz w:val="24"/>
          <w:szCs w:val="24"/>
        </w:rPr>
      </w:pPr>
      <w:r>
        <w:rPr>
          <w:sz w:val="24"/>
          <w:szCs w:val="24"/>
        </w:rPr>
        <w:t xml:space="preserve">Abbreviations: ASCOT = the “Addressing the Social Determinants and Consequences of Tuberculosis” project; </w:t>
      </w:r>
      <w:r w:rsidR="005E0F9F">
        <w:rPr>
          <w:sz w:val="24"/>
          <w:szCs w:val="24"/>
        </w:rPr>
        <w:t xml:space="preserve">BNMT = </w:t>
      </w:r>
      <w:proofErr w:type="spellStart"/>
      <w:r w:rsidR="005E0F9F">
        <w:rPr>
          <w:sz w:val="24"/>
          <w:szCs w:val="24"/>
        </w:rPr>
        <w:t>Birat</w:t>
      </w:r>
      <w:proofErr w:type="spellEnd"/>
      <w:r w:rsidR="005E0F9F">
        <w:rPr>
          <w:sz w:val="24"/>
          <w:szCs w:val="24"/>
        </w:rPr>
        <w:t xml:space="preserve"> Nepal Medical Trust; LICs = Low-income countries; SPARKS = Health and Social Protection Action Research Knowledge Sharing network</w:t>
      </w:r>
      <w:r w:rsidR="005E0F9F">
        <w:rPr>
          <w:sz w:val="24"/>
          <w:szCs w:val="24"/>
        </w:rPr>
        <w:t xml:space="preserve">; </w:t>
      </w:r>
      <w:r>
        <w:rPr>
          <w:sz w:val="24"/>
          <w:szCs w:val="24"/>
        </w:rPr>
        <w:t>TB = tuberculosis;</w:t>
      </w:r>
      <w:r w:rsidR="005E0F9F">
        <w:rPr>
          <w:sz w:val="24"/>
          <w:szCs w:val="24"/>
        </w:rPr>
        <w:t xml:space="preserve"> and WHO = World Health Organization.</w:t>
      </w:r>
    </w:p>
    <w:p w14:paraId="70C9766C" w14:textId="5B383895" w:rsidR="004B14EF" w:rsidRPr="00674C0E" w:rsidRDefault="0085223B" w:rsidP="00DD76EE">
      <w:pPr>
        <w:pStyle w:val="ListParagraph"/>
        <w:spacing w:line="276" w:lineRule="auto"/>
        <w:ind w:left="0"/>
        <w:jc w:val="both"/>
        <w:rPr>
          <w:b/>
          <w:bCs/>
          <w:sz w:val="24"/>
          <w:szCs w:val="24"/>
        </w:rPr>
      </w:pPr>
      <w:r>
        <w:rPr>
          <w:rFonts w:cs="Arial"/>
          <w:bCs/>
          <w:color w:val="000000"/>
          <w:sz w:val="24"/>
          <w:szCs w:val="24"/>
        </w:rPr>
        <w:br w:type="page"/>
      </w:r>
      <w:bookmarkStart w:id="5" w:name="_Toc89100903"/>
      <w:r w:rsidR="001901E7" w:rsidRPr="00674C0E">
        <w:rPr>
          <w:b/>
          <w:bCs/>
          <w:sz w:val="24"/>
          <w:szCs w:val="24"/>
        </w:rPr>
        <w:lastRenderedPageBreak/>
        <w:t xml:space="preserve">Figure </w:t>
      </w:r>
      <w:r w:rsidR="00674C0E" w:rsidRPr="00674C0E">
        <w:rPr>
          <w:b/>
          <w:bCs/>
          <w:sz w:val="24"/>
          <w:szCs w:val="24"/>
        </w:rPr>
        <w:t>4</w:t>
      </w:r>
      <w:r w:rsidRPr="00674C0E">
        <w:rPr>
          <w:b/>
          <w:bCs/>
          <w:sz w:val="24"/>
          <w:szCs w:val="24"/>
        </w:rPr>
        <w:t>: ASCOT Study Sites</w:t>
      </w:r>
      <w:r w:rsidR="008454CE" w:rsidRPr="00674C0E">
        <w:rPr>
          <w:b/>
          <w:bCs/>
          <w:sz w:val="24"/>
          <w:szCs w:val="24"/>
        </w:rPr>
        <w:t xml:space="preserve"> in Nepal</w:t>
      </w:r>
      <w:bookmarkEnd w:id="5"/>
    </w:p>
    <w:p w14:paraId="3EAE8577" w14:textId="48B8EA8C" w:rsidR="0085223B" w:rsidRDefault="0085223B" w:rsidP="0085223B"/>
    <w:p w14:paraId="790ADE1D" w14:textId="740B2961" w:rsidR="00E05D78" w:rsidRDefault="00E05D78" w:rsidP="0085223B">
      <w:r>
        <w:rPr>
          <w:noProof/>
          <w:lang w:val="en-US" w:bidi="ne-NP"/>
        </w:rPr>
        <w:drawing>
          <wp:inline distT="0" distB="0" distL="0" distR="0" wp14:anchorId="6B3F7123" wp14:editId="61963B80">
            <wp:extent cx="8863701" cy="4772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775"/>
                    <a:stretch/>
                  </pic:blipFill>
                  <pic:spPr bwMode="auto">
                    <a:xfrm>
                      <a:off x="0" y="0"/>
                      <a:ext cx="8872974" cy="4777018"/>
                    </a:xfrm>
                    <a:prstGeom prst="rect">
                      <a:avLst/>
                    </a:prstGeom>
                    <a:ln>
                      <a:noFill/>
                    </a:ln>
                    <a:extLst>
                      <a:ext uri="{53640926-AAD7-44D8-BBD7-CCE9431645EC}">
                        <a14:shadowObscured xmlns:a14="http://schemas.microsoft.com/office/drawing/2010/main"/>
                      </a:ext>
                    </a:extLst>
                  </pic:spPr>
                </pic:pic>
              </a:graphicData>
            </a:graphic>
          </wp:inline>
        </w:drawing>
      </w:r>
    </w:p>
    <w:p w14:paraId="5680CC30" w14:textId="09342567" w:rsidR="0085223B" w:rsidRPr="008454CE" w:rsidRDefault="008454CE" w:rsidP="004B14EF">
      <w:pPr>
        <w:autoSpaceDE w:val="0"/>
        <w:autoSpaceDN w:val="0"/>
        <w:adjustRightInd w:val="0"/>
        <w:spacing w:after="0" w:line="276" w:lineRule="auto"/>
        <w:rPr>
          <w:i/>
          <w:iCs/>
        </w:rPr>
        <w:sectPr w:rsidR="0085223B" w:rsidRPr="008454CE" w:rsidSect="0085223B">
          <w:pgSz w:w="16838" w:h="11906" w:orient="landscape"/>
          <w:pgMar w:top="1440" w:right="1440" w:bottom="1440" w:left="1440" w:header="708" w:footer="708" w:gutter="0"/>
          <w:cols w:space="708"/>
          <w:docGrid w:linePitch="360"/>
        </w:sectPr>
      </w:pPr>
      <w:r>
        <w:rPr>
          <w:i/>
          <w:iCs/>
        </w:rPr>
        <w:t>Legend: the figure shows the</w:t>
      </w:r>
      <w:r w:rsidRPr="008454CE">
        <w:rPr>
          <w:i/>
          <w:iCs/>
        </w:rPr>
        <w:t xml:space="preserve"> 77 second-level administrative country subdivision</w:t>
      </w:r>
      <w:r>
        <w:rPr>
          <w:i/>
          <w:iCs/>
        </w:rPr>
        <w:t xml:space="preserve"> districts of Nepal</w:t>
      </w:r>
      <w:r w:rsidRPr="008454CE">
        <w:rPr>
          <w:i/>
          <w:iCs/>
        </w:rPr>
        <w:t>.</w:t>
      </w:r>
      <w:r>
        <w:rPr>
          <w:i/>
          <w:iCs/>
        </w:rPr>
        <w:t xml:space="preserve"> </w:t>
      </w:r>
      <w:r w:rsidR="00DF38FF">
        <w:rPr>
          <w:i/>
          <w:iCs/>
        </w:rPr>
        <w:t>Blue shading indicates the ASCOT study sites</w:t>
      </w:r>
      <w:r>
        <w:rPr>
          <w:i/>
          <w:iCs/>
        </w:rPr>
        <w:t>.</w:t>
      </w:r>
    </w:p>
    <w:p w14:paraId="3FA73A41" w14:textId="57791294" w:rsidR="00B8267A" w:rsidRPr="0006281F" w:rsidRDefault="0006281F" w:rsidP="00FA537D">
      <w:pPr>
        <w:autoSpaceDE w:val="0"/>
        <w:autoSpaceDN w:val="0"/>
        <w:adjustRightInd w:val="0"/>
        <w:spacing w:after="0" w:line="276" w:lineRule="auto"/>
        <w:jc w:val="both"/>
        <w:rPr>
          <w:b/>
          <w:bCs/>
          <w:sz w:val="24"/>
          <w:szCs w:val="24"/>
        </w:rPr>
      </w:pPr>
      <w:r w:rsidRPr="0006281F">
        <w:rPr>
          <w:b/>
          <w:bCs/>
          <w:sz w:val="24"/>
          <w:szCs w:val="24"/>
        </w:rPr>
        <w:lastRenderedPageBreak/>
        <w:t>Study activities and interventions</w:t>
      </w:r>
    </w:p>
    <w:p w14:paraId="5ACA89E3" w14:textId="77777777" w:rsidR="0006281F" w:rsidRPr="00FA537D" w:rsidRDefault="0006281F" w:rsidP="00FA537D">
      <w:pPr>
        <w:autoSpaceDE w:val="0"/>
        <w:autoSpaceDN w:val="0"/>
        <w:adjustRightInd w:val="0"/>
        <w:spacing w:after="0" w:line="276" w:lineRule="auto"/>
        <w:jc w:val="both"/>
        <w:rPr>
          <w:sz w:val="24"/>
          <w:szCs w:val="24"/>
        </w:rPr>
      </w:pPr>
    </w:p>
    <w:p w14:paraId="0E528C51" w14:textId="1DFE4FC1" w:rsidR="000E288D" w:rsidRPr="00AE3E33" w:rsidRDefault="000E288D" w:rsidP="006B5908">
      <w:pPr>
        <w:spacing w:line="276" w:lineRule="auto"/>
        <w:jc w:val="both"/>
        <w:rPr>
          <w:sz w:val="24"/>
          <w:szCs w:val="24"/>
        </w:rPr>
      </w:pPr>
      <w:r w:rsidRPr="00AE3E33">
        <w:rPr>
          <w:sz w:val="24"/>
          <w:szCs w:val="24"/>
        </w:rPr>
        <w:t xml:space="preserve">ASCOT </w:t>
      </w:r>
      <w:r w:rsidR="0006281F">
        <w:rPr>
          <w:sz w:val="24"/>
          <w:szCs w:val="24"/>
        </w:rPr>
        <w:t xml:space="preserve">study </w:t>
      </w:r>
      <w:r w:rsidRPr="00AE3E33">
        <w:rPr>
          <w:sz w:val="24"/>
          <w:szCs w:val="24"/>
        </w:rPr>
        <w:t xml:space="preserve">activities </w:t>
      </w:r>
      <w:r w:rsidR="0006281F">
        <w:rPr>
          <w:sz w:val="24"/>
          <w:szCs w:val="24"/>
        </w:rPr>
        <w:t xml:space="preserve">can be broadly </w:t>
      </w:r>
      <w:r w:rsidRPr="00AE3E33">
        <w:rPr>
          <w:sz w:val="24"/>
          <w:szCs w:val="24"/>
        </w:rPr>
        <w:t xml:space="preserve">divided </w:t>
      </w:r>
      <w:proofErr w:type="gramStart"/>
      <w:r w:rsidRPr="00AE3E33">
        <w:rPr>
          <w:sz w:val="24"/>
          <w:szCs w:val="24"/>
        </w:rPr>
        <w:t>into:</w:t>
      </w:r>
      <w:proofErr w:type="gramEnd"/>
      <w:r w:rsidRPr="00AE3E33">
        <w:rPr>
          <w:sz w:val="24"/>
          <w:szCs w:val="24"/>
        </w:rPr>
        <w:t xml:space="preserve"> </w:t>
      </w:r>
      <w:r w:rsidR="0006281F">
        <w:rPr>
          <w:sz w:val="24"/>
          <w:szCs w:val="24"/>
        </w:rPr>
        <w:t>p</w:t>
      </w:r>
      <w:r w:rsidRPr="00AE3E33">
        <w:rPr>
          <w:sz w:val="24"/>
          <w:szCs w:val="24"/>
        </w:rPr>
        <w:t xml:space="preserve">ilot </w:t>
      </w:r>
      <w:r w:rsidR="0006281F">
        <w:rPr>
          <w:sz w:val="24"/>
          <w:szCs w:val="24"/>
        </w:rPr>
        <w:t>t</w:t>
      </w:r>
      <w:r w:rsidRPr="00AE3E33">
        <w:rPr>
          <w:sz w:val="24"/>
          <w:szCs w:val="24"/>
        </w:rPr>
        <w:t>rial activities and interventions with recruited people with TB and their households</w:t>
      </w:r>
      <w:r w:rsidR="00E759B4" w:rsidRPr="00AE3E33">
        <w:rPr>
          <w:sz w:val="24"/>
          <w:szCs w:val="24"/>
        </w:rPr>
        <w:t xml:space="preserve">, which will </w:t>
      </w:r>
      <w:r w:rsidR="00DF38FF">
        <w:rPr>
          <w:sz w:val="24"/>
          <w:szCs w:val="24"/>
        </w:rPr>
        <w:t>gather</w:t>
      </w:r>
      <w:r w:rsidR="00E759B4" w:rsidRPr="00AE3E33">
        <w:rPr>
          <w:sz w:val="24"/>
          <w:szCs w:val="24"/>
        </w:rPr>
        <w:t xml:space="preserve"> data to support process evaluation</w:t>
      </w:r>
      <w:r w:rsidRPr="00AE3E33">
        <w:rPr>
          <w:sz w:val="24"/>
          <w:szCs w:val="24"/>
        </w:rPr>
        <w:t xml:space="preserve">; and complementary </w:t>
      </w:r>
      <w:r w:rsidR="00E759B4" w:rsidRPr="00AE3E33">
        <w:rPr>
          <w:sz w:val="24"/>
          <w:szCs w:val="24"/>
        </w:rPr>
        <w:t xml:space="preserve">enhanced </w:t>
      </w:r>
      <w:r w:rsidRPr="00AE3E33">
        <w:rPr>
          <w:sz w:val="24"/>
          <w:szCs w:val="24"/>
        </w:rPr>
        <w:t xml:space="preserve">process evaluation activities with a subset of people with TB and key multisectoral stakeholders.  </w:t>
      </w:r>
    </w:p>
    <w:p w14:paraId="23FC83A1" w14:textId="5D93F447" w:rsidR="000E288D" w:rsidRPr="0006281F" w:rsidRDefault="0006281F" w:rsidP="000E288D">
      <w:pPr>
        <w:rPr>
          <w:b/>
          <w:bCs/>
          <w:i/>
          <w:iCs/>
          <w:sz w:val="24"/>
          <w:szCs w:val="24"/>
        </w:rPr>
      </w:pPr>
      <w:r w:rsidRPr="0006281F">
        <w:rPr>
          <w:b/>
          <w:bCs/>
          <w:i/>
          <w:iCs/>
          <w:sz w:val="24"/>
          <w:szCs w:val="24"/>
        </w:rPr>
        <w:t>Pilot trial</w:t>
      </w:r>
    </w:p>
    <w:p w14:paraId="121A8D2A" w14:textId="77777777" w:rsidR="002A365E" w:rsidRDefault="00793F88" w:rsidP="000E288D">
      <w:pPr>
        <w:autoSpaceDE w:val="0"/>
        <w:autoSpaceDN w:val="0"/>
        <w:adjustRightInd w:val="0"/>
        <w:spacing w:after="0" w:line="276" w:lineRule="auto"/>
        <w:jc w:val="both"/>
        <w:rPr>
          <w:sz w:val="24"/>
          <w:szCs w:val="24"/>
        </w:rPr>
      </w:pPr>
      <w:r w:rsidRPr="00D85973">
        <w:rPr>
          <w:rStyle w:val="Heading4Char"/>
          <w:rFonts w:asciiTheme="minorHAnsi" w:hAnsiTheme="minorHAnsi" w:cstheme="minorHAnsi"/>
          <w:bCs/>
          <w:color w:val="000000" w:themeColor="text1"/>
          <w:sz w:val="24"/>
          <w:szCs w:val="24"/>
        </w:rPr>
        <w:t>Recruitment of people with TB and their households</w:t>
      </w:r>
    </w:p>
    <w:p w14:paraId="12F16586" w14:textId="762EE952" w:rsidR="000E288D" w:rsidRDefault="000E288D" w:rsidP="000E288D">
      <w:pPr>
        <w:autoSpaceDE w:val="0"/>
        <w:autoSpaceDN w:val="0"/>
        <w:adjustRightInd w:val="0"/>
        <w:spacing w:after="0" w:line="276" w:lineRule="auto"/>
        <w:jc w:val="both"/>
        <w:rPr>
          <w:sz w:val="24"/>
          <w:szCs w:val="24"/>
        </w:rPr>
      </w:pPr>
      <w:r>
        <w:rPr>
          <w:sz w:val="24"/>
          <w:szCs w:val="24"/>
        </w:rPr>
        <w:t>T</w:t>
      </w:r>
      <w:r w:rsidRPr="000E288D">
        <w:rPr>
          <w:sz w:val="24"/>
          <w:szCs w:val="24"/>
        </w:rPr>
        <w:t xml:space="preserve">he </w:t>
      </w:r>
      <w:r>
        <w:rPr>
          <w:sz w:val="24"/>
          <w:szCs w:val="24"/>
        </w:rPr>
        <w:t>ASCOT</w:t>
      </w:r>
      <w:r w:rsidRPr="000E288D">
        <w:rPr>
          <w:sz w:val="24"/>
          <w:szCs w:val="24"/>
        </w:rPr>
        <w:t xml:space="preserve"> team will support BNMT </w:t>
      </w:r>
      <w:r>
        <w:rPr>
          <w:sz w:val="24"/>
          <w:szCs w:val="24"/>
        </w:rPr>
        <w:t>DPCs,</w:t>
      </w:r>
      <w:r w:rsidRPr="000E288D">
        <w:rPr>
          <w:sz w:val="24"/>
          <w:szCs w:val="24"/>
        </w:rPr>
        <w:t xml:space="preserve"> </w:t>
      </w:r>
      <w:r w:rsidR="00ED2C5C">
        <w:rPr>
          <w:sz w:val="24"/>
          <w:szCs w:val="24"/>
        </w:rPr>
        <w:t>CHS</w:t>
      </w:r>
      <w:r w:rsidRPr="000E288D">
        <w:rPr>
          <w:sz w:val="24"/>
          <w:szCs w:val="24"/>
        </w:rPr>
        <w:t xml:space="preserve">, and </w:t>
      </w:r>
      <w:r w:rsidR="0072090E">
        <w:rPr>
          <w:sz w:val="24"/>
          <w:szCs w:val="24"/>
        </w:rPr>
        <w:t>F</w:t>
      </w:r>
      <w:r>
        <w:rPr>
          <w:sz w:val="24"/>
          <w:szCs w:val="24"/>
        </w:rPr>
        <w:t>C</w:t>
      </w:r>
      <w:r w:rsidR="0072090E">
        <w:rPr>
          <w:sz w:val="24"/>
          <w:szCs w:val="24"/>
        </w:rPr>
        <w:t>H</w:t>
      </w:r>
      <w:r>
        <w:rPr>
          <w:sz w:val="24"/>
          <w:szCs w:val="24"/>
        </w:rPr>
        <w:t>Vs</w:t>
      </w:r>
      <w:r w:rsidRPr="000E288D">
        <w:rPr>
          <w:sz w:val="24"/>
          <w:szCs w:val="24"/>
        </w:rPr>
        <w:t xml:space="preserve"> to </w:t>
      </w:r>
      <w:r>
        <w:rPr>
          <w:sz w:val="24"/>
          <w:szCs w:val="24"/>
        </w:rPr>
        <w:t xml:space="preserve">recruit </w:t>
      </w:r>
      <w:r w:rsidR="000974C9">
        <w:rPr>
          <w:sz w:val="24"/>
          <w:szCs w:val="24"/>
        </w:rPr>
        <w:t>128</w:t>
      </w:r>
      <w:r w:rsidRPr="000E288D">
        <w:rPr>
          <w:sz w:val="24"/>
          <w:szCs w:val="24"/>
        </w:rPr>
        <w:t xml:space="preserve"> </w:t>
      </w:r>
      <w:r w:rsidR="00B62FE9">
        <w:rPr>
          <w:sz w:val="24"/>
          <w:szCs w:val="24"/>
        </w:rPr>
        <w:t>people with TB a</w:t>
      </w:r>
      <w:r>
        <w:rPr>
          <w:sz w:val="24"/>
          <w:szCs w:val="24"/>
        </w:rPr>
        <w:t xml:space="preserve">cross study sites. </w:t>
      </w:r>
      <w:r w:rsidR="00BD6CDA">
        <w:rPr>
          <w:sz w:val="24"/>
          <w:szCs w:val="24"/>
        </w:rPr>
        <w:t xml:space="preserve">Participants will be identified prospectively during the recruitment period once they are diagnosed and notified to the NTP register. Participants will be invited to participate at their initial TB clinic visit, usually prior to initiation of treatment. They will then be randomised to a study arm at that clinic visit. </w:t>
      </w:r>
    </w:p>
    <w:p w14:paraId="2B53595C" w14:textId="17BF4BF7" w:rsidR="00BD6CDA" w:rsidRDefault="00BD6CDA" w:rsidP="000E288D">
      <w:pPr>
        <w:autoSpaceDE w:val="0"/>
        <w:autoSpaceDN w:val="0"/>
        <w:adjustRightInd w:val="0"/>
        <w:spacing w:after="0" w:line="276" w:lineRule="auto"/>
        <w:jc w:val="both"/>
        <w:rPr>
          <w:sz w:val="24"/>
          <w:szCs w:val="24"/>
        </w:rPr>
      </w:pPr>
    </w:p>
    <w:p w14:paraId="05CB16CE" w14:textId="693492A8" w:rsidR="000715EF" w:rsidRDefault="001D73BC" w:rsidP="000715EF">
      <w:pPr>
        <w:autoSpaceDE w:val="0"/>
        <w:autoSpaceDN w:val="0"/>
        <w:adjustRightInd w:val="0"/>
        <w:spacing w:after="0" w:line="276" w:lineRule="auto"/>
        <w:jc w:val="both"/>
        <w:rPr>
          <w:bCs/>
          <w:sz w:val="24"/>
          <w:szCs w:val="24"/>
        </w:rPr>
      </w:pPr>
      <w:r w:rsidRPr="00F0375F">
        <w:rPr>
          <w:bCs/>
          <w:sz w:val="24"/>
          <w:szCs w:val="24"/>
        </w:rPr>
        <w:t>H</w:t>
      </w:r>
      <w:r w:rsidR="000715EF" w:rsidRPr="00F0375F">
        <w:rPr>
          <w:bCs/>
          <w:sz w:val="24"/>
          <w:szCs w:val="24"/>
        </w:rPr>
        <w:t xml:space="preserve">ousehold contacts </w:t>
      </w:r>
      <w:r w:rsidRPr="00F0375F">
        <w:rPr>
          <w:bCs/>
          <w:sz w:val="24"/>
          <w:szCs w:val="24"/>
        </w:rPr>
        <w:t>of pa</w:t>
      </w:r>
      <w:r w:rsidR="00A67323">
        <w:rPr>
          <w:bCs/>
          <w:sz w:val="24"/>
          <w:szCs w:val="24"/>
        </w:rPr>
        <w:t xml:space="preserve">rticipants in social </w:t>
      </w:r>
      <w:r w:rsidRPr="00F0375F">
        <w:rPr>
          <w:bCs/>
          <w:sz w:val="24"/>
          <w:szCs w:val="24"/>
        </w:rPr>
        <w:t xml:space="preserve">and socioeconomic study arms </w:t>
      </w:r>
      <w:r w:rsidR="000715EF" w:rsidRPr="00F0375F">
        <w:rPr>
          <w:bCs/>
          <w:sz w:val="24"/>
          <w:szCs w:val="24"/>
        </w:rPr>
        <w:t xml:space="preserve">will be </w:t>
      </w:r>
      <w:r w:rsidRPr="00F0375F">
        <w:rPr>
          <w:bCs/>
          <w:sz w:val="24"/>
          <w:szCs w:val="24"/>
        </w:rPr>
        <w:t xml:space="preserve">invited to participate in the social support activities </w:t>
      </w:r>
      <w:r w:rsidR="000715EF" w:rsidRPr="00F0375F">
        <w:rPr>
          <w:bCs/>
          <w:sz w:val="24"/>
          <w:szCs w:val="24"/>
        </w:rPr>
        <w:t>using index-patient initiated invitations, which has been reported to be a preferred recruitment method for household studies in multiple settings.</w:t>
      </w:r>
      <w:r w:rsidR="000715EF" w:rsidRPr="00F0375F">
        <w:rPr>
          <w:bCs/>
          <w:sz w:val="24"/>
          <w:szCs w:val="24"/>
        </w:rPr>
        <w:fldChar w:fldCharType="begin" w:fldLock="1"/>
      </w:r>
      <w:r w:rsidR="000855E1">
        <w:rPr>
          <w:bCs/>
          <w:sz w:val="24"/>
          <w:szCs w:val="24"/>
        </w:rPr>
        <w:instrText>ADDIN CSL_CITATION {"citationItems":[{"id":"ITEM-1","itemData":{"DOI":"10.1186/1471-2288-14-42","ISBN":"1471-2288 (Electronic)\\r1471-2288 (Linking)","ISSN":"14712288","PMID":"24669751","abstract":"BACKGROUND: This study aims to review the literature regarding the barriers to sampling, recruitment, participation, and retention of members of socioeconomically disadvantaged groups in health research and strategies for increasing the amount of health research conducted with socially disadvantaged groups.\\n\\nMETHODS: A systematic review with narrative synthesis was conducted. Searches of electronic databases Medline, PsychInfo, EMBASE, Social Science Index via Web of Knowledge and CINHAL were conducted for English language articles published up to May 2013. Qualitative and quantitative studies as well as literature reviews were included. Articles were included if they reported attempts to increase disadvantaged group participation in research, or the barriers to research with disadvantaged groups. Groups of interest were those described as socially, culturally or financially disadvantaged compared to the majority of society. Eligible articles were categorised according to five phases of research: 1) sampling, 2) recruitment and gaining consent, 3) data collection and measurement, 4) intervention delivery and uptake, and 5) retention and attrition.\\n\\nRESULTS: In total, 116 papers from 115 studies met inclusion criteria and 31 previous literature reviews were included. A comprehensive summation of the major barriers to working with various disadvantaged groups is provided, along with proposed strategies for addressing each of the identified types of barriers. Most studies of strategies to address the barriers were of a descriptive nature and only nine studies reported the results of randomised trials.\\n\\nCONCLUSIONS: To tackle the challenges of research with socially disadvantaged groups, and increase their representation in health and medical research, researchers and research institutions need to acknowledge extended timeframes, plan for higher resourcing costs and operate via community partnerships.","author":[{"dropping-particle":"","family":"Bonevski","given":"Billie","non-dropping-particle":"","parse-names":false,"suffix":""},{"dropping-particle":"","family":"Randell","given":"Madeleine","non-dropping-particle":"","parse-names":false,"suffix":""},{"dropping-particle":"","family":"Paul","given":"Chris","non-dropping-particle":"","parse-names":false,"suffix":""},{"dropping-particle":"","family":"Chapman","given":"Kathy","non-dropping-particle":"","parse-names":false,"suffix":""},{"dropping-particle":"","family":"Twyman","given":"Laura","non-dropping-particle":"","parse-names":false,"suffix":""},{"dropping-particle":"","family":"Bryant","given":"Jamie","non-dropping-particle":"","parse-names":false,"suffix":""},{"dropping-particle":"","family":"Brozek","given":"Irena","non-dropping-particle":"","parse-names":false,"suffix":""},{"dropping-particle":"","family":"Hughes","given":"Clare","non-dropping-particle":"","parse-names":false,"suffix":""}],"container-title":"BMC Medical Research Methodology","id":"ITEM-1","issue":"1","issued":{"date-parts":[["2014"]]},"page":"1-29","publisher":"BMC Medical Research Methodology","title":"Reaching the hard-to-reach: A systematic review of strategies for improving health and medical research with socially disadvantaged groups","type":"article-journal","volume":"14"},"uris":["http://www.mendeley.com/documents/?uuid=14d561c7-164d-42a2-ba37-615955d8d3de"]},{"id":"ITEM-2","itemData":{"DOI":"10.1093/ije/dyu257","ISSN":"14643685","PMID":"25617647","abstract":"The FAMILY Cohort is a longitudinal study of health, happiness and family harmony (the '3Hs') at individual, household and neighbourhood levels in Hong Kong. Using a family living in the same household as the sampling unit, the study (n ¼ 20 279 households and 46 001 participants) consists of a composite sample from several sources, including: a population-representative random core sample (n ¼ 8115 households and 19 533 participants); the first-degree relatives of this sample (n ¼ 4658 households and 11 063 participants); and oversampling in three new towns (n ¼ 2891 households and 7645 participants) and in three population subgroups with anticipated changes in family dynamics (n ¼ 909 households and 2160 participants). Two household visits and five telephone- or web-based follow-ups were conducted over 2009-14. Data collected include socio-demographics, anthropometrics, lifestyle and behavioural factors, measures of social capital, and standardized instruments assessing the 3Hs. We also intend to collect biomaterials in future. The analytical plan includes multilevel inter-relations of the 3Hs for individuals, households, extended families and neighbourhoods. With Hong Kong's recent history of socioeconomic development, the FAMILY Cohort is therefore relevant to global urban populations currently experiencing similarly rapid economic growth. The FAMILY Cohort is currently set up as a supported access resource.","author":[{"dropping-particle":"","family":"Leung","given":"Gabriel M.","non-dropping-particle":"","parse-names":false,"suffix":""},{"dropping-particle":"","family":"Ni","given":"Michael Y.","non-dropping-particle":"","parse-names":false,"suffix":""},{"dropping-particle":"","family":"Wong","given":"Paul T.K.","non-dropping-particle":"","parse-names":false,"suffix":""},{"dropping-particle":"","family":"Lee","given":"Paul H.","non-dropping-particle":"","parse-names":false,"suffix":""},{"dropping-particle":"","family":"Chan","given":"Brandford H.Y.","non-dropping-particle":"","parse-names":false,"suffix":""},{"dropping-particle":"","family":"Stewart","given":"Sunita M.","non-dropping-particle":"","parse-names":false,"suffix":""},{"dropping-particle":"","family":"Mary Schooling","given":"C.","non-dropping-particle":"","parse-names":false,"suffix":""},{"dropping-particle":"","family":"Johnston","given":"Janice M.","non-dropping-particle":"","parse-names":false,"suffix":""},{"dropping-particle":"","family":"Lam","given":"Wendy W.T.","non-dropping-particle":"","parse-names":false,"suffix":""},{"dropping-particle":"","family":"Chan","given":"Sophia S.C.","non-dropping-particle":"","parse-names":false,"suffix":""},{"dropping-particle":"","family":"McDowell","given":"Ian","non-dropping-particle":"","parse-names":false,"suffix":""},{"dropping-particle":"","family":"Lam","given":"Tai Hing","non-dropping-particle":"","parse-names":false,"suffix":""}],"container-title":"International Journal of Epidemiology","id":"ITEM-2","issue":"2","issued":{"date-parts":[["2017"]]},"page":"1-13","title":"Cohort profile: Family cohort","type":"article-journal","volume":"46"},"uris":["http://www.mendeley.com/documents/?uuid=663793ea-2059-4bcb-979d-4d06d6aaf6d1"]},{"id":"ITEM-3","itemData":{"DOI":"10.1093/phr/118.3.240","ISSN":"0033-3549","abstract":"OBJECTIVES: To determine which area-based socioeconomic measures, at which level of geography, are suitable for monitoring socioeconomic inequalities in sexually transmitted infections (STIs), tuberculosis (TB), and violence in the United States. METHODS: Cross-sectional analysis of public health surveillance data, geocoded and linked to area-based socioeconomic measures generated from 1990 census tract, block group, and ZIP Code data. We included all incident cases among residents of either Massachusetts (MA; 1990 population = 6016425) or Rhode Island (RI; 1990 population = 1003464) for: STIs (MA: 1994-1998, n = 26535 chlamydia, 7464 gonorrhea, 2619 syphilis; RI: 1994-1996, n = 4473 chlamydia, 1256 gonorrhea, 305 syphilis); TB (MA: 1993-1998, n = 1793; RI: 1985-1994, n = 576), and non-fatal weapons related injuries (MA: 1995-1997, n = 6628). RESULTS: Analyses indicated that: (a). block group and tract socioeconomic measures performed similarly within and across both states, with results more variable for the ZIP Code level measures; (b). measures of economic deprivation consistently detected the steepest socioeconomic gradients, considered across all outcomes (incidence rate ratios on the order of 10 or higher for syphilis, gonorrhea, and non-fatal intentional weapons-related injuries, and 7 or higher for chlamydia and TB); and (c). results were similar for categories generated by quintiles and by a priori categorical cut-points. CONCLUSIONS: Supplementing U.S. public health surveillance systems with census tract or block group area-based socioeconomic measures of economic deprivation could greatly enhance monitoring and analysis of social inequalities in health in the United States.","author":[{"dropping-particle":"","family":"Krieger","given":"Nancy","non-dropping-particle":"","parse-names":false,"suffix":""},{"dropping-particle":"","family":"Waterman","given":"Pamela D.","non-dropping-particle":"","parse-names":false,"suffix":""},{"dropping-particle":"","family":"Chen","given":"Jarvis T.","non-dropping-particle":"","parse-names":false,"suffix":""},{"dropping-particle":"","family":"Soobader","given":"Mah-Jabeen","non-dropping-particle":"","parse-names":false,"suffix":""},{"dropping-particle":"","family":"Subramanian","given":"SV","non-dropping-particle":"","parse-names":false,"suffix":""}],"container-title":"Public Health Reports","id":"ITEM-3","issue":"3","issued":{"date-parts":[["2003"]]},"page":"240-260","title":"Monitoring Socioeconomic Inequalities in Sexually Transmitted Infections, Tuberculosis, and Violence: Geocoding and Choice of Area-Based Socioeconomic Measures—The Public Health Disparities Geocoding Project (US)","type":"article-journal","volume":"118"},"uris":["http://www.mendeley.com/documents/?uuid=1a61ecf9-113c-4b94-8084-2d5ee23b5cd3"]}],"mendeley":{"formattedCitation":"&lt;sup&gt;34–36&lt;/sup&gt;","plainTextFormattedCitation":"34–36","previouslyFormattedCitation":"&lt;sup&gt;34–36&lt;/sup&gt;"},"properties":{"noteIndex":0},"schema":"https://github.com/citation-style-language/schema/raw/master/csl-citation.json"}</w:instrText>
      </w:r>
      <w:r w:rsidR="000715EF" w:rsidRPr="00F0375F">
        <w:rPr>
          <w:bCs/>
          <w:sz w:val="24"/>
          <w:szCs w:val="24"/>
        </w:rPr>
        <w:fldChar w:fldCharType="separate"/>
      </w:r>
      <w:r w:rsidR="00DE199B" w:rsidRPr="00DE199B">
        <w:rPr>
          <w:bCs/>
          <w:noProof/>
          <w:sz w:val="24"/>
          <w:szCs w:val="24"/>
          <w:vertAlign w:val="superscript"/>
        </w:rPr>
        <w:t>34–36</w:t>
      </w:r>
      <w:r w:rsidR="000715EF" w:rsidRPr="00F0375F">
        <w:rPr>
          <w:bCs/>
          <w:sz w:val="24"/>
          <w:szCs w:val="24"/>
        </w:rPr>
        <w:fldChar w:fldCharType="end"/>
      </w:r>
      <w:r w:rsidR="000715EF" w:rsidRPr="00F0375F">
        <w:rPr>
          <w:bCs/>
          <w:sz w:val="24"/>
          <w:szCs w:val="24"/>
        </w:rPr>
        <w:t xml:space="preserve"> Specifically, people with TB recruited to the study </w:t>
      </w:r>
      <w:r w:rsidRPr="00F0375F">
        <w:rPr>
          <w:bCs/>
          <w:sz w:val="24"/>
          <w:szCs w:val="24"/>
        </w:rPr>
        <w:t>and randomised to the soc</w:t>
      </w:r>
      <w:r w:rsidR="00A16218">
        <w:rPr>
          <w:bCs/>
          <w:sz w:val="24"/>
          <w:szCs w:val="24"/>
        </w:rPr>
        <w:t xml:space="preserve">ial, economic or </w:t>
      </w:r>
      <w:r w:rsidR="00F02F8D">
        <w:rPr>
          <w:bCs/>
          <w:sz w:val="24"/>
          <w:szCs w:val="24"/>
        </w:rPr>
        <w:t xml:space="preserve">socioeconomic arms </w:t>
      </w:r>
      <w:r w:rsidR="000715EF" w:rsidRPr="00F0375F">
        <w:rPr>
          <w:bCs/>
          <w:sz w:val="24"/>
          <w:szCs w:val="24"/>
        </w:rPr>
        <w:t>will be given an</w:t>
      </w:r>
      <w:r w:rsidR="00A16218">
        <w:rPr>
          <w:bCs/>
          <w:sz w:val="24"/>
          <w:szCs w:val="24"/>
        </w:rPr>
        <w:t xml:space="preserve"> </w:t>
      </w:r>
      <w:r w:rsidR="000715EF" w:rsidRPr="00F0375F">
        <w:rPr>
          <w:bCs/>
          <w:sz w:val="24"/>
          <w:szCs w:val="24"/>
        </w:rPr>
        <w:t xml:space="preserve">information leaflet and advised to </w:t>
      </w:r>
      <w:r w:rsidRPr="00F0375F">
        <w:rPr>
          <w:bCs/>
          <w:sz w:val="24"/>
          <w:szCs w:val="24"/>
        </w:rPr>
        <w:t>inform</w:t>
      </w:r>
      <w:r w:rsidR="000715EF" w:rsidRPr="00F0375F">
        <w:rPr>
          <w:bCs/>
          <w:sz w:val="24"/>
          <w:szCs w:val="24"/>
        </w:rPr>
        <w:t xml:space="preserve"> their household members </w:t>
      </w:r>
      <w:r w:rsidRPr="00F0375F">
        <w:rPr>
          <w:bCs/>
          <w:sz w:val="24"/>
          <w:szCs w:val="24"/>
        </w:rPr>
        <w:t>about the social support activitie</w:t>
      </w:r>
      <w:r w:rsidR="008B06AF">
        <w:rPr>
          <w:bCs/>
          <w:sz w:val="24"/>
          <w:szCs w:val="24"/>
        </w:rPr>
        <w:t>s</w:t>
      </w:r>
      <w:r w:rsidR="000715EF" w:rsidRPr="00F0375F">
        <w:rPr>
          <w:bCs/>
          <w:sz w:val="24"/>
          <w:szCs w:val="24"/>
        </w:rPr>
        <w:t>. A</w:t>
      </w:r>
      <w:r w:rsidRPr="00F0375F">
        <w:rPr>
          <w:bCs/>
          <w:sz w:val="24"/>
          <w:szCs w:val="24"/>
        </w:rPr>
        <w:t>s per WHO guidance, a</w:t>
      </w:r>
      <w:r w:rsidR="000715EF" w:rsidRPr="00F0375F">
        <w:rPr>
          <w:bCs/>
          <w:sz w:val="24"/>
          <w:szCs w:val="24"/>
        </w:rPr>
        <w:t xml:space="preserve"> household contact will be defined as </w:t>
      </w:r>
      <w:r w:rsidR="00E36A21">
        <w:rPr>
          <w:bCs/>
          <w:sz w:val="24"/>
          <w:szCs w:val="24"/>
        </w:rPr>
        <w:t>“</w:t>
      </w:r>
      <w:r w:rsidR="000715EF" w:rsidRPr="00F0375F">
        <w:rPr>
          <w:bCs/>
          <w:sz w:val="24"/>
          <w:szCs w:val="24"/>
        </w:rPr>
        <w:t>a person who shared the same enclosed living space for one or more nights or spent frequent or extended periods during the day with the index case during the 3 months prior to commencement of the current treatment episode</w:t>
      </w:r>
      <w:r w:rsidR="00E36A21">
        <w:rPr>
          <w:bCs/>
          <w:sz w:val="24"/>
          <w:szCs w:val="24"/>
        </w:rPr>
        <w:t>”</w:t>
      </w:r>
      <w:r w:rsidR="000715EF" w:rsidRPr="00F0375F">
        <w:rPr>
          <w:bCs/>
          <w:sz w:val="24"/>
          <w:szCs w:val="24"/>
        </w:rPr>
        <w:t>.</w:t>
      </w:r>
      <w:r w:rsidR="000715EF" w:rsidRPr="00F0375F">
        <w:rPr>
          <w:bCs/>
          <w:sz w:val="24"/>
          <w:szCs w:val="24"/>
        </w:rPr>
        <w:fldChar w:fldCharType="begin" w:fldLock="1"/>
      </w:r>
      <w:r w:rsidR="000855E1">
        <w:rPr>
          <w:bCs/>
          <w:sz w:val="24"/>
          <w:szCs w:val="24"/>
        </w:rPr>
        <w:instrText>ADDIN CSL_CITATION {"citationItems":[{"id":"ITEM-1","itemData":{"ISSN":"15458601","PMID":"16357823","abstract":"In 1976, the American Thoracic Society (ATS) published brief guidelines for the investigation, diagnostic evaluation, and medical treatment of TB contacts. Although investigation of contacts and treatment of infected contacts is an important component of the U.S. strategy for TB elimination, second in priority to treatment of persons with TB disease, national guidelines have not been updated since 1976. This statement, the first issued jointly by the National Tuberculosis Controllers Association and CDC, was drafted by a working group consisting of members from both organizations on the basis of a review of relevant epidemiologic and other scientific studies and established practices in conducting contact investigations. This statement provides expanded guidelines concerning investigation of TB exposure and transmission and prevention of future cases of TB through contact investigations. In addition to the topics discussed previously, these expanded guidelines also discuss multiple related topics (e.g., data management, confidentiality and consent, and human resources). These guidelines are intended for use by public health officials but also are relevant to others who contribute to TB control efforts. Although the recommendations pertain to the United States, they might be adaptable for use in other countries that adhere to guidelines issued by the World Health Organization, the International Union against Tuberculosis and Lung Disease, and national TB control programs.","author":[{"dropping-particle":"","family":"Report","given":"Mortality Weekly","non-dropping-particle":"","parse-names":false,"suffix":""}],"container-title":"MMWR. Recommendations and reports : Morbidity and mortality weekly report. Recommendations and reports / Centers for Disease Control","id":"ITEM-1","issue":"RR-15","issued":{"date-parts":[["2005"]]},"page":"1-47","title":"Guidelines for the investigation of contacts of persons with infectious tuberculosis. Recommendations from the National Tuberculosis Controllers Association and CDC.","type":"article-journal","volume":"54"},"uris":["http://www.mendeley.com/documents/?uuid=ea3cc0d9-6c3e-4647-82ea-de48d856979d"]}],"mendeley":{"formattedCitation":"&lt;sup&gt;37&lt;/sup&gt;","plainTextFormattedCitation":"37","previouslyFormattedCitation":"&lt;sup&gt;37&lt;/sup&gt;"},"properties":{"noteIndex":0},"schema":"https://github.com/citation-style-language/schema/raw/master/csl-citation.json"}</w:instrText>
      </w:r>
      <w:r w:rsidR="000715EF" w:rsidRPr="00F0375F">
        <w:rPr>
          <w:bCs/>
          <w:sz w:val="24"/>
          <w:szCs w:val="24"/>
        </w:rPr>
        <w:fldChar w:fldCharType="separate"/>
      </w:r>
      <w:r w:rsidR="00DE199B" w:rsidRPr="00DE199B">
        <w:rPr>
          <w:bCs/>
          <w:noProof/>
          <w:sz w:val="24"/>
          <w:szCs w:val="24"/>
          <w:vertAlign w:val="superscript"/>
        </w:rPr>
        <w:t>37</w:t>
      </w:r>
      <w:r w:rsidR="000715EF" w:rsidRPr="00F0375F">
        <w:rPr>
          <w:bCs/>
          <w:sz w:val="24"/>
          <w:szCs w:val="24"/>
        </w:rPr>
        <w:fldChar w:fldCharType="end"/>
      </w:r>
      <w:r w:rsidRPr="00F0375F">
        <w:rPr>
          <w:bCs/>
          <w:sz w:val="24"/>
          <w:szCs w:val="24"/>
        </w:rPr>
        <w:t xml:space="preserve"> Of note, no data will be collected from household contacts and </w:t>
      </w:r>
      <w:r w:rsidR="00FA2A91" w:rsidRPr="00F0375F">
        <w:rPr>
          <w:bCs/>
          <w:sz w:val="24"/>
          <w:szCs w:val="24"/>
        </w:rPr>
        <w:t>so they will not be asked to complete separate consent forms.</w:t>
      </w:r>
    </w:p>
    <w:p w14:paraId="6741937D" w14:textId="59C412F4" w:rsidR="00026107" w:rsidRDefault="00026107" w:rsidP="000715EF">
      <w:pPr>
        <w:autoSpaceDE w:val="0"/>
        <w:autoSpaceDN w:val="0"/>
        <w:adjustRightInd w:val="0"/>
        <w:spacing w:after="0" w:line="276" w:lineRule="auto"/>
        <w:jc w:val="both"/>
        <w:rPr>
          <w:bCs/>
          <w:sz w:val="24"/>
          <w:szCs w:val="24"/>
        </w:rPr>
      </w:pPr>
    </w:p>
    <w:p w14:paraId="42AED504" w14:textId="5D969B36" w:rsidR="008B06AF" w:rsidRDefault="00026107" w:rsidP="000715EF">
      <w:pPr>
        <w:autoSpaceDE w:val="0"/>
        <w:autoSpaceDN w:val="0"/>
        <w:adjustRightInd w:val="0"/>
        <w:spacing w:after="0" w:line="276" w:lineRule="auto"/>
        <w:jc w:val="both"/>
        <w:rPr>
          <w:bCs/>
          <w:sz w:val="24"/>
          <w:szCs w:val="24"/>
        </w:rPr>
      </w:pPr>
      <w:r>
        <w:rPr>
          <w:bCs/>
          <w:sz w:val="24"/>
          <w:szCs w:val="24"/>
        </w:rPr>
        <w:t xml:space="preserve">Participants will be free to withdraw from the study at any time by indicating this desire verbally and/or in writing to a member of the project team. Individual-level data from participants who withdraw will not be used further and will be securely deleted from project records. </w:t>
      </w:r>
      <w:r w:rsidR="008B06AF">
        <w:rPr>
          <w:bCs/>
          <w:sz w:val="24"/>
          <w:szCs w:val="24"/>
        </w:rPr>
        <w:t xml:space="preserve">Group-level data collected during activities such as </w:t>
      </w:r>
      <w:r w:rsidR="005E0F9F">
        <w:rPr>
          <w:bCs/>
          <w:sz w:val="24"/>
          <w:szCs w:val="24"/>
        </w:rPr>
        <w:t>F</w:t>
      </w:r>
      <w:r w:rsidR="008B06AF">
        <w:rPr>
          <w:bCs/>
          <w:sz w:val="24"/>
          <w:szCs w:val="24"/>
        </w:rPr>
        <w:t xml:space="preserve">ocus </w:t>
      </w:r>
      <w:r w:rsidR="005E0F9F">
        <w:rPr>
          <w:bCs/>
          <w:sz w:val="24"/>
          <w:szCs w:val="24"/>
        </w:rPr>
        <w:t>G</w:t>
      </w:r>
      <w:r w:rsidR="008B06AF">
        <w:rPr>
          <w:bCs/>
          <w:sz w:val="24"/>
          <w:szCs w:val="24"/>
        </w:rPr>
        <w:t xml:space="preserve">roup </w:t>
      </w:r>
      <w:r w:rsidR="005E0F9F">
        <w:rPr>
          <w:bCs/>
          <w:sz w:val="24"/>
          <w:szCs w:val="24"/>
        </w:rPr>
        <w:t>D</w:t>
      </w:r>
      <w:r w:rsidR="008B06AF">
        <w:rPr>
          <w:bCs/>
          <w:sz w:val="24"/>
          <w:szCs w:val="24"/>
        </w:rPr>
        <w:t>iscussions</w:t>
      </w:r>
      <w:r w:rsidR="005E0F9F">
        <w:rPr>
          <w:bCs/>
          <w:sz w:val="24"/>
          <w:szCs w:val="24"/>
        </w:rPr>
        <w:t>,</w:t>
      </w:r>
      <w:r w:rsidR="008B06AF">
        <w:rPr>
          <w:bCs/>
          <w:sz w:val="24"/>
          <w:szCs w:val="24"/>
        </w:rPr>
        <w:t xml:space="preserve"> in which a participant who later withdraws from the study took part, will remain available for analysis.</w:t>
      </w:r>
    </w:p>
    <w:p w14:paraId="559BF222" w14:textId="77777777" w:rsidR="000715EF" w:rsidRDefault="000715EF" w:rsidP="0081142F">
      <w:pPr>
        <w:autoSpaceDE w:val="0"/>
        <w:autoSpaceDN w:val="0"/>
        <w:adjustRightInd w:val="0"/>
        <w:spacing w:after="0" w:line="276" w:lineRule="auto"/>
        <w:jc w:val="both"/>
        <w:rPr>
          <w:bCs/>
          <w:sz w:val="24"/>
          <w:szCs w:val="24"/>
        </w:rPr>
      </w:pPr>
    </w:p>
    <w:p w14:paraId="4938DC00" w14:textId="77777777" w:rsidR="002A365E" w:rsidRDefault="008A4953" w:rsidP="0081142F">
      <w:pPr>
        <w:autoSpaceDE w:val="0"/>
        <w:autoSpaceDN w:val="0"/>
        <w:adjustRightInd w:val="0"/>
        <w:spacing w:after="0" w:line="276" w:lineRule="auto"/>
        <w:jc w:val="both"/>
        <w:rPr>
          <w:sz w:val="24"/>
          <w:szCs w:val="24"/>
        </w:rPr>
      </w:pPr>
      <w:r w:rsidRPr="00D85973">
        <w:rPr>
          <w:rStyle w:val="Heading4Char"/>
          <w:rFonts w:asciiTheme="minorHAnsi" w:hAnsiTheme="minorHAnsi" w:cstheme="minorHAnsi"/>
          <w:bCs/>
          <w:color w:val="000000" w:themeColor="text1"/>
          <w:sz w:val="24"/>
          <w:szCs w:val="24"/>
        </w:rPr>
        <w:t>Household visits and surveys</w:t>
      </w:r>
    </w:p>
    <w:p w14:paraId="1D2CB9DC" w14:textId="758E74FC" w:rsidR="000715EF" w:rsidRDefault="000715EF" w:rsidP="0081142F">
      <w:pPr>
        <w:autoSpaceDE w:val="0"/>
        <w:autoSpaceDN w:val="0"/>
        <w:adjustRightInd w:val="0"/>
        <w:spacing w:after="0" w:line="276" w:lineRule="auto"/>
        <w:jc w:val="both"/>
        <w:rPr>
          <w:bCs/>
          <w:sz w:val="24"/>
          <w:szCs w:val="24"/>
        </w:rPr>
      </w:pPr>
      <w:r>
        <w:rPr>
          <w:bCs/>
          <w:sz w:val="24"/>
          <w:szCs w:val="24"/>
        </w:rPr>
        <w:t>All participants will receive a household visit at three time points to complete the ASCOT survey:</w:t>
      </w:r>
    </w:p>
    <w:p w14:paraId="4E07035F" w14:textId="77777777" w:rsidR="004C6D60" w:rsidRDefault="004C6D60" w:rsidP="0081142F">
      <w:pPr>
        <w:autoSpaceDE w:val="0"/>
        <w:autoSpaceDN w:val="0"/>
        <w:adjustRightInd w:val="0"/>
        <w:spacing w:after="0" w:line="276" w:lineRule="auto"/>
        <w:jc w:val="both"/>
        <w:rPr>
          <w:bCs/>
          <w:sz w:val="24"/>
          <w:szCs w:val="24"/>
        </w:rPr>
      </w:pPr>
    </w:p>
    <w:p w14:paraId="25455D21" w14:textId="7167CA7F" w:rsidR="000715EF" w:rsidRPr="000715EF" w:rsidRDefault="000715EF" w:rsidP="000715EF">
      <w:pPr>
        <w:pStyle w:val="ListParagraph"/>
        <w:numPr>
          <w:ilvl w:val="0"/>
          <w:numId w:val="29"/>
        </w:numPr>
        <w:autoSpaceDE w:val="0"/>
        <w:autoSpaceDN w:val="0"/>
        <w:adjustRightInd w:val="0"/>
        <w:spacing w:after="0" w:line="276" w:lineRule="auto"/>
        <w:jc w:val="both"/>
        <w:rPr>
          <w:bCs/>
          <w:sz w:val="24"/>
          <w:szCs w:val="24"/>
        </w:rPr>
      </w:pPr>
      <w:r w:rsidRPr="000715EF">
        <w:rPr>
          <w:b/>
          <w:bCs/>
          <w:sz w:val="24"/>
          <w:szCs w:val="24"/>
        </w:rPr>
        <w:t>Visit one:</w:t>
      </w:r>
      <w:r w:rsidRPr="000715EF">
        <w:rPr>
          <w:sz w:val="24"/>
          <w:szCs w:val="24"/>
        </w:rPr>
        <w:t xml:space="preserve"> two to </w:t>
      </w:r>
      <w:r w:rsidR="0072090E">
        <w:rPr>
          <w:sz w:val="24"/>
          <w:szCs w:val="24"/>
        </w:rPr>
        <w:t>four</w:t>
      </w:r>
      <w:r w:rsidRPr="000715EF">
        <w:rPr>
          <w:sz w:val="24"/>
          <w:szCs w:val="24"/>
        </w:rPr>
        <w:t xml:space="preserve"> weeks </w:t>
      </w:r>
      <w:r w:rsidR="00E36A21">
        <w:rPr>
          <w:sz w:val="24"/>
          <w:szCs w:val="24"/>
        </w:rPr>
        <w:t>after</w:t>
      </w:r>
      <w:r>
        <w:rPr>
          <w:sz w:val="24"/>
          <w:szCs w:val="24"/>
        </w:rPr>
        <w:t xml:space="preserve"> TB treatment</w:t>
      </w:r>
      <w:r w:rsidR="00E36A21">
        <w:rPr>
          <w:sz w:val="24"/>
          <w:szCs w:val="24"/>
        </w:rPr>
        <w:t xml:space="preserve"> initiation</w:t>
      </w:r>
      <w:r>
        <w:rPr>
          <w:sz w:val="24"/>
          <w:szCs w:val="24"/>
        </w:rPr>
        <w:t>, during the “intensive treatment phase</w:t>
      </w:r>
      <w:proofErr w:type="gramStart"/>
      <w:r>
        <w:rPr>
          <w:sz w:val="24"/>
          <w:szCs w:val="24"/>
        </w:rPr>
        <w:t>”</w:t>
      </w:r>
      <w:r w:rsidR="00977F60">
        <w:rPr>
          <w:sz w:val="24"/>
          <w:szCs w:val="24"/>
        </w:rPr>
        <w:t>;</w:t>
      </w:r>
      <w:proofErr w:type="gramEnd"/>
    </w:p>
    <w:p w14:paraId="38649E63" w14:textId="77777777" w:rsidR="000715EF" w:rsidRPr="000715EF" w:rsidRDefault="000715EF" w:rsidP="000715EF">
      <w:pPr>
        <w:pStyle w:val="ListParagraph"/>
        <w:autoSpaceDE w:val="0"/>
        <w:autoSpaceDN w:val="0"/>
        <w:adjustRightInd w:val="0"/>
        <w:spacing w:after="0" w:line="276" w:lineRule="auto"/>
        <w:jc w:val="both"/>
        <w:rPr>
          <w:bCs/>
          <w:sz w:val="24"/>
          <w:szCs w:val="24"/>
        </w:rPr>
      </w:pPr>
    </w:p>
    <w:p w14:paraId="2D1BB803" w14:textId="3797BACE" w:rsidR="000715EF" w:rsidRPr="000715EF" w:rsidRDefault="000715EF" w:rsidP="000715EF">
      <w:pPr>
        <w:pStyle w:val="ListParagraph"/>
        <w:numPr>
          <w:ilvl w:val="0"/>
          <w:numId w:val="29"/>
        </w:numPr>
        <w:autoSpaceDE w:val="0"/>
        <w:autoSpaceDN w:val="0"/>
        <w:adjustRightInd w:val="0"/>
        <w:spacing w:after="0" w:line="276" w:lineRule="auto"/>
        <w:jc w:val="both"/>
        <w:rPr>
          <w:bCs/>
          <w:sz w:val="24"/>
          <w:szCs w:val="24"/>
        </w:rPr>
      </w:pPr>
      <w:r>
        <w:rPr>
          <w:b/>
          <w:bCs/>
          <w:sz w:val="24"/>
          <w:szCs w:val="24"/>
        </w:rPr>
        <w:lastRenderedPageBreak/>
        <w:t>Visit two:</w:t>
      </w:r>
      <w:r>
        <w:rPr>
          <w:sz w:val="24"/>
          <w:szCs w:val="24"/>
        </w:rPr>
        <w:t xml:space="preserve"> eight </w:t>
      </w:r>
      <w:r w:rsidR="004C6D60">
        <w:rPr>
          <w:sz w:val="24"/>
          <w:szCs w:val="24"/>
        </w:rPr>
        <w:t xml:space="preserve">to </w:t>
      </w:r>
      <w:r w:rsidR="0072090E">
        <w:rPr>
          <w:sz w:val="24"/>
          <w:szCs w:val="24"/>
        </w:rPr>
        <w:t>12</w:t>
      </w:r>
      <w:r w:rsidR="004C6D60">
        <w:rPr>
          <w:sz w:val="24"/>
          <w:szCs w:val="24"/>
        </w:rPr>
        <w:t xml:space="preserve"> </w:t>
      </w:r>
      <w:r>
        <w:rPr>
          <w:sz w:val="24"/>
          <w:szCs w:val="24"/>
        </w:rPr>
        <w:t xml:space="preserve">weeks </w:t>
      </w:r>
      <w:r w:rsidR="00E36A21">
        <w:rPr>
          <w:sz w:val="24"/>
          <w:szCs w:val="24"/>
        </w:rPr>
        <w:t>after</w:t>
      </w:r>
      <w:r>
        <w:rPr>
          <w:sz w:val="24"/>
          <w:szCs w:val="24"/>
        </w:rPr>
        <w:t xml:space="preserve"> TB treatment</w:t>
      </w:r>
      <w:r w:rsidR="00E36A21">
        <w:rPr>
          <w:sz w:val="24"/>
          <w:szCs w:val="24"/>
        </w:rPr>
        <w:t xml:space="preserve"> initiation</w:t>
      </w:r>
      <w:r>
        <w:rPr>
          <w:sz w:val="24"/>
          <w:szCs w:val="24"/>
        </w:rPr>
        <w:t>, during the “continuation treatment phase”</w:t>
      </w:r>
      <w:r w:rsidR="00977F60">
        <w:rPr>
          <w:sz w:val="24"/>
          <w:szCs w:val="24"/>
        </w:rPr>
        <w:t>;</w:t>
      </w:r>
      <w:r>
        <w:rPr>
          <w:sz w:val="24"/>
          <w:szCs w:val="24"/>
        </w:rPr>
        <w:t xml:space="preserve"> </w:t>
      </w:r>
      <w:r w:rsidR="00977F60">
        <w:rPr>
          <w:sz w:val="24"/>
          <w:szCs w:val="24"/>
        </w:rPr>
        <w:t>and</w:t>
      </w:r>
    </w:p>
    <w:p w14:paraId="027B4A45" w14:textId="77777777" w:rsidR="000715EF" w:rsidRPr="000715EF" w:rsidRDefault="000715EF" w:rsidP="000715EF">
      <w:pPr>
        <w:pStyle w:val="ListParagraph"/>
        <w:autoSpaceDE w:val="0"/>
        <w:autoSpaceDN w:val="0"/>
        <w:adjustRightInd w:val="0"/>
        <w:spacing w:after="0" w:line="276" w:lineRule="auto"/>
        <w:jc w:val="both"/>
        <w:rPr>
          <w:bCs/>
          <w:sz w:val="24"/>
          <w:szCs w:val="24"/>
        </w:rPr>
      </w:pPr>
    </w:p>
    <w:p w14:paraId="39541CA2" w14:textId="1F2E7952" w:rsidR="000715EF" w:rsidRPr="000715EF" w:rsidRDefault="000715EF" w:rsidP="000715EF">
      <w:pPr>
        <w:pStyle w:val="ListParagraph"/>
        <w:numPr>
          <w:ilvl w:val="0"/>
          <w:numId w:val="29"/>
        </w:numPr>
        <w:autoSpaceDE w:val="0"/>
        <w:autoSpaceDN w:val="0"/>
        <w:adjustRightInd w:val="0"/>
        <w:spacing w:after="0" w:line="276" w:lineRule="auto"/>
        <w:jc w:val="both"/>
        <w:rPr>
          <w:bCs/>
          <w:sz w:val="24"/>
          <w:szCs w:val="24"/>
        </w:rPr>
      </w:pPr>
      <w:r w:rsidRPr="000715EF">
        <w:rPr>
          <w:b/>
          <w:bCs/>
          <w:sz w:val="24"/>
          <w:szCs w:val="24"/>
        </w:rPr>
        <w:t>Visit three:</w:t>
      </w:r>
      <w:r w:rsidRPr="000715EF">
        <w:rPr>
          <w:sz w:val="24"/>
          <w:szCs w:val="24"/>
        </w:rPr>
        <w:t xml:space="preserve"> 20 to 24 weeks following TB treatment</w:t>
      </w:r>
      <w:r w:rsidR="00E36A21">
        <w:rPr>
          <w:sz w:val="24"/>
          <w:szCs w:val="24"/>
        </w:rPr>
        <w:t xml:space="preserve"> initiation</w:t>
      </w:r>
      <w:r w:rsidRPr="000715EF">
        <w:rPr>
          <w:sz w:val="24"/>
          <w:szCs w:val="24"/>
        </w:rPr>
        <w:t xml:space="preserve">, to </w:t>
      </w:r>
      <w:r w:rsidR="00E36A21">
        <w:rPr>
          <w:sz w:val="24"/>
          <w:szCs w:val="24"/>
        </w:rPr>
        <w:t>coincide</w:t>
      </w:r>
      <w:r w:rsidRPr="000715EF">
        <w:rPr>
          <w:sz w:val="24"/>
          <w:szCs w:val="24"/>
        </w:rPr>
        <w:t xml:space="preserve"> with the completion of a standard 6-month course of DS-TB treatment</w:t>
      </w:r>
      <w:r w:rsidR="00FF4909">
        <w:rPr>
          <w:sz w:val="24"/>
          <w:szCs w:val="24"/>
        </w:rPr>
        <w:t>.</w:t>
      </w:r>
    </w:p>
    <w:p w14:paraId="20C0B994" w14:textId="02F1375B" w:rsidR="000715EF" w:rsidRDefault="000715EF" w:rsidP="000715EF">
      <w:pPr>
        <w:autoSpaceDE w:val="0"/>
        <w:autoSpaceDN w:val="0"/>
        <w:adjustRightInd w:val="0"/>
        <w:spacing w:after="0" w:line="276" w:lineRule="auto"/>
        <w:jc w:val="both"/>
        <w:rPr>
          <w:bCs/>
          <w:sz w:val="24"/>
          <w:szCs w:val="24"/>
        </w:rPr>
      </w:pPr>
    </w:p>
    <w:p w14:paraId="3BC0E70E" w14:textId="53FB1406" w:rsidR="00977F60" w:rsidRDefault="004C6D60" w:rsidP="00977F60">
      <w:pPr>
        <w:autoSpaceDE w:val="0"/>
        <w:autoSpaceDN w:val="0"/>
        <w:adjustRightInd w:val="0"/>
        <w:spacing w:after="0" w:line="276" w:lineRule="auto"/>
        <w:jc w:val="both"/>
        <w:rPr>
          <w:bCs/>
          <w:sz w:val="24"/>
          <w:szCs w:val="24"/>
        </w:rPr>
      </w:pPr>
      <w:r>
        <w:rPr>
          <w:bCs/>
          <w:sz w:val="24"/>
          <w:szCs w:val="24"/>
        </w:rPr>
        <w:t>This is line with WHO methods, which require a person with TB to have been taking treatment in a specific phase for at least two weeks before answering questions relating to the socioeconomic impact of that phase.</w:t>
      </w:r>
      <w:r>
        <w:rPr>
          <w:bCs/>
          <w:sz w:val="24"/>
          <w:szCs w:val="24"/>
        </w:rPr>
        <w:fldChar w:fldCharType="begin" w:fldLock="1"/>
      </w:r>
      <w:r w:rsidR="000855E1">
        <w:rPr>
          <w:bCs/>
          <w:sz w:val="24"/>
          <w:szCs w:val="24"/>
        </w:rPr>
        <w:instrText>ADDIN CSL_CITATION {"citationItems":[{"id":"ITEM-1","itemData":{"ISBN":"9789241513524","author":[{"dropping-particle":"","family":"World Health Organization (WHO)","given":"","non-dropping-particle":"","parse-names":false,"suffix":""}],"id":"ITEM-1","issued":{"date-parts":[["2017"]]},"number-of-pages":"95","title":"Tuberculosis patient cost survey: a handbook","type":"book"},"uris":["http://www.mendeley.com/documents/?uuid=be001223-d264-4ed0-89ce-bc5baa745d8c"]}],"mendeley":{"formattedCitation":"&lt;sup&gt;38&lt;/sup&gt;","plainTextFormattedCitation":"38","previouslyFormattedCitation":"&lt;sup&gt;38&lt;/sup&gt;"},"properties":{"noteIndex":0},"schema":"https://github.com/citation-style-language/schema/raw/master/csl-citation.json"}</w:instrText>
      </w:r>
      <w:r>
        <w:rPr>
          <w:bCs/>
          <w:sz w:val="24"/>
          <w:szCs w:val="24"/>
        </w:rPr>
        <w:fldChar w:fldCharType="separate"/>
      </w:r>
      <w:r w:rsidR="00DE199B" w:rsidRPr="00DE199B">
        <w:rPr>
          <w:bCs/>
          <w:noProof/>
          <w:sz w:val="24"/>
          <w:szCs w:val="24"/>
          <w:vertAlign w:val="superscript"/>
        </w:rPr>
        <w:t>38</w:t>
      </w:r>
      <w:r>
        <w:rPr>
          <w:bCs/>
          <w:sz w:val="24"/>
          <w:szCs w:val="24"/>
        </w:rPr>
        <w:fldChar w:fldCharType="end"/>
      </w:r>
      <w:r w:rsidR="008B06AF">
        <w:rPr>
          <w:bCs/>
          <w:sz w:val="24"/>
          <w:szCs w:val="24"/>
        </w:rPr>
        <w:t xml:space="preserve"> </w:t>
      </w:r>
      <w:r w:rsidR="00977F60">
        <w:rPr>
          <w:bCs/>
          <w:sz w:val="24"/>
          <w:szCs w:val="24"/>
        </w:rPr>
        <w:t>During household visits, a survey adapted from WHO’s TB Patient Costs Survey</w:t>
      </w:r>
      <w:r w:rsidR="0005056A">
        <w:rPr>
          <w:bCs/>
          <w:sz w:val="24"/>
          <w:szCs w:val="24"/>
        </w:rPr>
        <w:fldChar w:fldCharType="begin" w:fldLock="1"/>
      </w:r>
      <w:r w:rsidR="000855E1">
        <w:rPr>
          <w:bCs/>
          <w:sz w:val="24"/>
          <w:szCs w:val="24"/>
        </w:rPr>
        <w:instrText>ADDIN CSL_CITATION {"citationItems":[{"id":"ITEM-1","itemData":{"ISBN":"9789241513524","author":[{"dropping-particle":"","family":"World Health Organization (WHO)","given":"","non-dropping-particle":"","parse-names":false,"suffix":""}],"id":"ITEM-1","issued":{"date-parts":[["2017"]]},"number-of-pages":"95","title":"Tuberculosis patient cost survey: a handbook","type":"book"},"uris":["http://www.mendeley.com/documents/?uuid=be001223-d264-4ed0-89ce-bc5baa745d8c"]},{"id":"ITEM-2","itemData":{"DOI":"10.1371/journal.pmed.1001675","ISBN":"1549-1277","ISSN":"15491676","PMID":"25025331","abstract":"BACKGROUND: Even when tuberculosis (TB) treatment is free, hidden costs incurred by patients and their households (TB-affected households) may worsen poverty and health. Extreme TB-associated costs have been termed \"catastrophic\" but are poorly defined. We studied TB-affected households' hidden costs and their association with adverse TB outcome to create a clinically relevant definition of catastrophic costs., CONCLUSIONS: Despite free TB care, having TB disease was expensive for impoverished TB patients in Peru. Incurring higher relative costs was associated with adverse TB outcome. The population attributable fraction indicated that catastrophic costs and MDR TB were associated with similar proportions of adverse outcomes. Thus TB is a socioeconomic as well as infectious problem, and TB control interventions should address both the economic and clinical aspects of this disease. Please see later in the article for the Editors' Summary., METHODS AND FINDINGS: From 26 October 2002 to 30 November 2009, TB patients (n = 876, 11% with multi-drug-resistant [MDR] TB) and healthy controls (n = 487) were recruited to a prospective cohort study in shantytowns in Lima, Peru. Patients were interviewed prior to and every 2-4 wk throughout treatment, recording direct (household expenses) and indirect (lost income) TB-related costs. Costs were expressed as a proportion of the household's annual income. In poorer households, costs were lower but constituted a higher proportion of the household's annual income: 27% (95% CI = 20%-43%) in the least-poor houses versus 48% (95% CI = 36%-50%) in the poorest. Adverse TB outcome was defined as death, treatment abandonment or treatment failure during therapy, or recurrence within 2 y. 23% (166/725) of patients with a defined treatment outcome had an adverse outcome. Total costs &gt;20% of household annual income was defined as catastrophic because this threshold was most strongly associated with adverse TB outcome. Catastrophic costs were incurred by 345 households (39%). Having MDR TB was associated with a higher likelihood of incurring catastrophic costs (54% [95% CI = 43%-61%] versus 38% [95% CI = 34%-41%], p&lt;0.003). Adverse outcome was independently associated with MDR TB (odds ratio [OR] = 8.4 [95% CI = 4.7-15], p&lt;0.001), previous TB (OR = 2.1 [95% CI = 1.3-3.5], p = 0.005), days too unwell to work pre-treatment (OR = 1.01 [95% CI = 1.00-1.01], p = 0.02), and catastrophic costs (OR = 1.7 [95% CI = 1.1-2.6], p = 0.01). The a…","author":[{"dropping-particle":"","family":"Wingfield","given":"Tom","non-dropping-particle":"","parse-names":false,"suffix":""},{"dropping-particle":"","family":"Boccia","given":"Delia","non-dropping-particle":"","parse-names":false,"suffix":""},{"dropping-particle":"","family":"Tovar","given":"Marco","non-dropping-particle":"","parse-names":false,"suffix":""},{"dropping-particle":"","family":"Gavino","given":"Arquímedes","non-dropping-particle":"","parse-names":false,"suffix":""},{"dropping-particle":"","family":"Zevallos","given":"Karine","non-dropping-particle":"","parse-names":false,"suffix":""},{"dropping-particle":"","family":"Montoya","given":"Rosario","non-dropping-particle":"","parse-names":false,"suffix":""},{"dropping-particle":"","family":"Lönnroth","given":"Knut","non-dropping-particle":"","parse-names":false,"suffix":""},{"dropping-particle":"","family":"Evans","given":"Carlton A.","non-dropping-particle":"","parse-names":false,"suffix":""}],"container-title":"PLoS Medicine","id":"ITEM-2","issue":"7","issued":{"date-parts":[["2014"]]},"title":"Defining Catastrophic Costs and Comparing Their Importance for Adverse Tuberculosis Outcome with Multi-Drug Resistance: A Prospective Cohort Study, Peru","type":"article-journal","volume":"11"},"uris":["http://www.mendeley.com/documents/?uuid=013b3be7-a421-45ef-91ca-c6d255a57dcb"]}],"mendeley":{"formattedCitation":"&lt;sup&gt;5,38&lt;/sup&gt;","plainTextFormattedCitation":"5,38","previouslyFormattedCitation":"&lt;sup&gt;5,38&lt;/sup&gt;"},"properties":{"noteIndex":0},"schema":"https://github.com/citation-style-language/schema/raw/master/csl-citation.json"}</w:instrText>
      </w:r>
      <w:r w:rsidR="0005056A">
        <w:rPr>
          <w:bCs/>
          <w:sz w:val="24"/>
          <w:szCs w:val="24"/>
        </w:rPr>
        <w:fldChar w:fldCharType="separate"/>
      </w:r>
      <w:r w:rsidR="00DE199B" w:rsidRPr="00DE199B">
        <w:rPr>
          <w:bCs/>
          <w:noProof/>
          <w:sz w:val="24"/>
          <w:szCs w:val="24"/>
          <w:vertAlign w:val="superscript"/>
        </w:rPr>
        <w:t>5,38</w:t>
      </w:r>
      <w:r w:rsidR="0005056A">
        <w:rPr>
          <w:bCs/>
          <w:sz w:val="24"/>
          <w:szCs w:val="24"/>
        </w:rPr>
        <w:fldChar w:fldCharType="end"/>
      </w:r>
      <w:r w:rsidR="00977F60" w:rsidRPr="00977F60">
        <w:rPr>
          <w:bCs/>
          <w:sz w:val="24"/>
          <w:szCs w:val="24"/>
        </w:rPr>
        <w:t xml:space="preserve"> </w:t>
      </w:r>
      <w:r w:rsidR="00977F60">
        <w:rPr>
          <w:bCs/>
          <w:sz w:val="24"/>
          <w:szCs w:val="24"/>
        </w:rPr>
        <w:t>and previously used in more than 400 people with TB Nepal,</w:t>
      </w:r>
      <w:r w:rsidR="00793F88">
        <w:rPr>
          <w:bCs/>
          <w:sz w:val="24"/>
          <w:szCs w:val="24"/>
        </w:rPr>
        <w:fldChar w:fldCharType="begin" w:fldLock="1"/>
      </w:r>
      <w:r w:rsidR="000855E1">
        <w:rPr>
          <w:bCs/>
          <w:sz w:val="24"/>
          <w:szCs w:val="24"/>
        </w:rPr>
        <w:instrText>ADDIN CSL_CITATION {"citationItems":[{"id":"ITEM-1","itemData":{"abstract":"Introduction Reducing poverty and health inequality remain a global imperative, enshrined in the United Nation’s Sustainable Development Goals. Poorer people have a higher likelihood of ill-health, malnutrition, and limited healthcare access. This talk will highlight that there are few infectious diseases that better illustrate this health-wealth association than TB, the archetypal disease of poverty. Objectives • To understand the social determinants of TB infection, disease, and adverse TB treatment outcomes • To explore the socioeconomic consequences at an individual- and household-level of being ill with TB disease • To review the available evidence on the health and non-health impacts of socioeconomic support for TB-affected households Presentation Summary This presentation will give a brief overview of the intimate relationship of TB and poverty throughout history. It will then describe recent research addressing the social determinants of TB, including the development of an innovative WHO-endorsed threshold for measuring catastrophic costs of TB-affected households and results from the world’s first trial of an integrated socioeconomic intervention to improve TB prevention and cure in TB-affected households (the “HRESIPT” and “CRESIPT” trials in Peru). Finally, the talk will disseminate preliminary results of ongoing studies developing and evaluating socioeconomic interventions for TB-affected households in Nepal, Vietnam and Mozambique. Conclusions It is hoped that the findings from the expansion of this multi-disciplinary research addressing the social determinants of TB, which involves strong community participation, will lead to policy and practice changes that reduce poverty and improve health and wellbeing of TB-affected households in diverse country settings.","author":[{"dropping-particle":"","family":"Dixit","given":"K","non-dropping-particle":"","parse-names":false,"suffix":""},{"dropping-particle":"","family":"Rai","given":"B","non-dropping-particle":"","parse-names":false,"suffix":""},{"dropping-particle":"","family":"Gurung","given":"SC","non-dropping-particle":"","parse-names":false,"suffix":""},{"dropping-particle":"","family":"Dhital","given":"R","non-dropping-particle":"","parse-names":false,"suffix":""},{"dropping-particle":"","family":"Siqueira Filha","given":"N","non-dropping-particle":"","parse-names":false,"suffix":""},{"dropping-particle":"","family":"Wingfield","given":"T","non-dropping-particle":"","parse-names":false,"suffix":""}],"container-title":"European Congress on Tropical Medicine and International Health","id":"ITEM-1","issued":{"date-parts":[["2019"]]},"title":"Addressing the social determinants and consequences of tuberculosis in Nepal","type":"paper-conference"},"uris":["http://www.mendeley.com/documents/?uuid=b024415d-5497-4c9f-92f8-5ae4ff9b91d9"]},{"id":"ITEM-2","itemData":{"DOI":"10.36548/jucct.2019.1","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non-dropping-particle":"","parse-names":false,"suffix":""},{"dropping-particle":"","family":"Chandra 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Disease","id":"ITEM-2","issue":"2","issued":{"date-parts":[["2020"]]},"page":"1-15","title":"Supplementary File: Developing feasible, locally appropriate socioeconomic support for TB-affected households in Nepal","type":"article-journal","volume":"5"},"uris":["http://www.mendeley.com/documents/?uuid=0aeb0821-a250-4b54-9d6e-0c07e9239575"]},{"id":"ITEM-3","itemData":{"author":[{"dropping-particle":"","family":"Gurung","given":"S","non-dropping-particle":"","parse-names":false,"suffix":""},{"dropping-particle":"","family":"Dixit","given":"K","non-dropping-particle":"","parse-names":false,"suffix":""},{"dropping-particle":"","family":"Rai","given":"B","non-dropping-particle":"","parse-names":false,"suffix":""},{"dropping-particle":"","family":"Caws","given":"M","non-dropping-particle":"","parse-names":false,"suffix":""},{"dropping-particle":"","family":"Paudel","given":"PR","non-dropping-particle":"","parse-names":false,"suffix":""},{"dropping-particle":"","family":"Dhital","given":"R","non-dropping-particle":"","parse-names":false,"suffix":""},{"dropping-particle":"","family":"Acharya","given":"S","non-dropping-particle":"","parse-names":false,"suffix":""},{"dropping-particle":"","family":"Budhathoki","given":"G","non-dropping-particle":"","parse-names":false,"suffix":""},{"dropping-particle":"","family":"Malla","given":"D","non-dropping-particle":"","parse-names":false,"suffix":""},{"dropping-particle":"","family":"Levy","given":"JW","non-dropping-particle":"","parse-names":false,"suffix":""},{"dropping-particle":"","family":"Rest","given":"J","non-dropping-particle":"van","parse-names":false,"suffix":""},{"dropping-particle":"","family":"Lonnroth","given":"K","non-dropping-particle":"","parse-names":false,"suffix":""},{"dropping-particle":"","family":"Viney","given":"K","non-dropping-particle":"","parse-names":false,"suffix":""},{"dropping-particle":"","family":"Ramsay","given":"A","non-dropping-particle":"","parse-names":false,"suffix":""},{"dropping-particle":"","family":"Wingfield","given":"T","non-dropping-particle":"","parse-names":false,"suffix":""},{"dropping-particle":"","family":"Basnyat","given":"B","non-dropping-particle":"","parse-names":false,"suffix":""},{"dropping-particle":"","family":"Thapa","given":"A","non-dropping-particle":"","parse-names":false,"suffix":""},{"dropping-particle":"","family":"Squire","given":"SB","non-dropping-particle":"","parse-names":false,"suffix":""},{"dropping-particle":"","family":"Wang","given":"D","non-dropping-particle":"","parse-names":false,"suffix":""},{"dropping-particle":"","family":"Mishra","given":"G","non-dropping-particle":"","parse-names":false,"suffix":""},{"dropping-particle":"","family":"Shah","given":"K","non-dropping-particle":"","parse-names":false,"suffix":""},{"dropping-particle":"","family":"Shreshta","given":"S","non-dropping-particle":"","parse-names":false,"suffix":""},{"dropping-particle":"","family":"Teixeira de Siqueira-Filha","given":"N","non-dropping-particle":"","parse-names":false,"suffix":""}],"container-title":"Infectious Diseases of Poverty","id":"ITEM-3","issue":"99","issued":{"date-parts":[["2019"]]},"title":"The role of active case finding in reducing patient incurred catastrophic costs for tuberculosis in Nepal","type":"article-journal","volume":"8"},"uris":["http://www.mendeley.com/documents/?uuid=7ee77266-f415-42d6-9a20-b7b371f23db2"]}],"mendeley":{"formattedCitation":"&lt;sup&gt;13,16,39&lt;/sup&gt;","plainTextFormattedCitation":"13,16,39","previouslyFormattedCitation":"&lt;sup&gt;13,16,39&lt;/sup&gt;"},"properties":{"noteIndex":0},"schema":"https://github.com/citation-style-language/schema/raw/master/csl-citation.json"}</w:instrText>
      </w:r>
      <w:r w:rsidR="00793F88">
        <w:rPr>
          <w:bCs/>
          <w:sz w:val="24"/>
          <w:szCs w:val="24"/>
        </w:rPr>
        <w:fldChar w:fldCharType="separate"/>
      </w:r>
      <w:r w:rsidR="00DE199B" w:rsidRPr="00DE199B">
        <w:rPr>
          <w:bCs/>
          <w:noProof/>
          <w:sz w:val="24"/>
          <w:szCs w:val="24"/>
          <w:vertAlign w:val="superscript"/>
        </w:rPr>
        <w:t>13,16,39</w:t>
      </w:r>
      <w:r w:rsidR="00793F88">
        <w:rPr>
          <w:bCs/>
          <w:sz w:val="24"/>
          <w:szCs w:val="24"/>
        </w:rPr>
        <w:fldChar w:fldCharType="end"/>
      </w:r>
      <w:r w:rsidR="00977F60">
        <w:rPr>
          <w:bCs/>
          <w:sz w:val="24"/>
          <w:szCs w:val="24"/>
        </w:rPr>
        <w:t xml:space="preserve"> will be used to interview the participant with TB and, where appropriate, their family members. </w:t>
      </w:r>
      <w:r w:rsidR="008B06AF">
        <w:rPr>
          <w:bCs/>
          <w:sz w:val="24"/>
          <w:szCs w:val="24"/>
        </w:rPr>
        <w:t xml:space="preserve">During the </w:t>
      </w:r>
      <w:proofErr w:type="spellStart"/>
      <w:r w:rsidR="008B06AF">
        <w:rPr>
          <w:bCs/>
          <w:sz w:val="24"/>
          <w:szCs w:val="24"/>
        </w:rPr>
        <w:t>Wellcome</w:t>
      </w:r>
      <w:proofErr w:type="spellEnd"/>
      <w:r w:rsidR="008B06AF">
        <w:rPr>
          <w:bCs/>
          <w:sz w:val="24"/>
          <w:szCs w:val="24"/>
        </w:rPr>
        <w:t xml:space="preserve"> Trust Seed Award research, t</w:t>
      </w:r>
      <w:r w:rsidR="00793F88">
        <w:rPr>
          <w:bCs/>
          <w:sz w:val="24"/>
          <w:szCs w:val="24"/>
        </w:rPr>
        <w:t xml:space="preserve">he survey was </w:t>
      </w:r>
      <w:r w:rsidR="00793F88" w:rsidRPr="00793F88">
        <w:rPr>
          <w:bCs/>
          <w:sz w:val="24"/>
          <w:szCs w:val="24"/>
        </w:rPr>
        <w:t xml:space="preserve">translated from English into Nepali </w:t>
      </w:r>
      <w:r w:rsidR="00B123A4">
        <w:rPr>
          <w:bCs/>
          <w:sz w:val="24"/>
          <w:szCs w:val="24"/>
        </w:rPr>
        <w:t>before back translation</w:t>
      </w:r>
      <w:r w:rsidR="00793F88" w:rsidRPr="00793F88">
        <w:rPr>
          <w:bCs/>
          <w:sz w:val="24"/>
          <w:szCs w:val="24"/>
        </w:rPr>
        <w:t xml:space="preserve"> into English</w:t>
      </w:r>
      <w:r w:rsidR="008B06AF">
        <w:rPr>
          <w:bCs/>
          <w:sz w:val="24"/>
          <w:szCs w:val="24"/>
        </w:rPr>
        <w:t xml:space="preserve"> to check consistency</w:t>
      </w:r>
      <w:r w:rsidR="00B123A4">
        <w:rPr>
          <w:bCs/>
          <w:sz w:val="24"/>
          <w:szCs w:val="24"/>
        </w:rPr>
        <w:t>. It was then evaluated by the ASCOT study team and</w:t>
      </w:r>
      <w:r w:rsidR="00793F88" w:rsidRPr="00793F88">
        <w:rPr>
          <w:bCs/>
          <w:sz w:val="24"/>
          <w:szCs w:val="24"/>
        </w:rPr>
        <w:t xml:space="preserve"> piloted </w:t>
      </w:r>
      <w:r w:rsidR="008B06AF">
        <w:rPr>
          <w:bCs/>
          <w:sz w:val="24"/>
          <w:szCs w:val="24"/>
        </w:rPr>
        <w:t xml:space="preserve">in Nepali language </w:t>
      </w:r>
      <w:r w:rsidR="00B123A4">
        <w:rPr>
          <w:bCs/>
          <w:sz w:val="24"/>
          <w:szCs w:val="24"/>
        </w:rPr>
        <w:t>with</w:t>
      </w:r>
      <w:r w:rsidR="00793F88" w:rsidRPr="00793F88">
        <w:rPr>
          <w:bCs/>
          <w:sz w:val="24"/>
          <w:szCs w:val="24"/>
        </w:rPr>
        <w:t xml:space="preserve"> </w:t>
      </w:r>
      <w:r w:rsidR="00793F88">
        <w:rPr>
          <w:bCs/>
          <w:sz w:val="24"/>
          <w:szCs w:val="24"/>
        </w:rPr>
        <w:t xml:space="preserve">20 </w:t>
      </w:r>
      <w:r w:rsidR="00B123A4">
        <w:rPr>
          <w:bCs/>
          <w:sz w:val="24"/>
          <w:szCs w:val="24"/>
        </w:rPr>
        <w:t>people with TB in the study sites, refined, and validated for field deployment</w:t>
      </w:r>
      <w:r w:rsidR="00793F88">
        <w:rPr>
          <w:bCs/>
          <w:sz w:val="24"/>
          <w:szCs w:val="24"/>
        </w:rPr>
        <w:t>.</w:t>
      </w:r>
    </w:p>
    <w:p w14:paraId="54120FB6" w14:textId="77777777" w:rsidR="00977F60" w:rsidRDefault="00977F60" w:rsidP="00977F60">
      <w:pPr>
        <w:autoSpaceDE w:val="0"/>
        <w:autoSpaceDN w:val="0"/>
        <w:adjustRightInd w:val="0"/>
        <w:spacing w:after="0" w:line="276" w:lineRule="auto"/>
        <w:jc w:val="both"/>
        <w:rPr>
          <w:bCs/>
          <w:sz w:val="24"/>
          <w:szCs w:val="24"/>
        </w:rPr>
      </w:pPr>
    </w:p>
    <w:p w14:paraId="50F5A9F9" w14:textId="726CD41B" w:rsidR="00977F60" w:rsidRDefault="00977F60" w:rsidP="00977F60">
      <w:pPr>
        <w:autoSpaceDE w:val="0"/>
        <w:autoSpaceDN w:val="0"/>
        <w:adjustRightInd w:val="0"/>
        <w:spacing w:after="0" w:line="276" w:lineRule="auto"/>
        <w:jc w:val="both"/>
        <w:rPr>
          <w:bCs/>
          <w:sz w:val="24"/>
          <w:szCs w:val="24"/>
        </w:rPr>
      </w:pPr>
      <w:r>
        <w:rPr>
          <w:bCs/>
          <w:sz w:val="24"/>
          <w:szCs w:val="24"/>
        </w:rPr>
        <w:t xml:space="preserve">The survey will collect </w:t>
      </w:r>
      <w:r w:rsidRPr="00977F60">
        <w:rPr>
          <w:bCs/>
          <w:sz w:val="24"/>
          <w:szCs w:val="24"/>
        </w:rPr>
        <w:t xml:space="preserve">data on: </w:t>
      </w:r>
    </w:p>
    <w:p w14:paraId="6ECEAD5B" w14:textId="2D3B0C44" w:rsidR="00977F60" w:rsidRPr="00977F60" w:rsidRDefault="00B123A4" w:rsidP="00FB023B">
      <w:pPr>
        <w:pStyle w:val="ListParagraph"/>
        <w:numPr>
          <w:ilvl w:val="0"/>
          <w:numId w:val="30"/>
        </w:numPr>
        <w:autoSpaceDE w:val="0"/>
        <w:autoSpaceDN w:val="0"/>
        <w:adjustRightInd w:val="0"/>
        <w:spacing w:after="0" w:line="276" w:lineRule="auto"/>
        <w:ind w:left="709" w:hanging="425"/>
        <w:jc w:val="both"/>
        <w:rPr>
          <w:bCs/>
          <w:sz w:val="24"/>
          <w:szCs w:val="24"/>
        </w:rPr>
      </w:pPr>
      <w:r>
        <w:rPr>
          <w:bCs/>
          <w:sz w:val="24"/>
          <w:szCs w:val="24"/>
        </w:rPr>
        <w:t xml:space="preserve">Poverty status using characteristics including </w:t>
      </w:r>
      <w:r w:rsidRPr="00977F60">
        <w:rPr>
          <w:bCs/>
          <w:sz w:val="24"/>
          <w:szCs w:val="24"/>
        </w:rPr>
        <w:t xml:space="preserve">assets, </w:t>
      </w:r>
      <w:r>
        <w:rPr>
          <w:bCs/>
          <w:sz w:val="24"/>
          <w:szCs w:val="24"/>
        </w:rPr>
        <w:t xml:space="preserve">housing, </w:t>
      </w:r>
      <w:r w:rsidRPr="00977F60">
        <w:rPr>
          <w:bCs/>
          <w:sz w:val="24"/>
          <w:szCs w:val="24"/>
        </w:rPr>
        <w:t xml:space="preserve">and </w:t>
      </w:r>
      <w:r>
        <w:rPr>
          <w:bCs/>
          <w:sz w:val="24"/>
          <w:szCs w:val="24"/>
        </w:rPr>
        <w:t>a</w:t>
      </w:r>
      <w:r w:rsidRPr="00977F60">
        <w:rPr>
          <w:bCs/>
          <w:sz w:val="24"/>
          <w:szCs w:val="24"/>
        </w:rPr>
        <w:t>menities</w:t>
      </w:r>
      <w:r>
        <w:rPr>
          <w:bCs/>
          <w:sz w:val="24"/>
          <w:szCs w:val="24"/>
        </w:rPr>
        <w:t>;</w:t>
      </w:r>
      <w:r w:rsidR="00977F60">
        <w:rPr>
          <w:bCs/>
          <w:sz w:val="24"/>
          <w:szCs w:val="24"/>
        </w:rPr>
        <w:fldChar w:fldCharType="begin" w:fldLock="1"/>
      </w:r>
      <w:r w:rsidR="000855E1">
        <w:rPr>
          <w:bCs/>
          <w:sz w:val="24"/>
          <w:szCs w:val="24"/>
        </w:rPr>
        <w:instrText>ADDIN CSL_CITATION {"citationItems":[{"id":"ITEM-1","itemData":{"DOI":"10.1183/13993003.00066-2016","ISBN":"0903-1936","ISSN":"13993003","PMID":"27660507","abstract":"The End TB Strategy mandates that no tuberculosis (TB)-affected households face catastrophic costs due to TB. However, evidence is limited to evaluate socioeconomic support to achieve this change in policy and practice. The objective of the present study was to investigate the economic effects of a TB-specific socioeconomic intervention.The setting was 32 shantytown communities in Peru. The participants were from households of consecutive TB patients throughout TB treatment administered by the national TB programme. The intervention consisted of social support through household visits and community meetings, and economic support through cash transfers conditional upon TB screening in household contacts, adhering to TB treatment/chemoprophylaxis and engaging with social support. Data were collected to assess TB-affected household costs. Patient interviews were conducted at treatment initiation and then monthly for 6 months.From February 2014 to June 2015, 312 households were recruited, of which 135 were randomised to receive the intervention. Cash transfer total value averaged US$173 (3.5% of TB-affected households' average annual income) and mitigated 20% of households' TB-related costs. Households randomised to receive the intervention were less likely to incur catastrophic costs (30% (95% CI 22-38%) versus 42% (95% CI 34-51%)). The mitigation impact was higher among poorer households.The TB-specific socioeconomic intervention reduced catastrophic costs and was accessible to poorer households. Socioeconomic support and mitigating catastrophic costs are integral to the End TB strategy, and our findings inform implementation of these new policies.","author":[{"dropping-particle":"","family":"Wingfield","given":"Tom","non-dropping-particle":"","parse-names":false,"suffix":""},{"dropping-particle":"","family":"Tovar","given":"Marco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A.","non-dropping-particle":"","parse-names":false,"suffix":""}],"container-title":"European Respiratory Journal","id":"ITEM-1","issue":"5","issued":{"date-parts":[["2016"]]},"page":"1396-1410","title":"The economic effects of supporting tuberculosis-affected households in Peru","type":"article-journal","volume":"48"},"uris":["http://www.mendeley.com/documents/?uuid=784310f7-988f-49af-a7ba-602e110f376c"]},{"id":"ITEM-2","itemData":{"DOI":"10.1371/journal.pmed.1001675","ISBN":"1549-1277","ISSN":"15491676","PMID":"25025331","abstract":"BACKGROUND: Even when tuberculosis (TB) treatment is free, hidden costs incurred by patients and their households (TB-affected households) may worsen poverty and health. Extreme TB-associated costs have been termed \"catastrophic\" but are poorly defined. We studied TB-affected households' hidden costs and their association with adverse TB outcome to create a clinically relevant definition of catastrophic costs., CONCLUSIONS: Despite free TB care, having TB disease was expensive for impoverished TB patients in Peru. Incurring higher relative costs was associated with adverse TB outcome. The population attributable fraction indicated that catastrophic costs and MDR TB were associated with similar proportions of adverse outcomes. Thus TB is a socioeconomic as well as infectious problem, and TB control interventions should address both the economic and clinical aspects of this disease. Please see later in the article for the Editors' Summary., METHODS AND FINDINGS: From 26 October 2002 to 30 November 2009, TB patients (n = 876, 11% with multi-drug-resistant [MDR] TB) and healthy controls (n = 487) were recruited to a prospective cohort study in shantytowns in Lima, Peru. Patients were interviewed prior to and every 2-4 wk throughout treatment, recording direct (household expenses) and indirect (lost income) TB-related costs. Costs were expressed as a proportion of the household's annual income. In poorer households, costs were lower but constituted a higher proportion of the household's annual income: 27% (95% CI = 20%-43%) in the least-poor houses versus 48% (95% CI = 36%-50%) in the poorest. Adverse TB outcome was defined as death, treatment abandonment or treatment failure during therapy, or recurrence within 2 y. 23% (166/725) of patients with a defined treatment outcome had an adverse outcome. Total costs &gt;20% of household annual income was defined as catastrophic because this threshold was most strongly associated with adverse TB outcome. Catastrophic costs were incurred by 345 households (39%). Having MDR TB was associated with a higher likelihood of incurring catastrophic costs (54% [95% CI = 43%-61%] versus 38% [95% CI = 34%-41%], p&lt;0.003). Adverse outcome was independently associated with MDR TB (odds ratio [OR] = 8.4 [95% CI = 4.7-15], p&lt;0.001), previous TB (OR = 2.1 [95% CI = 1.3-3.5], p = 0.005), days too unwell to work pre-treatment (OR = 1.01 [95% CI = 1.00-1.01], p = 0.02), and catastrophic costs (OR = 1.7 [95% CI = 1.1-2.6], p = 0.01). The a…","author":[{"dropping-particle":"","family":"Wingfield","given":"Tom","non-dropping-particle":"","parse-names":false,"suffix":""},{"dropping-particle":"","family":"Boccia","given":"Delia","non-dropping-particle":"","parse-names":false,"suffix":""},{"dropping-particle":"","family":"Tovar","given":"Marco","non-dropping-particle":"","parse-names":false,"suffix":""},{"dropping-particle":"","family":"Gavino","given":"Arquímedes","non-dropping-particle":"","parse-names":false,"suffix":""},{"dropping-particle":"","family":"Zevallos","given":"Karine","non-dropping-particle":"","parse-names":false,"suffix":""},{"dropping-particle":"","family":"Montoya","given":"Rosario","non-dropping-particle":"","parse-names":false,"suffix":""},{"dropping-particle":"","family":"Lönnroth","given":"Knut","non-dropping-particle":"","parse-names":false,"suffix":""},{"dropping-particle":"","family":"Evans","given":"Carlton A.","non-dropping-particle":"","parse-names":false,"suffix":""}],"container-title":"PLoS Medicine","id":"ITEM-2","issue":"7","issued":{"date-parts":[["2014"]]},"title":"Defining Catastrophic Costs and Comparing Their Importance for Adverse Tuberculosis Outcome with Multi-Drug Resistance: A Prospective Cohort Study, Peru","type":"article-journal","volume":"11"},"uris":["http://www.mendeley.com/documents/?uuid=013b3be7-a421-45ef-91ca-c6d255a57dcb"]},{"id":"ITEM-3","itemData":{"DOI":"10.1186/s12889-015-2128-0","ISBN":"1471-2458 (Electronic)\r1471-2458 (Linking)","ISSN":"14712458","PMID":"26293238","abstract":"Cash transfers are key interventions in the World Health Organisation’s post-2015 global TB policy. However, evidence guiding TB-specific cash transfer implementation is limited. We designed, implemented and refined a novel TB-specific socioeconomic intervention that included cash transfers, which aimed to support TB prevention and cure in resource-constrained shantytowns in Lima, Peru for: the Community Randomized Evaluation of a Socioeconomic Intervention to Prevent TB (CRESIPT) project.","author":[{"dropping-particle":"","family":"Wingfield","given":"Tom","non-dropping-particle":"","parse-names":false,"suffix":""},{"dropping-particle":"","family":"Boccia","given":"Delia","non-dropping-particle":"","parse-names":false,"suffix":""},{"dropping-particle":"","family":"Tovar","given":"Marco A.","non-dropping-particle":"","parse-names":false,"suffix":""},{"dropping-particle":"","family":"Huff","given":"Doug","non-dropping-particle":"","parse-names":false,"suffix":""},{"dropping-particle":"","family":"Montoya","given":"Rosario","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A.","non-dropping-particle":"","parse-names":false,"suffix":""}],"container-title":"BMC Public Health","id":"ITEM-3","issue":"1","issued":{"date-parts":[["2015"]]},"page":"1-16","publisher":"BMC Public Health","title":"Designing and implementing a socioeconomic intervention to enhance TB control: Operational evidence from the CRESIPT project in Peru","type":"article-journal","volume":"15"},"uris":["http://www.mendeley.com/documents/?uuid=a9f55e22-d703-4048-a8af-bc24fddec03f"]}],"mendeley":{"formattedCitation":"&lt;sup&gt;5,6,33&lt;/sup&gt;","plainTextFormattedCitation":"5,6,33","previouslyFormattedCitation":"&lt;sup&gt;5,6,33&lt;/sup&gt;"},"properties":{"noteIndex":0},"schema":"https://github.com/citation-style-language/schema/raw/master/csl-citation.json"}</w:instrText>
      </w:r>
      <w:r w:rsidR="00977F60">
        <w:rPr>
          <w:bCs/>
          <w:sz w:val="24"/>
          <w:szCs w:val="24"/>
        </w:rPr>
        <w:fldChar w:fldCharType="separate"/>
      </w:r>
      <w:r w:rsidR="00DE199B" w:rsidRPr="00DE199B">
        <w:rPr>
          <w:bCs/>
          <w:noProof/>
          <w:sz w:val="24"/>
          <w:szCs w:val="24"/>
          <w:vertAlign w:val="superscript"/>
        </w:rPr>
        <w:t>5,6,33</w:t>
      </w:r>
      <w:r w:rsidR="00977F60">
        <w:rPr>
          <w:bCs/>
          <w:sz w:val="24"/>
          <w:szCs w:val="24"/>
        </w:rPr>
        <w:fldChar w:fldCharType="end"/>
      </w:r>
      <w:r w:rsidR="00977F60" w:rsidRPr="00977F60">
        <w:rPr>
          <w:bCs/>
          <w:sz w:val="24"/>
          <w:szCs w:val="24"/>
        </w:rPr>
        <w:t xml:space="preserve"> </w:t>
      </w:r>
    </w:p>
    <w:p w14:paraId="0249C557" w14:textId="752AF0AA" w:rsidR="00977F60" w:rsidRDefault="003F43D1" w:rsidP="00FB023B">
      <w:pPr>
        <w:pStyle w:val="ListParagraph"/>
        <w:numPr>
          <w:ilvl w:val="0"/>
          <w:numId w:val="30"/>
        </w:numPr>
        <w:autoSpaceDE w:val="0"/>
        <w:autoSpaceDN w:val="0"/>
        <w:adjustRightInd w:val="0"/>
        <w:spacing w:after="0" w:line="276" w:lineRule="auto"/>
        <w:ind w:left="709" w:hanging="425"/>
        <w:jc w:val="both"/>
        <w:rPr>
          <w:bCs/>
          <w:sz w:val="24"/>
          <w:szCs w:val="24"/>
        </w:rPr>
      </w:pPr>
      <w:r>
        <w:rPr>
          <w:bCs/>
          <w:sz w:val="24"/>
          <w:szCs w:val="24"/>
        </w:rPr>
        <w:t>F</w:t>
      </w:r>
      <w:r w:rsidR="00977F60" w:rsidRPr="00977F60">
        <w:rPr>
          <w:bCs/>
          <w:sz w:val="24"/>
          <w:szCs w:val="24"/>
        </w:rPr>
        <w:t xml:space="preserve">ood </w:t>
      </w:r>
      <w:r w:rsidR="00B123A4">
        <w:rPr>
          <w:bCs/>
          <w:sz w:val="24"/>
          <w:szCs w:val="24"/>
        </w:rPr>
        <w:t xml:space="preserve">insecurity and </w:t>
      </w:r>
      <w:proofErr w:type="gramStart"/>
      <w:r w:rsidR="00B123A4">
        <w:rPr>
          <w:bCs/>
          <w:sz w:val="24"/>
          <w:szCs w:val="24"/>
        </w:rPr>
        <w:t>hunger</w:t>
      </w:r>
      <w:r w:rsidR="00977F60" w:rsidRPr="00977F60">
        <w:rPr>
          <w:bCs/>
          <w:sz w:val="24"/>
          <w:szCs w:val="24"/>
        </w:rPr>
        <w:t>;</w:t>
      </w:r>
      <w:proofErr w:type="gramEnd"/>
      <w:r w:rsidR="00977F60" w:rsidRPr="00977F60">
        <w:rPr>
          <w:bCs/>
          <w:sz w:val="24"/>
          <w:szCs w:val="24"/>
        </w:rPr>
        <w:t xml:space="preserve"> </w:t>
      </w:r>
    </w:p>
    <w:p w14:paraId="26A8C437" w14:textId="0B5F9E93" w:rsidR="00977F60" w:rsidRDefault="003F43D1" w:rsidP="00FB023B">
      <w:pPr>
        <w:pStyle w:val="ListParagraph"/>
        <w:numPr>
          <w:ilvl w:val="0"/>
          <w:numId w:val="30"/>
        </w:numPr>
        <w:autoSpaceDE w:val="0"/>
        <w:autoSpaceDN w:val="0"/>
        <w:adjustRightInd w:val="0"/>
        <w:spacing w:after="0" w:line="276" w:lineRule="auto"/>
        <w:ind w:left="709" w:hanging="425"/>
        <w:jc w:val="both"/>
        <w:rPr>
          <w:bCs/>
          <w:sz w:val="24"/>
          <w:szCs w:val="24"/>
        </w:rPr>
      </w:pPr>
      <w:r>
        <w:rPr>
          <w:bCs/>
          <w:sz w:val="24"/>
          <w:szCs w:val="24"/>
        </w:rPr>
        <w:t>D</w:t>
      </w:r>
      <w:r w:rsidR="00B123A4">
        <w:rPr>
          <w:bCs/>
          <w:sz w:val="24"/>
          <w:szCs w:val="24"/>
        </w:rPr>
        <w:t xml:space="preserve">irect and indirect </w:t>
      </w:r>
      <w:r w:rsidR="00977F60" w:rsidRPr="00977F60">
        <w:rPr>
          <w:bCs/>
          <w:sz w:val="24"/>
          <w:szCs w:val="24"/>
        </w:rPr>
        <w:t xml:space="preserve">costs of </w:t>
      </w:r>
      <w:r w:rsidR="00B123A4">
        <w:rPr>
          <w:bCs/>
          <w:sz w:val="24"/>
          <w:szCs w:val="24"/>
        </w:rPr>
        <w:t xml:space="preserve">accessing and </w:t>
      </w:r>
      <w:r w:rsidR="00977F60" w:rsidRPr="00977F60">
        <w:rPr>
          <w:bCs/>
          <w:sz w:val="24"/>
          <w:szCs w:val="24"/>
        </w:rPr>
        <w:t xml:space="preserve">engaging with TB care </w:t>
      </w:r>
      <w:r w:rsidR="00B123A4">
        <w:rPr>
          <w:bCs/>
          <w:sz w:val="24"/>
          <w:szCs w:val="24"/>
        </w:rPr>
        <w:t xml:space="preserve">(see Rai </w:t>
      </w:r>
      <w:r w:rsidR="00B123A4" w:rsidRPr="00463954">
        <w:rPr>
          <w:bCs/>
          <w:i/>
          <w:iCs/>
          <w:sz w:val="24"/>
          <w:szCs w:val="24"/>
        </w:rPr>
        <w:t>et al</w:t>
      </w:r>
      <w:r w:rsidRPr="00463954">
        <w:rPr>
          <w:bCs/>
          <w:i/>
          <w:iCs/>
          <w:sz w:val="24"/>
          <w:szCs w:val="24"/>
        </w:rPr>
        <w:t>.</w:t>
      </w:r>
      <w:proofErr w:type="gramStart"/>
      <w:r w:rsidR="00977F60" w:rsidRPr="00977F60">
        <w:rPr>
          <w:bCs/>
          <w:sz w:val="24"/>
          <w:szCs w:val="24"/>
        </w:rPr>
        <w:t>)</w:t>
      </w:r>
      <w:r w:rsidR="00977F60">
        <w:rPr>
          <w:bCs/>
          <w:sz w:val="24"/>
          <w:szCs w:val="24"/>
        </w:rPr>
        <w:t>;</w:t>
      </w:r>
      <w:proofErr w:type="gramEnd"/>
      <w:r w:rsidR="00977F60" w:rsidRPr="00977F60">
        <w:rPr>
          <w:bCs/>
          <w:sz w:val="24"/>
          <w:szCs w:val="24"/>
        </w:rPr>
        <w:t xml:space="preserve"> </w:t>
      </w:r>
    </w:p>
    <w:p w14:paraId="1C4F60A5" w14:textId="77777777" w:rsidR="00977F60" w:rsidRDefault="00977F60" w:rsidP="00FB023B">
      <w:pPr>
        <w:pStyle w:val="ListParagraph"/>
        <w:numPr>
          <w:ilvl w:val="0"/>
          <w:numId w:val="30"/>
        </w:numPr>
        <w:autoSpaceDE w:val="0"/>
        <w:autoSpaceDN w:val="0"/>
        <w:adjustRightInd w:val="0"/>
        <w:spacing w:after="0" w:line="276" w:lineRule="auto"/>
        <w:ind w:left="709" w:hanging="425"/>
        <w:jc w:val="both"/>
        <w:rPr>
          <w:bCs/>
          <w:sz w:val="24"/>
          <w:szCs w:val="24"/>
        </w:rPr>
      </w:pPr>
      <w:r w:rsidRPr="00977F60">
        <w:rPr>
          <w:bCs/>
          <w:sz w:val="24"/>
          <w:szCs w:val="24"/>
        </w:rPr>
        <w:t>coping strategies including dissaving (</w:t>
      </w:r>
      <w:proofErr w:type="gramStart"/>
      <w:r w:rsidRPr="00977F60">
        <w:rPr>
          <w:bCs/>
          <w:sz w:val="24"/>
          <w:szCs w:val="24"/>
        </w:rPr>
        <w:t>e.g.</w:t>
      </w:r>
      <w:proofErr w:type="gramEnd"/>
      <w:r w:rsidRPr="00977F60">
        <w:rPr>
          <w:bCs/>
          <w:sz w:val="24"/>
          <w:szCs w:val="24"/>
        </w:rPr>
        <w:t xml:space="preserve"> selling assets), schooldays lost, and temporary income-generating activities; </w:t>
      </w:r>
    </w:p>
    <w:p w14:paraId="7A60902D" w14:textId="2E837301" w:rsidR="00977F60" w:rsidRDefault="00DD7EA9" w:rsidP="00FB023B">
      <w:pPr>
        <w:pStyle w:val="ListParagraph"/>
        <w:numPr>
          <w:ilvl w:val="0"/>
          <w:numId w:val="30"/>
        </w:numPr>
        <w:autoSpaceDE w:val="0"/>
        <w:autoSpaceDN w:val="0"/>
        <w:adjustRightInd w:val="0"/>
        <w:spacing w:after="0" w:line="276" w:lineRule="auto"/>
        <w:ind w:left="709" w:hanging="425"/>
        <w:jc w:val="both"/>
        <w:rPr>
          <w:bCs/>
          <w:sz w:val="24"/>
          <w:szCs w:val="24"/>
        </w:rPr>
      </w:pPr>
      <w:bookmarkStart w:id="6" w:name="_Hlk94169333"/>
      <w:r w:rsidRPr="00DD7EA9">
        <w:rPr>
          <w:bCs/>
          <w:sz w:val="24"/>
          <w:szCs w:val="24"/>
        </w:rPr>
        <w:t xml:space="preserve">TB-related knowledge adapted from a WHO TB Knowledge Attitudes and Practices survey, and including knowledge of transmission, prevention, and treatment of </w:t>
      </w:r>
      <w:proofErr w:type="gramStart"/>
      <w:r w:rsidRPr="00DD7EA9">
        <w:rPr>
          <w:bCs/>
          <w:sz w:val="24"/>
          <w:szCs w:val="24"/>
        </w:rPr>
        <w:t>TB</w:t>
      </w:r>
      <w:bookmarkEnd w:id="6"/>
      <w:r w:rsidR="00977F60" w:rsidRPr="00977F60">
        <w:rPr>
          <w:bCs/>
          <w:sz w:val="24"/>
          <w:szCs w:val="24"/>
        </w:rPr>
        <w:t>;</w:t>
      </w:r>
      <w:proofErr w:type="gramEnd"/>
      <w:r w:rsidR="00977F60" w:rsidRPr="00977F60">
        <w:rPr>
          <w:bCs/>
          <w:sz w:val="24"/>
          <w:szCs w:val="24"/>
        </w:rPr>
        <w:t xml:space="preserve"> </w:t>
      </w:r>
    </w:p>
    <w:p w14:paraId="5E98256D" w14:textId="34B33AB8" w:rsidR="00D30081" w:rsidRPr="00D97A2F" w:rsidRDefault="00D30081" w:rsidP="00D30081">
      <w:pPr>
        <w:numPr>
          <w:ilvl w:val="0"/>
          <w:numId w:val="30"/>
        </w:numPr>
        <w:autoSpaceDE w:val="0"/>
        <w:autoSpaceDN w:val="0"/>
        <w:adjustRightInd w:val="0"/>
        <w:spacing w:after="0" w:line="276" w:lineRule="auto"/>
        <w:ind w:left="709" w:hanging="425"/>
        <w:contextualSpacing/>
        <w:jc w:val="both"/>
        <w:rPr>
          <w:bCs/>
          <w:sz w:val="24"/>
          <w:szCs w:val="24"/>
        </w:rPr>
      </w:pPr>
      <w:r w:rsidRPr="00D97A2F">
        <w:rPr>
          <w:bCs/>
          <w:sz w:val="24"/>
          <w:szCs w:val="24"/>
        </w:rPr>
        <w:t>Mental health including depression measured by an adapted PHQ9 previously validated in Nepal, resilience scale, and EuroHIS-QoL;</w:t>
      </w:r>
      <w:r w:rsidRPr="00D97A2F">
        <w:rPr>
          <w:bCs/>
          <w:sz w:val="24"/>
          <w:szCs w:val="24"/>
        </w:rPr>
        <w:fldChar w:fldCharType="begin" w:fldLock="1"/>
      </w:r>
      <w:r w:rsidR="000855E1">
        <w:rPr>
          <w:bCs/>
          <w:sz w:val="24"/>
          <w:szCs w:val="24"/>
        </w:rPr>
        <w:instrText>ADDIN CSL_CITATION {"citationItems":[{"id":"ITEM-1","itemData":{"DOI":"https://doi.org/10.12688/wellcomeopenres.15677.1","author":[{"dropping-particle":"","family":"Dixit","given":"Kritika","non-dropping-particle":"","parse-names":false,"suffix":""},{"dropping-particle":"","family":"Rai","given":"Bhola","non-dropping-particle":"","parse-names":false,"suffix":""},{"dropping-particle":"","family":"Aryal","given":"Tara Prasad","non-dropping-particle":"","parse-names":false,"suffix":""},{"dropping-particle":"","family":"Mishra","given":"Gokul","non-dropping-particle":"","parse-names":false,"suffix":""},{"dropping-particle":"De","family":"Siqueira-filha","given":"Noemia Teixeira","non-dropping-particle":"","parse-names":false,"suffix":""},{"dropping-particle":"","family":"Paudel","given":"Puskar Raj","non-dropping-particle":"","parse-names":false,"suffix":""},{"dropping-particle":"","family":"Levy","given":"Jens W","non-dropping-particle":"","parse-names":false,"suffix":""},{"dropping-particle":"Van","family":"Rest","given":"Job","non-dropping-particle":"","parse-names":false,"suffix":""},{"dropping-particle":"","family":"Gurung","given":"Suman Chandra","non-dropping-particle":"","parse-names":false,"suffix":""},{"dropping-particle":"","family":"Dhital","given":"Raghu","non-dropping-particle":"","parse-names":false,"suffix":""},{"dropping-particle":"","family":"Biermann","given":"Olivia","non-dropping-particle":"","parse-names":false,"suffix":""},{"dropping-particle":"","family":"Viney","given":"Kerri","non-dropping-particle":"","parse-names":false,"suffix":""},{"dropping-particle":"","family":"Lo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Wellcome Open Research","id":"ITEM-1","issue":"19","issued":{"date-parts":[["2020"]]},"page":"1-10","title":"Research protocol for a mixed-methods study to characterise and address the socioeconomic impact of accessing TB diagnosis and care in Nepal [ version 1 ; peer review : awaiting peer review ]","type":"article-journal","volume":"5"},"uris":["http://www.mendeley.com/documents/?uuid=90f173e7-1d17-4e4f-9e13-1b900802610a"]},{"id":"ITEM-2","itemData":{"DOI":"10.3390/tropicalmed5020098","ISSN":"24146366","abstract":"Tuberculosis (TB), the leading single infectious diseases killer globally, is driven by poverty. Conversely, having TB worsens impoverishment. During TB illness, lost income and out-of-pocket costs can become \"catastrophic\", leading patients to abandon treatment, develop drug-resistance, and die. WHO's 2015 End TB Strategy recommends eliminating catastrophic costs and providing socioeconomic support for TB-affected people. However, there is negligible evidence to guide the design and implementation of such socioeconomic support, especially in low-income, TB-endemic countries. A national, multi-sectoral workshop was held in Kathmandu, Nepal, on the 11th and 12th September 2019, to develop a shortlist of feasible, locally appropriate socioeconomic support interventions for TB-affected households in Nepal, a low-income country with significant TB burden. The workshop brought together key stakeholders in Nepal including from the Ministry of Health and Population, Department of Health Services, Provincial Health Directorate, Health Offices, National TB Program (NTP); and TB/Leprosy Officers, healthcare workers, community health volunteers, TB-affected people, and external development partners (EDP). During the workshop, participants reviewed current Nepal NTP data and strategy, discussed the preliminary results of a mixed-methods study of the socioeconomic determinants and consequences of TB in Nepal, described existing and potential socioeconomic interventions for TB-affected households in Nepal, and selected the most promising interventions for future randomized controlled trial evaluations in Nepal. This report describes the activities, outcomes, and recommendations from the workshop.","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Disease","id":"ITEM-2","issue":"2","issued":{"date-parts":[["2020"]]},"page":"1-15","title":"Developing feasible, locally appropriate socioeconomic support for TB-affected households in Nepal","type":"article-journal","volume":"5"},"uris":["http://www.mendeley.com/documents/?uuid=d535ca02-b1c1-43f5-87d1-14629dd94752"]},{"id":"ITEM-3","itemData":{"DOI":"10.1186/S12955-018-0884-0","ISSN":"1477-7525","abstract":"Resilience is an individual’s ability to recover or “bounce back” from stressful events. It is commonly identified as a protective factor against psychological dysfunctions in wide range of clinical conditions including chronic pain. Resilience is commonly assessed using the Connor Davidson Resilience Scale (CD-RISC). Translation and cross-cultural adaptation of the CD-RISC into Nepali will allow for a deeper understanding of resilience as an important domain in health in Nepal, and will allow for cross-cultural comparison with other cultures. Therefore, the aims of the study were to translate and culturally adapt 10- and 2-item versions of the CD-RISC into Nepali and evaluate their psychometric properties. After translating the measures, we performed exploratory and confirmatory factor analyses of the 10-item version in two independent samples (ns = 131 and 134) of individuals with chronic pain. We then evaluated the internal consistency, test-retest stability, and construct validity of the 10- and 2-item measures in these samples. We also evaluated the internal consistency, and the construct and concurrent validity of the 2-item version in an additional sample of 140 individuals. The results supported a single factor model for the 10-item measure; this measure also evidenced good to excellent internal consistency and excellent test-retest stability. Construct validity was supported via moderate associations with pain catastrophizing. The internal consistency of 2-item version was marginal, although construct validity was supported via weak to moderate associations with measures of pain catastrophizing, depression and anxiety, and concurrent validity was supported by strong association with the 10-item CD-RISC scale. The findings support the reliability and validity of the 10-item Nepali version of the CD-RISC, and use of the 2-item version in survey studies in individuals with chronic pain. The availability of these translated measures will allow for cross-cultural comparisons of resilience in samples of individuals with chronic pain.","author":[{"dropping-particle":"","family":"Sharma","given":"Saurab","non-dropping-particle":"","parse-names":false,"suffix":""},{"dropping-particle":"","family":"Pathak","given":"Anupa","non-dropping-particle":"","parse-names":false,"suffix":""},{"dropping-particle":"","family":"Abbott","given":"J. Haxby","non-dropping-particle":"","parse-names":false,"suffix":""},{"dropping-particle":"","family":"Jensen","given":"Mark P.","non-dropping-particle":"","parse-names":false,"suffix":""}],"container-title":"Health and Quality of Life Outcomes 2018 16:1","id":"ITEM-3","issue":"1","issued":{"date-parts":[["2018","4","3"]]},"page":"1-11","publisher":"BioMed Central","title":"Measurement properties of the Nepali version of the Connor Davidson resilience scales in individuals with chronic pain","type":"article-journal","volume":"16"},"uris":["http://www.mendeley.com/documents/?uuid=991a928b-1c45-310c-a902-1d90acc8b40b"]}],"mendeley":{"formattedCitation":"&lt;sup&gt;19,40,41&lt;/sup&gt;","plainTextFormattedCitation":"19,40,41","previouslyFormattedCitation":"&lt;sup&gt;19,40,41&lt;/sup&gt;"},"properties":{"noteIndex":0},"schema":"https://github.com/citation-style-language/schema/raw/master/csl-citation.json"}</w:instrText>
      </w:r>
      <w:r w:rsidRPr="00D97A2F">
        <w:rPr>
          <w:bCs/>
          <w:sz w:val="24"/>
          <w:szCs w:val="24"/>
        </w:rPr>
        <w:fldChar w:fldCharType="separate"/>
      </w:r>
      <w:r w:rsidR="00DE199B" w:rsidRPr="00DE199B">
        <w:rPr>
          <w:bCs/>
          <w:noProof/>
          <w:sz w:val="24"/>
          <w:szCs w:val="24"/>
          <w:vertAlign w:val="superscript"/>
        </w:rPr>
        <w:t>19,40,41</w:t>
      </w:r>
      <w:r w:rsidRPr="00D97A2F">
        <w:rPr>
          <w:bCs/>
          <w:sz w:val="24"/>
          <w:szCs w:val="24"/>
        </w:rPr>
        <w:fldChar w:fldCharType="end"/>
      </w:r>
    </w:p>
    <w:p w14:paraId="69B1565D" w14:textId="5739BA70" w:rsidR="00977F60" w:rsidRPr="00FB023B" w:rsidRDefault="00D30081" w:rsidP="0005056A">
      <w:pPr>
        <w:pStyle w:val="ListParagraph"/>
        <w:numPr>
          <w:ilvl w:val="0"/>
          <w:numId w:val="30"/>
        </w:numPr>
        <w:autoSpaceDE w:val="0"/>
        <w:autoSpaceDN w:val="0"/>
        <w:adjustRightInd w:val="0"/>
        <w:spacing w:after="0" w:line="276" w:lineRule="auto"/>
        <w:ind w:left="709" w:hanging="425"/>
        <w:jc w:val="both"/>
        <w:rPr>
          <w:bCs/>
          <w:sz w:val="24"/>
          <w:szCs w:val="24"/>
        </w:rPr>
      </w:pPr>
      <w:r>
        <w:rPr>
          <w:bCs/>
          <w:sz w:val="24"/>
          <w:szCs w:val="24"/>
        </w:rPr>
        <w:t>P</w:t>
      </w:r>
      <w:r w:rsidR="00977F60" w:rsidRPr="00977F60">
        <w:rPr>
          <w:bCs/>
          <w:sz w:val="24"/>
          <w:szCs w:val="24"/>
        </w:rPr>
        <w:t>sychosocial situation evaluated through questions relating to social capital, quality of life, and</w:t>
      </w:r>
      <w:r w:rsidR="0005056A">
        <w:rPr>
          <w:bCs/>
          <w:sz w:val="24"/>
          <w:szCs w:val="24"/>
        </w:rPr>
        <w:t xml:space="preserve"> </w:t>
      </w:r>
      <w:r w:rsidR="0005056A" w:rsidRPr="0005056A">
        <w:rPr>
          <w:bCs/>
          <w:sz w:val="24"/>
          <w:szCs w:val="24"/>
        </w:rPr>
        <w:t xml:space="preserve">self-reported perceived stigma measured using </w:t>
      </w:r>
      <w:r w:rsidR="0005056A">
        <w:rPr>
          <w:bCs/>
          <w:sz w:val="24"/>
          <w:szCs w:val="24"/>
        </w:rPr>
        <w:t>an adapted version of the internatio</w:t>
      </w:r>
      <w:r w:rsidR="0005056A" w:rsidRPr="0005056A">
        <w:rPr>
          <w:bCs/>
          <w:sz w:val="24"/>
          <w:szCs w:val="24"/>
        </w:rPr>
        <w:t>nally validated Stop TB Partnership stigma assessment tool</w:t>
      </w:r>
      <w:r w:rsidR="00977F60" w:rsidRPr="00FB023B">
        <w:rPr>
          <w:bCs/>
          <w:sz w:val="24"/>
          <w:szCs w:val="24"/>
        </w:rPr>
        <w:t>;</w:t>
      </w:r>
      <w:r w:rsidR="0005056A">
        <w:rPr>
          <w:bCs/>
          <w:sz w:val="24"/>
          <w:szCs w:val="24"/>
        </w:rPr>
        <w:fldChar w:fldCharType="begin" w:fldLock="1"/>
      </w:r>
      <w:r w:rsidR="000855E1">
        <w:rPr>
          <w:bCs/>
          <w:sz w:val="24"/>
          <w:szCs w:val="24"/>
        </w:rPr>
        <w:instrText>ADDIN CSL_CITATION {"citationItems":[{"id":"ITEM-1","itemData":{"DOI":"10.1017/CBO9781107415324.004","ISBN":"9788578110796","ISSN":"1098-6596","PMID":"25246403","author":[{"dropping-particle":"","family":"Stop TB Partnership","given":"","non-dropping-particle":"","parse-names":false,"suffix":""},{"dropping-particle":"","family":"UNOPS","given":"","non-dropping-particle":"","parse-names":false,"suffix":""}],"id":"ITEM-1","issued":{"date-parts":[["2019"]]},"title":"TB Stigma Assessment: Implementation Handbook","type":"report"},"uris":["http://www.mendeley.com/documents/?uuid=831e9371-15e8-4331-bdd9-e054145b45d6"]},{"id":"ITEM-2","itemData":{"author":[{"dropping-particle":"","family":"Stop TB Partnership","given":"","non-dropping-particle":"","parse-names":false,"suffix":""},{"dropping-particle":"","family":"UNOPS","given":"","non-dropping-particle":"","parse-names":false,"suffix":""}],"id":"ITEM-2","issued":{"date-parts":[["2019"]]},"title":"TB Stigma Assessment: Data Collection Instruments","type":"report"},"uris":["http://www.mendeley.com/documents/?uuid=8965d7b1-e13b-4b91-bd3d-fbc3ecd40c58"]}],"mendeley":{"formattedCitation":"&lt;sup&gt;42,43&lt;/sup&gt;","plainTextFormattedCitation":"42,43","previouslyFormattedCitation":"&lt;sup&gt;42,43&lt;/sup&gt;"},"properties":{"noteIndex":0},"schema":"https://github.com/citation-style-language/schema/raw/master/csl-citation.json"}</w:instrText>
      </w:r>
      <w:r w:rsidR="0005056A">
        <w:rPr>
          <w:bCs/>
          <w:sz w:val="24"/>
          <w:szCs w:val="24"/>
        </w:rPr>
        <w:fldChar w:fldCharType="separate"/>
      </w:r>
      <w:r w:rsidR="00DE199B" w:rsidRPr="00DE199B">
        <w:rPr>
          <w:bCs/>
          <w:noProof/>
          <w:sz w:val="24"/>
          <w:szCs w:val="24"/>
          <w:vertAlign w:val="superscript"/>
        </w:rPr>
        <w:t>42,43</w:t>
      </w:r>
      <w:r w:rsidR="0005056A">
        <w:rPr>
          <w:bCs/>
          <w:sz w:val="24"/>
          <w:szCs w:val="24"/>
        </w:rPr>
        <w:fldChar w:fldCharType="end"/>
      </w:r>
      <w:r w:rsidR="00977F60" w:rsidRPr="00FB023B">
        <w:rPr>
          <w:bCs/>
          <w:sz w:val="24"/>
          <w:szCs w:val="24"/>
        </w:rPr>
        <w:t xml:space="preserve"> and </w:t>
      </w:r>
    </w:p>
    <w:p w14:paraId="264D2D95" w14:textId="6B73490E" w:rsidR="00977F60" w:rsidRPr="00FB023B" w:rsidRDefault="00AD2886" w:rsidP="00FB023B">
      <w:pPr>
        <w:pStyle w:val="ListParagraph"/>
        <w:numPr>
          <w:ilvl w:val="0"/>
          <w:numId w:val="30"/>
        </w:numPr>
        <w:autoSpaceDE w:val="0"/>
        <w:autoSpaceDN w:val="0"/>
        <w:adjustRightInd w:val="0"/>
        <w:spacing w:after="0" w:line="276" w:lineRule="auto"/>
        <w:ind w:left="709" w:hanging="425"/>
        <w:jc w:val="both"/>
        <w:rPr>
          <w:bCs/>
          <w:sz w:val="24"/>
          <w:szCs w:val="24"/>
        </w:rPr>
      </w:pPr>
      <w:r>
        <w:rPr>
          <w:bCs/>
          <w:sz w:val="24"/>
          <w:szCs w:val="24"/>
        </w:rPr>
        <w:t>T</w:t>
      </w:r>
      <w:r w:rsidR="00FB023B" w:rsidRPr="00FB023B">
        <w:rPr>
          <w:bCs/>
          <w:sz w:val="24"/>
          <w:szCs w:val="24"/>
        </w:rPr>
        <w:t>heir feedback on the ASCOT project and support they had received</w:t>
      </w:r>
      <w:r w:rsidR="00977F60" w:rsidRPr="00FB023B">
        <w:rPr>
          <w:bCs/>
          <w:sz w:val="24"/>
          <w:szCs w:val="24"/>
        </w:rPr>
        <w:t>, evaluated thr</w:t>
      </w:r>
      <w:r w:rsidR="0005056A">
        <w:rPr>
          <w:bCs/>
          <w:sz w:val="24"/>
          <w:szCs w:val="24"/>
        </w:rPr>
        <w:t xml:space="preserve">ough use of both closed ranking user-satisfaction </w:t>
      </w:r>
      <w:r w:rsidR="00FB023B" w:rsidRPr="00FB023B">
        <w:rPr>
          <w:bCs/>
          <w:sz w:val="24"/>
          <w:szCs w:val="24"/>
        </w:rPr>
        <w:t xml:space="preserve">Likert Scale </w:t>
      </w:r>
      <w:r w:rsidR="00977F60" w:rsidRPr="00FB023B">
        <w:rPr>
          <w:bCs/>
          <w:sz w:val="24"/>
          <w:szCs w:val="24"/>
        </w:rPr>
        <w:t>and open questions</w:t>
      </w:r>
      <w:r w:rsidR="00FB023B" w:rsidRPr="00FB023B">
        <w:rPr>
          <w:bCs/>
          <w:sz w:val="24"/>
          <w:szCs w:val="24"/>
        </w:rPr>
        <w:t xml:space="preserve"> </w:t>
      </w:r>
      <w:r w:rsidR="0005056A">
        <w:rPr>
          <w:bCs/>
          <w:sz w:val="24"/>
          <w:szCs w:val="24"/>
        </w:rPr>
        <w:t xml:space="preserve">with qualitative, free text responses, </w:t>
      </w:r>
      <w:r w:rsidR="00FB023B" w:rsidRPr="00FB023B">
        <w:rPr>
          <w:bCs/>
          <w:sz w:val="24"/>
          <w:szCs w:val="24"/>
        </w:rPr>
        <w:t>adapted from our previous research</w:t>
      </w:r>
      <w:r w:rsidR="00977F60" w:rsidRPr="00FB023B">
        <w:rPr>
          <w:bCs/>
          <w:sz w:val="24"/>
          <w:szCs w:val="24"/>
        </w:rPr>
        <w:t>.</w:t>
      </w:r>
      <w:r w:rsidR="00FB023B" w:rsidRPr="00FB023B">
        <w:rPr>
          <w:bCs/>
          <w:sz w:val="24"/>
          <w:szCs w:val="24"/>
        </w:rPr>
        <w:fldChar w:fldCharType="begin" w:fldLock="1"/>
      </w:r>
      <w:r w:rsidR="000855E1">
        <w:rPr>
          <w:bCs/>
          <w:sz w:val="24"/>
          <w:szCs w:val="24"/>
        </w:rPr>
        <w:instrText>ADDIN CSL_CITATION {"citationItems":[{"id":"ITEM-1","itemData":{"author":[{"dropping-particle":"","family":"Wingfield","given":"T","non-dropping-particle":"","parse-names":false,"suffix":""},{"dropping-particle":"","family":"Tovar","given":"M","non-dropping-particle":"","parse-names":false,"suffix":""},{"dropping-particle":"","family":"Boccia","given":"D","non-dropping-particle":"","parse-names":false,"suffix":""},{"dropping-particle":"","family":"Montoya","given":"R","non-dropping-particle":"","parse-names":false,"suffix":""},{"dropping-particle":"","family":"Huff","given":"D","non-dropping-particle":"","parse-names":false,"suffix":""},{"dropping-particle":"","family":"Evans","given":"C","non-dropping-particle":"","parse-names":false,"suffix":""}],"container-title":"International Journal of Tuberculosis and Lung Disease","id":"ITEM-1","issue":"Symposium 50","issued":{"date-parts":[["2014"]]},"title":"The CRESIPT project: community feedback and practical challenges of conditional cash transfers for TB-affected households in Peru. Invited oral abstract presentation.","type":"article-journal","volume":"Supplement"},"uris":["http://www.mendeley.com/documents/?uuid=3425a1e8-fd0a-4f57-8e1f-88b416a7a0a4"]}],"mendeley":{"formattedCitation":"&lt;sup&gt;44&lt;/sup&gt;","plainTextFormattedCitation":"44","previouslyFormattedCitation":"&lt;sup&gt;44&lt;/sup&gt;"},"properties":{"noteIndex":0},"schema":"https://github.com/citation-style-language/schema/raw/master/csl-citation.json"}</w:instrText>
      </w:r>
      <w:r w:rsidR="00FB023B" w:rsidRPr="00FB023B">
        <w:rPr>
          <w:bCs/>
          <w:sz w:val="24"/>
          <w:szCs w:val="24"/>
        </w:rPr>
        <w:fldChar w:fldCharType="separate"/>
      </w:r>
      <w:r w:rsidR="00DE199B" w:rsidRPr="00DE199B">
        <w:rPr>
          <w:bCs/>
          <w:noProof/>
          <w:sz w:val="24"/>
          <w:szCs w:val="24"/>
          <w:vertAlign w:val="superscript"/>
        </w:rPr>
        <w:t>44</w:t>
      </w:r>
      <w:r w:rsidR="00FB023B" w:rsidRPr="00FB023B">
        <w:rPr>
          <w:bCs/>
          <w:sz w:val="24"/>
          <w:szCs w:val="24"/>
        </w:rPr>
        <w:fldChar w:fldCharType="end"/>
      </w:r>
      <w:r w:rsidR="00793F88">
        <w:rPr>
          <w:bCs/>
          <w:sz w:val="24"/>
          <w:szCs w:val="24"/>
        </w:rPr>
        <w:t xml:space="preserve"> </w:t>
      </w:r>
    </w:p>
    <w:p w14:paraId="22760AAB" w14:textId="77777777" w:rsidR="00977F60" w:rsidRDefault="00977F60" w:rsidP="00FB023B">
      <w:pPr>
        <w:autoSpaceDE w:val="0"/>
        <w:autoSpaceDN w:val="0"/>
        <w:adjustRightInd w:val="0"/>
        <w:spacing w:after="0" w:line="276" w:lineRule="auto"/>
        <w:ind w:left="709" w:hanging="425"/>
        <w:jc w:val="both"/>
        <w:rPr>
          <w:bCs/>
          <w:sz w:val="24"/>
          <w:szCs w:val="24"/>
        </w:rPr>
      </w:pPr>
    </w:p>
    <w:p w14:paraId="18068BE6" w14:textId="133587D0" w:rsidR="00793F88" w:rsidRPr="000E288D" w:rsidRDefault="0005056A" w:rsidP="00793F88">
      <w:pPr>
        <w:autoSpaceDE w:val="0"/>
        <w:autoSpaceDN w:val="0"/>
        <w:adjustRightInd w:val="0"/>
        <w:spacing w:after="0" w:line="276" w:lineRule="auto"/>
        <w:jc w:val="both"/>
        <w:rPr>
          <w:sz w:val="24"/>
          <w:szCs w:val="24"/>
        </w:rPr>
      </w:pPr>
      <w:r>
        <w:rPr>
          <w:sz w:val="24"/>
          <w:szCs w:val="24"/>
        </w:rPr>
        <w:t xml:space="preserve">The data collected above will add value to the study as it can be integrated with data from 400 previously recruited patients for </w:t>
      </w:r>
      <w:r w:rsidR="00AE3E33">
        <w:rPr>
          <w:sz w:val="24"/>
          <w:szCs w:val="24"/>
        </w:rPr>
        <w:t>spin</w:t>
      </w:r>
      <w:r>
        <w:rPr>
          <w:sz w:val="24"/>
          <w:szCs w:val="24"/>
        </w:rPr>
        <w:t xml:space="preserve">-off analyses. </w:t>
      </w:r>
      <w:r w:rsidR="00793F88" w:rsidRPr="000E288D">
        <w:rPr>
          <w:sz w:val="24"/>
          <w:szCs w:val="24"/>
        </w:rPr>
        <w:t>In addition to the above,</w:t>
      </w:r>
      <w:r w:rsidR="00793F88">
        <w:rPr>
          <w:sz w:val="24"/>
          <w:szCs w:val="24"/>
        </w:rPr>
        <w:t xml:space="preserve"> with permission of both NTP and participants, data on </w:t>
      </w:r>
      <w:r w:rsidR="00793F88" w:rsidRPr="000E288D">
        <w:rPr>
          <w:sz w:val="24"/>
          <w:szCs w:val="24"/>
        </w:rPr>
        <w:t xml:space="preserve">TB treatment outcomes will be collated from NTP </w:t>
      </w:r>
      <w:r w:rsidR="00793F88">
        <w:rPr>
          <w:sz w:val="24"/>
          <w:szCs w:val="24"/>
        </w:rPr>
        <w:t xml:space="preserve">registry </w:t>
      </w:r>
      <w:r w:rsidR="00793F88" w:rsidRPr="000E288D">
        <w:rPr>
          <w:sz w:val="24"/>
          <w:szCs w:val="24"/>
        </w:rPr>
        <w:t>data</w:t>
      </w:r>
      <w:r w:rsidR="00793F88">
        <w:rPr>
          <w:sz w:val="24"/>
          <w:szCs w:val="24"/>
        </w:rPr>
        <w:t>. This will include WHO-defined definitions of TB treatment outcome including treatment success, treatment failure, loss to follow up, and death. This data will support exploratory analysis of socioeconomic support and TB treatment outcomes.</w:t>
      </w:r>
      <w:r w:rsidR="00793F88" w:rsidRPr="000E288D">
        <w:rPr>
          <w:sz w:val="24"/>
          <w:szCs w:val="24"/>
        </w:rPr>
        <w:t xml:space="preserve"> </w:t>
      </w:r>
    </w:p>
    <w:p w14:paraId="633D9C1A" w14:textId="77777777" w:rsidR="00793F88" w:rsidRDefault="00793F88" w:rsidP="0081142F">
      <w:pPr>
        <w:autoSpaceDE w:val="0"/>
        <w:autoSpaceDN w:val="0"/>
        <w:adjustRightInd w:val="0"/>
        <w:spacing w:after="0" w:line="276" w:lineRule="auto"/>
        <w:jc w:val="both"/>
        <w:rPr>
          <w:bCs/>
          <w:sz w:val="24"/>
          <w:szCs w:val="24"/>
        </w:rPr>
      </w:pPr>
    </w:p>
    <w:p w14:paraId="78C6A87F" w14:textId="16A8229F" w:rsidR="00DA39E2" w:rsidRDefault="00FB023B" w:rsidP="0005056A">
      <w:pPr>
        <w:autoSpaceDE w:val="0"/>
        <w:autoSpaceDN w:val="0"/>
        <w:adjustRightInd w:val="0"/>
        <w:spacing w:after="0" w:line="276" w:lineRule="auto"/>
        <w:jc w:val="both"/>
        <w:rPr>
          <w:bCs/>
          <w:sz w:val="24"/>
          <w:szCs w:val="24"/>
        </w:rPr>
        <w:sectPr w:rsidR="00DA39E2" w:rsidSect="00F164BD">
          <w:pgSz w:w="11906" w:h="16838"/>
          <w:pgMar w:top="1440" w:right="1440" w:bottom="1440" w:left="1440" w:header="708" w:footer="708" w:gutter="0"/>
          <w:cols w:space="708"/>
          <w:docGrid w:linePitch="360"/>
        </w:sectPr>
      </w:pPr>
      <w:r>
        <w:rPr>
          <w:bCs/>
          <w:sz w:val="24"/>
          <w:szCs w:val="24"/>
        </w:rPr>
        <w:t xml:space="preserve">Figure </w:t>
      </w:r>
      <w:r w:rsidR="0080220E">
        <w:rPr>
          <w:bCs/>
          <w:sz w:val="24"/>
          <w:szCs w:val="24"/>
        </w:rPr>
        <w:t>5</w:t>
      </w:r>
      <w:r>
        <w:rPr>
          <w:bCs/>
          <w:sz w:val="24"/>
          <w:szCs w:val="24"/>
        </w:rPr>
        <w:t xml:space="preserve"> summarise</w:t>
      </w:r>
      <w:r w:rsidR="008A4953">
        <w:rPr>
          <w:bCs/>
          <w:sz w:val="24"/>
          <w:szCs w:val="24"/>
        </w:rPr>
        <w:t>s</w:t>
      </w:r>
      <w:r>
        <w:rPr>
          <w:bCs/>
          <w:sz w:val="24"/>
          <w:szCs w:val="24"/>
        </w:rPr>
        <w:t xml:space="preserve"> </w:t>
      </w:r>
      <w:r w:rsidR="006626AD">
        <w:rPr>
          <w:bCs/>
          <w:sz w:val="24"/>
          <w:szCs w:val="24"/>
        </w:rPr>
        <w:t>the economic information gathered during each visit.</w:t>
      </w:r>
      <w:r w:rsidR="008A4953">
        <w:rPr>
          <w:bCs/>
          <w:sz w:val="24"/>
          <w:szCs w:val="24"/>
        </w:rPr>
        <w:br w:type="page"/>
      </w:r>
    </w:p>
    <w:p w14:paraId="128C5C81" w14:textId="5C08F456" w:rsidR="008A4953" w:rsidRPr="005E0F9F" w:rsidRDefault="001901E7" w:rsidP="008A4953">
      <w:pPr>
        <w:pStyle w:val="Heading3"/>
        <w:rPr>
          <w:rFonts w:asciiTheme="minorHAnsi" w:eastAsia="Times New Roman" w:hAnsiTheme="minorHAnsi" w:cstheme="minorHAnsi"/>
          <w:b/>
          <w:bCs/>
          <w:color w:val="000000" w:themeColor="text1"/>
          <w:lang w:eastAsia="en-GB"/>
        </w:rPr>
      </w:pPr>
      <w:bookmarkStart w:id="7" w:name="_Toc89100915"/>
      <w:r w:rsidRPr="005E0F9F">
        <w:rPr>
          <w:rFonts w:asciiTheme="minorHAnsi" w:hAnsiTheme="minorHAnsi" w:cstheme="minorHAnsi"/>
          <w:b/>
          <w:bCs/>
          <w:color w:val="000000" w:themeColor="text1"/>
        </w:rPr>
        <w:lastRenderedPageBreak/>
        <w:t xml:space="preserve">Figure </w:t>
      </w:r>
      <w:r w:rsidR="0080220E" w:rsidRPr="005E0F9F">
        <w:rPr>
          <w:rFonts w:asciiTheme="minorHAnsi" w:hAnsiTheme="minorHAnsi" w:cstheme="minorHAnsi"/>
          <w:b/>
          <w:bCs/>
          <w:color w:val="000000" w:themeColor="text1"/>
        </w:rPr>
        <w:t>5</w:t>
      </w:r>
      <w:r w:rsidR="008A4953" w:rsidRPr="005E0F9F">
        <w:rPr>
          <w:rFonts w:asciiTheme="minorHAnsi" w:hAnsiTheme="minorHAnsi" w:cstheme="minorHAnsi"/>
          <w:b/>
          <w:bCs/>
          <w:color w:val="000000" w:themeColor="text1"/>
        </w:rPr>
        <w:t>: Household visit and survey timing, and economic data collected</w:t>
      </w:r>
      <w:r w:rsidR="008A4953" w:rsidRPr="005E0F9F">
        <w:rPr>
          <w:rFonts w:asciiTheme="minorHAnsi" w:eastAsia="Times New Roman" w:hAnsiTheme="minorHAnsi" w:cstheme="minorHAnsi"/>
          <w:b/>
          <w:bCs/>
          <w:color w:val="000000" w:themeColor="text1"/>
          <w:lang w:eastAsia="en-GB"/>
        </w:rPr>
        <w:fldChar w:fldCharType="begin" w:fldLock="1"/>
      </w:r>
      <w:r w:rsidR="000855E1">
        <w:rPr>
          <w:rFonts w:asciiTheme="minorHAnsi" w:eastAsia="Times New Roman" w:hAnsiTheme="minorHAnsi" w:cstheme="minorHAnsi"/>
          <w:b/>
          <w:bCs/>
          <w:color w:val="000000" w:themeColor="text1"/>
          <w:lang w:eastAsia="en-GB"/>
        </w:rPr>
        <w:instrText>ADDIN CSL_CITATION {"citationItems":[{"id":"ITEM-1","itemData":{"ISBN":"9789241513524","author":[{"dropping-particle":"","family":"World Health Organization (WHO)","given":"","non-dropping-particle":"","parse-names":false,"suffix":""}],"id":"ITEM-1","issued":{"date-parts":[["2017"]]},"number-of-pages":"95","title":"Tuberculosis patient cost survey: a handbook","type":"book"},"uris":["http://www.mendeley.com/documents/?uuid=be001223-d264-4ed0-89ce-bc5baa745d8c"]}],"mendeley":{"formattedCitation":"&lt;sup&gt;38&lt;/sup&gt;","plainTextFormattedCitation":"38","previouslyFormattedCitation":"&lt;sup&gt;38&lt;/sup&gt;"},"properties":{"noteIndex":0},"schema":"https://github.com/citation-style-language/schema/raw/master/csl-citation.json"}</w:instrText>
      </w:r>
      <w:r w:rsidR="008A4953" w:rsidRPr="005E0F9F">
        <w:rPr>
          <w:rFonts w:asciiTheme="minorHAnsi" w:eastAsia="Times New Roman" w:hAnsiTheme="minorHAnsi" w:cstheme="minorHAnsi"/>
          <w:b/>
          <w:bCs/>
          <w:color w:val="000000" w:themeColor="text1"/>
          <w:lang w:eastAsia="en-GB"/>
        </w:rPr>
        <w:fldChar w:fldCharType="separate"/>
      </w:r>
      <w:bookmarkEnd w:id="7"/>
      <w:r w:rsidR="00DE199B" w:rsidRPr="005E0F9F">
        <w:rPr>
          <w:rFonts w:asciiTheme="minorHAnsi" w:eastAsia="Times New Roman" w:hAnsiTheme="minorHAnsi" w:cstheme="minorHAnsi"/>
          <w:b/>
          <w:bCs/>
          <w:noProof/>
          <w:color w:val="000000" w:themeColor="text1"/>
          <w:vertAlign w:val="superscript"/>
          <w:lang w:eastAsia="en-GB"/>
        </w:rPr>
        <w:t>38</w:t>
      </w:r>
      <w:r w:rsidR="008A4953" w:rsidRPr="005E0F9F">
        <w:rPr>
          <w:rFonts w:asciiTheme="minorHAnsi" w:eastAsia="Times New Roman" w:hAnsiTheme="minorHAnsi" w:cstheme="minorHAnsi"/>
          <w:b/>
          <w:bCs/>
          <w:color w:val="000000" w:themeColor="text1"/>
          <w:lang w:eastAsia="en-GB"/>
        </w:rPr>
        <w:fldChar w:fldCharType="end"/>
      </w:r>
      <w:r w:rsidR="008A4953" w:rsidRPr="005E0F9F">
        <w:rPr>
          <w:rFonts w:asciiTheme="minorHAnsi" w:eastAsia="Times New Roman" w:hAnsiTheme="minorHAnsi" w:cstheme="minorHAnsi"/>
          <w:b/>
          <w:bCs/>
          <w:color w:val="000000" w:themeColor="text1"/>
          <w:lang w:eastAsia="en-GB"/>
        </w:rPr>
        <w:t xml:space="preserve">   </w:t>
      </w:r>
    </w:p>
    <w:p w14:paraId="35AF00F2" w14:textId="4DA6D2A9" w:rsidR="008A4953" w:rsidRDefault="00AE6C7D" w:rsidP="00DA39E2">
      <w:pPr>
        <w:spacing w:before="160" w:after="0" w:line="240" w:lineRule="auto"/>
        <w:ind w:right="96"/>
        <w:jc w:val="both"/>
        <w:rPr>
          <w:rFonts w:ascii="Arial" w:eastAsia="Times New Roman" w:hAnsi="Arial" w:cs="Arial"/>
          <w:bCs/>
          <w:i/>
          <w:iCs/>
          <w:noProof/>
          <w:lang w:eastAsia="en-GB"/>
        </w:rPr>
      </w:pPr>
      <w:r>
        <w:rPr>
          <w:rFonts w:ascii="Arial" w:eastAsia="Times New Roman" w:hAnsi="Arial" w:cs="Arial"/>
          <w:bCs/>
          <w:i/>
          <w:iCs/>
          <w:noProof/>
          <w:lang w:val="en-US" w:bidi="ne-NP"/>
        </w:rPr>
        <w:drawing>
          <wp:inline distT="0" distB="0" distL="0" distR="0" wp14:anchorId="366A4D0A" wp14:editId="4971E6D1">
            <wp:extent cx="8069580" cy="4975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2174"/>
                    <a:stretch/>
                  </pic:blipFill>
                  <pic:spPr bwMode="auto">
                    <a:xfrm>
                      <a:off x="0" y="0"/>
                      <a:ext cx="8098078" cy="4993333"/>
                    </a:xfrm>
                    <a:prstGeom prst="rect">
                      <a:avLst/>
                    </a:prstGeom>
                    <a:noFill/>
                    <a:ln>
                      <a:noFill/>
                    </a:ln>
                    <a:extLst>
                      <a:ext uri="{53640926-AAD7-44D8-BBD7-CCE9431645EC}">
                        <a14:shadowObscured xmlns:a14="http://schemas.microsoft.com/office/drawing/2010/main"/>
                      </a:ext>
                    </a:extLst>
                  </pic:spPr>
                </pic:pic>
              </a:graphicData>
            </a:graphic>
          </wp:inline>
        </w:drawing>
      </w:r>
    </w:p>
    <w:p w14:paraId="3BDBF8C8" w14:textId="55FDBD7D" w:rsidR="00AE6C7D" w:rsidRPr="0005056A" w:rsidRDefault="008A4953" w:rsidP="00B31CC9">
      <w:pPr>
        <w:spacing w:after="0" w:line="240" w:lineRule="auto"/>
        <w:ind w:right="66"/>
        <w:jc w:val="both"/>
        <w:rPr>
          <w:rFonts w:eastAsia="Times New Roman" w:cstheme="minorHAnsi"/>
          <w:bCs/>
          <w:i/>
          <w:iCs/>
          <w:noProof/>
          <w:lang w:eastAsia="en-GB"/>
        </w:rPr>
        <w:sectPr w:rsidR="00AE6C7D" w:rsidRPr="0005056A" w:rsidSect="00AE6C7D">
          <w:pgSz w:w="16838" w:h="11906" w:orient="landscape"/>
          <w:pgMar w:top="1440" w:right="1440" w:bottom="1440" w:left="1440" w:header="708" w:footer="708" w:gutter="0"/>
          <w:cols w:space="708"/>
          <w:docGrid w:linePitch="360"/>
        </w:sectPr>
      </w:pPr>
      <w:r w:rsidRPr="0005056A">
        <w:rPr>
          <w:rFonts w:eastAsia="Times New Roman" w:cstheme="minorHAnsi"/>
          <w:bCs/>
          <w:i/>
          <w:iCs/>
          <w:noProof/>
          <w:lang w:eastAsia="en-GB"/>
        </w:rPr>
        <w:t>Legend</w:t>
      </w:r>
      <w:r w:rsidR="00DA39E2" w:rsidRPr="0005056A">
        <w:rPr>
          <w:rFonts w:eastAsia="Times New Roman" w:cstheme="minorHAnsi"/>
          <w:bCs/>
          <w:i/>
          <w:iCs/>
          <w:noProof/>
          <w:lang w:eastAsia="en-GB"/>
        </w:rPr>
        <w:t xml:space="preserve">: The blue dot indicates </w:t>
      </w:r>
      <w:r w:rsidR="00AE6C7D" w:rsidRPr="0005056A">
        <w:rPr>
          <w:rFonts w:eastAsia="Times New Roman" w:cstheme="minorHAnsi"/>
          <w:bCs/>
          <w:i/>
          <w:iCs/>
          <w:noProof/>
          <w:lang w:eastAsia="en-GB"/>
        </w:rPr>
        <w:t>the timing of household visits one (1), two (2), and three (3)</w:t>
      </w:r>
      <w:r w:rsidR="00DA39E2" w:rsidRPr="0005056A">
        <w:rPr>
          <w:rFonts w:eastAsia="Times New Roman" w:cstheme="minorHAnsi"/>
          <w:bCs/>
          <w:i/>
          <w:iCs/>
          <w:noProof/>
          <w:lang w:eastAsia="en-GB"/>
        </w:rPr>
        <w:t xml:space="preserve">. </w:t>
      </w:r>
      <w:r w:rsidR="00AE6C7D" w:rsidRPr="0005056A">
        <w:rPr>
          <w:rFonts w:eastAsia="Times New Roman" w:cstheme="minorHAnsi"/>
          <w:bCs/>
          <w:i/>
          <w:iCs/>
          <w:noProof/>
          <w:lang w:eastAsia="en-GB"/>
        </w:rPr>
        <w:t xml:space="preserve">Lighter shades of green and red indicate data not collected at visit 1 and 2 respectively. </w:t>
      </w:r>
      <w:r w:rsidR="000855E1">
        <w:rPr>
          <w:rFonts w:eastAsia="Times New Roman" w:cstheme="minorHAnsi"/>
          <w:bCs/>
          <w:i/>
          <w:iCs/>
          <w:noProof/>
          <w:lang w:eastAsia="en-GB"/>
        </w:rPr>
        <w:t xml:space="preserve"> Abbreviations: OOP = out-of-pocket costs; and TB = tuberculosis.</w:t>
      </w:r>
    </w:p>
    <w:p w14:paraId="5BE035E3" w14:textId="77777777" w:rsidR="00113C0F" w:rsidRDefault="008A4953" w:rsidP="00B31CC9">
      <w:pPr>
        <w:jc w:val="both"/>
        <w:rPr>
          <w:sz w:val="24"/>
          <w:szCs w:val="24"/>
        </w:rPr>
      </w:pPr>
      <w:r w:rsidRPr="00D85973">
        <w:rPr>
          <w:rStyle w:val="Heading4Char"/>
          <w:rFonts w:asciiTheme="minorHAnsi" w:hAnsiTheme="minorHAnsi" w:cstheme="minorHAnsi"/>
          <w:bCs/>
          <w:color w:val="000000" w:themeColor="text1"/>
          <w:sz w:val="24"/>
          <w:szCs w:val="24"/>
        </w:rPr>
        <w:lastRenderedPageBreak/>
        <w:t>Study arms and activities</w:t>
      </w:r>
    </w:p>
    <w:p w14:paraId="50B54E0D" w14:textId="628C88A0" w:rsidR="00B7512F" w:rsidRDefault="0005056A" w:rsidP="00B31CC9">
      <w:pPr>
        <w:jc w:val="both"/>
        <w:rPr>
          <w:bCs/>
          <w:sz w:val="24"/>
          <w:szCs w:val="24"/>
        </w:rPr>
      </w:pPr>
      <w:r>
        <w:rPr>
          <w:sz w:val="24"/>
          <w:szCs w:val="24"/>
        </w:rPr>
        <w:t>A</w:t>
      </w:r>
      <w:r w:rsidR="008A4953">
        <w:rPr>
          <w:bCs/>
          <w:sz w:val="24"/>
          <w:szCs w:val="24"/>
        </w:rPr>
        <w:t xml:space="preserve">ll participants </w:t>
      </w:r>
      <w:r>
        <w:rPr>
          <w:bCs/>
          <w:sz w:val="24"/>
          <w:szCs w:val="24"/>
        </w:rPr>
        <w:t xml:space="preserve">will </w:t>
      </w:r>
      <w:r w:rsidR="008A4953">
        <w:rPr>
          <w:bCs/>
          <w:sz w:val="24"/>
          <w:szCs w:val="24"/>
        </w:rPr>
        <w:t>complet</w:t>
      </w:r>
      <w:r>
        <w:rPr>
          <w:bCs/>
          <w:sz w:val="24"/>
          <w:szCs w:val="24"/>
        </w:rPr>
        <w:t>e</w:t>
      </w:r>
      <w:r w:rsidR="008A4953">
        <w:rPr>
          <w:bCs/>
          <w:sz w:val="24"/>
          <w:szCs w:val="24"/>
        </w:rPr>
        <w:t xml:space="preserve"> </w:t>
      </w:r>
      <w:r>
        <w:rPr>
          <w:bCs/>
          <w:sz w:val="24"/>
          <w:szCs w:val="24"/>
        </w:rPr>
        <w:t xml:space="preserve">the </w:t>
      </w:r>
      <w:proofErr w:type="gramStart"/>
      <w:r>
        <w:rPr>
          <w:bCs/>
          <w:sz w:val="24"/>
          <w:szCs w:val="24"/>
        </w:rPr>
        <w:t>survey</w:t>
      </w:r>
      <w:proofErr w:type="gramEnd"/>
      <w:r>
        <w:rPr>
          <w:bCs/>
          <w:sz w:val="24"/>
          <w:szCs w:val="24"/>
        </w:rPr>
        <w:t xml:space="preserve"> but receipt of </w:t>
      </w:r>
      <w:r w:rsidR="00793F88">
        <w:rPr>
          <w:bCs/>
          <w:sz w:val="24"/>
          <w:szCs w:val="24"/>
        </w:rPr>
        <w:t xml:space="preserve">study interventions </w:t>
      </w:r>
      <w:r w:rsidR="008A4953">
        <w:rPr>
          <w:bCs/>
          <w:sz w:val="24"/>
          <w:szCs w:val="24"/>
        </w:rPr>
        <w:t xml:space="preserve">will </w:t>
      </w:r>
      <w:r w:rsidR="00793F88">
        <w:rPr>
          <w:bCs/>
          <w:sz w:val="24"/>
          <w:szCs w:val="24"/>
        </w:rPr>
        <w:t xml:space="preserve">depend on </w:t>
      </w:r>
      <w:r w:rsidR="008A4953">
        <w:rPr>
          <w:bCs/>
          <w:sz w:val="24"/>
          <w:szCs w:val="24"/>
        </w:rPr>
        <w:t xml:space="preserve">which </w:t>
      </w:r>
      <w:r w:rsidR="00B7512F">
        <w:rPr>
          <w:bCs/>
          <w:sz w:val="24"/>
          <w:szCs w:val="24"/>
        </w:rPr>
        <w:t xml:space="preserve">of the four </w:t>
      </w:r>
      <w:r w:rsidR="008A4953">
        <w:rPr>
          <w:bCs/>
          <w:sz w:val="24"/>
          <w:szCs w:val="24"/>
        </w:rPr>
        <w:t>s</w:t>
      </w:r>
      <w:r w:rsidR="00793F88">
        <w:rPr>
          <w:bCs/>
          <w:sz w:val="24"/>
          <w:szCs w:val="24"/>
        </w:rPr>
        <w:t>tudy arm</w:t>
      </w:r>
      <w:r w:rsidR="00B7512F">
        <w:rPr>
          <w:bCs/>
          <w:sz w:val="24"/>
          <w:szCs w:val="24"/>
        </w:rPr>
        <w:t>s</w:t>
      </w:r>
      <w:r w:rsidR="00793F88">
        <w:rPr>
          <w:bCs/>
          <w:sz w:val="24"/>
          <w:szCs w:val="24"/>
        </w:rPr>
        <w:t xml:space="preserve"> </w:t>
      </w:r>
      <w:r w:rsidR="008A4953">
        <w:rPr>
          <w:bCs/>
          <w:sz w:val="24"/>
          <w:szCs w:val="24"/>
        </w:rPr>
        <w:t xml:space="preserve">the participant and their household are randomly </w:t>
      </w:r>
      <w:r w:rsidR="00793F88">
        <w:rPr>
          <w:bCs/>
          <w:sz w:val="24"/>
          <w:szCs w:val="24"/>
        </w:rPr>
        <w:t>allocat</w:t>
      </w:r>
      <w:r w:rsidR="008A4953">
        <w:rPr>
          <w:bCs/>
          <w:sz w:val="24"/>
          <w:szCs w:val="24"/>
        </w:rPr>
        <w:t>ed to</w:t>
      </w:r>
      <w:r w:rsidR="001901E7">
        <w:rPr>
          <w:bCs/>
          <w:sz w:val="24"/>
          <w:szCs w:val="24"/>
        </w:rPr>
        <w:t xml:space="preserve"> (Figure </w:t>
      </w:r>
      <w:r w:rsidR="0080220E">
        <w:rPr>
          <w:bCs/>
          <w:sz w:val="24"/>
          <w:szCs w:val="24"/>
        </w:rPr>
        <w:t>6</w:t>
      </w:r>
      <w:r w:rsidR="00B7512F">
        <w:rPr>
          <w:bCs/>
          <w:sz w:val="24"/>
          <w:szCs w:val="24"/>
        </w:rPr>
        <w:t xml:space="preserve">). </w:t>
      </w:r>
    </w:p>
    <w:p w14:paraId="7670AB4D" w14:textId="4249B75C" w:rsidR="00B7512F" w:rsidRPr="005E0F9F" w:rsidRDefault="00B7512F" w:rsidP="00B1505A">
      <w:pPr>
        <w:rPr>
          <w:rFonts w:eastAsia="Times New Roman" w:cstheme="minorHAnsi"/>
          <w:b/>
          <w:bCs/>
          <w:color w:val="000000" w:themeColor="text1"/>
          <w:lang w:eastAsia="en-GB"/>
        </w:rPr>
      </w:pPr>
      <w:r w:rsidRPr="005E0F9F">
        <w:rPr>
          <w:rFonts w:cstheme="minorHAnsi"/>
          <w:b/>
          <w:bCs/>
          <w:color w:val="000000" w:themeColor="text1"/>
        </w:rPr>
        <w:t xml:space="preserve">Figure </w:t>
      </w:r>
      <w:r w:rsidR="0080220E" w:rsidRPr="005E0F9F">
        <w:rPr>
          <w:rFonts w:cstheme="minorHAnsi"/>
          <w:b/>
          <w:bCs/>
          <w:color w:val="000000" w:themeColor="text1"/>
        </w:rPr>
        <w:t>6</w:t>
      </w:r>
      <w:r w:rsidRPr="005E0F9F">
        <w:rPr>
          <w:rFonts w:cstheme="minorHAnsi"/>
          <w:b/>
          <w:bCs/>
          <w:color w:val="000000" w:themeColor="text1"/>
        </w:rPr>
        <w:t>: Study arm allocation</w:t>
      </w:r>
      <w:r w:rsidRPr="005E0F9F">
        <w:rPr>
          <w:rFonts w:eastAsia="Times New Roman" w:cstheme="minorHAnsi"/>
          <w:b/>
          <w:bCs/>
          <w:color w:val="000000" w:themeColor="text1"/>
          <w:lang w:eastAsia="en-GB"/>
        </w:rPr>
        <w:t xml:space="preserve">   </w:t>
      </w:r>
    </w:p>
    <w:p w14:paraId="3C8BC301" w14:textId="617F7FE3" w:rsidR="00B1505A" w:rsidRDefault="00D742FD" w:rsidP="00B1505A">
      <w:pPr>
        <w:rPr>
          <w:bCs/>
          <w:sz w:val="24"/>
          <w:szCs w:val="24"/>
        </w:rPr>
      </w:pPr>
      <w:r w:rsidRPr="00D742FD">
        <w:rPr>
          <w:bCs/>
          <w:noProof/>
          <w:sz w:val="24"/>
          <w:szCs w:val="24"/>
          <w:lang w:val="en-US" w:bidi="ne-NP"/>
        </w:rPr>
        <w:drawing>
          <wp:inline distT="0" distB="0" distL="0" distR="0" wp14:anchorId="15AE2EEB" wp14:editId="062F9836">
            <wp:extent cx="5731510" cy="2309537"/>
            <wp:effectExtent l="0" t="0" r="2540" b="0"/>
            <wp:docPr id="13" name="Picture 13" descr="C:\Users\Dell\Desktop\Study arm allocation-ASC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tudy arm allocation-ASCOT.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09537"/>
                    </a:xfrm>
                    <a:prstGeom prst="rect">
                      <a:avLst/>
                    </a:prstGeom>
                    <a:noFill/>
                    <a:ln>
                      <a:noFill/>
                    </a:ln>
                  </pic:spPr>
                </pic:pic>
              </a:graphicData>
            </a:graphic>
          </wp:inline>
        </w:drawing>
      </w:r>
    </w:p>
    <w:p w14:paraId="534DCC17" w14:textId="77777777" w:rsidR="00B7512F" w:rsidRDefault="00B7512F" w:rsidP="00B31CC9">
      <w:pPr>
        <w:jc w:val="both"/>
        <w:rPr>
          <w:bCs/>
          <w:sz w:val="24"/>
          <w:szCs w:val="24"/>
        </w:rPr>
      </w:pPr>
    </w:p>
    <w:p w14:paraId="2E1EA0D7" w14:textId="56218CB6" w:rsidR="00B31CC9" w:rsidRDefault="00E424CC" w:rsidP="0081142F">
      <w:pPr>
        <w:autoSpaceDE w:val="0"/>
        <w:autoSpaceDN w:val="0"/>
        <w:adjustRightInd w:val="0"/>
        <w:spacing w:after="0" w:line="276" w:lineRule="auto"/>
        <w:jc w:val="both"/>
        <w:rPr>
          <w:bCs/>
          <w:sz w:val="24"/>
          <w:szCs w:val="24"/>
        </w:rPr>
      </w:pPr>
      <w:r>
        <w:rPr>
          <w:bCs/>
          <w:sz w:val="24"/>
          <w:szCs w:val="24"/>
        </w:rPr>
        <w:t>In line with</w:t>
      </w:r>
      <w:r w:rsidR="00BD6CDA" w:rsidRPr="00213D44">
        <w:rPr>
          <w:bCs/>
          <w:sz w:val="24"/>
          <w:szCs w:val="24"/>
        </w:rPr>
        <w:t xml:space="preserve"> our previous research</w:t>
      </w:r>
      <w:r w:rsidR="00BD6CDA" w:rsidRPr="00213D44">
        <w:rPr>
          <w:bCs/>
          <w:sz w:val="24"/>
          <w:szCs w:val="24"/>
        </w:rPr>
        <w:fldChar w:fldCharType="begin" w:fldLock="1"/>
      </w:r>
      <w:r w:rsidR="00937425">
        <w:rPr>
          <w:bCs/>
          <w:sz w:val="24"/>
          <w:szCs w:val="24"/>
        </w:rPr>
        <w:instrText>ADDIN CSL_CITATION {"citationItems":[{"id":"ITEM-1","itemData":{"DOI":"http://dx.doi.org/10.2471/BLT.16.170167","ISSN":"00429686","abstract":"To evaluate the impact of socioeconomic support on tuberculosis preventive therapy initiation in household contacts of tuberculosis patients and on treatment success in patients. A non-blinded, household-randomized, controlled study was performed between February 2014 and June 2015 in 32 shanty towns in Peru. It included patients being treated for tuberculosis and their household contacts. Households were randomly assigned to either the standard of care provided by Peru's national tuberculosis programme (control arm) or the same standard of care plus socioeconomic support (intervention arm). Socioeconomic support comprised conditional cash transfers up to 230 United States dollars per household, community meetings and household visits. Rates of tuberculosis preventive therapy initiation and treatment success (i.e. cure or treatment completion) were compared in intervention and control arms. Overall, 282 of 312 (90%) households agreed to participate: 135 in the intervention arm and 147 in the control arm. There were 410 contacts younger than 20 years: 43% in the intervention arm initiated tuberculosis preventive therapy versus 25% in the control arm (adjusted odds ratio, aOR: 2.2; 95% confidence interval, CI: 1.1-4.1). An intention-to-treat analysis showed that treatment was successful in 64% (87/135) of patients in the intervention arm versus 53% (78/147) in the control arm (unadjusted OR: 1.6; 95% CI: 1.0-2.6). These improvements were equitable, being independent of household poverty. A tuberculosis-specific, socioeconomic support intervention increased uptake of tuberculosis preventive therapy and tuberculosis treatment success and is being evaluated in the Community Randomized Evaluation of a Socioeconomic Intervention to Prevent TB (CRESIPT) project./Évaluer l'impact de l'accompagnement socioéconomique sur le commencement du traitement préventif contre la tuberculose par les contacts familiaux des patients atteints de la maladie et sur la réussite du traitement pour les patients. Une étude contrôlée, non aveugle, à répartition aléatoire des foyers a été réalisée entre février 2014 et juin 2015 dans 32 bidonvilles du Pérou. Elle portait sur des patients traités contre la tuberculose et leurs contacts familiaux. Les foyers ont été choisis de façon aléatoire pour recevoir soit les soins standards prévus par le programme national de lutte contre la tuberculose du Pérou (groupe témoin), soit les mêmes soins standards plus un accompagnement socioéconomiqu…","author":[{"dropping-particle":"","family":"Wingfield","given":"Tom","non-dropping-particle":"","parse-names":false,"suffix":""},{"dropping-particle":"","family":"Tovar","given":"Marco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Datta","given":"Sumona","non-dropping-particle":"","parse-names":false,"suffix":""},{"dropping-particle":"","family":"Saunders","given":"Matthew J","non-dropping-particle":"","parse-names":false,"suffix":""},{"dropping-particle":"","family":"Lewis","given":"James J","non-dropping-particle":"","parse-names":false,"suffix":""},{"dropping-particle":"","family":"Gilman","given":"H","non-dropping-particle":"","parse-names":false,"suffix":""},{"dropping-particle":"","family":"Evans","given":"Carlton A","non-dropping-particle":"","parse-names":false,"suffix":""}],"container-title":"Bull World Health Organ","id":"ITEM-1","issue":"4","issued":{"date-parts":[["2017"]]},"page":"270-280","title":"A randomized controlled study of socioeconomic support to enhance tuberculosis prevention and treatment, Peru","type":"article-journal","volume":"95"},"uris":["http://www.mendeley.com/documents/?uuid=4cf0dbb4-ce2c-4c0a-a2e1-295fe003772c"]}],"mendeley":{"formattedCitation":"&lt;sup&gt;7&lt;/sup&gt;","plainTextFormattedCitation":"7","previouslyFormattedCitation":"&lt;sup&gt;7&lt;/sup&gt;"},"properties":{"noteIndex":0},"schema":"https://github.com/citation-style-language/schema/raw/master/csl-citation.json"}</w:instrText>
      </w:r>
      <w:r w:rsidR="00BD6CDA" w:rsidRPr="00213D44">
        <w:rPr>
          <w:bCs/>
          <w:sz w:val="24"/>
          <w:szCs w:val="24"/>
        </w:rPr>
        <w:fldChar w:fldCharType="separate"/>
      </w:r>
      <w:r w:rsidR="00674C0E" w:rsidRPr="00674C0E">
        <w:rPr>
          <w:bCs/>
          <w:noProof/>
          <w:sz w:val="24"/>
          <w:szCs w:val="24"/>
          <w:vertAlign w:val="superscript"/>
        </w:rPr>
        <w:t>7</w:t>
      </w:r>
      <w:r w:rsidR="00BD6CDA" w:rsidRPr="00213D44">
        <w:rPr>
          <w:bCs/>
          <w:sz w:val="24"/>
          <w:szCs w:val="24"/>
        </w:rPr>
        <w:fldChar w:fldCharType="end"/>
      </w:r>
      <w:r w:rsidR="00BD6CDA" w:rsidRPr="00213D44">
        <w:rPr>
          <w:bCs/>
          <w:sz w:val="24"/>
          <w:szCs w:val="24"/>
        </w:rPr>
        <w:t xml:space="preserve"> </w:t>
      </w:r>
      <w:r w:rsidR="009816C6" w:rsidRPr="00213D44">
        <w:rPr>
          <w:bCs/>
          <w:sz w:val="24"/>
          <w:szCs w:val="24"/>
        </w:rPr>
        <w:t xml:space="preserve">and BNMT work, </w:t>
      </w:r>
      <w:r w:rsidR="000715EF" w:rsidRPr="00213D44">
        <w:rPr>
          <w:bCs/>
          <w:sz w:val="24"/>
          <w:szCs w:val="24"/>
        </w:rPr>
        <w:t xml:space="preserve">during an initial household visit, </w:t>
      </w:r>
      <w:r w:rsidR="00BD6CDA" w:rsidRPr="00213D44">
        <w:rPr>
          <w:bCs/>
          <w:i/>
          <w:iCs/>
          <w:sz w:val="24"/>
          <w:szCs w:val="24"/>
        </w:rPr>
        <w:t>all</w:t>
      </w:r>
      <w:r w:rsidR="00BD6CDA" w:rsidRPr="00213D44">
        <w:rPr>
          <w:bCs/>
          <w:sz w:val="24"/>
          <w:szCs w:val="24"/>
        </w:rPr>
        <w:t xml:space="preserve"> participants and their households will receive a</w:t>
      </w:r>
      <w:r w:rsidR="009816C6" w:rsidRPr="00213D44">
        <w:rPr>
          <w:bCs/>
          <w:sz w:val="24"/>
          <w:szCs w:val="24"/>
        </w:rPr>
        <w:t xml:space="preserve"> basic </w:t>
      </w:r>
      <w:r w:rsidR="00BD6CDA" w:rsidRPr="00213D44">
        <w:rPr>
          <w:bCs/>
          <w:sz w:val="24"/>
          <w:szCs w:val="24"/>
        </w:rPr>
        <w:t xml:space="preserve">TB </w:t>
      </w:r>
      <w:r w:rsidR="009816C6" w:rsidRPr="00213D44">
        <w:rPr>
          <w:bCs/>
          <w:sz w:val="24"/>
          <w:szCs w:val="24"/>
        </w:rPr>
        <w:t xml:space="preserve">and health </w:t>
      </w:r>
      <w:r w:rsidR="00BD6CDA" w:rsidRPr="00213D44">
        <w:rPr>
          <w:bCs/>
          <w:sz w:val="24"/>
          <w:szCs w:val="24"/>
        </w:rPr>
        <w:t>educational packa</w:t>
      </w:r>
      <w:r w:rsidR="009F3FD0" w:rsidRPr="00213D44">
        <w:rPr>
          <w:bCs/>
          <w:sz w:val="24"/>
          <w:szCs w:val="24"/>
        </w:rPr>
        <w:t>ge delivered by trained BNMT CHS</w:t>
      </w:r>
      <w:r w:rsidR="00BD6CDA" w:rsidRPr="00213D44">
        <w:rPr>
          <w:bCs/>
          <w:sz w:val="24"/>
          <w:szCs w:val="24"/>
        </w:rPr>
        <w:t xml:space="preserve"> </w:t>
      </w:r>
      <w:r w:rsidR="000715EF" w:rsidRPr="00213D44">
        <w:rPr>
          <w:bCs/>
          <w:sz w:val="24"/>
          <w:szCs w:val="24"/>
        </w:rPr>
        <w:t>and/</w:t>
      </w:r>
      <w:r w:rsidR="00BD6CDA" w:rsidRPr="00213D44">
        <w:rPr>
          <w:bCs/>
          <w:sz w:val="24"/>
          <w:szCs w:val="24"/>
        </w:rPr>
        <w:t>or FHCVs</w:t>
      </w:r>
      <w:r w:rsidR="000715EF" w:rsidRPr="00213D44">
        <w:rPr>
          <w:bCs/>
          <w:sz w:val="24"/>
          <w:szCs w:val="24"/>
        </w:rPr>
        <w:t xml:space="preserve"> and/or a TB survivor</w:t>
      </w:r>
      <w:r w:rsidR="00A422D0" w:rsidRPr="00213D44">
        <w:rPr>
          <w:bCs/>
          <w:sz w:val="24"/>
          <w:szCs w:val="24"/>
        </w:rPr>
        <w:t xml:space="preserve"> </w:t>
      </w:r>
      <w:r w:rsidR="000715EF" w:rsidRPr="00213D44">
        <w:rPr>
          <w:bCs/>
          <w:sz w:val="24"/>
          <w:szCs w:val="24"/>
        </w:rPr>
        <w:t xml:space="preserve">where </w:t>
      </w:r>
      <w:r w:rsidR="00A422D0" w:rsidRPr="00213D44">
        <w:rPr>
          <w:bCs/>
          <w:sz w:val="24"/>
          <w:szCs w:val="24"/>
        </w:rPr>
        <w:t>available</w:t>
      </w:r>
      <w:r w:rsidR="000715EF" w:rsidRPr="00213D44">
        <w:rPr>
          <w:bCs/>
          <w:sz w:val="24"/>
          <w:szCs w:val="24"/>
        </w:rPr>
        <w:t xml:space="preserve"> and a one-off nutritional</w:t>
      </w:r>
      <w:r w:rsidR="00A422D0" w:rsidRPr="00213D44">
        <w:rPr>
          <w:bCs/>
          <w:sz w:val="24"/>
          <w:szCs w:val="24"/>
        </w:rPr>
        <w:t>ly-optimised</w:t>
      </w:r>
      <w:r w:rsidR="006E749A">
        <w:rPr>
          <w:bCs/>
          <w:sz w:val="24"/>
          <w:szCs w:val="24"/>
        </w:rPr>
        <w:t xml:space="preserve"> nutritional packages </w:t>
      </w:r>
      <w:r w:rsidR="00B31CC9" w:rsidRPr="00213D44">
        <w:rPr>
          <w:bCs/>
          <w:sz w:val="24"/>
          <w:szCs w:val="24"/>
        </w:rPr>
        <w:t>with</w:t>
      </w:r>
      <w:r w:rsidR="009F3FD0" w:rsidRPr="00213D44">
        <w:rPr>
          <w:bCs/>
          <w:sz w:val="24"/>
          <w:szCs w:val="24"/>
        </w:rPr>
        <w:t xml:space="preserve"> a value of approximately 3000 Nepalese rupees / 18 </w:t>
      </w:r>
      <w:r w:rsidR="000715EF" w:rsidRPr="00213D44">
        <w:rPr>
          <w:bCs/>
          <w:sz w:val="24"/>
          <w:szCs w:val="24"/>
        </w:rPr>
        <w:t>GBP.</w:t>
      </w:r>
      <w:r w:rsidR="006E749A">
        <w:rPr>
          <w:bCs/>
          <w:sz w:val="24"/>
          <w:szCs w:val="24"/>
        </w:rPr>
        <w:t xml:space="preserve"> Contents of the packages </w:t>
      </w:r>
      <w:r w:rsidR="00A422D0" w:rsidRPr="00213D44">
        <w:rPr>
          <w:bCs/>
          <w:sz w:val="24"/>
          <w:szCs w:val="24"/>
        </w:rPr>
        <w:t>were previously suggested at a related workshop with in-country stakeholders in Nepal in September 2019.</w:t>
      </w:r>
      <w:r w:rsidR="00A422D0" w:rsidRPr="00213D44">
        <w:rPr>
          <w:bCs/>
          <w:sz w:val="24"/>
          <w:szCs w:val="24"/>
        </w:rPr>
        <w:fldChar w:fldCharType="begin" w:fldLock="1"/>
      </w:r>
      <w:r w:rsidR="000855E1">
        <w:rPr>
          <w:bCs/>
          <w:sz w:val="24"/>
          <w:szCs w:val="24"/>
        </w:rPr>
        <w:instrText>ADDIN CSL_CITATION {"citationItems":[{"id":"ITEM-1","itemData":{"DOI":"10.3390/tropicalmed5020098","ISSN":"24146366","abstract":"Tuberculosis (TB), the leading single infectious diseases killer globally, is driven by poverty. Conversely, having TB worsens impoverishment. During TB illness, lost income and out-of-pocket costs can become \"catastrophic\", leading patients to abandon treatment, develop drug-resistance, and die. WHO's 2015 End TB Strategy recommends eliminating catastrophic costs and providing socioeconomic support for TB-affected people. However, there is negligible evidence to guide the design and implementation of such socioeconomic support, especially in low-income, TB-endemic countries. A national, multi-sectoral workshop was held in Kathmandu, Nepal, on the 11th and 12th September 2019, to develop a shortlist of feasible, locally appropriate socioeconomic support interventions for TB-affected households in Nepal, a low-income country with significant TB burden. The workshop brought together key stakeholders in Nepal including from the Ministry of Health and Population, Department of Health Services, Provincial Health Directorate, Health Offices, National TB Program (NTP); and TB/Leprosy Officers, healthcare workers, community health volunteers, TB-affected people, and external development partners (EDP). During the workshop, participants reviewed current Nepal NTP data and strategy, discussed the preliminary results of a mixed-methods study of the socioeconomic determinants and consequences of TB in Nepal, described existing and potential socioeconomic interventions for TB-affected households in Nepal, and selected the most promising interventions for future randomized controlled trial evaluations in Nepal. This report describes the activities, outcomes, and recommendations from the workshop.","author":[{"dropping-particle":"","family":"Rai","given":"Bhola","non-dropping-particle":"","parse-names":false,"suffix":""},{"dropping-particle":"","family":"Dixit","given":"Kritika","non-dropping-particle":"","parse-names":false,"suffix":""},{"dropping-particle":"","family":"Aryal","given":"Tara Prasad","non-dropping-particle":"","parse-names":false,"suffix":""},{"dropping-particle":"","family":"Mishra","given":"Gokul","non-dropping-particle":"","parse-names":false,"suffix":""},{"dropping-particle":"","family":"Siqueira-Filha","given":"Noemia Teixeira","non-dropping-particle":"De","parse-names":false,"suffix":""},{"dropping-particle":"","family":"Paudel","given":"Puskar Raj","non-dropping-particle":"","parse-names":false,"suffix":""},{"dropping-particle":"","family":"Levy","given":"Jens W.","non-dropping-particle":"","parse-names":false,"suffix":""},{"dropping-particle":"","family":"Rest","given":"Job","non-dropping-particle":"Van","parse-names":false,"suffix":""},{"dropping-particle":"","family":"Gurung","given":"Suman Chandra","non-dropping-particle":"","parse-names":false,"suffix":""},{"dropping-particle":"","family":"Dhital","given":"Raghu","non-dropping-particle":"","parse-names":false,"suffix":""},{"dropping-particle":"","family":"Lönnroth","given":"Knut","non-dropping-particle":"","parse-names":false,"suffix":""},{"dropping-particle":"","family":"Squire","given":"S. Bertel","non-dropping-particle":"","parse-names":false,"suffix":""},{"dropping-particle":"","family":"Caws","given":"Maxine","non-dropping-particle":"","parse-names":false,"suffix":""},{"dropping-particle":"","family":"Wingfield","given":"Tom","non-dropping-particle":"","parse-names":false,"suffix":""}],"container-title":"Tropical Medicine and Infectious Disease","id":"ITEM-1","issue":"2","issued":{"date-parts":[["2020"]]},"page":"1-15","title":"Developing feasible, locally appropriate socioeconomic support for TB-affected households in Nepal","type":"article-journal","volume":"5"},"uris":["http://www.mendeley.com/documents/?uuid=d535ca02-b1c1-43f5-87d1-14629dd94752"]}],"mendeley":{"formattedCitation":"&lt;sup&gt;19&lt;/sup&gt;","plainTextFormattedCitation":"19","previouslyFormattedCitation":"&lt;sup&gt;19&lt;/sup&gt;"},"properties":{"noteIndex":0},"schema":"https://github.com/citation-style-language/schema/raw/master/csl-citation.json"}</w:instrText>
      </w:r>
      <w:r w:rsidR="00A422D0" w:rsidRPr="00213D44">
        <w:rPr>
          <w:bCs/>
          <w:sz w:val="24"/>
          <w:szCs w:val="24"/>
        </w:rPr>
        <w:fldChar w:fldCharType="separate"/>
      </w:r>
      <w:r w:rsidR="00DE199B" w:rsidRPr="00DE199B">
        <w:rPr>
          <w:bCs/>
          <w:noProof/>
          <w:sz w:val="24"/>
          <w:szCs w:val="24"/>
          <w:vertAlign w:val="superscript"/>
        </w:rPr>
        <w:t>19</w:t>
      </w:r>
      <w:r w:rsidR="00A422D0" w:rsidRPr="00213D44">
        <w:rPr>
          <w:bCs/>
          <w:sz w:val="24"/>
          <w:szCs w:val="24"/>
        </w:rPr>
        <w:fldChar w:fldCharType="end"/>
      </w:r>
    </w:p>
    <w:p w14:paraId="32F9AB82" w14:textId="4C031A8E" w:rsidR="000715EF" w:rsidRDefault="000715EF" w:rsidP="0081142F">
      <w:pPr>
        <w:autoSpaceDE w:val="0"/>
        <w:autoSpaceDN w:val="0"/>
        <w:adjustRightInd w:val="0"/>
        <w:spacing w:after="0" w:line="276" w:lineRule="auto"/>
        <w:jc w:val="both"/>
        <w:rPr>
          <w:bCs/>
          <w:sz w:val="24"/>
          <w:szCs w:val="24"/>
        </w:rPr>
      </w:pPr>
      <w:r>
        <w:rPr>
          <w:bCs/>
          <w:sz w:val="24"/>
          <w:szCs w:val="24"/>
        </w:rPr>
        <w:t xml:space="preserve"> </w:t>
      </w:r>
    </w:p>
    <w:p w14:paraId="49268234" w14:textId="6A28340B" w:rsidR="00BD6CDA" w:rsidRDefault="000715EF" w:rsidP="0081142F">
      <w:pPr>
        <w:autoSpaceDE w:val="0"/>
        <w:autoSpaceDN w:val="0"/>
        <w:adjustRightInd w:val="0"/>
        <w:spacing w:after="0" w:line="276" w:lineRule="auto"/>
        <w:jc w:val="both"/>
        <w:rPr>
          <w:bCs/>
          <w:sz w:val="24"/>
          <w:szCs w:val="24"/>
        </w:rPr>
      </w:pPr>
      <w:r w:rsidRPr="00AA09C4">
        <w:rPr>
          <w:bCs/>
          <w:sz w:val="24"/>
          <w:szCs w:val="24"/>
        </w:rPr>
        <w:t xml:space="preserve">Participants in support arms will receive either a social support intervention, economic support intervention, or integrated socioeconomic support intervention. Figure </w:t>
      </w:r>
      <w:r w:rsidR="0080220E">
        <w:rPr>
          <w:bCs/>
          <w:sz w:val="24"/>
          <w:szCs w:val="24"/>
        </w:rPr>
        <w:t>7</w:t>
      </w:r>
      <w:r w:rsidRPr="00AA09C4">
        <w:rPr>
          <w:bCs/>
          <w:sz w:val="24"/>
          <w:szCs w:val="24"/>
        </w:rPr>
        <w:t xml:space="preserve"> gives further details of activities in each intervention. </w:t>
      </w:r>
      <w:r w:rsidR="00B7512F" w:rsidRPr="00AA09C4">
        <w:rPr>
          <w:bCs/>
          <w:sz w:val="24"/>
          <w:szCs w:val="24"/>
        </w:rPr>
        <w:t>Interventions will be piloted in approximately 2-3 recruited TB-affected households per study site</w:t>
      </w:r>
      <w:r w:rsidR="00ED2E4F" w:rsidRPr="00AA09C4">
        <w:rPr>
          <w:bCs/>
          <w:sz w:val="24"/>
          <w:szCs w:val="24"/>
        </w:rPr>
        <w:t xml:space="preserve">. </w:t>
      </w:r>
      <w:r w:rsidR="00B7512F" w:rsidRPr="008E15E3">
        <w:rPr>
          <w:bCs/>
          <w:sz w:val="24"/>
          <w:szCs w:val="24"/>
        </w:rPr>
        <w:t>ASCOT team members will review the implementation</w:t>
      </w:r>
      <w:r w:rsidR="008E15E3">
        <w:rPr>
          <w:bCs/>
          <w:sz w:val="24"/>
          <w:szCs w:val="24"/>
        </w:rPr>
        <w:t xml:space="preserve"> </w:t>
      </w:r>
      <w:r w:rsidR="00B7512F" w:rsidRPr="00AA09C4">
        <w:rPr>
          <w:bCs/>
          <w:sz w:val="24"/>
          <w:szCs w:val="24"/>
        </w:rPr>
        <w:t xml:space="preserve">of intervention after this initial pilot and may adapt or refine activities within </w:t>
      </w:r>
      <w:r w:rsidR="00ED2E4F" w:rsidRPr="00AA09C4">
        <w:rPr>
          <w:bCs/>
          <w:sz w:val="24"/>
          <w:szCs w:val="24"/>
        </w:rPr>
        <w:t xml:space="preserve">the </w:t>
      </w:r>
      <w:r w:rsidR="00B7512F" w:rsidRPr="00AA09C4">
        <w:rPr>
          <w:bCs/>
          <w:sz w:val="24"/>
          <w:szCs w:val="24"/>
        </w:rPr>
        <w:t>intervention. This could include adaptations in dose (</w:t>
      </w:r>
      <w:proofErr w:type="gramStart"/>
      <w:r w:rsidR="00B7512F" w:rsidRPr="00AA09C4">
        <w:rPr>
          <w:bCs/>
          <w:sz w:val="24"/>
          <w:szCs w:val="24"/>
        </w:rPr>
        <w:t>e.g.</w:t>
      </w:r>
      <w:proofErr w:type="gramEnd"/>
      <w:r w:rsidR="00B7512F" w:rsidRPr="00AA09C4">
        <w:rPr>
          <w:bCs/>
          <w:sz w:val="24"/>
          <w:szCs w:val="24"/>
        </w:rPr>
        <w:t xml:space="preserve"> frequency of economic or social support) and mode or mechanism of delivery (e.g. mechanism of economic support could be phone, cash, or bank transfer; social support could be delivered at home, in a community setting, or both).</w:t>
      </w:r>
      <w:r w:rsidR="005E4B63" w:rsidRPr="00AA09C4">
        <w:rPr>
          <w:bCs/>
          <w:sz w:val="24"/>
          <w:szCs w:val="24"/>
        </w:rPr>
        <w:t xml:space="preserve"> </w:t>
      </w:r>
      <w:r w:rsidR="00ED2E4F" w:rsidRPr="00AA09C4">
        <w:rPr>
          <w:bCs/>
          <w:sz w:val="24"/>
          <w:szCs w:val="24"/>
        </w:rPr>
        <w:t xml:space="preserve">At this “decision point” juncture, the interim progress review findings will be shared with the TSC and a TSC meeting scheduled to discuss these findings. </w:t>
      </w:r>
      <w:r w:rsidR="005E4B63" w:rsidRPr="00AA09C4">
        <w:rPr>
          <w:bCs/>
          <w:sz w:val="24"/>
          <w:szCs w:val="24"/>
        </w:rPr>
        <w:t xml:space="preserve">Expectations for cash transfer receipt will be </w:t>
      </w:r>
      <w:r w:rsidR="00ED2E4F" w:rsidRPr="00AA09C4">
        <w:rPr>
          <w:bCs/>
          <w:sz w:val="24"/>
          <w:szCs w:val="24"/>
        </w:rPr>
        <w:t xml:space="preserve">aligned with Nepal NTP strategy goals including regular </w:t>
      </w:r>
      <w:r w:rsidR="005E4B63" w:rsidRPr="00AA09C4">
        <w:rPr>
          <w:bCs/>
          <w:sz w:val="24"/>
          <w:szCs w:val="24"/>
        </w:rPr>
        <w:t>adherence to TB medication and household contacts attending TB clinics for screening.</w:t>
      </w:r>
    </w:p>
    <w:p w14:paraId="230811A1" w14:textId="77777777" w:rsidR="006D04AD" w:rsidRDefault="006D04AD" w:rsidP="0081142F">
      <w:pPr>
        <w:autoSpaceDE w:val="0"/>
        <w:autoSpaceDN w:val="0"/>
        <w:adjustRightInd w:val="0"/>
        <w:spacing w:after="0" w:line="276" w:lineRule="auto"/>
        <w:jc w:val="both"/>
        <w:rPr>
          <w:bCs/>
          <w:sz w:val="24"/>
          <w:szCs w:val="24"/>
        </w:rPr>
      </w:pPr>
    </w:p>
    <w:p w14:paraId="40A143E2" w14:textId="7B4BB913" w:rsidR="00ED2E4F" w:rsidRDefault="00ED2E4F" w:rsidP="0081142F">
      <w:pPr>
        <w:autoSpaceDE w:val="0"/>
        <w:autoSpaceDN w:val="0"/>
        <w:adjustRightInd w:val="0"/>
        <w:spacing w:after="0" w:line="276" w:lineRule="auto"/>
        <w:jc w:val="both"/>
        <w:rPr>
          <w:bCs/>
          <w:sz w:val="24"/>
          <w:szCs w:val="24"/>
        </w:rPr>
      </w:pPr>
      <w:r>
        <w:rPr>
          <w:bCs/>
          <w:sz w:val="24"/>
          <w:szCs w:val="24"/>
        </w:rPr>
        <w:t>Following refinements by BNMT team and TSC inputs, recruitment will pro</w:t>
      </w:r>
      <w:r w:rsidR="001D73BC">
        <w:rPr>
          <w:bCs/>
          <w:sz w:val="24"/>
          <w:szCs w:val="24"/>
        </w:rPr>
        <w:t>c</w:t>
      </w:r>
      <w:r>
        <w:rPr>
          <w:bCs/>
          <w:sz w:val="24"/>
          <w:szCs w:val="24"/>
        </w:rPr>
        <w:t>eed.</w:t>
      </w:r>
      <w:r w:rsidR="001D73BC">
        <w:rPr>
          <w:bCs/>
          <w:sz w:val="24"/>
          <w:szCs w:val="24"/>
        </w:rPr>
        <w:t xml:space="preserve"> Agai</w:t>
      </w:r>
      <w:r w:rsidR="007B60A7">
        <w:rPr>
          <w:bCs/>
          <w:sz w:val="24"/>
          <w:szCs w:val="24"/>
        </w:rPr>
        <w:t xml:space="preserve">n, when a study site reaches 32 </w:t>
      </w:r>
      <w:r w:rsidR="001D73BC">
        <w:rPr>
          <w:bCs/>
          <w:sz w:val="24"/>
          <w:szCs w:val="24"/>
        </w:rPr>
        <w:t xml:space="preserve">recruited participants, recruitment will discontinue in that district. This </w:t>
      </w:r>
      <w:r w:rsidR="001D73BC">
        <w:rPr>
          <w:bCs/>
          <w:sz w:val="24"/>
          <w:szCs w:val="24"/>
        </w:rPr>
        <w:lastRenderedPageBreak/>
        <w:t>provides ample allowance for completion of intervention act</w:t>
      </w:r>
      <w:r w:rsidR="007B60A7">
        <w:rPr>
          <w:bCs/>
          <w:sz w:val="24"/>
          <w:szCs w:val="24"/>
        </w:rPr>
        <w:t xml:space="preserve">ivities and three surveys in 32 </w:t>
      </w:r>
      <w:r w:rsidR="001D73BC">
        <w:rPr>
          <w:bCs/>
          <w:sz w:val="24"/>
          <w:szCs w:val="24"/>
        </w:rPr>
        <w:t xml:space="preserve">participants given the predicted attrition rate of </w:t>
      </w:r>
      <w:r w:rsidR="001D73BC">
        <w:rPr>
          <w:rFonts w:cstheme="minorHAnsi"/>
          <w:bCs/>
          <w:sz w:val="24"/>
          <w:szCs w:val="24"/>
        </w:rPr>
        <w:t>≤</w:t>
      </w:r>
      <w:r w:rsidR="001D73BC">
        <w:rPr>
          <w:bCs/>
          <w:sz w:val="24"/>
          <w:szCs w:val="24"/>
        </w:rPr>
        <w:t>10% in the study sites.</w:t>
      </w:r>
      <w:r>
        <w:rPr>
          <w:bCs/>
          <w:sz w:val="24"/>
          <w:szCs w:val="24"/>
        </w:rPr>
        <w:t xml:space="preserve"> </w:t>
      </w:r>
    </w:p>
    <w:p w14:paraId="0E10C355" w14:textId="34224E2D" w:rsidR="00E759B4" w:rsidRDefault="00E759B4" w:rsidP="0081142F">
      <w:pPr>
        <w:autoSpaceDE w:val="0"/>
        <w:autoSpaceDN w:val="0"/>
        <w:adjustRightInd w:val="0"/>
        <w:spacing w:after="0" w:line="276" w:lineRule="auto"/>
        <w:jc w:val="both"/>
        <w:rPr>
          <w:bCs/>
          <w:sz w:val="24"/>
          <w:szCs w:val="24"/>
        </w:rPr>
      </w:pPr>
    </w:p>
    <w:p w14:paraId="1B18B178" w14:textId="24D2CB89" w:rsidR="0005056A" w:rsidRPr="00A422D0" w:rsidRDefault="0005056A" w:rsidP="0081142F">
      <w:pPr>
        <w:autoSpaceDE w:val="0"/>
        <w:autoSpaceDN w:val="0"/>
        <w:adjustRightInd w:val="0"/>
        <w:spacing w:after="0" w:line="276" w:lineRule="auto"/>
        <w:jc w:val="both"/>
        <w:rPr>
          <w:bCs/>
          <w:sz w:val="24"/>
          <w:szCs w:val="24"/>
        </w:rPr>
      </w:pPr>
      <w:r w:rsidRPr="00A422D0">
        <w:rPr>
          <w:bCs/>
          <w:sz w:val="24"/>
          <w:szCs w:val="24"/>
        </w:rPr>
        <w:t xml:space="preserve">The longitudinal survey data detailing participant feedback will form part of the process evaluation of </w:t>
      </w:r>
      <w:r w:rsidR="00A422D0" w:rsidRPr="00A422D0">
        <w:rPr>
          <w:bCs/>
          <w:sz w:val="24"/>
          <w:szCs w:val="24"/>
        </w:rPr>
        <w:t>the acceptability and feasibility of the ASCOT intervention</w:t>
      </w:r>
      <w:r w:rsidRPr="00A422D0">
        <w:rPr>
          <w:bCs/>
          <w:sz w:val="24"/>
          <w:szCs w:val="24"/>
        </w:rPr>
        <w:t xml:space="preserve">. </w:t>
      </w:r>
      <w:r w:rsidR="00A422D0">
        <w:rPr>
          <w:bCs/>
          <w:sz w:val="24"/>
          <w:szCs w:val="24"/>
        </w:rPr>
        <w:t>This will be supplemented by r</w:t>
      </w:r>
      <w:r w:rsidR="00A422D0" w:rsidRPr="00A422D0">
        <w:rPr>
          <w:bCs/>
          <w:sz w:val="24"/>
          <w:szCs w:val="24"/>
        </w:rPr>
        <w:t xml:space="preserve">eal-time self-reported </w:t>
      </w:r>
      <w:r w:rsidR="00A422D0">
        <w:rPr>
          <w:bCs/>
          <w:sz w:val="24"/>
          <w:szCs w:val="24"/>
        </w:rPr>
        <w:t xml:space="preserve">ASCOT </w:t>
      </w:r>
      <w:r w:rsidR="00A422D0" w:rsidRPr="00A422D0">
        <w:rPr>
          <w:bCs/>
          <w:sz w:val="24"/>
          <w:szCs w:val="24"/>
        </w:rPr>
        <w:t>project feedback, and time and expense diaries of BNMT implementers, inclu</w:t>
      </w:r>
      <w:r w:rsidR="00A74AC2">
        <w:rPr>
          <w:bCs/>
          <w:sz w:val="24"/>
          <w:szCs w:val="24"/>
        </w:rPr>
        <w:t xml:space="preserve">ding DPCs and community health supervisor. </w:t>
      </w:r>
      <w:r w:rsidR="00A422D0" w:rsidRPr="00A422D0">
        <w:rPr>
          <w:bCs/>
          <w:sz w:val="24"/>
          <w:szCs w:val="24"/>
        </w:rPr>
        <w:t xml:space="preserve">This data will be </w:t>
      </w:r>
      <w:r w:rsidR="00A422D0">
        <w:rPr>
          <w:bCs/>
          <w:sz w:val="24"/>
          <w:szCs w:val="24"/>
        </w:rPr>
        <w:t xml:space="preserve">further </w:t>
      </w:r>
      <w:r w:rsidR="00A422D0" w:rsidRPr="00A422D0">
        <w:rPr>
          <w:bCs/>
          <w:sz w:val="24"/>
          <w:szCs w:val="24"/>
        </w:rPr>
        <w:t xml:space="preserve">complemented by the enhanced process evaluation aiming to evaluate health systems readiness and scalability of the ASCOT intervention. </w:t>
      </w:r>
      <w:r w:rsidRPr="00A422D0">
        <w:rPr>
          <w:bCs/>
          <w:sz w:val="24"/>
          <w:szCs w:val="24"/>
        </w:rPr>
        <w:t xml:space="preserve"> </w:t>
      </w:r>
    </w:p>
    <w:p w14:paraId="3545F91A" w14:textId="77777777" w:rsidR="00B7512F" w:rsidRDefault="00B7512F" w:rsidP="0081142F">
      <w:pPr>
        <w:autoSpaceDE w:val="0"/>
        <w:autoSpaceDN w:val="0"/>
        <w:adjustRightInd w:val="0"/>
        <w:spacing w:after="0" w:line="276" w:lineRule="auto"/>
        <w:jc w:val="both"/>
        <w:rPr>
          <w:bCs/>
          <w:sz w:val="24"/>
          <w:szCs w:val="24"/>
        </w:rPr>
      </w:pPr>
    </w:p>
    <w:p w14:paraId="5B36B036" w14:textId="1AAB1123" w:rsidR="00026107" w:rsidRDefault="008B06AF" w:rsidP="00026107">
      <w:pPr>
        <w:autoSpaceDE w:val="0"/>
        <w:autoSpaceDN w:val="0"/>
        <w:adjustRightInd w:val="0"/>
        <w:spacing w:after="0" w:line="276" w:lineRule="auto"/>
        <w:jc w:val="both"/>
        <w:rPr>
          <w:bCs/>
          <w:sz w:val="24"/>
          <w:szCs w:val="24"/>
        </w:rPr>
        <w:sectPr w:rsidR="00026107" w:rsidSect="00F164BD">
          <w:pgSz w:w="11906" w:h="16838"/>
          <w:pgMar w:top="1440" w:right="1440" w:bottom="1440" w:left="1440" w:header="708" w:footer="708" w:gutter="0"/>
          <w:cols w:space="708"/>
          <w:docGrid w:linePitch="360"/>
        </w:sectPr>
      </w:pPr>
      <w:r>
        <w:rPr>
          <w:bCs/>
          <w:sz w:val="24"/>
          <w:szCs w:val="24"/>
        </w:rPr>
        <w:t xml:space="preserve">There will be multiple opportunities during the implementation of the pilot trial to assess for any harms or adverse effects. First, the longitudinal survey </w:t>
      </w:r>
      <w:r w:rsidR="009B0002">
        <w:rPr>
          <w:bCs/>
          <w:sz w:val="24"/>
          <w:szCs w:val="24"/>
        </w:rPr>
        <w:t xml:space="preserve">includes questions related to feedback from participants on the interventions received and involvement in the ASCOT project. Second, after each TB Club is conducted, participants will be asked to provide verbal and then anonymised written feedback on the activities undertaken during the TB Club, including whether they perceive any of the activities to have caused harm or have the potential to cause harm. Third, issues relating to harm or adverse effects of the ASCOT project are included in the topic guides for KIIs and FGDs. </w:t>
      </w:r>
      <w:proofErr w:type="gramStart"/>
      <w:r w:rsidR="009B0002">
        <w:rPr>
          <w:bCs/>
          <w:sz w:val="24"/>
          <w:szCs w:val="24"/>
        </w:rPr>
        <w:t>All of</w:t>
      </w:r>
      <w:proofErr w:type="gramEnd"/>
      <w:r w:rsidR="009B0002">
        <w:rPr>
          <w:bCs/>
          <w:sz w:val="24"/>
          <w:szCs w:val="24"/>
        </w:rPr>
        <w:t xml:space="preserve"> these data will be analysed in real-time during the project and discussed between the ASCOT project team and where necessary the TSC to identify if any remediating actions are required. </w:t>
      </w:r>
      <w:r w:rsidR="00026107">
        <w:rPr>
          <w:bCs/>
          <w:sz w:val="24"/>
          <w:szCs w:val="24"/>
        </w:rPr>
        <w:t xml:space="preserve">The criteria for discontinuing interventions </w:t>
      </w:r>
      <w:proofErr w:type="gramStart"/>
      <w:r w:rsidR="00026107">
        <w:rPr>
          <w:bCs/>
          <w:sz w:val="24"/>
          <w:szCs w:val="24"/>
        </w:rPr>
        <w:t>include</w:t>
      </w:r>
      <w:r>
        <w:rPr>
          <w:bCs/>
          <w:sz w:val="24"/>
          <w:szCs w:val="24"/>
        </w:rPr>
        <w:t>:</w:t>
      </w:r>
      <w:proofErr w:type="gramEnd"/>
      <w:r w:rsidR="00026107">
        <w:rPr>
          <w:bCs/>
          <w:sz w:val="24"/>
          <w:szCs w:val="24"/>
        </w:rPr>
        <w:t xml:space="preserve"> participants who withdraw from</w:t>
      </w:r>
      <w:r>
        <w:rPr>
          <w:bCs/>
          <w:sz w:val="24"/>
          <w:szCs w:val="24"/>
        </w:rPr>
        <w:t xml:space="preserve"> the </w:t>
      </w:r>
      <w:r w:rsidR="009B0002">
        <w:rPr>
          <w:bCs/>
          <w:sz w:val="24"/>
          <w:szCs w:val="24"/>
        </w:rPr>
        <w:t>ASCOT project who, as an individual and inclusive of their household, will no longer receive the intervention; harm or adverse effect is identified that is felt by the project team and TSC to preclude continuation of interventions; and acts of God or unforeseen cuts to the study budget curtailing project activities.</w:t>
      </w:r>
    </w:p>
    <w:p w14:paraId="7BB91776" w14:textId="6C7900CE" w:rsidR="00B7512F" w:rsidRPr="000855E1" w:rsidRDefault="00B7512F" w:rsidP="00B7512F">
      <w:pPr>
        <w:pStyle w:val="Heading3"/>
        <w:rPr>
          <w:rFonts w:asciiTheme="minorHAnsi" w:hAnsiTheme="minorHAnsi" w:cstheme="minorHAnsi"/>
          <w:b/>
          <w:bCs/>
          <w:color w:val="000000" w:themeColor="text1"/>
        </w:rPr>
      </w:pPr>
      <w:bookmarkStart w:id="8" w:name="_Toc89100916"/>
      <w:r w:rsidRPr="000855E1">
        <w:rPr>
          <w:rFonts w:asciiTheme="minorHAnsi" w:hAnsiTheme="minorHAnsi" w:cstheme="minorHAnsi"/>
          <w:b/>
          <w:bCs/>
          <w:color w:val="000000" w:themeColor="text1"/>
        </w:rPr>
        <w:lastRenderedPageBreak/>
        <w:t xml:space="preserve">Figure </w:t>
      </w:r>
      <w:r w:rsidR="0080220E" w:rsidRPr="000855E1">
        <w:rPr>
          <w:rFonts w:asciiTheme="minorHAnsi" w:hAnsiTheme="minorHAnsi" w:cstheme="minorHAnsi"/>
          <w:b/>
          <w:bCs/>
          <w:color w:val="000000" w:themeColor="text1"/>
        </w:rPr>
        <w:t>7</w:t>
      </w:r>
      <w:r w:rsidRPr="000855E1">
        <w:rPr>
          <w:rFonts w:asciiTheme="minorHAnsi" w:hAnsiTheme="minorHAnsi" w:cstheme="minorHAnsi"/>
          <w:b/>
          <w:bCs/>
          <w:color w:val="000000" w:themeColor="text1"/>
        </w:rPr>
        <w:t>: Intervention activities conducted in each study arm</w:t>
      </w:r>
      <w:bookmarkEnd w:id="8"/>
    </w:p>
    <w:p w14:paraId="784FB360" w14:textId="77777777" w:rsidR="004A31A9" w:rsidRPr="004A31A9" w:rsidRDefault="004A31A9" w:rsidP="004A31A9"/>
    <w:p w14:paraId="0B500120" w14:textId="77777777" w:rsidR="00B7512F" w:rsidRDefault="00476FD5" w:rsidP="000E288D">
      <w:pPr>
        <w:autoSpaceDE w:val="0"/>
        <w:autoSpaceDN w:val="0"/>
        <w:adjustRightInd w:val="0"/>
        <w:spacing w:after="0" w:line="276" w:lineRule="auto"/>
        <w:jc w:val="both"/>
        <w:rPr>
          <w:sz w:val="24"/>
          <w:szCs w:val="24"/>
        </w:rPr>
      </w:pPr>
      <w:r w:rsidRPr="00476FD5">
        <w:rPr>
          <w:bCs/>
          <w:noProof/>
          <w:sz w:val="24"/>
          <w:szCs w:val="24"/>
          <w:lang w:val="en-US" w:bidi="ne-NP"/>
        </w:rPr>
        <w:drawing>
          <wp:inline distT="0" distB="0" distL="0" distR="0" wp14:anchorId="7921453D" wp14:editId="60691643">
            <wp:extent cx="6331572" cy="4762500"/>
            <wp:effectExtent l="0" t="0" r="0" b="0"/>
            <wp:docPr id="16" name="Picture 16" descr="C:\Users\Dell\Desktop\Study arm allocat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tudy arm allocation 2.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3709"/>
                    <a:stretch/>
                  </pic:blipFill>
                  <pic:spPr bwMode="auto">
                    <a:xfrm>
                      <a:off x="0" y="0"/>
                      <a:ext cx="6339728" cy="4768635"/>
                    </a:xfrm>
                    <a:prstGeom prst="rect">
                      <a:avLst/>
                    </a:prstGeom>
                    <a:noFill/>
                    <a:ln>
                      <a:noFill/>
                    </a:ln>
                    <a:extLst>
                      <a:ext uri="{53640926-AAD7-44D8-BBD7-CCE9431645EC}">
                        <a14:shadowObscured xmlns:a14="http://schemas.microsoft.com/office/drawing/2010/main"/>
                      </a:ext>
                    </a:extLst>
                  </pic:spPr>
                </pic:pic>
              </a:graphicData>
            </a:graphic>
          </wp:inline>
        </w:drawing>
      </w:r>
    </w:p>
    <w:p w14:paraId="5C93A956" w14:textId="14CA64DD" w:rsidR="000855E1" w:rsidRPr="000855E1" w:rsidRDefault="000855E1" w:rsidP="000E288D">
      <w:pPr>
        <w:autoSpaceDE w:val="0"/>
        <w:autoSpaceDN w:val="0"/>
        <w:adjustRightInd w:val="0"/>
        <w:spacing w:after="0" w:line="276" w:lineRule="auto"/>
        <w:jc w:val="both"/>
        <w:rPr>
          <w:i/>
          <w:iCs/>
          <w:sz w:val="24"/>
          <w:szCs w:val="24"/>
        </w:rPr>
        <w:sectPr w:rsidR="000855E1" w:rsidRPr="000855E1" w:rsidSect="00B7512F">
          <w:pgSz w:w="16838" w:h="11906" w:orient="landscape"/>
          <w:pgMar w:top="1440" w:right="1440" w:bottom="1440" w:left="1440" w:header="708" w:footer="708" w:gutter="0"/>
          <w:cols w:space="708"/>
          <w:docGrid w:linePitch="360"/>
        </w:sectPr>
      </w:pPr>
      <w:r>
        <w:rPr>
          <w:i/>
          <w:iCs/>
          <w:sz w:val="24"/>
          <w:szCs w:val="24"/>
        </w:rPr>
        <w:t>Abbreviations: ASCOT = the “Addressing the Social Determinants and Consequences of Tuberculosis” project; UCT = unconditional cash transfer; NTCC = Nepal National Tuberculosis Control Centre; TB = tuberculosis.</w:t>
      </w:r>
    </w:p>
    <w:p w14:paraId="2FC77BE5" w14:textId="7BA898CC" w:rsidR="00E759B4" w:rsidRPr="0043060F" w:rsidRDefault="0043060F" w:rsidP="00E759B4">
      <w:pPr>
        <w:autoSpaceDE w:val="0"/>
        <w:autoSpaceDN w:val="0"/>
        <w:adjustRightInd w:val="0"/>
        <w:spacing w:after="0" w:line="276" w:lineRule="auto"/>
        <w:jc w:val="both"/>
        <w:rPr>
          <w:b/>
          <w:bCs/>
          <w:i/>
          <w:iCs/>
          <w:sz w:val="24"/>
          <w:szCs w:val="24"/>
        </w:rPr>
      </w:pPr>
      <w:r w:rsidRPr="0043060F">
        <w:rPr>
          <w:b/>
          <w:bCs/>
          <w:i/>
          <w:iCs/>
          <w:sz w:val="24"/>
          <w:szCs w:val="24"/>
        </w:rPr>
        <w:lastRenderedPageBreak/>
        <w:t>Complementary enhanced process evaluation</w:t>
      </w:r>
    </w:p>
    <w:p w14:paraId="0DFAC3A5" w14:textId="77777777" w:rsidR="0043060F" w:rsidRDefault="0043060F" w:rsidP="00E759B4">
      <w:pPr>
        <w:autoSpaceDE w:val="0"/>
        <w:autoSpaceDN w:val="0"/>
        <w:adjustRightInd w:val="0"/>
        <w:spacing w:after="0" w:line="276" w:lineRule="auto"/>
        <w:jc w:val="both"/>
        <w:rPr>
          <w:sz w:val="24"/>
          <w:szCs w:val="24"/>
        </w:rPr>
      </w:pPr>
    </w:p>
    <w:p w14:paraId="3BF1C95C" w14:textId="3B141879" w:rsidR="000D772E" w:rsidRDefault="00A422D0" w:rsidP="000D772E">
      <w:pPr>
        <w:autoSpaceDE w:val="0"/>
        <w:autoSpaceDN w:val="0"/>
        <w:adjustRightInd w:val="0"/>
        <w:spacing w:after="0" w:line="276" w:lineRule="auto"/>
        <w:jc w:val="both"/>
        <w:rPr>
          <w:sz w:val="24"/>
          <w:szCs w:val="24"/>
        </w:rPr>
      </w:pPr>
      <w:r>
        <w:rPr>
          <w:rStyle w:val="Heading4Char"/>
          <w:rFonts w:asciiTheme="minorHAnsi" w:hAnsiTheme="minorHAnsi" w:cstheme="minorHAnsi"/>
          <w:i w:val="0"/>
          <w:iCs w:val="0"/>
          <w:color w:val="000000" w:themeColor="text1"/>
          <w:sz w:val="24"/>
          <w:szCs w:val="24"/>
        </w:rPr>
        <w:t>A process evaluation will u</w:t>
      </w:r>
      <w:r w:rsidR="00E759B4" w:rsidRPr="00E759B4">
        <w:rPr>
          <w:sz w:val="24"/>
          <w:szCs w:val="24"/>
        </w:rPr>
        <w:t xml:space="preserve">se and develop </w:t>
      </w:r>
      <w:r>
        <w:rPr>
          <w:sz w:val="24"/>
          <w:szCs w:val="24"/>
        </w:rPr>
        <w:t xml:space="preserve">our </w:t>
      </w:r>
      <w:r w:rsidR="00E759B4" w:rsidRPr="00E759B4">
        <w:rPr>
          <w:sz w:val="24"/>
          <w:szCs w:val="24"/>
        </w:rPr>
        <w:t>mixed methods research techniques</w:t>
      </w:r>
      <w:r w:rsidR="000D772E">
        <w:rPr>
          <w:sz w:val="24"/>
          <w:szCs w:val="24"/>
        </w:rPr>
        <w:fldChar w:fldCharType="begin" w:fldLock="1"/>
      </w:r>
      <w:r w:rsidR="000855E1">
        <w:rPr>
          <w:sz w:val="24"/>
          <w:szCs w:val="24"/>
        </w:rPr>
        <w:instrText>ADDIN CSL_CITATION {"citationItems":[{"id":"ITEM-1","itemData":{"DOI":"10.4269/ajtmh.14-0536","ISSN":"0002-9637","author":[{"dropping-particle":"","family":"Williamson","given":"J.","non-dropping-particle":"","parse-names":false,"suffix":""},{"dropping-particle":"","family":"Ramirez","given":"R.","non-dropping-particle":"","parse-names":false,"suffix":""},{"dropping-particle":"","family":"Wingfield","given":"T.","non-dropping-particle":"","parse-names":false,"suffix":""}],"container-title":"American Journal of Tropical Medicine and Hygiene","id":"ITEM-1","issued":{"date-parts":[["2015"]]},"title":"Health, Healthcare Access, and Use of Traditional Versus Modern Medicine in Remote Peruvian Amazon Communities: A Descriptive Study of Knowledge, Attitudes, and Practices","type":"article-journal"},"uris":["http://www.mendeley.com/documents/?uuid=8afe3104-8cf1-49de-b5ea-ac7ee5f8a679"]},{"id":"ITEM-2","itemData":{"DOI":"10.7861/clinmedicine.16-6-s79","ISSN":"14734893","PMID":"27956446","abstract":"Poverty drives tuberculosis (TB) rates but the approach to TB control has been disproportionately biomedical. In 2015, the World Health Organization's End TB Strategy explicitly identified the need to address the social determinants of TB through socio-economic interventions. However, evidence concerning poverty reduction and cost mitigation strategies is limited. The research described in this article, based on the 2016 Royal College of Physicians Linacre Lecture, aimed to address this knowledge gap. The research was divided into two phases: the first phase was an analysis of a cohort study identifying TB-related costs of TB-affected households and creating a clinically relevant threshold above which those costs became catastrophic; the second was the design, implementation and evaluation of a household randomised controlled evaluation of socio-economic support to improve access to preventive therapy, increase TB cure, and mitigate the effects of catastrophic costs. The first phase showed TB remains a disease of people living in poverty - 'free' TB care was unaffordable for impoverished TB-affected households and incurring catastrophic costs was associated with as many adverse TB treatment outcomes (including death, failure of treatment, lost to follow-up and TB recurrence) as multidrug resistant (MDR) TB. The second phase showed that, in TB-affected households receiving socio-economic support, household contacts were more likely to start and adhere to TB preventive therapy, TB patients were more likely to be cured and households were less likely to incur catastrophic costs. In impoverished Peruvian shantytowns, poverty remains inextricably linked with TB and incurring catastrophic costs predicted adverse TB treatment outcome. A novel socio-economic support intervention increased TB preventive therapy uptake, improved TB treatment success and reduced catastrophic costs. The impact of the intervention on TB control is currently being evaluated by the Community Randomized Evaluation of a Socio-economic Intervention to Prevent TB (CRESIPT) study.","author":[{"dropping-particle":"","family":"Wingfield","given":"Tom","non-dropping-particle":"","parse-names":false,"suffix":""},{"dropping-particle":"","family":"Tovar","given":"Marco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Saunders","given":"Matthew J.","non-dropping-particle":"","parse-names":false,"suffix":""},{"dropping-particle":"","family":"Datta","given":"Sumona","non-dropping-particle":"","parse-names":false,"suffix":""},{"dropping-particle":"","family":"Montoya","given":"Rosario","non-dropping-particle":"","parse-names":false,"suffix":""},{"dropping-particle":"","family":"Ramos","given":"Eric","non-dropping-particle":"","parse-names":false,"suffix":""},{"dropping-particle":"","family":"Lewis","given":"James J.","non-dropping-particle":"","parse-names":false,"suffix":""},{"dropping-particle":"","family":"Gilman","given":"Robert H.","non-dropping-particle":"","parse-names":false,"suffix":""},{"dropping-particle":"","family":"Evans","given":"Carlton","non-dropping-particle":"","parse-names":false,"suffix":""}],"container-title":"Clinical medicine (London, England)","id":"ITEM-2","issued":{"date-parts":[["2016"]]},"page":"s79-s91","title":"Beyond pills and tests: addressing the social determinants of tuberculosis","type":"article-journal","volume":"16"},"uris":["http://www.mendeley.com/documents/?uuid=d8723d3c-6dbe-4119-a8ee-0efabbd84923"]},{"id":"ITEM-3","itemData":{"DOI":"10.1186/s12889-015-2128-0","ISBN":"1471-2458 (Electronic)\r1471-2458 (Linking)","ISSN":"14712458","PMID":"26293238","abstract":"Cash transfers are key interventions in the World Health Organisation’s post-2015 global TB policy. However, evidence guiding TB-specific cash transfer implementation is limited. We designed, implemented and refined a novel TB-specific socioeconomic intervention that included cash transfers, which aimed to support TB prevention and cure in resource-constrained shantytowns in Lima, Peru for: the Community Randomized Evaluation of a Socioeconomic Intervention to Prevent TB (CRESIPT) project.","author":[{"dropping-particle":"","family":"Wingfield","given":"Tom","non-dropping-particle":"","parse-names":false,"suffix":""},{"dropping-particle":"","family":"Boccia","given":"Delia","non-dropping-particle":"","parse-names":false,"suffix":""},{"dropping-particle":"","family":"Tovar","given":"Marco A.","non-dropping-particle":"","parse-names":false,"suffix":""},{"dropping-particle":"","family":"Huff","given":"Doug","non-dropping-particle":"","parse-names":false,"suffix":""},{"dropping-particle":"","family":"Montoya","given":"Rosario","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A.","non-dropping-particle":"","parse-names":false,"suffix":""}],"container-title":"BMC Public Health","id":"ITEM-3","issue":"1","issued":{"date-parts":[["2015"]]},"page":"1-16","publisher":"BMC Public Health","title":"Designing and implementing a socioeconomic intervention to enhance TB control: Operational evidence from the CRESIPT project in Peru","type":"article-journal","volume":"15"},"uris":["http://www.mendeley.com/documents/?uuid=a9f55e22-d703-4048-a8af-bc24fddec03f"]},{"id":"ITEM-4","itemData":{"abstract":"Introduction Reducing poverty and health inequality remain a global imperative, enshrined in the United Nation’s Sustainable Development Goals. Poorer people have a higher likelihood of ill-health, malnutrition, and limited healthcare access. This talk will highlight that there are few infectious diseases that better illustrate this health-wealth association than TB, the archetypal disease of poverty. Objectives • To understand the social determinants of TB infection, disease, and adverse TB treatment outcomes • To explore the socioeconomic consequences at an individual- and household-level of being ill with TB disease • To review the available evidence on the health and non-health impacts of socioeconomic support for TB-affected households Presentation Summary This presentation will give a brief overview of the intimate relationship of TB and poverty throughout history. It will then describe recent research addressing the social determinants of TB, including the development of an innovative WHO-endorsed threshold for measuring catastrophic costs of TB-affected households and results from the world’s first trial of an integrated socioeconomic intervention to improve TB prevention and cure in TB-affected households (the “HRESIPT” and “CRESIPT” trials in Peru). Finally, the talk will disseminate preliminary results of ongoing studies developing and evaluating socioeconomic interventions for TB-affected households in Nepal, Vietnam and Mozambique. Conclusions It is hoped that the findings from the expansion of this multi-disciplinary research addressing the social determinants of TB, which involves strong community participation, will lead to policy and practice changes that reduce poverty and improve health and wellbeing of TB-affected households in diverse country settings.","author":[{"dropping-particle":"","family":"Dixit","given":"K","non-dropping-particle":"","parse-names":false,"suffix":""},{"dropping-particle":"","family":"Rai","given":"B","non-dropping-particle":"","parse-names":false,"suffix":""},{"dropping-particle":"","family":"Gurung","given":"SC","non-dropping-particle":"","parse-names":false,"suffix":""},{"dropping-particle":"","family":"Dhital","given":"R","non-dropping-particle":"","parse-names":false,"suffix":""},{"dropping-particle":"","family":"Siqueira Filha","given":"N","non-dropping-particle":"","parse-names":false,"suffix":""},{"dropping-particle":"","family":"Wingfield","given":"T","non-dropping-particle":"","parse-names":false,"suffix":""}],"container-title":"European Congress on Tropical Medicine and International Health","id":"ITEM-4","issued":{"date-parts":[["2019"]]},"title":"Addressing the social determinants and consequences of tuberculosis in Nepal","type":"paper-conference"},"uris":["http://www.mendeley.com/documents/?uuid=b024415d-5497-4c9f-92f8-5ae4ff9b91d9"]}],"mendeley":{"formattedCitation":"&lt;sup&gt;2,16,33,45&lt;/sup&gt;","plainTextFormattedCitation":"2,16,33,45","previouslyFormattedCitation":"&lt;sup&gt;2,16,33,45&lt;/sup&gt;"},"properties":{"noteIndex":0},"schema":"https://github.com/citation-style-language/schema/raw/master/csl-citation.json"}</w:instrText>
      </w:r>
      <w:r w:rsidR="000D772E">
        <w:rPr>
          <w:sz w:val="24"/>
          <w:szCs w:val="24"/>
        </w:rPr>
        <w:fldChar w:fldCharType="separate"/>
      </w:r>
      <w:r w:rsidR="00DE199B" w:rsidRPr="00DE199B">
        <w:rPr>
          <w:noProof/>
          <w:sz w:val="24"/>
          <w:szCs w:val="24"/>
          <w:vertAlign w:val="superscript"/>
        </w:rPr>
        <w:t>2,16,33,45</w:t>
      </w:r>
      <w:r w:rsidR="000D772E">
        <w:rPr>
          <w:sz w:val="24"/>
          <w:szCs w:val="24"/>
        </w:rPr>
        <w:fldChar w:fldCharType="end"/>
      </w:r>
      <w:r w:rsidR="00E759B4" w:rsidRPr="00E759B4">
        <w:rPr>
          <w:sz w:val="24"/>
          <w:szCs w:val="24"/>
        </w:rPr>
        <w:t xml:space="preserve"> </w:t>
      </w:r>
      <w:r>
        <w:rPr>
          <w:sz w:val="24"/>
          <w:szCs w:val="24"/>
        </w:rPr>
        <w:t xml:space="preserve">including </w:t>
      </w:r>
      <w:r w:rsidR="00E759B4" w:rsidRPr="00E759B4">
        <w:rPr>
          <w:sz w:val="24"/>
          <w:szCs w:val="24"/>
        </w:rPr>
        <w:t xml:space="preserve">FGDs, </w:t>
      </w:r>
      <w:r>
        <w:rPr>
          <w:sz w:val="24"/>
          <w:szCs w:val="24"/>
        </w:rPr>
        <w:t xml:space="preserve"> </w:t>
      </w:r>
      <w:r w:rsidR="007718A1">
        <w:rPr>
          <w:sz w:val="24"/>
          <w:szCs w:val="24"/>
        </w:rPr>
        <w:t>KIIs</w:t>
      </w:r>
      <w:r>
        <w:rPr>
          <w:sz w:val="24"/>
          <w:szCs w:val="24"/>
        </w:rPr>
        <w:t xml:space="preserve">, </w:t>
      </w:r>
      <w:r w:rsidR="00E759B4" w:rsidRPr="00E759B4">
        <w:rPr>
          <w:sz w:val="24"/>
          <w:szCs w:val="24"/>
        </w:rPr>
        <w:t xml:space="preserve">and </w:t>
      </w:r>
      <w:r>
        <w:rPr>
          <w:sz w:val="24"/>
          <w:szCs w:val="24"/>
        </w:rPr>
        <w:t xml:space="preserve">a participatory </w:t>
      </w:r>
      <w:r w:rsidR="00E759B4" w:rsidRPr="00E759B4">
        <w:rPr>
          <w:sz w:val="24"/>
          <w:szCs w:val="24"/>
        </w:rPr>
        <w:t>workshop</w:t>
      </w:r>
      <w:r w:rsidR="000D772E">
        <w:rPr>
          <w:sz w:val="24"/>
          <w:szCs w:val="24"/>
        </w:rPr>
        <w:t xml:space="preserve">. </w:t>
      </w:r>
      <w:r w:rsidR="00164C9C" w:rsidRPr="00350211">
        <w:rPr>
          <w:sz w:val="24"/>
          <w:szCs w:val="24"/>
        </w:rPr>
        <w:t>The process evaluation will also be enhanced and complemented by an assessment of health systems readiness to deliver the ASCOT intervention and potential scalability of the intervention into routine NTP practice in Nepal.</w:t>
      </w:r>
      <w:r w:rsidR="00164C9C">
        <w:rPr>
          <w:sz w:val="24"/>
          <w:szCs w:val="24"/>
        </w:rPr>
        <w:t xml:space="preserve"> </w:t>
      </w:r>
    </w:p>
    <w:p w14:paraId="0AC4BBD8" w14:textId="5CC9CE19" w:rsidR="00427DA6" w:rsidRDefault="00427DA6" w:rsidP="000D772E">
      <w:pPr>
        <w:autoSpaceDE w:val="0"/>
        <w:autoSpaceDN w:val="0"/>
        <w:adjustRightInd w:val="0"/>
        <w:spacing w:after="0" w:line="276" w:lineRule="auto"/>
        <w:jc w:val="both"/>
        <w:rPr>
          <w:sz w:val="24"/>
          <w:szCs w:val="24"/>
        </w:rPr>
      </w:pPr>
    </w:p>
    <w:p w14:paraId="631C7815" w14:textId="77777777" w:rsidR="00F5268B" w:rsidRDefault="00427DA6" w:rsidP="00F5268B">
      <w:pPr>
        <w:jc w:val="both"/>
        <w:rPr>
          <w:rStyle w:val="Heading4Char"/>
          <w:rFonts w:asciiTheme="minorHAnsi" w:hAnsiTheme="minorHAnsi" w:cstheme="minorHAnsi"/>
          <w:bCs/>
          <w:color w:val="000000" w:themeColor="text1"/>
          <w:sz w:val="24"/>
          <w:szCs w:val="24"/>
        </w:rPr>
      </w:pPr>
      <w:r w:rsidRPr="00D85973">
        <w:rPr>
          <w:rStyle w:val="Heading4Char"/>
          <w:rFonts w:asciiTheme="minorHAnsi" w:hAnsiTheme="minorHAnsi" w:cstheme="minorHAnsi"/>
          <w:bCs/>
          <w:color w:val="000000" w:themeColor="text1"/>
          <w:sz w:val="24"/>
          <w:szCs w:val="24"/>
        </w:rPr>
        <w:t>Health systems readiness</w:t>
      </w:r>
      <w:r w:rsidR="006A1B27" w:rsidRPr="00D85973">
        <w:rPr>
          <w:rStyle w:val="Heading4Char"/>
          <w:rFonts w:asciiTheme="minorHAnsi" w:hAnsiTheme="minorHAnsi" w:cstheme="minorHAnsi"/>
          <w:bCs/>
          <w:color w:val="000000" w:themeColor="text1"/>
          <w:sz w:val="24"/>
          <w:szCs w:val="24"/>
        </w:rPr>
        <w:t xml:space="preserve"> and scalabi</w:t>
      </w:r>
      <w:r w:rsidRPr="00D85973">
        <w:rPr>
          <w:rStyle w:val="Heading4Char"/>
          <w:rFonts w:asciiTheme="minorHAnsi" w:hAnsiTheme="minorHAnsi" w:cstheme="minorHAnsi"/>
          <w:bCs/>
          <w:color w:val="000000" w:themeColor="text1"/>
          <w:sz w:val="24"/>
          <w:szCs w:val="24"/>
        </w:rPr>
        <w:t>lity</w:t>
      </w:r>
    </w:p>
    <w:p w14:paraId="0F679680" w14:textId="69A783F3" w:rsidR="00E759B4" w:rsidRPr="00463954" w:rsidRDefault="00427DA6">
      <w:pPr>
        <w:jc w:val="both"/>
        <w:rPr>
          <w:rStyle w:val="Heading4Char"/>
          <w:rFonts w:asciiTheme="minorHAnsi" w:eastAsiaTheme="minorHAnsi" w:hAnsiTheme="minorHAnsi" w:cstheme="minorBidi"/>
          <w:i w:val="0"/>
          <w:iCs w:val="0"/>
          <w:color w:val="auto"/>
          <w:sz w:val="24"/>
          <w:szCs w:val="24"/>
        </w:rPr>
      </w:pPr>
      <w:r w:rsidRPr="00427DA6">
        <w:rPr>
          <w:sz w:val="24"/>
          <w:szCs w:val="24"/>
        </w:rPr>
        <w:t xml:space="preserve">Even effective interventions will </w:t>
      </w:r>
      <w:r w:rsidRPr="00427DA6">
        <w:rPr>
          <w:i/>
          <w:iCs/>
          <w:sz w:val="24"/>
          <w:szCs w:val="24"/>
        </w:rPr>
        <w:t>not</w:t>
      </w:r>
      <w:r w:rsidRPr="00427DA6">
        <w:rPr>
          <w:sz w:val="24"/>
          <w:szCs w:val="24"/>
        </w:rPr>
        <w:t xml:space="preserve"> have impact unless they can be </w:t>
      </w:r>
      <w:r>
        <w:rPr>
          <w:sz w:val="24"/>
          <w:szCs w:val="24"/>
        </w:rPr>
        <w:t>scaled-up and</w:t>
      </w:r>
      <w:r w:rsidRPr="00427DA6">
        <w:rPr>
          <w:sz w:val="24"/>
          <w:szCs w:val="24"/>
        </w:rPr>
        <w:t xml:space="preserve"> integrated into organizational practices such as care pathways, and normalised into health professionals’ routine practice.</w:t>
      </w:r>
      <w:r w:rsidR="00B10997">
        <w:rPr>
          <w:sz w:val="24"/>
          <w:szCs w:val="24"/>
        </w:rPr>
        <w:fldChar w:fldCharType="begin" w:fldLock="1"/>
      </w:r>
      <w:r w:rsidR="000855E1">
        <w:rPr>
          <w:sz w:val="24"/>
          <w:szCs w:val="24"/>
        </w:rPr>
        <w:instrText>ADDIN CSL_CITATION {"citationItems":[{"id":"ITEM-1","itemData":{"DOI":"10.1136/bmj.f6753","ISSN":"14730480","PMID":"24659611","author":[{"dropping-particle":"","family":"Peters","given":"David H.","non-dropping-particle":"","parse-names":false,"suffix":""},{"dropping-particle":"","family":"Adam","given":"Taghreed","non-dropping-particle":"","parse-names":false,"suffix":""},{"dropping-particle":"","family":"Alonge","given":"Olakunle","non-dropping-particle":"","parse-names":false,"suffix":""},{"dropping-particle":"","family":"Agyepong","given":"Irene Akua","non-dropping-particle":"","parse-names":false,"suffix":""},{"dropping-particle":"","family":"Tran","given":"Nhan","non-dropping-particle":"","parse-names":false,"suffix":""}],"container-title":"British Journal of Sports Medicine","id":"ITEM-1","issue":"8","issued":{"date-parts":[["2014"]]},"page":"731-736","title":"Republished research: Implementation research: What it is and how to do it","type":"article-journal","volume":"48"},"uris":["http://www.mendeley.com/documents/?uuid=2b3d7cc8-dc1b-4d48-8815-2ec3c9b64f6f"]}],"mendeley":{"formattedCitation":"&lt;sup&gt;46&lt;/sup&gt;","plainTextFormattedCitation":"46","previouslyFormattedCitation":"&lt;sup&gt;46&lt;/sup&gt;"},"properties":{"noteIndex":0},"schema":"https://github.com/citation-style-language/schema/raw/master/csl-citation.json"}</w:instrText>
      </w:r>
      <w:r w:rsidR="00B10997">
        <w:rPr>
          <w:sz w:val="24"/>
          <w:szCs w:val="24"/>
        </w:rPr>
        <w:fldChar w:fldCharType="separate"/>
      </w:r>
      <w:r w:rsidR="00DE199B" w:rsidRPr="00DE199B">
        <w:rPr>
          <w:noProof/>
          <w:sz w:val="24"/>
          <w:szCs w:val="24"/>
          <w:vertAlign w:val="superscript"/>
        </w:rPr>
        <w:t>46</w:t>
      </w:r>
      <w:r w:rsidR="00B10997">
        <w:rPr>
          <w:sz w:val="24"/>
          <w:szCs w:val="24"/>
        </w:rPr>
        <w:fldChar w:fldCharType="end"/>
      </w:r>
      <w:r w:rsidR="00B10997">
        <w:rPr>
          <w:sz w:val="24"/>
          <w:szCs w:val="24"/>
        </w:rPr>
        <w:t xml:space="preserve"> </w:t>
      </w:r>
      <w:r w:rsidRPr="00427DA6">
        <w:rPr>
          <w:sz w:val="24"/>
          <w:szCs w:val="24"/>
        </w:rPr>
        <w:t>The pro</w:t>
      </w:r>
      <w:r>
        <w:rPr>
          <w:sz w:val="24"/>
          <w:szCs w:val="24"/>
        </w:rPr>
        <w:t>cess evaluation will include both a health systems readiness and s</w:t>
      </w:r>
      <w:r w:rsidRPr="00427DA6">
        <w:rPr>
          <w:sz w:val="24"/>
          <w:szCs w:val="24"/>
        </w:rPr>
        <w:t>calability assessment. The concept of scalability is relatively new in implementation science.</w:t>
      </w:r>
      <w:r w:rsidR="00B10997">
        <w:rPr>
          <w:sz w:val="24"/>
          <w:szCs w:val="24"/>
        </w:rPr>
        <w:fldChar w:fldCharType="begin" w:fldLock="1"/>
      </w:r>
      <w:r w:rsidR="000855E1">
        <w:rPr>
          <w:sz w:val="24"/>
          <w:szCs w:val="24"/>
        </w:rPr>
        <w:instrText>ADDIN CSL_CITATION {"citationItems":[{"id":"ITEM-1","itemData":{"DOI":"10.1186/1748-5908-8-139","ISSN":"17485908","PMID":"24289295","abstract":"Implementation strategies have unparalleled importance in implementation science, as they constitute the 'how to' component of changing healthcare practice. Yet, implementation researchers and other stakeholders are not able to fully utilize the findings of studies focusing on implementation strategies because they are often inconsistently labelled and poorly described, are rarely justified theoretically, lack operational definitions or manuals to guide their use, and are part of 'packaged' approaches whose specific elements are poorly understood. We address the challenges of specifying and reporting implementation strategies encountered by researchers who design, conduct, and report research on implementation strategies. Specifically, we propose guidelines for naming, defining, and operationalizing implementation strategies in terms of seven dimensions: actor, the action, action targets, temporality, dose, implementation outcomes addressed, and theoretical justification. Ultimately, implementation strategies cannot be used in practice or tested in research without a full description of their components and how they should be used. As with all intervention research, their descriptions must be precise enough to enable measurement and 'reproducibility.' We propose these recommendations to improve the reporting of implementation strategies in research studies and to stimulate further identification of elements pertinent to implementation strategies that should be included in reporting guidelines for implementation strategies. © 2013 Proctor et al.; licensee BioMed Central Ltd.","author":[{"dropping-particle":"","family":"Proctor","given":"Enola K.","non-dropping-particle":"","parse-names":false,"suffix":""},{"dropping-particle":"","family":"Powell","given":"Byron J.","non-dropping-particle":"","parse-names":false,"suffix":""},{"dropping-particle":"","family":"McMillen","given":"J. C.","non-dropping-particle":"","parse-names":false,"suffix":""}],"container-title":"Implementation Science","id":"ITEM-1","issue":"1","issued":{"date-parts":[["2013"]]},"page":"1-11","title":"Implementation strategies: Recommendations for specifying and reporting","type":"article-journal","volume":"8"},"uris":["http://www.mendeley.com/documents/?uuid=6958f5da-817d-4a56-b820-c9f169d4db19"]}],"mendeley":{"formattedCitation":"&lt;sup&gt;47&lt;/sup&gt;","plainTextFormattedCitation":"47","previouslyFormattedCitation":"&lt;sup&gt;47&lt;/sup&gt;"},"properties":{"noteIndex":0},"schema":"https://github.com/citation-style-language/schema/raw/master/csl-citation.json"}</w:instrText>
      </w:r>
      <w:r w:rsidR="00B10997">
        <w:rPr>
          <w:sz w:val="24"/>
          <w:szCs w:val="24"/>
        </w:rPr>
        <w:fldChar w:fldCharType="separate"/>
      </w:r>
      <w:r w:rsidR="00DE199B" w:rsidRPr="00DE199B">
        <w:rPr>
          <w:noProof/>
          <w:sz w:val="24"/>
          <w:szCs w:val="24"/>
          <w:vertAlign w:val="superscript"/>
        </w:rPr>
        <w:t>47</w:t>
      </w:r>
      <w:r w:rsidR="00B10997">
        <w:rPr>
          <w:sz w:val="24"/>
          <w:szCs w:val="24"/>
        </w:rPr>
        <w:fldChar w:fldCharType="end"/>
      </w:r>
      <w:r w:rsidR="006A1B27">
        <w:rPr>
          <w:sz w:val="24"/>
          <w:szCs w:val="24"/>
        </w:rPr>
        <w:t xml:space="preserve"> </w:t>
      </w:r>
      <w:r w:rsidRPr="00427DA6">
        <w:rPr>
          <w:sz w:val="24"/>
          <w:szCs w:val="24"/>
        </w:rPr>
        <w:t xml:space="preserve">It is often thought to be interchangeable with the ability to widen the reach of an intervention. However, there are many more considerations and a lack of attention given to how the intervention will perform under routine conditions or the extent to which it is embedded in a local delivery system will hinder not only the implementation but also the possibility for scale-up. </w:t>
      </w:r>
      <w:r w:rsidR="006A1B27">
        <w:rPr>
          <w:sz w:val="24"/>
          <w:szCs w:val="24"/>
        </w:rPr>
        <w:t>Therefore, i</w:t>
      </w:r>
      <w:r w:rsidRPr="00427DA6">
        <w:rPr>
          <w:sz w:val="24"/>
          <w:szCs w:val="24"/>
        </w:rPr>
        <w:t xml:space="preserve">t is </w:t>
      </w:r>
      <w:r w:rsidR="006A1B27">
        <w:rPr>
          <w:sz w:val="24"/>
          <w:szCs w:val="24"/>
        </w:rPr>
        <w:t xml:space="preserve">of </w:t>
      </w:r>
      <w:r w:rsidRPr="00427DA6">
        <w:rPr>
          <w:sz w:val="24"/>
          <w:szCs w:val="24"/>
        </w:rPr>
        <w:t xml:space="preserve">paramount </w:t>
      </w:r>
      <w:r w:rsidR="006A1B27">
        <w:rPr>
          <w:sz w:val="24"/>
          <w:szCs w:val="24"/>
        </w:rPr>
        <w:t xml:space="preserve">importance </w:t>
      </w:r>
      <w:r w:rsidRPr="00427DA6">
        <w:rPr>
          <w:sz w:val="24"/>
          <w:szCs w:val="24"/>
        </w:rPr>
        <w:t>to assess the potential to scale-up early in the process.</w:t>
      </w:r>
      <w:r w:rsidR="00B10997">
        <w:rPr>
          <w:sz w:val="24"/>
          <w:szCs w:val="24"/>
        </w:rPr>
        <w:fldChar w:fldCharType="begin" w:fldLock="1"/>
      </w:r>
      <w:r w:rsidR="000855E1">
        <w:rPr>
          <w:sz w:val="24"/>
          <w:szCs w:val="24"/>
        </w:rPr>
        <w:instrText>ADDIN CSL_CITATION {"citationItems":[{"id":"ITEM-1","itemData":{"DOI":"10.1136/bmj.i6795","ISSN":"17561833","PMID":"28264797","abstract":"Implementation studies are often poorly reported and indexed, reducing their potential to inform initiatives to improve healthcare services. The Standards for Reporting Implementation Studies (StaRI) initiative aimed to develop guidelines for transparent and accurate reporting of implementation studies. Informed by the findings of a systematic review and a consensus-building e-Delphi exercise, an international working group of implementation science experts discussed and agreed the StaRI Checklist comprising 27 items. It prompts researchers to describe both the implementation strategy (techniques used to promote implementation of an underused evidence-based intervention) and the effectiveness of the inte rvention that was being implemented. Anaccompanying Explanation and Elaboration document (published in BMJ Open, doi:10.1136/ bmjopen-2016-013318) details each of the items, explains the rationale, and provides examples of good reporting practice. Adoption of StaRI will improve the reporting of implementation studies, potentially facilitating translation of research into practice and improving the health of individuals and populations.","author":[{"dropping-particle":"","family":"Pinnock","given":"Hilary","non-dropping-particle":"","parse-names":false,"suffix":""},{"dropping-particle":"","family":"Barwick","given":"Melanie","non-dropping-particle":"","parse-names":false,"suffix":""},{"dropping-particle":"","family":"Carpenter","given":"Christopher R.","non-dropping-particle":"","parse-names":false,"suffix":""},{"dropping-particle":"","family":"Eldridge","given":"Sandra","non-dropping-particle":"","parse-names":false,"suffix":""},{"dropping-particle":"","family":"Grandes","given":"Gonzalo","non-dropping-particle":"","parse-names":false,"suffix":""},{"dropping-particle":"","family":"Griffiths","given":"Chris J.","non-dropping-particle":"","parse-names":false,"suffix":""},{"dropping-particle":"","family":"Rycroft-Malone","given":"Jo","non-dropping-particle":"","parse-names":false,"suffix":""},{"dropping-particle":"","family":"Meissner","given":"Paul","non-dropping-particle":"","parse-names":false,"suffix":""},{"dropping-particle":"","family":"Murray","given":"Elizabeth","non-dropping-particle":"","parse-names":false,"suffix":""},{"dropping-particle":"","family":"Patel","given":"Anita","non-dropping-particle":"","parse-names":false,"suffix":""},{"dropping-particle":"","family":"Sheikh","given":"Aziz","non-dropping-particle":"","parse-names":false,"suffix":""},{"dropping-particle":"","family":"Taylor","given":"Stephanie J.C.","non-dropping-particle":"","parse-names":false,"suffix":""}],"container-title":"BMJ (Online)","id":"ITEM-1","issue":"March","issued":{"date-parts":[["2017"]]},"page":"1-9","title":"Standards for Reporting Implementation Studies (StaRI) Statement","type":"article-journal","volume":"356"},"uris":["http://www.mendeley.com/documents/?uuid=2124956a-2ac0-4e08-855c-67d4b78479ae"]}],"mendeley":{"formattedCitation":"&lt;sup&gt;48&lt;/sup&gt;","plainTextFormattedCitation":"48","previouslyFormattedCitation":"&lt;sup&gt;48&lt;/sup&gt;"},"properties":{"noteIndex":0},"schema":"https://github.com/citation-style-language/schema/raw/master/csl-citation.json"}</w:instrText>
      </w:r>
      <w:r w:rsidR="00B10997">
        <w:rPr>
          <w:sz w:val="24"/>
          <w:szCs w:val="24"/>
        </w:rPr>
        <w:fldChar w:fldCharType="separate"/>
      </w:r>
      <w:r w:rsidR="00DE199B" w:rsidRPr="00DE199B">
        <w:rPr>
          <w:noProof/>
          <w:sz w:val="24"/>
          <w:szCs w:val="24"/>
          <w:vertAlign w:val="superscript"/>
        </w:rPr>
        <w:t>48</w:t>
      </w:r>
      <w:r w:rsidR="00B10997">
        <w:rPr>
          <w:sz w:val="24"/>
          <w:szCs w:val="24"/>
        </w:rPr>
        <w:fldChar w:fldCharType="end"/>
      </w:r>
      <w:r w:rsidR="006A1B27">
        <w:rPr>
          <w:sz w:val="24"/>
          <w:szCs w:val="24"/>
        </w:rPr>
        <w:t xml:space="preserve"> </w:t>
      </w:r>
      <w:r w:rsidRPr="00427DA6">
        <w:rPr>
          <w:sz w:val="24"/>
          <w:szCs w:val="24"/>
        </w:rPr>
        <w:t xml:space="preserve">Prior to </w:t>
      </w:r>
      <w:r>
        <w:rPr>
          <w:sz w:val="24"/>
          <w:szCs w:val="24"/>
        </w:rPr>
        <w:t xml:space="preserve">the FGDs and </w:t>
      </w:r>
      <w:r w:rsidR="007718A1">
        <w:rPr>
          <w:sz w:val="24"/>
          <w:szCs w:val="24"/>
        </w:rPr>
        <w:t>KIIs</w:t>
      </w:r>
      <w:r>
        <w:rPr>
          <w:sz w:val="24"/>
          <w:szCs w:val="24"/>
        </w:rPr>
        <w:t xml:space="preserve"> below</w:t>
      </w:r>
      <w:r w:rsidRPr="00427DA6">
        <w:rPr>
          <w:sz w:val="24"/>
          <w:szCs w:val="24"/>
        </w:rPr>
        <w:t xml:space="preserve">, we will </w:t>
      </w:r>
      <w:r>
        <w:rPr>
          <w:sz w:val="24"/>
          <w:szCs w:val="24"/>
        </w:rPr>
        <w:t xml:space="preserve">develop a brief questionnaire </w:t>
      </w:r>
      <w:r w:rsidR="006A1B27">
        <w:rPr>
          <w:sz w:val="24"/>
          <w:szCs w:val="24"/>
        </w:rPr>
        <w:t>encompassing elements of both h</w:t>
      </w:r>
      <w:r w:rsidRPr="00427DA6">
        <w:rPr>
          <w:sz w:val="24"/>
          <w:szCs w:val="24"/>
        </w:rPr>
        <w:t>ealth systems</w:t>
      </w:r>
      <w:r w:rsidR="00FB2CAC">
        <w:rPr>
          <w:sz w:val="24"/>
          <w:szCs w:val="24"/>
        </w:rPr>
        <w:t>’</w:t>
      </w:r>
      <w:r w:rsidRPr="00427DA6">
        <w:rPr>
          <w:sz w:val="24"/>
          <w:szCs w:val="24"/>
        </w:rPr>
        <w:t xml:space="preserve"> readiness </w:t>
      </w:r>
      <w:r w:rsidR="006A1B27">
        <w:rPr>
          <w:sz w:val="24"/>
          <w:szCs w:val="24"/>
        </w:rPr>
        <w:t xml:space="preserve">and scalability assessment, which will be conducted </w:t>
      </w:r>
      <w:r>
        <w:rPr>
          <w:sz w:val="24"/>
          <w:szCs w:val="24"/>
        </w:rPr>
        <w:t xml:space="preserve">with relevant stakeholders </w:t>
      </w:r>
      <w:r w:rsidR="006A1B27">
        <w:rPr>
          <w:sz w:val="24"/>
          <w:szCs w:val="24"/>
        </w:rPr>
        <w:t xml:space="preserve">prior to their participation in FGDs and </w:t>
      </w:r>
      <w:r w:rsidR="007718A1">
        <w:rPr>
          <w:sz w:val="24"/>
          <w:szCs w:val="24"/>
        </w:rPr>
        <w:t>KIIs</w:t>
      </w:r>
      <w:r w:rsidR="006A1B27">
        <w:rPr>
          <w:sz w:val="24"/>
          <w:szCs w:val="24"/>
        </w:rPr>
        <w:t xml:space="preserve">. Ultimately, the questionnaire, FGD, and </w:t>
      </w:r>
      <w:r w:rsidR="007718A1">
        <w:rPr>
          <w:sz w:val="24"/>
          <w:szCs w:val="24"/>
        </w:rPr>
        <w:t>KIIs</w:t>
      </w:r>
      <w:r w:rsidR="006A1B27">
        <w:rPr>
          <w:sz w:val="24"/>
          <w:szCs w:val="24"/>
        </w:rPr>
        <w:t xml:space="preserve"> will</w:t>
      </w:r>
      <w:r w:rsidRPr="00427DA6">
        <w:rPr>
          <w:sz w:val="24"/>
          <w:szCs w:val="24"/>
        </w:rPr>
        <w:t xml:space="preserve"> </w:t>
      </w:r>
      <w:r w:rsidR="006A1B27">
        <w:rPr>
          <w:sz w:val="24"/>
          <w:szCs w:val="24"/>
        </w:rPr>
        <w:t>collate key stakeholders’ perceptions of the</w:t>
      </w:r>
      <w:r w:rsidRPr="00427DA6">
        <w:rPr>
          <w:sz w:val="24"/>
          <w:szCs w:val="24"/>
        </w:rPr>
        <w:t xml:space="preserve"> </w:t>
      </w:r>
      <w:r>
        <w:rPr>
          <w:sz w:val="24"/>
          <w:szCs w:val="24"/>
        </w:rPr>
        <w:t>in-country</w:t>
      </w:r>
      <w:r w:rsidR="006A1B27">
        <w:rPr>
          <w:sz w:val="24"/>
          <w:szCs w:val="24"/>
        </w:rPr>
        <w:t xml:space="preserve"> capacity to translate the </w:t>
      </w:r>
      <w:r w:rsidRPr="00427DA6">
        <w:rPr>
          <w:sz w:val="24"/>
          <w:szCs w:val="24"/>
        </w:rPr>
        <w:t xml:space="preserve">knowledge generated from </w:t>
      </w:r>
      <w:r>
        <w:rPr>
          <w:sz w:val="24"/>
          <w:szCs w:val="24"/>
        </w:rPr>
        <w:t>ASCOT</w:t>
      </w:r>
      <w:r w:rsidRPr="00427DA6">
        <w:rPr>
          <w:sz w:val="24"/>
          <w:szCs w:val="24"/>
        </w:rPr>
        <w:t xml:space="preserve"> </w:t>
      </w:r>
      <w:r>
        <w:rPr>
          <w:sz w:val="24"/>
          <w:szCs w:val="24"/>
        </w:rPr>
        <w:t>in</w:t>
      </w:r>
      <w:r w:rsidRPr="00427DA6">
        <w:rPr>
          <w:sz w:val="24"/>
          <w:szCs w:val="24"/>
        </w:rPr>
        <w:t>to policy</w:t>
      </w:r>
      <w:r>
        <w:rPr>
          <w:sz w:val="24"/>
          <w:szCs w:val="24"/>
        </w:rPr>
        <w:t xml:space="preserve"> and routine practice</w:t>
      </w:r>
      <w:r w:rsidRPr="00427DA6">
        <w:rPr>
          <w:sz w:val="24"/>
          <w:szCs w:val="24"/>
        </w:rPr>
        <w:t>.</w:t>
      </w:r>
    </w:p>
    <w:p w14:paraId="257078CC" w14:textId="1E34C377" w:rsidR="00F5268B" w:rsidRDefault="00427DA6" w:rsidP="00427DA6">
      <w:pPr>
        <w:autoSpaceDE w:val="0"/>
        <w:autoSpaceDN w:val="0"/>
        <w:adjustRightInd w:val="0"/>
        <w:spacing w:after="0" w:line="276" w:lineRule="auto"/>
        <w:jc w:val="both"/>
        <w:rPr>
          <w:rFonts w:eastAsiaTheme="majorEastAsia" w:cstheme="minorHAnsi"/>
          <w:bCs/>
          <w:iCs/>
          <w:color w:val="000000" w:themeColor="text1"/>
          <w:sz w:val="24"/>
          <w:szCs w:val="24"/>
        </w:rPr>
      </w:pPr>
      <w:bookmarkStart w:id="9" w:name="_Hlk57559873"/>
      <w:r w:rsidRPr="006D04AD">
        <w:rPr>
          <w:rStyle w:val="Heading4Char"/>
          <w:rFonts w:asciiTheme="minorHAnsi" w:hAnsiTheme="minorHAnsi"/>
          <w:color w:val="000000" w:themeColor="text1"/>
          <w:sz w:val="24"/>
          <w:szCs w:val="24"/>
        </w:rPr>
        <w:t>Normalization Process Theory (NPT)</w:t>
      </w:r>
      <w:r w:rsidR="00B10997">
        <w:rPr>
          <w:rStyle w:val="Heading4Char"/>
          <w:rFonts w:asciiTheme="minorHAnsi" w:hAnsiTheme="minorHAnsi"/>
          <w:b/>
          <w:color w:val="000000" w:themeColor="text1"/>
        </w:rPr>
        <w:fldChar w:fldCharType="begin" w:fldLock="1"/>
      </w:r>
      <w:r w:rsidR="000855E1">
        <w:rPr>
          <w:rStyle w:val="Heading4Char"/>
          <w:rFonts w:asciiTheme="minorHAnsi" w:hAnsiTheme="minorHAnsi"/>
          <w:b/>
          <w:color w:val="000000" w:themeColor="text1"/>
        </w:rPr>
        <w:instrText>ADDIN CSL_CITATION {"citationItems":[{"id":"ITEM-1","itemData":{"DOI":"10.1186/1741-7015-8-63","ISSN":"17417015","PMID":"20961442","abstract":"Background: The past decade has seen considerable interest in the development and evaluation of complex interventions to improve health. Such interventions can only have a significant impact on health and health care if they are shown to be effective when tested, are capable of being widely implemented and can be normalised into routine practice. To date, there is still a problematic gap between research and implementation. The Normalisation Process Theory (NPT) addresses the factors needed for successful implementation and integration of interventions into routine work (normalisation).Discussion: In this paper, we suggest that the NPT can act as a sensitising tool, enabling researchers to think through issues of implementation while designing a complex intervention and its evaluation. The need to ensure trial procedures that are feasible and compatible with clinical practice is not limited to trials of complex interventions, and NPT may improve trial design by highlighting potential problems with recruitment or data collection, as well as ensuring the intervention has good implementation potential.Summary: The NPT is a new theory which offers trialists a consistent framework that can be used to describe, assess and enhance implementation potential. We encourage trialists to consider using it in their next trial. © 2010 Murray et al; licensee BioMed Central Ltd.","author":[{"dropping-particle":"","family":"Murray","given":"Elizabeth","non-dropping-particle":"","parse-names":false,"suffix":""},{"dropping-particle":"","family":"Treweek","given":"Shaun","non-dropping-particle":"","parse-names":false,"suffix":""},{"dropping-particle":"","family":"Pope","given":"Catherine","non-dropping-particle":"","parse-names":false,"suffix":""},{"dropping-particle":"","family":"MacFarlane","given":"Anne","non-dropping-particle":"","parse-names":false,"suffix":""},{"dropping-particle":"","family":"Ballini","given":"Luciana","non-dropping-particle":"","parse-names":false,"suffix":""},{"dropping-particle":"","family":"Dowrick","given":"Christopher","non-dropping-particle":"","parse-names":false,"suffix":""},{"dropping-particle":"","family":"Finch","given":"Tracy","non-dropping-particle":"","parse-names":false,"suffix":""},{"dropping-particle":"","family":"Kennedy","given":"Anne","non-dropping-particle":"","parse-names":false,"suffix":""},{"dropping-particle":"","family":"Mair","given":"Frances","non-dropping-particle":"","parse-names":false,"suffix":""},{"dropping-particle":"","family":"O'Donnell","given":"Catherine","non-dropping-particle":"","parse-names":false,"suffix":""},{"dropping-particle":"","family":"Ong","given":"Bie N.","non-dropping-particle":"","parse-names":false,"suffix":""},{"dropping-particle":"","family":"Rapley","given":"Tim","non-dropping-particle":"","parse-names":false,"suffix":""},{"dropping-particle":"","family":"Rogers","given":"Anne","non-dropping-particle":"","parse-names":false,"suffix":""},{"dropping-particle":"","family":"May","given":"Carl","non-dropping-particle":"","parse-names":false,"suffix":""}],"container-title":"BMC Medicine","id":"ITEM-1","issued":{"date-parts":[["2010"]]},"title":"Normalisation process theory: A framework for developing, evaluating and implementing complex interventions","type":"article-journal","volume":"8"},"uris":["http://www.mendeley.com/documents/?uuid=38c319fd-a5aa-40fb-8393-94d9f984c2cb"]}],"mendeley":{"formattedCitation":"&lt;sup&gt;49&lt;/sup&gt;","plainTextFormattedCitation":"49","previouslyFormattedCitation":"&lt;sup&gt;49&lt;/sup&gt;"},"properties":{"noteIndex":0},"schema":"https://github.com/citation-style-language/schema/raw/master/csl-citation.json"}</w:instrText>
      </w:r>
      <w:r w:rsidR="00B10997">
        <w:rPr>
          <w:rStyle w:val="Heading4Char"/>
          <w:rFonts w:asciiTheme="minorHAnsi" w:hAnsiTheme="minorHAnsi"/>
          <w:b/>
          <w:color w:val="000000" w:themeColor="text1"/>
        </w:rPr>
        <w:fldChar w:fldCharType="separate"/>
      </w:r>
      <w:r w:rsidR="00DE199B" w:rsidRPr="00DE199B">
        <w:rPr>
          <w:rStyle w:val="Heading4Char"/>
          <w:rFonts w:asciiTheme="minorHAnsi" w:hAnsiTheme="minorHAnsi"/>
          <w:i w:val="0"/>
          <w:noProof/>
          <w:color w:val="000000" w:themeColor="text1"/>
          <w:vertAlign w:val="superscript"/>
        </w:rPr>
        <w:t>49</w:t>
      </w:r>
      <w:r w:rsidR="00B10997">
        <w:rPr>
          <w:rStyle w:val="Heading4Char"/>
          <w:rFonts w:asciiTheme="minorHAnsi" w:hAnsiTheme="minorHAnsi"/>
          <w:b/>
          <w:color w:val="000000" w:themeColor="text1"/>
        </w:rPr>
        <w:fldChar w:fldCharType="end"/>
      </w:r>
      <w:r>
        <w:rPr>
          <w:rFonts w:eastAsiaTheme="majorEastAsia" w:cstheme="minorHAnsi"/>
          <w:bCs/>
          <w:iCs/>
          <w:color w:val="000000" w:themeColor="text1"/>
          <w:sz w:val="24"/>
          <w:szCs w:val="24"/>
        </w:rPr>
        <w:t xml:space="preserve"> </w:t>
      </w:r>
    </w:p>
    <w:p w14:paraId="4BA33A5D" w14:textId="280E7791" w:rsidR="00427DA6" w:rsidRPr="00427DA6" w:rsidRDefault="00E433ED" w:rsidP="00427DA6">
      <w:pPr>
        <w:autoSpaceDE w:val="0"/>
        <w:autoSpaceDN w:val="0"/>
        <w:adjustRightInd w:val="0"/>
        <w:spacing w:after="0" w:line="276" w:lineRule="auto"/>
        <w:jc w:val="both"/>
        <w:rPr>
          <w:rFonts w:eastAsiaTheme="majorEastAsia" w:cstheme="minorHAnsi"/>
          <w:bCs/>
          <w:iCs/>
          <w:color w:val="000000" w:themeColor="text1"/>
          <w:sz w:val="24"/>
          <w:szCs w:val="24"/>
        </w:rPr>
      </w:pPr>
      <w:r>
        <w:rPr>
          <w:rFonts w:eastAsiaTheme="majorEastAsia" w:cstheme="minorHAnsi"/>
          <w:bCs/>
          <w:iCs/>
          <w:color w:val="000000" w:themeColor="text1"/>
          <w:sz w:val="24"/>
          <w:szCs w:val="24"/>
        </w:rPr>
        <w:t xml:space="preserve">NPT </w:t>
      </w:r>
      <w:r w:rsidR="00427DA6">
        <w:rPr>
          <w:rFonts w:eastAsiaTheme="majorEastAsia" w:cstheme="minorHAnsi"/>
          <w:bCs/>
          <w:iCs/>
          <w:color w:val="000000" w:themeColor="text1"/>
          <w:sz w:val="24"/>
          <w:szCs w:val="24"/>
        </w:rPr>
        <w:t xml:space="preserve">will be used to inform the design of FGDs and </w:t>
      </w:r>
      <w:r w:rsidR="007718A1">
        <w:rPr>
          <w:rFonts w:eastAsiaTheme="majorEastAsia" w:cstheme="minorHAnsi"/>
          <w:bCs/>
          <w:iCs/>
          <w:color w:val="000000" w:themeColor="text1"/>
          <w:sz w:val="24"/>
          <w:szCs w:val="24"/>
        </w:rPr>
        <w:t>KIIs</w:t>
      </w:r>
      <w:r w:rsidR="00427DA6">
        <w:rPr>
          <w:rFonts w:eastAsiaTheme="majorEastAsia" w:cstheme="minorHAnsi"/>
          <w:bCs/>
          <w:iCs/>
          <w:color w:val="000000" w:themeColor="text1"/>
          <w:sz w:val="24"/>
          <w:szCs w:val="24"/>
        </w:rPr>
        <w:t xml:space="preserve"> and support both health system readiness and scalability </w:t>
      </w:r>
      <w:r w:rsidR="006A1B27">
        <w:rPr>
          <w:rFonts w:eastAsiaTheme="majorEastAsia" w:cstheme="minorHAnsi"/>
          <w:bCs/>
          <w:iCs/>
          <w:color w:val="000000" w:themeColor="text1"/>
          <w:sz w:val="24"/>
          <w:szCs w:val="24"/>
        </w:rPr>
        <w:t>assessment</w:t>
      </w:r>
      <w:r w:rsidR="00427DA6">
        <w:rPr>
          <w:rFonts w:eastAsiaTheme="majorEastAsia" w:cstheme="minorHAnsi"/>
          <w:bCs/>
          <w:iCs/>
          <w:color w:val="000000" w:themeColor="text1"/>
          <w:sz w:val="24"/>
          <w:szCs w:val="24"/>
        </w:rPr>
        <w:t xml:space="preserve">. </w:t>
      </w:r>
      <w:r w:rsidR="00427DA6" w:rsidRPr="00427DA6">
        <w:rPr>
          <w:rFonts w:eastAsiaTheme="majorEastAsia" w:cstheme="minorHAnsi"/>
          <w:bCs/>
          <w:iCs/>
          <w:color w:val="000000" w:themeColor="text1"/>
          <w:sz w:val="24"/>
          <w:szCs w:val="24"/>
        </w:rPr>
        <w:t xml:space="preserve">The NPT </w:t>
      </w:r>
      <w:r w:rsidR="00B10997">
        <w:rPr>
          <w:rFonts w:eastAsiaTheme="majorEastAsia" w:cstheme="minorHAnsi"/>
          <w:bCs/>
          <w:iCs/>
          <w:color w:val="000000" w:themeColor="text1"/>
          <w:sz w:val="24"/>
          <w:szCs w:val="24"/>
        </w:rPr>
        <w:t xml:space="preserve">and </w:t>
      </w:r>
      <w:proofErr w:type="spellStart"/>
      <w:r w:rsidR="00B10997">
        <w:rPr>
          <w:rFonts w:eastAsiaTheme="majorEastAsia" w:cstheme="minorHAnsi"/>
          <w:bCs/>
          <w:iCs/>
          <w:color w:val="000000" w:themeColor="text1"/>
          <w:sz w:val="24"/>
          <w:szCs w:val="24"/>
        </w:rPr>
        <w:t>NoMAD</w:t>
      </w:r>
      <w:proofErr w:type="spellEnd"/>
      <w:r w:rsidR="00B10997">
        <w:rPr>
          <w:rFonts w:eastAsiaTheme="majorEastAsia" w:cstheme="minorHAnsi"/>
          <w:bCs/>
          <w:iCs/>
          <w:color w:val="000000" w:themeColor="text1"/>
          <w:sz w:val="24"/>
          <w:szCs w:val="24"/>
        </w:rPr>
        <w:t xml:space="preserve"> tool</w:t>
      </w:r>
      <w:r w:rsidR="00B10997">
        <w:rPr>
          <w:rFonts w:eastAsiaTheme="majorEastAsia" w:cstheme="minorHAnsi"/>
          <w:bCs/>
          <w:iCs/>
          <w:color w:val="000000" w:themeColor="text1"/>
          <w:sz w:val="24"/>
          <w:szCs w:val="24"/>
        </w:rPr>
        <w:fldChar w:fldCharType="begin" w:fldLock="1"/>
      </w:r>
      <w:r w:rsidR="000855E1">
        <w:rPr>
          <w:rFonts w:eastAsiaTheme="majorEastAsia" w:cstheme="minorHAnsi"/>
          <w:bCs/>
          <w:iCs/>
          <w:color w:val="000000" w:themeColor="text1"/>
          <w:sz w:val="24"/>
          <w:szCs w:val="24"/>
        </w:rPr>
        <w:instrText>ADDIN CSL_CITATION {"citationItems":[{"id":"ITEM-1","itemData":{"DOI":"10.1186/s12874-018-0590-y","ISBN":"1287401805","ISSN":"14712288","PMID":"30442093","abstract":"Background: Understanding and measuring implementation processes is a key challenge for implementation researchers. This study draws on Normalization Process Theory (NPT) to develop an instrument that can be applied to assess, monitor or measure factors likely to affect normalization from the perspective of implementation participants. Methods: An iterative process of instrument development was undertaken using the following methods: theoretical elaboration, item generation and item reduction (team workshops); item appraisal (QAS-99); cognitive testing with complex intervention teams; theory re-validation with NPT experts; and pilot testing of instrument. Results: We initially generated 112 potential questionnaire items; these were then reduced to 47 through team workshops and item appraisal. No concerns about item wording and construction were raised through the item appraisal process. We undertook three rounds of cognitive interviews with professionals (n = 30) involved in the development, evaluation, delivery or reception of complex interventions. We identified minor issues around wording of some items; universal issues around how to engage with people at different time points in an intervention; and conceptual issues around the types of people for whom the instrument should be designed. We managed these by adding extra items (n = 6) and including a new set of option responses: 'not relevant at this stage', 'not relevant to my role' and 'not relevant to this intervention' and decided to design an instrument explicitly for those people either delivering or receiving an intervention. This version of the instrument had 53 items. Twenty-three people with a good working knowledge of NPT reviewed the items for theoretical drift. Items that displayed a poor alignment with NPT sub-constructs were removed (n = 8) and others revised or combined (n = 6). The final instrument, with 43 items, was successfully piloted with five people, with a 100% completion rate of items. Conclusion: The process of moving through cycles of theoretical translation, item generation, cognitive testing, and theoretical (re)validation was essential for maintaining a balance between the theoretical integrity of the NPT concepts and the ease with which intended respondents could answer the questions. The final instrument could be easily understood and completed, while retaining theoretical validity. NoMAD represents a measure that can be used to understand implementation participants' e…","author":[{"dropping-particle":"","family":"Rapley","given":"Tim","non-dropping-particle":"","parse-names":false,"suffix":""},{"dropping-particle":"","family":"Girling","given":"Melissa","non-dropping-particle":"","parse-names":false,"suffix":""},{"dropping-particle":"","family":"Mair","given":"Frances S.","non-dropping-particle":"","parse-names":false,"suffix":""},{"dropping-particle":"","family":"Murray","given":"Elizabeth","non-dropping-particle":"","parse-names":false,"suffix":""},{"dropping-particle":"","family":"Treweek","given":"Shaun","non-dropping-particle":"","parse-names":false,"suffix":""},{"dropping-particle":"","family":"McColl","given":"Elaine","non-dropping-particle":"","parse-names":false,"suffix":""},{"dropping-particle":"","family":"Steen","given":"Ian Nicholas","non-dropping-particle":"","parse-names":false,"suffix":""},{"dropping-particle":"","family":"May","given":"Carl R.","non-dropping-particle":"","parse-names":false,"suffix":""},{"dropping-particle":"","family":"Finch","given":"Tracy L.","non-dropping-particle":"","parse-names":false,"suffix":""}],"container-title":"BMC Medical Research Methodology","id":"ITEM-1","issue":"1","issued":{"date-parts":[["2018"]]},"page":"1-13","publisher":"BMC Medical Research Methodology","title":"Improving the normalization of complex interventions: Part 1 - Development of the NoMAD instrument for assessing implementation work based on normalization process theory (NPT) 17 Psychology and Cognitive Sciences 1701 Psychology","type":"article-journal","volume":"18"},"uris":["http://www.mendeley.com/documents/?uuid=042507bd-6275-44b9-919c-baf01fcc80ed"]}],"mendeley":{"formattedCitation":"&lt;sup&gt;50&lt;/sup&gt;","plainTextFormattedCitation":"50","previouslyFormattedCitation":"&lt;sup&gt;50&lt;/sup&gt;"},"properties":{"noteIndex":0},"schema":"https://github.com/citation-style-language/schema/raw/master/csl-citation.json"}</w:instrText>
      </w:r>
      <w:r w:rsidR="00B10997">
        <w:rPr>
          <w:rFonts w:eastAsiaTheme="majorEastAsia" w:cstheme="minorHAnsi"/>
          <w:bCs/>
          <w:iCs/>
          <w:color w:val="000000" w:themeColor="text1"/>
          <w:sz w:val="24"/>
          <w:szCs w:val="24"/>
        </w:rPr>
        <w:fldChar w:fldCharType="separate"/>
      </w:r>
      <w:r w:rsidR="00DE199B" w:rsidRPr="00DE199B">
        <w:rPr>
          <w:rFonts w:eastAsiaTheme="majorEastAsia" w:cstheme="minorHAnsi"/>
          <w:bCs/>
          <w:iCs/>
          <w:noProof/>
          <w:color w:val="000000" w:themeColor="text1"/>
          <w:sz w:val="24"/>
          <w:szCs w:val="24"/>
          <w:vertAlign w:val="superscript"/>
        </w:rPr>
        <w:t>50</w:t>
      </w:r>
      <w:r w:rsidR="00B10997">
        <w:rPr>
          <w:rFonts w:eastAsiaTheme="majorEastAsia" w:cstheme="minorHAnsi"/>
          <w:bCs/>
          <w:iCs/>
          <w:color w:val="000000" w:themeColor="text1"/>
          <w:sz w:val="24"/>
          <w:szCs w:val="24"/>
        </w:rPr>
        <w:fldChar w:fldCharType="end"/>
      </w:r>
      <w:r w:rsidR="00B10997">
        <w:rPr>
          <w:rFonts w:eastAsiaTheme="majorEastAsia" w:cstheme="minorHAnsi"/>
          <w:bCs/>
          <w:iCs/>
          <w:color w:val="000000" w:themeColor="text1"/>
          <w:sz w:val="24"/>
          <w:szCs w:val="24"/>
        </w:rPr>
        <w:t xml:space="preserve"> describe</w:t>
      </w:r>
      <w:r w:rsidR="00427DA6" w:rsidRPr="00427DA6">
        <w:rPr>
          <w:rFonts w:eastAsiaTheme="majorEastAsia" w:cstheme="minorHAnsi"/>
          <w:bCs/>
          <w:iCs/>
          <w:color w:val="000000" w:themeColor="text1"/>
          <w:sz w:val="24"/>
          <w:szCs w:val="24"/>
        </w:rPr>
        <w:t xml:space="preserve"> four constructs through which stakeholders implement and integrate a new practice into their work: coherence (or sense-making); cognitive participation (or engagement); collective action (work done to enable the intervention to happen); and reflexive monitoring (formal and informal appraisal of the benefits and costs of the intervention).</w:t>
      </w:r>
      <w:r w:rsidR="00B10997">
        <w:rPr>
          <w:rFonts w:eastAsiaTheme="majorEastAsia" w:cstheme="minorHAnsi"/>
          <w:bCs/>
          <w:iCs/>
          <w:color w:val="000000" w:themeColor="text1"/>
          <w:sz w:val="24"/>
          <w:szCs w:val="24"/>
        </w:rPr>
        <w:fldChar w:fldCharType="begin" w:fldLock="1"/>
      </w:r>
      <w:r w:rsidR="000855E1">
        <w:rPr>
          <w:rFonts w:eastAsiaTheme="majorEastAsia" w:cstheme="minorHAnsi"/>
          <w:bCs/>
          <w:iCs/>
          <w:color w:val="000000" w:themeColor="text1"/>
          <w:sz w:val="24"/>
          <w:szCs w:val="24"/>
        </w:rPr>
        <w:instrText>ADDIN CSL_CITATION {"citationItems":[{"id":"ITEM-1","itemData":{"DOI":"10.1186/1741-7015-8-63","ISSN":"17417015","PMID":"20961442","abstract":"Background: The past decade has seen considerable interest in the development and evaluation of complex interventions to improve health. Such interventions can only have a significant impact on health and health care if they are shown to be effective when tested, are capable of being widely implemented and can be normalised into routine practice. To date, there is still a problematic gap between research and implementation. The Normalisation Process Theory (NPT) addresses the factors needed for successful implementation and integration of interventions into routine work (normalisation).Discussion: In this paper, we suggest that the NPT can act as a sensitising tool, enabling researchers to think through issues of implementation while designing a complex intervention and its evaluation. The need to ensure trial procedures that are feasible and compatible with clinical practice is not limited to trials of complex interventions, and NPT may improve trial design by highlighting potential problems with recruitment or data collection, as well as ensuring the intervention has good implementation potential.Summary: The NPT is a new theory which offers trialists a consistent framework that can be used to describe, assess and enhance implementation potential. We encourage trialists to consider using it in their next trial. © 2010 Murray et al; licensee BioMed Central Ltd.","author":[{"dropping-particle":"","family":"Murray","given":"Elizabeth","non-dropping-particle":"","parse-names":false,"suffix":""},{"dropping-particle":"","family":"Treweek","given":"Shaun","non-dropping-particle":"","parse-names":false,"suffix":""},{"dropping-particle":"","family":"Pope","given":"Catherine","non-dropping-particle":"","parse-names":false,"suffix":""},{"dropping-particle":"","family":"MacFarlane","given":"Anne","non-dropping-particle":"","parse-names":false,"suffix":""},{"dropping-particle":"","family":"Ballini","given":"Luciana","non-dropping-particle":"","parse-names":false,"suffix":""},{"dropping-particle":"","family":"Dowrick","given":"Christopher","non-dropping-particle":"","parse-names":false,"suffix":""},{"dropping-particle":"","family":"Finch","given":"Tracy","non-dropping-particle":"","parse-names":false,"suffix":""},{"dropping-particle":"","family":"Kennedy","given":"Anne","non-dropping-particle":"","parse-names":false,"suffix":""},{"dropping-particle":"","family":"Mair","given":"Frances","non-dropping-particle":"","parse-names":false,"suffix":""},{"dropping-particle":"","family":"O'Donnell","given":"Catherine","non-dropping-particle":"","parse-names":false,"suffix":""},{"dropping-particle":"","family":"Ong","given":"Bie N.","non-dropping-particle":"","parse-names":false,"suffix":""},{"dropping-particle":"","family":"Rapley","given":"Tim","non-dropping-particle":"","parse-names":false,"suffix":""},{"dropping-particle":"","family":"Rogers","given":"Anne","non-dropping-particle":"","parse-names":false,"suffix":""},{"dropping-particle":"","family":"May","given":"Carl","non-dropping-particle":"","parse-names":false,"suffix":""}],"container-title":"BMC Medicine","id":"ITEM-1","issued":{"date-parts":[["2010"]]},"title":"Normalisation process theory: A framework for developing, evaluating and implementing complex interventions","type":"article-journal","volume":"8"},"uris":["http://www.mendeley.com/documents/?uuid=38c319fd-a5aa-40fb-8393-94d9f984c2cb"]}],"mendeley":{"formattedCitation":"&lt;sup&gt;49&lt;/sup&gt;","plainTextFormattedCitation":"49","previouslyFormattedCitation":"&lt;sup&gt;49&lt;/sup&gt;"},"properties":{"noteIndex":0},"schema":"https://github.com/citation-style-language/schema/raw/master/csl-citation.json"}</w:instrText>
      </w:r>
      <w:r w:rsidR="00B10997">
        <w:rPr>
          <w:rFonts w:eastAsiaTheme="majorEastAsia" w:cstheme="minorHAnsi"/>
          <w:bCs/>
          <w:iCs/>
          <w:color w:val="000000" w:themeColor="text1"/>
          <w:sz w:val="24"/>
          <w:szCs w:val="24"/>
        </w:rPr>
        <w:fldChar w:fldCharType="separate"/>
      </w:r>
      <w:r w:rsidR="00DE199B" w:rsidRPr="00DE199B">
        <w:rPr>
          <w:rFonts w:eastAsiaTheme="majorEastAsia" w:cstheme="minorHAnsi"/>
          <w:bCs/>
          <w:iCs/>
          <w:noProof/>
          <w:color w:val="000000" w:themeColor="text1"/>
          <w:sz w:val="24"/>
          <w:szCs w:val="24"/>
          <w:vertAlign w:val="superscript"/>
        </w:rPr>
        <w:t>49</w:t>
      </w:r>
      <w:r w:rsidR="00B10997">
        <w:rPr>
          <w:rFonts w:eastAsiaTheme="majorEastAsia" w:cstheme="minorHAnsi"/>
          <w:bCs/>
          <w:iCs/>
          <w:color w:val="000000" w:themeColor="text1"/>
          <w:sz w:val="24"/>
          <w:szCs w:val="24"/>
        </w:rPr>
        <w:fldChar w:fldCharType="end"/>
      </w:r>
      <w:r w:rsidR="00427DA6">
        <w:rPr>
          <w:rFonts w:eastAsiaTheme="majorEastAsia" w:cstheme="minorHAnsi"/>
          <w:bCs/>
          <w:iCs/>
          <w:color w:val="000000" w:themeColor="text1"/>
          <w:sz w:val="24"/>
          <w:szCs w:val="24"/>
        </w:rPr>
        <w:t xml:space="preserve"> </w:t>
      </w:r>
      <w:r w:rsidR="006A1B27">
        <w:rPr>
          <w:rFonts w:eastAsiaTheme="majorEastAsia" w:cstheme="minorHAnsi"/>
          <w:bCs/>
          <w:iCs/>
          <w:color w:val="000000" w:themeColor="text1"/>
          <w:sz w:val="24"/>
          <w:szCs w:val="24"/>
        </w:rPr>
        <w:t>Feeding into health systems readiness and scalability assessment, t</w:t>
      </w:r>
      <w:r w:rsidR="00427DA6">
        <w:rPr>
          <w:rFonts w:eastAsiaTheme="majorEastAsia" w:cstheme="minorHAnsi"/>
          <w:bCs/>
          <w:iCs/>
          <w:color w:val="000000" w:themeColor="text1"/>
          <w:sz w:val="24"/>
          <w:szCs w:val="24"/>
        </w:rPr>
        <w:t xml:space="preserve">hese four constructs will form the backbone of our FGD and </w:t>
      </w:r>
      <w:r w:rsidR="002A53C5">
        <w:rPr>
          <w:rFonts w:eastAsiaTheme="majorEastAsia" w:cstheme="minorHAnsi"/>
          <w:bCs/>
          <w:iCs/>
          <w:color w:val="000000" w:themeColor="text1"/>
          <w:sz w:val="24"/>
          <w:szCs w:val="24"/>
        </w:rPr>
        <w:t>KII</w:t>
      </w:r>
      <w:r w:rsidR="00427DA6">
        <w:rPr>
          <w:rFonts w:eastAsiaTheme="majorEastAsia" w:cstheme="minorHAnsi"/>
          <w:bCs/>
          <w:iCs/>
          <w:color w:val="000000" w:themeColor="text1"/>
          <w:sz w:val="24"/>
          <w:szCs w:val="24"/>
        </w:rPr>
        <w:t xml:space="preserve"> topic guides</w:t>
      </w:r>
      <w:r w:rsidR="00937425">
        <w:rPr>
          <w:rFonts w:eastAsiaTheme="majorEastAsia" w:cstheme="minorHAnsi"/>
          <w:bCs/>
          <w:iCs/>
          <w:color w:val="000000" w:themeColor="text1"/>
          <w:sz w:val="24"/>
          <w:szCs w:val="24"/>
        </w:rPr>
        <w:t xml:space="preserve"> (see </w:t>
      </w:r>
      <w:r w:rsidR="003234B3">
        <w:rPr>
          <w:rFonts w:eastAsiaTheme="majorEastAsia" w:cstheme="minorHAnsi"/>
          <w:bCs/>
          <w:iCs/>
          <w:color w:val="000000" w:themeColor="text1"/>
          <w:sz w:val="24"/>
          <w:szCs w:val="24"/>
        </w:rPr>
        <w:t>Extended data</w:t>
      </w:r>
      <w:r w:rsidR="003234B3" w:rsidRPr="00463954">
        <w:rPr>
          <w:rFonts w:eastAsiaTheme="majorEastAsia" w:cstheme="minorHAnsi"/>
          <w:bCs/>
          <w:iCs/>
          <w:color w:val="000000" w:themeColor="text1"/>
          <w:sz w:val="24"/>
          <w:szCs w:val="24"/>
          <w:vertAlign w:val="superscript"/>
        </w:rPr>
        <w:t>55</w:t>
      </w:r>
      <w:r w:rsidR="00937425">
        <w:rPr>
          <w:rFonts w:eastAsiaTheme="majorEastAsia" w:cstheme="minorHAnsi"/>
          <w:bCs/>
          <w:iCs/>
          <w:color w:val="000000" w:themeColor="text1"/>
          <w:sz w:val="24"/>
          <w:szCs w:val="24"/>
        </w:rPr>
        <w:t>)</w:t>
      </w:r>
      <w:r w:rsidR="00427DA6">
        <w:rPr>
          <w:rFonts w:eastAsiaTheme="majorEastAsia" w:cstheme="minorHAnsi"/>
          <w:bCs/>
          <w:iCs/>
          <w:color w:val="000000" w:themeColor="text1"/>
          <w:sz w:val="24"/>
          <w:szCs w:val="24"/>
        </w:rPr>
        <w:t>.</w:t>
      </w:r>
    </w:p>
    <w:p w14:paraId="326FAD66" w14:textId="77777777" w:rsidR="00427DA6" w:rsidRPr="00427DA6" w:rsidRDefault="00427DA6" w:rsidP="00E759B4">
      <w:pPr>
        <w:autoSpaceDE w:val="0"/>
        <w:autoSpaceDN w:val="0"/>
        <w:adjustRightInd w:val="0"/>
        <w:spacing w:after="0" w:line="276" w:lineRule="auto"/>
        <w:jc w:val="both"/>
        <w:rPr>
          <w:rStyle w:val="Heading4Char"/>
          <w:rFonts w:asciiTheme="minorHAnsi" w:hAnsiTheme="minorHAnsi" w:cstheme="minorHAnsi"/>
          <w:bCs/>
          <w:i w:val="0"/>
          <w:color w:val="000000" w:themeColor="text1"/>
          <w:sz w:val="24"/>
          <w:szCs w:val="24"/>
        </w:rPr>
      </w:pPr>
    </w:p>
    <w:p w14:paraId="1D8F4C3A" w14:textId="77777777" w:rsidR="00FF49C0" w:rsidRDefault="00E759B4" w:rsidP="00E759B4">
      <w:pPr>
        <w:autoSpaceDE w:val="0"/>
        <w:autoSpaceDN w:val="0"/>
        <w:adjustRightInd w:val="0"/>
        <w:spacing w:after="0" w:line="276" w:lineRule="auto"/>
        <w:jc w:val="both"/>
        <w:rPr>
          <w:sz w:val="24"/>
          <w:szCs w:val="24"/>
        </w:rPr>
      </w:pPr>
      <w:r w:rsidRPr="00D85973">
        <w:rPr>
          <w:rStyle w:val="Heading4Char"/>
          <w:rFonts w:asciiTheme="minorHAnsi" w:hAnsiTheme="minorHAnsi" w:cstheme="minorHAnsi"/>
          <w:bCs/>
          <w:color w:val="000000" w:themeColor="text1"/>
          <w:sz w:val="24"/>
          <w:szCs w:val="24"/>
        </w:rPr>
        <w:t>Recruitment of multisectoral stakeholders</w:t>
      </w:r>
    </w:p>
    <w:bookmarkEnd w:id="9"/>
    <w:p w14:paraId="4735F062" w14:textId="41DAFBA0" w:rsidR="000D772E" w:rsidRDefault="000D772E" w:rsidP="00E759B4">
      <w:pPr>
        <w:autoSpaceDE w:val="0"/>
        <w:autoSpaceDN w:val="0"/>
        <w:adjustRightInd w:val="0"/>
        <w:spacing w:after="0" w:line="276" w:lineRule="auto"/>
        <w:jc w:val="both"/>
        <w:rPr>
          <w:sz w:val="24"/>
          <w:szCs w:val="24"/>
        </w:rPr>
      </w:pPr>
      <w:r>
        <w:rPr>
          <w:sz w:val="24"/>
          <w:szCs w:val="24"/>
        </w:rPr>
        <w:t>The stakeholder populations are described above</w:t>
      </w:r>
      <w:r w:rsidR="00E433ED">
        <w:rPr>
          <w:sz w:val="24"/>
          <w:szCs w:val="24"/>
        </w:rPr>
        <w:t>.</w:t>
      </w:r>
      <w:r>
        <w:rPr>
          <w:sz w:val="24"/>
          <w:szCs w:val="24"/>
        </w:rPr>
        <w:t xml:space="preserve"> In brief, the subset of people with TB recruited to the pilot trial will be invited to participate in an FGD and workshop at either household visit 2 or 3. As has worked well in Nepal during our previous research, the other purposively selected stakeholder groups will be invited to participate in an FGD</w:t>
      </w:r>
      <w:r w:rsidR="005269E5">
        <w:rPr>
          <w:sz w:val="24"/>
          <w:szCs w:val="24"/>
        </w:rPr>
        <w:t xml:space="preserve"> or </w:t>
      </w:r>
      <w:r w:rsidR="002A53C5">
        <w:rPr>
          <w:sz w:val="24"/>
          <w:szCs w:val="24"/>
        </w:rPr>
        <w:t>KII</w:t>
      </w:r>
      <w:r w:rsidR="005269E5">
        <w:rPr>
          <w:sz w:val="24"/>
          <w:szCs w:val="24"/>
        </w:rPr>
        <w:t>,</w:t>
      </w:r>
      <w:r>
        <w:rPr>
          <w:sz w:val="24"/>
          <w:szCs w:val="24"/>
        </w:rPr>
        <w:t xml:space="preserve"> and workshop by phone, email, and/or in person. The discrete consent forms and participant </w:t>
      </w:r>
      <w:r>
        <w:rPr>
          <w:sz w:val="24"/>
          <w:szCs w:val="24"/>
        </w:rPr>
        <w:lastRenderedPageBreak/>
        <w:t xml:space="preserve">information </w:t>
      </w:r>
      <w:r w:rsidR="00E424CC">
        <w:rPr>
          <w:sz w:val="24"/>
          <w:szCs w:val="24"/>
        </w:rPr>
        <w:t>sheets (PIS)</w:t>
      </w:r>
      <w:r>
        <w:rPr>
          <w:sz w:val="24"/>
          <w:szCs w:val="24"/>
        </w:rPr>
        <w:t xml:space="preserve"> for different participant groups and ASCOT activities can be found in the </w:t>
      </w:r>
      <w:r w:rsidR="003234B3">
        <w:rPr>
          <w:sz w:val="24"/>
          <w:szCs w:val="24"/>
        </w:rPr>
        <w:t>Extended data</w:t>
      </w:r>
      <w:r w:rsidR="003234B3" w:rsidRPr="00463954">
        <w:rPr>
          <w:sz w:val="24"/>
          <w:szCs w:val="24"/>
          <w:vertAlign w:val="superscript"/>
        </w:rPr>
        <w:t>55</w:t>
      </w:r>
      <w:r>
        <w:rPr>
          <w:sz w:val="24"/>
          <w:szCs w:val="24"/>
        </w:rPr>
        <w:t>.</w:t>
      </w:r>
    </w:p>
    <w:p w14:paraId="75C9F8C4" w14:textId="77777777" w:rsidR="00E759B4" w:rsidRDefault="00E759B4" w:rsidP="00E759B4">
      <w:pPr>
        <w:autoSpaceDE w:val="0"/>
        <w:autoSpaceDN w:val="0"/>
        <w:adjustRightInd w:val="0"/>
        <w:spacing w:after="0" w:line="276" w:lineRule="auto"/>
        <w:jc w:val="both"/>
        <w:rPr>
          <w:sz w:val="24"/>
          <w:szCs w:val="24"/>
        </w:rPr>
      </w:pPr>
    </w:p>
    <w:p w14:paraId="03DAEBBF" w14:textId="77777777" w:rsidR="00FF49C0" w:rsidRDefault="005269E5" w:rsidP="005269E5">
      <w:pPr>
        <w:jc w:val="both"/>
        <w:rPr>
          <w:rStyle w:val="Heading4Char"/>
          <w:rFonts w:asciiTheme="minorHAnsi" w:hAnsiTheme="minorHAnsi" w:cstheme="minorHAnsi"/>
          <w:bCs/>
          <w:i w:val="0"/>
          <w:color w:val="000000" w:themeColor="text1"/>
          <w:sz w:val="24"/>
          <w:szCs w:val="24"/>
        </w:rPr>
      </w:pPr>
      <w:r w:rsidRPr="00D85973">
        <w:rPr>
          <w:rStyle w:val="Heading4Char"/>
          <w:rFonts w:asciiTheme="minorHAnsi" w:hAnsiTheme="minorHAnsi" w:cstheme="minorHAnsi"/>
          <w:bCs/>
          <w:color w:val="000000" w:themeColor="text1"/>
          <w:sz w:val="24"/>
          <w:szCs w:val="24"/>
        </w:rPr>
        <w:t>Brief questionnaire</w:t>
      </w:r>
    </w:p>
    <w:p w14:paraId="025381CB" w14:textId="1482DB1C" w:rsidR="005269E5" w:rsidRPr="005269E5" w:rsidRDefault="005269E5" w:rsidP="005269E5">
      <w:pPr>
        <w:jc w:val="both"/>
        <w:rPr>
          <w:rStyle w:val="Heading4Char"/>
          <w:rFonts w:asciiTheme="minorHAnsi" w:hAnsiTheme="minorHAnsi" w:cstheme="minorHAnsi"/>
          <w:bCs/>
          <w:i w:val="0"/>
          <w:color w:val="000000" w:themeColor="text1"/>
          <w:sz w:val="24"/>
          <w:szCs w:val="24"/>
        </w:rPr>
      </w:pPr>
      <w:r>
        <w:rPr>
          <w:sz w:val="24"/>
          <w:szCs w:val="24"/>
        </w:rPr>
        <w:t xml:space="preserve">Prior to participation in FGDs, NTP managers, NTP TB clinic staff, social protection </w:t>
      </w:r>
      <w:r w:rsidR="00FF1018">
        <w:rPr>
          <w:sz w:val="24"/>
          <w:szCs w:val="24"/>
        </w:rPr>
        <w:t>specialists, and ASCOT DPC, CHS</w:t>
      </w:r>
      <w:r>
        <w:rPr>
          <w:sz w:val="24"/>
          <w:szCs w:val="24"/>
        </w:rPr>
        <w:t xml:space="preserve"> and FCHV participants will be asked to complete the brief questionnaire concerning health systems readiness and scalability detailed above. People with TB will not be asked to complete this questionnaire.</w:t>
      </w:r>
    </w:p>
    <w:p w14:paraId="4DC7B090" w14:textId="77777777" w:rsidR="0037365B" w:rsidRDefault="00E759B4" w:rsidP="00E759B4">
      <w:pPr>
        <w:autoSpaceDE w:val="0"/>
        <w:autoSpaceDN w:val="0"/>
        <w:adjustRightInd w:val="0"/>
        <w:spacing w:after="0" w:line="276" w:lineRule="auto"/>
        <w:jc w:val="both"/>
        <w:rPr>
          <w:sz w:val="24"/>
          <w:szCs w:val="24"/>
        </w:rPr>
      </w:pPr>
      <w:r w:rsidRPr="00D85973">
        <w:rPr>
          <w:rStyle w:val="Heading4Char"/>
          <w:rFonts w:asciiTheme="minorHAnsi" w:hAnsiTheme="minorHAnsi" w:cstheme="minorHAnsi"/>
          <w:bCs/>
          <w:color w:val="000000" w:themeColor="text1"/>
          <w:sz w:val="24"/>
          <w:szCs w:val="24"/>
        </w:rPr>
        <w:t>FGDs</w:t>
      </w:r>
    </w:p>
    <w:p w14:paraId="3DD86651" w14:textId="7B1C8714" w:rsidR="005269E5" w:rsidRDefault="006A1B27" w:rsidP="00E759B4">
      <w:pPr>
        <w:autoSpaceDE w:val="0"/>
        <w:autoSpaceDN w:val="0"/>
        <w:adjustRightInd w:val="0"/>
        <w:spacing w:after="0" w:line="276" w:lineRule="auto"/>
        <w:jc w:val="both"/>
        <w:rPr>
          <w:sz w:val="24"/>
          <w:szCs w:val="24"/>
        </w:rPr>
      </w:pPr>
      <w:r w:rsidRPr="00D85973">
        <w:rPr>
          <w:sz w:val="24"/>
          <w:szCs w:val="24"/>
        </w:rPr>
        <w:t>F</w:t>
      </w:r>
      <w:r w:rsidR="00E759B4" w:rsidRPr="00D85973">
        <w:rPr>
          <w:sz w:val="24"/>
          <w:szCs w:val="24"/>
        </w:rPr>
        <w:t>GDs</w:t>
      </w:r>
      <w:r w:rsidR="00E759B4" w:rsidRPr="00E759B4">
        <w:rPr>
          <w:sz w:val="24"/>
          <w:szCs w:val="24"/>
        </w:rPr>
        <w:t xml:space="preserve"> will be semi-structured and incorporate open-ended questions </w:t>
      </w:r>
      <w:r>
        <w:rPr>
          <w:sz w:val="24"/>
          <w:szCs w:val="24"/>
        </w:rPr>
        <w:t>informed by the work above</w:t>
      </w:r>
      <w:r w:rsidR="005269E5">
        <w:rPr>
          <w:sz w:val="24"/>
          <w:szCs w:val="24"/>
        </w:rPr>
        <w:t xml:space="preserve"> and topic guides piloted amongst the ASCOT team and in an initial FGD</w:t>
      </w:r>
      <w:r w:rsidRPr="00E759B4">
        <w:rPr>
          <w:sz w:val="24"/>
          <w:szCs w:val="24"/>
        </w:rPr>
        <w:t xml:space="preserve">. </w:t>
      </w:r>
      <w:r w:rsidR="00243BA4">
        <w:rPr>
          <w:sz w:val="24"/>
          <w:szCs w:val="24"/>
        </w:rPr>
        <w:t>During the first FGD section, questions will relate primarily to</w:t>
      </w:r>
      <w:r w:rsidR="000D772E">
        <w:rPr>
          <w:sz w:val="24"/>
          <w:szCs w:val="24"/>
        </w:rPr>
        <w:t xml:space="preserve"> </w:t>
      </w:r>
      <w:r>
        <w:rPr>
          <w:sz w:val="24"/>
          <w:szCs w:val="24"/>
        </w:rPr>
        <w:t xml:space="preserve">the socioeconomic impact of TB, current </w:t>
      </w:r>
      <w:r w:rsidR="00243BA4">
        <w:rPr>
          <w:sz w:val="24"/>
          <w:szCs w:val="24"/>
        </w:rPr>
        <w:t>(</w:t>
      </w:r>
      <w:proofErr w:type="gramStart"/>
      <w:r w:rsidR="00243BA4">
        <w:rPr>
          <w:sz w:val="24"/>
          <w:szCs w:val="24"/>
        </w:rPr>
        <w:t>e</w:t>
      </w:r>
      <w:r>
        <w:rPr>
          <w:sz w:val="24"/>
          <w:szCs w:val="24"/>
        </w:rPr>
        <w:t>.g.</w:t>
      </w:r>
      <w:proofErr w:type="gramEnd"/>
      <w:r>
        <w:rPr>
          <w:sz w:val="24"/>
          <w:szCs w:val="24"/>
        </w:rPr>
        <w:t xml:space="preserve"> support for people with DR-TB) and potential socioeconomic support interventions for TB-affected households, and the household level and health systems level challenges to the NTP of delivering them. </w:t>
      </w:r>
    </w:p>
    <w:p w14:paraId="4E4627D1" w14:textId="77777777" w:rsidR="005269E5" w:rsidRDefault="005269E5" w:rsidP="00E759B4">
      <w:pPr>
        <w:autoSpaceDE w:val="0"/>
        <w:autoSpaceDN w:val="0"/>
        <w:adjustRightInd w:val="0"/>
        <w:spacing w:after="0" w:line="276" w:lineRule="auto"/>
        <w:jc w:val="both"/>
        <w:rPr>
          <w:sz w:val="24"/>
          <w:szCs w:val="24"/>
        </w:rPr>
      </w:pPr>
    </w:p>
    <w:p w14:paraId="67A7A7AB" w14:textId="2671CB3A" w:rsidR="005269E5" w:rsidRDefault="00E759B4" w:rsidP="00E759B4">
      <w:pPr>
        <w:autoSpaceDE w:val="0"/>
        <w:autoSpaceDN w:val="0"/>
        <w:adjustRightInd w:val="0"/>
        <w:spacing w:after="0" w:line="276" w:lineRule="auto"/>
        <w:jc w:val="both"/>
        <w:rPr>
          <w:sz w:val="24"/>
          <w:szCs w:val="24"/>
        </w:rPr>
      </w:pPr>
      <w:r w:rsidRPr="00E759B4">
        <w:rPr>
          <w:sz w:val="24"/>
          <w:szCs w:val="24"/>
        </w:rPr>
        <w:t>The FGDs will be conducted with se</w:t>
      </w:r>
      <w:r w:rsidR="006A1B27">
        <w:rPr>
          <w:sz w:val="24"/>
          <w:szCs w:val="24"/>
        </w:rPr>
        <w:t>parate groups of approximately five</w:t>
      </w:r>
      <w:r w:rsidRPr="00E759B4">
        <w:rPr>
          <w:sz w:val="24"/>
          <w:szCs w:val="24"/>
        </w:rPr>
        <w:t xml:space="preserve"> key stakeholders. Stakeholders will be invited to participate according to their background (</w:t>
      </w:r>
      <w:proofErr w:type="gramStart"/>
      <w:r w:rsidRPr="00E759B4">
        <w:rPr>
          <w:sz w:val="24"/>
          <w:szCs w:val="24"/>
        </w:rPr>
        <w:t>e.g.</w:t>
      </w:r>
      <w:proofErr w:type="gramEnd"/>
      <w:r w:rsidRPr="00E759B4">
        <w:rPr>
          <w:sz w:val="24"/>
          <w:szCs w:val="24"/>
        </w:rPr>
        <w:t xml:space="preserve"> people with TB will be asked to participate in one FGD, and </w:t>
      </w:r>
      <w:r w:rsidR="006A1B27">
        <w:rPr>
          <w:sz w:val="24"/>
          <w:szCs w:val="24"/>
        </w:rPr>
        <w:t xml:space="preserve">NTP staff </w:t>
      </w:r>
      <w:r w:rsidRPr="00E759B4">
        <w:rPr>
          <w:sz w:val="24"/>
          <w:szCs w:val="24"/>
        </w:rPr>
        <w:t xml:space="preserve">will be asked to participate in another separate FGD). </w:t>
      </w:r>
      <w:r w:rsidR="00243BA4">
        <w:rPr>
          <w:sz w:val="24"/>
          <w:szCs w:val="24"/>
        </w:rPr>
        <w:t xml:space="preserve">The second section of the FGD will include a presentation of the elements that constitute the ASCOT intervention and participants will be asked to discuss their opinions on its potential. Participants who have experienced the intervention, including people with TB </w:t>
      </w:r>
      <w:r w:rsidR="00E433ED">
        <w:rPr>
          <w:sz w:val="24"/>
          <w:szCs w:val="24"/>
        </w:rPr>
        <w:t xml:space="preserve">diagnosed by ACF or PCF and </w:t>
      </w:r>
      <w:r w:rsidR="00243BA4">
        <w:rPr>
          <w:sz w:val="24"/>
          <w:szCs w:val="24"/>
        </w:rPr>
        <w:t xml:space="preserve">randomised to an intervention arm, will be asked to discuss their opinions on its successes, challenges, and/or failures, and consider how to refine the intervention to overcome the issues raised. </w:t>
      </w:r>
      <w:r w:rsidR="00CA01D2">
        <w:rPr>
          <w:sz w:val="24"/>
          <w:szCs w:val="24"/>
        </w:rPr>
        <w:t>ASCOT DPCs, CHS</w:t>
      </w:r>
      <w:r w:rsidR="00E433ED">
        <w:rPr>
          <w:sz w:val="24"/>
          <w:szCs w:val="24"/>
        </w:rPr>
        <w:t>, and F</w:t>
      </w:r>
      <w:r w:rsidR="00215B5D">
        <w:rPr>
          <w:sz w:val="24"/>
          <w:szCs w:val="24"/>
        </w:rPr>
        <w:t>C</w:t>
      </w:r>
      <w:r w:rsidR="00E433ED">
        <w:rPr>
          <w:sz w:val="24"/>
          <w:szCs w:val="24"/>
        </w:rPr>
        <w:t>H</w:t>
      </w:r>
      <w:r w:rsidR="00215B5D">
        <w:rPr>
          <w:sz w:val="24"/>
          <w:szCs w:val="24"/>
        </w:rPr>
        <w:t>V will be asked to also consider the reasons for non-participation and drop-out amongst the people with TB invited or recruited t</w:t>
      </w:r>
      <w:r w:rsidR="00166EB4">
        <w:rPr>
          <w:sz w:val="24"/>
          <w:szCs w:val="24"/>
        </w:rPr>
        <w:t xml:space="preserve">o participate in their district. </w:t>
      </w:r>
    </w:p>
    <w:p w14:paraId="7EAAF283" w14:textId="77777777" w:rsidR="005269E5" w:rsidRDefault="005269E5" w:rsidP="00E759B4">
      <w:pPr>
        <w:autoSpaceDE w:val="0"/>
        <w:autoSpaceDN w:val="0"/>
        <w:adjustRightInd w:val="0"/>
        <w:spacing w:after="0" w:line="276" w:lineRule="auto"/>
        <w:jc w:val="both"/>
        <w:rPr>
          <w:sz w:val="24"/>
          <w:szCs w:val="24"/>
        </w:rPr>
      </w:pPr>
    </w:p>
    <w:p w14:paraId="6C75D34C" w14:textId="6B316C47" w:rsidR="00E759B4" w:rsidRPr="00E759B4" w:rsidRDefault="005269E5" w:rsidP="00E759B4">
      <w:pPr>
        <w:autoSpaceDE w:val="0"/>
        <w:autoSpaceDN w:val="0"/>
        <w:adjustRightInd w:val="0"/>
        <w:spacing w:after="0" w:line="276" w:lineRule="auto"/>
        <w:jc w:val="both"/>
        <w:rPr>
          <w:sz w:val="24"/>
          <w:szCs w:val="24"/>
        </w:rPr>
      </w:pPr>
      <w:r w:rsidRPr="005269E5">
        <w:rPr>
          <w:sz w:val="24"/>
          <w:szCs w:val="24"/>
        </w:rPr>
        <w:t xml:space="preserve">We </w:t>
      </w:r>
      <w:r>
        <w:rPr>
          <w:sz w:val="24"/>
          <w:szCs w:val="24"/>
        </w:rPr>
        <w:t xml:space="preserve">will perform </w:t>
      </w:r>
      <w:r w:rsidRPr="005269E5">
        <w:rPr>
          <w:sz w:val="24"/>
          <w:szCs w:val="24"/>
        </w:rPr>
        <w:t xml:space="preserve">member checking in each FGD by noting key points of the discussion, summarizing these points on a wall chart, and clarifying their accuracy with the group. </w:t>
      </w:r>
      <w:r>
        <w:rPr>
          <w:sz w:val="24"/>
          <w:szCs w:val="24"/>
        </w:rPr>
        <w:t>Formal</w:t>
      </w:r>
      <w:r w:rsidRPr="005269E5">
        <w:rPr>
          <w:sz w:val="24"/>
          <w:szCs w:val="24"/>
        </w:rPr>
        <w:t xml:space="preserve"> field notes </w:t>
      </w:r>
      <w:r>
        <w:rPr>
          <w:sz w:val="24"/>
          <w:szCs w:val="24"/>
        </w:rPr>
        <w:t>may also be</w:t>
      </w:r>
      <w:r w:rsidRPr="005269E5">
        <w:rPr>
          <w:sz w:val="24"/>
          <w:szCs w:val="24"/>
        </w:rPr>
        <w:t xml:space="preserve"> taken. </w:t>
      </w:r>
      <w:r>
        <w:rPr>
          <w:sz w:val="24"/>
          <w:szCs w:val="24"/>
        </w:rPr>
        <w:t>Based on our previous work, it is predicted the</w:t>
      </w:r>
      <w:r w:rsidRPr="005269E5">
        <w:rPr>
          <w:sz w:val="24"/>
          <w:szCs w:val="24"/>
        </w:rPr>
        <w:t xml:space="preserve"> FGDs</w:t>
      </w:r>
      <w:r>
        <w:rPr>
          <w:sz w:val="24"/>
          <w:szCs w:val="24"/>
        </w:rPr>
        <w:t xml:space="preserve"> will last between 90 and </w:t>
      </w:r>
      <w:r w:rsidRPr="005269E5">
        <w:rPr>
          <w:sz w:val="24"/>
          <w:szCs w:val="24"/>
        </w:rPr>
        <w:t>120 minutes</w:t>
      </w:r>
      <w:r>
        <w:rPr>
          <w:sz w:val="24"/>
          <w:szCs w:val="24"/>
        </w:rPr>
        <w:t xml:space="preserve">. </w:t>
      </w:r>
      <w:r w:rsidR="00E759B4" w:rsidRPr="00E759B4">
        <w:rPr>
          <w:sz w:val="24"/>
          <w:szCs w:val="24"/>
        </w:rPr>
        <w:t xml:space="preserve">The FGDs will be moderated by members of the project team trained in qualitative methods including conducting FGDs. </w:t>
      </w:r>
      <w:r>
        <w:rPr>
          <w:sz w:val="24"/>
          <w:szCs w:val="24"/>
        </w:rPr>
        <w:t>The ASCOT field team will support FGDs with people with TB</w:t>
      </w:r>
      <w:r w:rsidRPr="005269E5">
        <w:rPr>
          <w:sz w:val="24"/>
          <w:szCs w:val="24"/>
        </w:rPr>
        <w:t xml:space="preserve"> </w:t>
      </w:r>
      <w:proofErr w:type="gramStart"/>
      <w:r>
        <w:rPr>
          <w:sz w:val="24"/>
          <w:szCs w:val="24"/>
        </w:rPr>
        <w:t>in order to</w:t>
      </w:r>
      <w:proofErr w:type="gramEnd"/>
      <w:r>
        <w:rPr>
          <w:sz w:val="24"/>
          <w:szCs w:val="24"/>
        </w:rPr>
        <w:t xml:space="preserve"> f</w:t>
      </w:r>
      <w:r w:rsidRPr="005269E5">
        <w:rPr>
          <w:sz w:val="24"/>
          <w:szCs w:val="24"/>
        </w:rPr>
        <w:t xml:space="preserve">acilitate any dialectic interpretation or contextual explanations. </w:t>
      </w:r>
      <w:r w:rsidR="00E759B4" w:rsidRPr="00E759B4">
        <w:rPr>
          <w:sz w:val="24"/>
          <w:szCs w:val="24"/>
        </w:rPr>
        <w:t xml:space="preserve">The discussions will be audio recorded in Nepali language, translated into English, and </w:t>
      </w:r>
      <w:proofErr w:type="gramStart"/>
      <w:r w:rsidR="00E759B4" w:rsidRPr="00E759B4">
        <w:rPr>
          <w:sz w:val="24"/>
          <w:szCs w:val="24"/>
        </w:rPr>
        <w:t>back-translated</w:t>
      </w:r>
      <w:proofErr w:type="gramEnd"/>
      <w:r w:rsidR="00E759B4" w:rsidRPr="00E759B4">
        <w:rPr>
          <w:sz w:val="24"/>
          <w:szCs w:val="24"/>
        </w:rPr>
        <w:t xml:space="preserve"> by a</w:t>
      </w:r>
      <w:r>
        <w:rPr>
          <w:sz w:val="24"/>
          <w:szCs w:val="24"/>
        </w:rPr>
        <w:t>n independent</w:t>
      </w:r>
      <w:r w:rsidR="00E759B4" w:rsidRPr="00E759B4">
        <w:rPr>
          <w:sz w:val="24"/>
          <w:szCs w:val="24"/>
        </w:rPr>
        <w:t xml:space="preserve"> translator who is not part of the project team. </w:t>
      </w:r>
    </w:p>
    <w:p w14:paraId="25ABFAF3" w14:textId="0EFD24C1" w:rsidR="00E759B4" w:rsidRDefault="00E759B4" w:rsidP="00E759B4">
      <w:pPr>
        <w:autoSpaceDE w:val="0"/>
        <w:autoSpaceDN w:val="0"/>
        <w:adjustRightInd w:val="0"/>
        <w:spacing w:after="0" w:line="276" w:lineRule="auto"/>
        <w:jc w:val="both"/>
        <w:rPr>
          <w:sz w:val="24"/>
          <w:szCs w:val="24"/>
        </w:rPr>
      </w:pPr>
    </w:p>
    <w:p w14:paraId="37E2FDEB" w14:textId="77777777" w:rsidR="00683202" w:rsidRDefault="007718A1" w:rsidP="004A31A9">
      <w:pPr>
        <w:spacing w:after="0" w:line="276" w:lineRule="auto"/>
        <w:contextualSpacing/>
        <w:jc w:val="both"/>
        <w:rPr>
          <w:sz w:val="24"/>
          <w:szCs w:val="24"/>
        </w:rPr>
      </w:pPr>
      <w:r>
        <w:rPr>
          <w:rStyle w:val="Heading4Char"/>
          <w:rFonts w:asciiTheme="minorHAnsi" w:hAnsiTheme="minorHAnsi" w:cstheme="minorHAnsi"/>
          <w:bCs/>
          <w:color w:val="000000" w:themeColor="text1"/>
          <w:sz w:val="24"/>
          <w:szCs w:val="24"/>
        </w:rPr>
        <w:t>KIIs</w:t>
      </w:r>
    </w:p>
    <w:p w14:paraId="0564072A" w14:textId="3ECE7250" w:rsidR="005269E5" w:rsidRPr="00751A63" w:rsidRDefault="005269E5" w:rsidP="004A31A9">
      <w:pPr>
        <w:spacing w:after="0" w:line="276" w:lineRule="auto"/>
        <w:contextualSpacing/>
        <w:jc w:val="both"/>
        <w:rPr>
          <w:rFonts w:cstheme="minorHAnsi"/>
          <w:sz w:val="24"/>
          <w:szCs w:val="24"/>
        </w:rPr>
      </w:pPr>
      <w:r w:rsidRPr="00D85973">
        <w:rPr>
          <w:sz w:val="24"/>
          <w:szCs w:val="24"/>
        </w:rPr>
        <w:t>P</w:t>
      </w:r>
      <w:r>
        <w:rPr>
          <w:sz w:val="24"/>
          <w:szCs w:val="24"/>
        </w:rPr>
        <w:t xml:space="preserve">articipants who occupy higher-level positions in terms of </w:t>
      </w:r>
      <w:proofErr w:type="gramStart"/>
      <w:r>
        <w:rPr>
          <w:sz w:val="24"/>
          <w:szCs w:val="24"/>
        </w:rPr>
        <w:t>policy-making</w:t>
      </w:r>
      <w:proofErr w:type="gramEnd"/>
      <w:r>
        <w:rPr>
          <w:sz w:val="24"/>
          <w:szCs w:val="24"/>
        </w:rPr>
        <w:t xml:space="preserve"> and leadership in either the NTP or social protection programmes in Nepal, will be invited to participate in </w:t>
      </w:r>
      <w:r w:rsidR="007718A1">
        <w:rPr>
          <w:sz w:val="24"/>
          <w:szCs w:val="24"/>
        </w:rPr>
        <w:t>KIIs</w:t>
      </w:r>
      <w:r>
        <w:rPr>
          <w:sz w:val="24"/>
          <w:szCs w:val="24"/>
        </w:rPr>
        <w:t xml:space="preserve">. </w:t>
      </w:r>
      <w:r>
        <w:rPr>
          <w:sz w:val="24"/>
          <w:szCs w:val="24"/>
        </w:rPr>
        <w:lastRenderedPageBreak/>
        <w:t xml:space="preserve">This is in line with our previous research methods, which found attendance and engagement of these participants to be higher for </w:t>
      </w:r>
      <w:r w:rsidR="007718A1">
        <w:rPr>
          <w:sz w:val="24"/>
          <w:szCs w:val="24"/>
        </w:rPr>
        <w:t>KIIs</w:t>
      </w:r>
      <w:r>
        <w:rPr>
          <w:sz w:val="24"/>
          <w:szCs w:val="24"/>
        </w:rPr>
        <w:t xml:space="preserve"> than FGDs.</w:t>
      </w:r>
      <w:r w:rsidR="00472ABA">
        <w:rPr>
          <w:sz w:val="24"/>
          <w:szCs w:val="24"/>
        </w:rPr>
        <w:t xml:space="preserve"> Given that most of the higher-level agencies, institutions, and leaders are based in Kathmandu, it is likely that this is where the majority of </w:t>
      </w:r>
      <w:r w:rsidR="007718A1">
        <w:rPr>
          <w:sz w:val="24"/>
          <w:szCs w:val="24"/>
        </w:rPr>
        <w:t>KIIs</w:t>
      </w:r>
      <w:r w:rsidR="00472ABA">
        <w:rPr>
          <w:sz w:val="24"/>
          <w:szCs w:val="24"/>
        </w:rPr>
        <w:t xml:space="preserve"> will take place. Participants will be able to choose the location that suits them best or a location organised by the ASCOT Project Manager. </w:t>
      </w:r>
      <w:r w:rsidR="00304BFF" w:rsidRPr="00D97A2F">
        <w:rPr>
          <w:sz w:val="24"/>
          <w:szCs w:val="24"/>
        </w:rPr>
        <w:t xml:space="preserve">The KIIs will be conducted by the Project Manager and Co-investigator (in Nepali or English) and Chief Investigator (in English) where appropriate. </w:t>
      </w:r>
      <w:r w:rsidR="00472ABA" w:rsidRPr="00751A63">
        <w:rPr>
          <w:sz w:val="24"/>
          <w:szCs w:val="24"/>
        </w:rPr>
        <w:t xml:space="preserve">Topic guides for </w:t>
      </w:r>
      <w:r w:rsidR="007718A1" w:rsidRPr="00751A63">
        <w:rPr>
          <w:sz w:val="24"/>
          <w:szCs w:val="24"/>
        </w:rPr>
        <w:t>KIIs</w:t>
      </w:r>
      <w:r w:rsidR="00472ABA" w:rsidRPr="00751A63">
        <w:rPr>
          <w:sz w:val="24"/>
          <w:szCs w:val="24"/>
        </w:rPr>
        <w:t xml:space="preserve"> and subject matter will be parallel to the FGDs described above.  </w:t>
      </w:r>
      <w:r w:rsidRPr="00751A63">
        <w:rPr>
          <w:sz w:val="24"/>
          <w:szCs w:val="24"/>
        </w:rPr>
        <w:t xml:space="preserve"> </w:t>
      </w:r>
    </w:p>
    <w:p w14:paraId="6219EFD1" w14:textId="77777777" w:rsidR="005269E5" w:rsidRDefault="005269E5" w:rsidP="004A31A9">
      <w:pPr>
        <w:autoSpaceDE w:val="0"/>
        <w:autoSpaceDN w:val="0"/>
        <w:adjustRightInd w:val="0"/>
        <w:spacing w:after="0" w:line="276" w:lineRule="auto"/>
        <w:jc w:val="both"/>
        <w:rPr>
          <w:sz w:val="24"/>
          <w:szCs w:val="24"/>
        </w:rPr>
      </w:pPr>
    </w:p>
    <w:p w14:paraId="2E8C31D3" w14:textId="77777777" w:rsidR="009F78EE" w:rsidRDefault="009F57A1" w:rsidP="00E759B4">
      <w:pPr>
        <w:autoSpaceDE w:val="0"/>
        <w:autoSpaceDN w:val="0"/>
        <w:adjustRightInd w:val="0"/>
        <w:spacing w:after="0" w:line="276" w:lineRule="auto"/>
        <w:jc w:val="both"/>
        <w:rPr>
          <w:sz w:val="24"/>
          <w:szCs w:val="24"/>
        </w:rPr>
      </w:pPr>
      <w:r w:rsidRPr="00D85973">
        <w:rPr>
          <w:rStyle w:val="Heading4Char"/>
          <w:rFonts w:asciiTheme="minorHAnsi" w:hAnsiTheme="minorHAnsi" w:cstheme="minorHAnsi"/>
          <w:bCs/>
          <w:color w:val="000000" w:themeColor="text1"/>
          <w:sz w:val="24"/>
          <w:szCs w:val="24"/>
        </w:rPr>
        <w:t>Workshop</w:t>
      </w:r>
      <w:r w:rsidR="00215B5D" w:rsidRPr="00D85973">
        <w:rPr>
          <w:rStyle w:val="Heading4Char"/>
          <w:rFonts w:asciiTheme="minorHAnsi" w:hAnsiTheme="minorHAnsi" w:cstheme="minorHAnsi"/>
          <w:bCs/>
          <w:color w:val="000000" w:themeColor="text1"/>
          <w:sz w:val="24"/>
          <w:szCs w:val="24"/>
        </w:rPr>
        <w:t xml:space="preserve"> and dissemination meeting</w:t>
      </w:r>
    </w:p>
    <w:p w14:paraId="265A4DBD" w14:textId="6BCD48FE" w:rsidR="00215B5D" w:rsidRDefault="00E759B4" w:rsidP="00E759B4">
      <w:pPr>
        <w:autoSpaceDE w:val="0"/>
        <w:autoSpaceDN w:val="0"/>
        <w:adjustRightInd w:val="0"/>
        <w:spacing w:after="0" w:line="276" w:lineRule="auto"/>
        <w:jc w:val="both"/>
        <w:rPr>
          <w:sz w:val="24"/>
          <w:szCs w:val="24"/>
        </w:rPr>
      </w:pPr>
      <w:r w:rsidRPr="00E759B4">
        <w:rPr>
          <w:sz w:val="24"/>
          <w:szCs w:val="24"/>
        </w:rPr>
        <w:t xml:space="preserve">The final activity will be a one-day workshop bringing together the 40 key stakeholders. The morning section of the workshop will consist of interactive presentations from the project team and stakeholder group representatives, and discussions exploring </w:t>
      </w:r>
      <w:r w:rsidR="00BD735D">
        <w:rPr>
          <w:sz w:val="24"/>
          <w:szCs w:val="24"/>
        </w:rPr>
        <w:t xml:space="preserve">the preliminary findings of the ASCOT survey, pilot trial, and </w:t>
      </w:r>
      <w:proofErr w:type="gramStart"/>
      <w:r w:rsidR="00BD735D">
        <w:rPr>
          <w:sz w:val="24"/>
          <w:szCs w:val="24"/>
        </w:rPr>
        <w:t>mixed-methods</w:t>
      </w:r>
      <w:proofErr w:type="gramEnd"/>
      <w:r w:rsidR="00BD735D">
        <w:rPr>
          <w:sz w:val="24"/>
          <w:szCs w:val="24"/>
        </w:rPr>
        <w:t xml:space="preserve"> process evaluation</w:t>
      </w:r>
      <w:r w:rsidRPr="00E759B4">
        <w:rPr>
          <w:sz w:val="24"/>
          <w:szCs w:val="24"/>
        </w:rPr>
        <w:t xml:space="preserve">. The afternoon section of the workshop will consist of multi-sectoral working groups (≤10 diverse stakeholders) developing </w:t>
      </w:r>
      <w:r w:rsidR="00BD735D">
        <w:rPr>
          <w:sz w:val="24"/>
          <w:szCs w:val="24"/>
        </w:rPr>
        <w:t xml:space="preserve">recommendations for refinements of the intervention </w:t>
      </w:r>
      <w:r w:rsidR="00215B5D">
        <w:rPr>
          <w:sz w:val="24"/>
          <w:szCs w:val="24"/>
        </w:rPr>
        <w:t xml:space="preserve">and considerations ahead of application for funding for the large-scale, well-powered ASCOT trial. </w:t>
      </w:r>
    </w:p>
    <w:p w14:paraId="4116A0E6" w14:textId="1C276A94" w:rsidR="0043060F" w:rsidRDefault="0043060F" w:rsidP="00E759B4">
      <w:pPr>
        <w:autoSpaceDE w:val="0"/>
        <w:autoSpaceDN w:val="0"/>
        <w:adjustRightInd w:val="0"/>
        <w:spacing w:after="0" w:line="276" w:lineRule="auto"/>
        <w:jc w:val="both"/>
        <w:rPr>
          <w:sz w:val="24"/>
          <w:szCs w:val="24"/>
        </w:rPr>
      </w:pPr>
    </w:p>
    <w:p w14:paraId="2F306D22" w14:textId="6C4D29B1" w:rsidR="0043060F" w:rsidRPr="0043060F" w:rsidRDefault="0043060F" w:rsidP="00E759B4">
      <w:pPr>
        <w:autoSpaceDE w:val="0"/>
        <w:autoSpaceDN w:val="0"/>
        <w:adjustRightInd w:val="0"/>
        <w:spacing w:after="0" w:line="276" w:lineRule="auto"/>
        <w:jc w:val="both"/>
        <w:rPr>
          <w:b/>
          <w:bCs/>
          <w:i/>
          <w:iCs/>
          <w:sz w:val="24"/>
          <w:szCs w:val="24"/>
        </w:rPr>
      </w:pPr>
      <w:r w:rsidRPr="0043060F">
        <w:rPr>
          <w:b/>
          <w:bCs/>
          <w:i/>
          <w:iCs/>
          <w:sz w:val="24"/>
          <w:szCs w:val="24"/>
        </w:rPr>
        <w:t>Randomisation and blinding</w:t>
      </w:r>
    </w:p>
    <w:p w14:paraId="6DD25EAE" w14:textId="77777777" w:rsidR="0043060F" w:rsidRDefault="0043060F" w:rsidP="006730FF">
      <w:pPr>
        <w:spacing w:line="276" w:lineRule="auto"/>
        <w:jc w:val="both"/>
        <w:rPr>
          <w:sz w:val="24"/>
          <w:szCs w:val="24"/>
        </w:rPr>
      </w:pPr>
    </w:p>
    <w:p w14:paraId="3FB8581A" w14:textId="338C2D8E" w:rsidR="00E433ED" w:rsidRDefault="006730FF" w:rsidP="006730FF">
      <w:pPr>
        <w:spacing w:line="276" w:lineRule="auto"/>
        <w:jc w:val="both"/>
        <w:rPr>
          <w:sz w:val="24"/>
          <w:szCs w:val="24"/>
        </w:rPr>
      </w:pPr>
      <w:proofErr w:type="gramStart"/>
      <w:r w:rsidRPr="006730FF">
        <w:rPr>
          <w:sz w:val="24"/>
          <w:szCs w:val="24"/>
        </w:rPr>
        <w:t>In order to</w:t>
      </w:r>
      <w:proofErr w:type="gramEnd"/>
      <w:r w:rsidRPr="006730FF">
        <w:rPr>
          <w:sz w:val="24"/>
          <w:szCs w:val="24"/>
        </w:rPr>
        <w:t xml:space="preserve"> randomise participants into</w:t>
      </w:r>
      <w:r>
        <w:rPr>
          <w:sz w:val="24"/>
          <w:szCs w:val="24"/>
        </w:rPr>
        <w:t xml:space="preserve"> study arms</w:t>
      </w:r>
      <w:r w:rsidRPr="006730FF">
        <w:rPr>
          <w:sz w:val="24"/>
          <w:szCs w:val="24"/>
        </w:rPr>
        <w:t>, a</w:t>
      </w:r>
      <w:r w:rsidR="00E433ED" w:rsidRPr="006730FF">
        <w:rPr>
          <w:sz w:val="24"/>
          <w:szCs w:val="24"/>
        </w:rPr>
        <w:t xml:space="preserve"> random number table will be prepared prior to recruitment</w:t>
      </w:r>
      <w:r w:rsidRPr="006730FF">
        <w:rPr>
          <w:sz w:val="24"/>
          <w:szCs w:val="24"/>
        </w:rPr>
        <w:t xml:space="preserve"> by two ASCOT team members (KD, BR)</w:t>
      </w:r>
      <w:r w:rsidR="00E433ED" w:rsidRPr="006730FF">
        <w:rPr>
          <w:sz w:val="24"/>
          <w:szCs w:val="24"/>
        </w:rPr>
        <w:t xml:space="preserve">. </w:t>
      </w:r>
      <w:r>
        <w:rPr>
          <w:sz w:val="24"/>
          <w:szCs w:val="24"/>
        </w:rPr>
        <w:t xml:space="preserve">The random number table will randomise participants 1:1:1:1 to the four </w:t>
      </w:r>
      <w:r w:rsidRPr="006730FF">
        <w:rPr>
          <w:sz w:val="24"/>
          <w:szCs w:val="24"/>
        </w:rPr>
        <w:t>study arms (social,</w:t>
      </w:r>
      <w:r w:rsidR="00E004A2">
        <w:rPr>
          <w:sz w:val="24"/>
          <w:szCs w:val="24"/>
        </w:rPr>
        <w:t xml:space="preserve"> economic, socioeconomic, and</w:t>
      </w:r>
      <w:r w:rsidRPr="006730FF">
        <w:rPr>
          <w:sz w:val="24"/>
          <w:szCs w:val="24"/>
        </w:rPr>
        <w:t xml:space="preserve"> control arms)</w:t>
      </w:r>
      <w:r>
        <w:rPr>
          <w:sz w:val="24"/>
          <w:szCs w:val="24"/>
        </w:rPr>
        <w:t xml:space="preserve"> in blocks of 32 in each of the four study site districts. </w:t>
      </w:r>
      <w:r w:rsidRPr="006730FF">
        <w:rPr>
          <w:sz w:val="24"/>
          <w:szCs w:val="24"/>
        </w:rPr>
        <w:t>A</w:t>
      </w:r>
      <w:r w:rsidR="00E433ED" w:rsidRPr="006730FF">
        <w:rPr>
          <w:sz w:val="24"/>
          <w:szCs w:val="24"/>
        </w:rPr>
        <w:t xml:space="preserve"> screenshot will be taken documenting the time and date</w:t>
      </w:r>
      <w:r w:rsidRPr="006730FF">
        <w:rPr>
          <w:sz w:val="24"/>
          <w:szCs w:val="24"/>
        </w:rPr>
        <w:t xml:space="preserve"> of the random number table generation </w:t>
      </w:r>
      <w:proofErr w:type="gramStart"/>
      <w:r w:rsidRPr="006730FF">
        <w:rPr>
          <w:sz w:val="24"/>
          <w:szCs w:val="24"/>
        </w:rPr>
        <w:t>in order to</w:t>
      </w:r>
      <w:proofErr w:type="gramEnd"/>
      <w:r w:rsidRPr="006730FF">
        <w:rPr>
          <w:sz w:val="24"/>
          <w:szCs w:val="24"/>
        </w:rPr>
        <w:t xml:space="preserve"> improve transparency</w:t>
      </w:r>
      <w:r>
        <w:rPr>
          <w:sz w:val="24"/>
          <w:szCs w:val="24"/>
        </w:rPr>
        <w:t xml:space="preserve"> and reduce the chances of contaminated randomization or tampering</w:t>
      </w:r>
      <w:r w:rsidRPr="006730FF">
        <w:rPr>
          <w:sz w:val="24"/>
          <w:szCs w:val="24"/>
        </w:rPr>
        <w:t>. The table will be saved centrally and only accessible by the Project Manager (BR) and no other ASCOT team members.</w:t>
      </w:r>
      <w:r>
        <w:rPr>
          <w:sz w:val="24"/>
          <w:szCs w:val="24"/>
        </w:rPr>
        <w:t xml:space="preserve"> </w:t>
      </w:r>
      <w:r w:rsidR="00A933C9">
        <w:rPr>
          <w:sz w:val="24"/>
          <w:szCs w:val="24"/>
        </w:rPr>
        <w:t>Digital randomisation using an online programme was originally considered but perceived as inappropriate and unfeasible in the study setting.</w:t>
      </w:r>
    </w:p>
    <w:p w14:paraId="5105B745" w14:textId="77777777" w:rsidR="00067A85" w:rsidRDefault="00A933C9" w:rsidP="00067A85">
      <w:pPr>
        <w:spacing w:line="276" w:lineRule="auto"/>
        <w:jc w:val="both"/>
        <w:rPr>
          <w:sz w:val="24"/>
          <w:szCs w:val="24"/>
        </w:rPr>
      </w:pPr>
      <w:r>
        <w:rPr>
          <w:sz w:val="24"/>
          <w:szCs w:val="24"/>
        </w:rPr>
        <w:t xml:space="preserve">It will not be possible to blind participants </w:t>
      </w:r>
      <w:r w:rsidR="006730FF">
        <w:rPr>
          <w:sz w:val="24"/>
          <w:szCs w:val="24"/>
        </w:rPr>
        <w:t xml:space="preserve">or ASCOT field team members delivering the interventions (DPC, CHS, FCHV) to the </w:t>
      </w:r>
      <w:r>
        <w:rPr>
          <w:sz w:val="24"/>
          <w:szCs w:val="24"/>
        </w:rPr>
        <w:t>randomisation. However, NTP staff will not be informed of the arm to which participants are randomised.</w:t>
      </w:r>
      <w:bookmarkStart w:id="10" w:name="_Toc89100919"/>
    </w:p>
    <w:bookmarkEnd w:id="10"/>
    <w:p w14:paraId="6AA05CE4" w14:textId="57BC1EE2" w:rsidR="00FB2AB7" w:rsidRPr="0043060F" w:rsidRDefault="0043060F" w:rsidP="009F57A1">
      <w:pPr>
        <w:pStyle w:val="ListParagraph"/>
        <w:autoSpaceDE w:val="0"/>
        <w:autoSpaceDN w:val="0"/>
        <w:adjustRightInd w:val="0"/>
        <w:spacing w:after="0" w:line="276" w:lineRule="auto"/>
        <w:ind w:left="0"/>
        <w:jc w:val="both"/>
        <w:rPr>
          <w:b/>
          <w:bCs/>
          <w:sz w:val="24"/>
          <w:szCs w:val="24"/>
        </w:rPr>
      </w:pPr>
      <w:r w:rsidRPr="0043060F">
        <w:rPr>
          <w:b/>
          <w:bCs/>
          <w:sz w:val="24"/>
          <w:szCs w:val="24"/>
        </w:rPr>
        <w:t>Outcomes to be measured</w:t>
      </w:r>
    </w:p>
    <w:p w14:paraId="66F9B3D1" w14:textId="77777777" w:rsidR="0043060F" w:rsidRDefault="0043060F" w:rsidP="009F57A1">
      <w:pPr>
        <w:pStyle w:val="ListParagraph"/>
        <w:autoSpaceDE w:val="0"/>
        <w:autoSpaceDN w:val="0"/>
        <w:adjustRightInd w:val="0"/>
        <w:spacing w:after="0" w:line="276" w:lineRule="auto"/>
        <w:ind w:left="0"/>
        <w:jc w:val="both"/>
        <w:rPr>
          <w:sz w:val="24"/>
          <w:szCs w:val="24"/>
        </w:rPr>
      </w:pPr>
    </w:p>
    <w:p w14:paraId="62B60E0F" w14:textId="77777777" w:rsidR="0043060F" w:rsidRPr="0043060F" w:rsidRDefault="0043060F" w:rsidP="009F57A1">
      <w:pPr>
        <w:pStyle w:val="ListParagraph"/>
        <w:autoSpaceDE w:val="0"/>
        <w:autoSpaceDN w:val="0"/>
        <w:adjustRightInd w:val="0"/>
        <w:spacing w:after="0" w:line="276" w:lineRule="auto"/>
        <w:ind w:left="0"/>
        <w:jc w:val="both"/>
        <w:rPr>
          <w:b/>
          <w:bCs/>
          <w:i/>
          <w:iCs/>
          <w:sz w:val="24"/>
          <w:szCs w:val="24"/>
        </w:rPr>
      </w:pPr>
      <w:r w:rsidRPr="0043060F">
        <w:rPr>
          <w:b/>
          <w:bCs/>
          <w:i/>
          <w:iCs/>
          <w:sz w:val="24"/>
          <w:szCs w:val="24"/>
        </w:rPr>
        <w:t>Primary outcomes</w:t>
      </w:r>
    </w:p>
    <w:p w14:paraId="0D428580" w14:textId="77777777" w:rsidR="0043060F" w:rsidRDefault="0043060F" w:rsidP="009F57A1">
      <w:pPr>
        <w:pStyle w:val="ListParagraph"/>
        <w:autoSpaceDE w:val="0"/>
        <w:autoSpaceDN w:val="0"/>
        <w:adjustRightInd w:val="0"/>
        <w:spacing w:after="0" w:line="276" w:lineRule="auto"/>
        <w:ind w:left="0"/>
        <w:jc w:val="both"/>
        <w:rPr>
          <w:sz w:val="24"/>
          <w:szCs w:val="24"/>
        </w:rPr>
      </w:pPr>
    </w:p>
    <w:p w14:paraId="3142AD3E" w14:textId="7D464E9B" w:rsidR="00215B5D" w:rsidRDefault="00215B5D" w:rsidP="009F57A1">
      <w:pPr>
        <w:pStyle w:val="ListParagraph"/>
        <w:autoSpaceDE w:val="0"/>
        <w:autoSpaceDN w:val="0"/>
        <w:adjustRightInd w:val="0"/>
        <w:spacing w:after="0" w:line="276" w:lineRule="auto"/>
        <w:ind w:left="0"/>
        <w:jc w:val="both"/>
        <w:rPr>
          <w:sz w:val="24"/>
          <w:szCs w:val="24"/>
        </w:rPr>
      </w:pPr>
      <w:r>
        <w:rPr>
          <w:sz w:val="24"/>
          <w:szCs w:val="24"/>
        </w:rPr>
        <w:t>The primary outcomes of the ASCOT pilot trial are acceptability and feasibility</w:t>
      </w:r>
      <w:r w:rsidR="002A53C5">
        <w:rPr>
          <w:sz w:val="24"/>
          <w:szCs w:val="24"/>
        </w:rPr>
        <w:t xml:space="preserve"> of the social, economic, and socioeconomic support interventions</w:t>
      </w:r>
      <w:r>
        <w:rPr>
          <w:sz w:val="24"/>
          <w:szCs w:val="24"/>
        </w:rPr>
        <w:t>.</w:t>
      </w:r>
    </w:p>
    <w:p w14:paraId="5EC56325" w14:textId="77777777" w:rsidR="00215B5D" w:rsidRDefault="00215B5D" w:rsidP="00215B5D">
      <w:pPr>
        <w:autoSpaceDE w:val="0"/>
        <w:autoSpaceDN w:val="0"/>
        <w:adjustRightInd w:val="0"/>
        <w:spacing w:after="0" w:line="276" w:lineRule="auto"/>
        <w:jc w:val="both"/>
        <w:rPr>
          <w:sz w:val="24"/>
          <w:szCs w:val="24"/>
        </w:rPr>
      </w:pPr>
    </w:p>
    <w:p w14:paraId="7C5C87CC" w14:textId="4DDD257A" w:rsidR="00872840" w:rsidRDefault="00215B5D" w:rsidP="00215B5D">
      <w:pPr>
        <w:autoSpaceDE w:val="0"/>
        <w:autoSpaceDN w:val="0"/>
        <w:adjustRightInd w:val="0"/>
        <w:spacing w:after="0" w:line="276" w:lineRule="auto"/>
        <w:jc w:val="both"/>
        <w:rPr>
          <w:bCs/>
          <w:sz w:val="24"/>
          <w:szCs w:val="24"/>
        </w:rPr>
      </w:pPr>
      <w:bookmarkStart w:id="11" w:name="_Toc89100922"/>
      <w:r w:rsidRPr="00D85973">
        <w:rPr>
          <w:rStyle w:val="Heading3Char"/>
          <w:rFonts w:asciiTheme="minorHAnsi" w:hAnsiTheme="minorHAnsi"/>
          <w:i/>
          <w:color w:val="000000" w:themeColor="text1"/>
        </w:rPr>
        <w:t>Acceptability</w:t>
      </w:r>
      <w:bookmarkEnd w:id="11"/>
      <w:r w:rsidRPr="00FB2AB7">
        <w:rPr>
          <w:bCs/>
          <w:color w:val="000000" w:themeColor="text1"/>
          <w:sz w:val="24"/>
          <w:szCs w:val="24"/>
        </w:rPr>
        <w:t xml:space="preserve"> </w:t>
      </w:r>
      <w:r>
        <w:rPr>
          <w:bCs/>
          <w:sz w:val="24"/>
          <w:szCs w:val="24"/>
        </w:rPr>
        <w:t xml:space="preserve">will be </w:t>
      </w:r>
      <w:r w:rsidRPr="00215B5D">
        <w:rPr>
          <w:bCs/>
          <w:sz w:val="24"/>
          <w:szCs w:val="24"/>
        </w:rPr>
        <w:t>measured using</w:t>
      </w:r>
      <w:r w:rsidR="00872840">
        <w:rPr>
          <w:bCs/>
          <w:sz w:val="24"/>
          <w:szCs w:val="24"/>
        </w:rPr>
        <w:t xml:space="preserve"> </w:t>
      </w:r>
      <w:proofErr w:type="gramStart"/>
      <w:r w:rsidR="00872840">
        <w:rPr>
          <w:bCs/>
          <w:sz w:val="24"/>
          <w:szCs w:val="24"/>
        </w:rPr>
        <w:t>mixed-methods</w:t>
      </w:r>
      <w:proofErr w:type="gramEnd"/>
      <w:r w:rsidR="00872840">
        <w:rPr>
          <w:bCs/>
          <w:sz w:val="24"/>
          <w:szCs w:val="24"/>
        </w:rPr>
        <w:t xml:space="preserve"> including</w:t>
      </w:r>
      <w:r>
        <w:rPr>
          <w:bCs/>
          <w:sz w:val="24"/>
          <w:szCs w:val="24"/>
        </w:rPr>
        <w:t xml:space="preserve">: </w:t>
      </w:r>
    </w:p>
    <w:p w14:paraId="2FAF7011" w14:textId="3D7625AB" w:rsidR="00872840" w:rsidRPr="00872840" w:rsidRDefault="00B171C5" w:rsidP="00872840">
      <w:pPr>
        <w:pStyle w:val="ListParagraph"/>
        <w:numPr>
          <w:ilvl w:val="0"/>
          <w:numId w:val="40"/>
        </w:numPr>
        <w:autoSpaceDE w:val="0"/>
        <w:autoSpaceDN w:val="0"/>
        <w:adjustRightInd w:val="0"/>
        <w:spacing w:after="0" w:line="276" w:lineRule="auto"/>
        <w:jc w:val="both"/>
        <w:rPr>
          <w:bCs/>
          <w:sz w:val="24"/>
          <w:szCs w:val="24"/>
        </w:rPr>
      </w:pPr>
      <w:r>
        <w:rPr>
          <w:bCs/>
          <w:sz w:val="24"/>
          <w:szCs w:val="24"/>
        </w:rPr>
        <w:lastRenderedPageBreak/>
        <w:t>Q</w:t>
      </w:r>
      <w:r w:rsidR="00215B5D" w:rsidRPr="00872840">
        <w:rPr>
          <w:bCs/>
          <w:sz w:val="24"/>
          <w:szCs w:val="24"/>
        </w:rPr>
        <w:t xml:space="preserve">uantitative analysis of the implementer and </w:t>
      </w:r>
      <w:r w:rsidR="00430530">
        <w:rPr>
          <w:bCs/>
          <w:sz w:val="24"/>
          <w:szCs w:val="24"/>
        </w:rPr>
        <w:t>participant</w:t>
      </w:r>
      <w:r w:rsidR="00215B5D" w:rsidRPr="00872840">
        <w:rPr>
          <w:bCs/>
          <w:sz w:val="24"/>
          <w:szCs w:val="24"/>
        </w:rPr>
        <w:t xml:space="preserve"> satisfaction </w:t>
      </w:r>
      <w:proofErr w:type="gramStart"/>
      <w:r w:rsidR="00215B5D" w:rsidRPr="00872840">
        <w:rPr>
          <w:bCs/>
          <w:sz w:val="24"/>
          <w:szCs w:val="24"/>
        </w:rPr>
        <w:t>form;</w:t>
      </w:r>
      <w:proofErr w:type="gramEnd"/>
      <w:r w:rsidR="00215B5D" w:rsidRPr="00872840">
        <w:rPr>
          <w:bCs/>
          <w:sz w:val="24"/>
          <w:szCs w:val="24"/>
        </w:rPr>
        <w:t xml:space="preserve"> </w:t>
      </w:r>
    </w:p>
    <w:p w14:paraId="77264D50" w14:textId="788FF273" w:rsidR="00872840" w:rsidRPr="00872840" w:rsidRDefault="00B171C5" w:rsidP="00872840">
      <w:pPr>
        <w:pStyle w:val="ListParagraph"/>
        <w:numPr>
          <w:ilvl w:val="0"/>
          <w:numId w:val="40"/>
        </w:numPr>
        <w:autoSpaceDE w:val="0"/>
        <w:autoSpaceDN w:val="0"/>
        <w:adjustRightInd w:val="0"/>
        <w:spacing w:after="0" w:line="276" w:lineRule="auto"/>
        <w:jc w:val="both"/>
        <w:rPr>
          <w:sz w:val="24"/>
          <w:szCs w:val="24"/>
        </w:rPr>
      </w:pPr>
      <w:r>
        <w:rPr>
          <w:bCs/>
          <w:sz w:val="24"/>
          <w:szCs w:val="24"/>
        </w:rPr>
        <w:t>Q</w:t>
      </w:r>
      <w:r w:rsidR="00215B5D" w:rsidRPr="00872840">
        <w:rPr>
          <w:bCs/>
          <w:sz w:val="24"/>
          <w:szCs w:val="24"/>
        </w:rPr>
        <w:t xml:space="preserve">uantitative analysis of </w:t>
      </w:r>
      <w:r w:rsidR="00872840" w:rsidRPr="00872840">
        <w:rPr>
          <w:bCs/>
          <w:sz w:val="24"/>
          <w:szCs w:val="24"/>
        </w:rPr>
        <w:t>survey data and project records to establish fidelity to the intervention (</w:t>
      </w:r>
      <w:proofErr w:type="gramStart"/>
      <w:r w:rsidR="00872840" w:rsidRPr="00872840">
        <w:rPr>
          <w:bCs/>
          <w:sz w:val="24"/>
          <w:szCs w:val="24"/>
        </w:rPr>
        <w:t>e.g.</w:t>
      </w:r>
      <w:proofErr w:type="gramEnd"/>
      <w:r w:rsidR="00872840" w:rsidRPr="00872840">
        <w:rPr>
          <w:bCs/>
          <w:sz w:val="24"/>
          <w:szCs w:val="24"/>
        </w:rPr>
        <w:t xml:space="preserve"> adherence to and completion of socioeconomic support delivery amongst intervention arm participants); a</w:t>
      </w:r>
      <w:r w:rsidR="00215B5D" w:rsidRPr="00872840">
        <w:rPr>
          <w:bCs/>
          <w:sz w:val="24"/>
          <w:szCs w:val="24"/>
        </w:rPr>
        <w:t xml:space="preserve">nd </w:t>
      </w:r>
    </w:p>
    <w:p w14:paraId="5ACF8322" w14:textId="7197B26C" w:rsidR="00215B5D" w:rsidRPr="00872840" w:rsidRDefault="00B171C5" w:rsidP="00872840">
      <w:pPr>
        <w:pStyle w:val="ListParagraph"/>
        <w:numPr>
          <w:ilvl w:val="0"/>
          <w:numId w:val="40"/>
        </w:numPr>
        <w:autoSpaceDE w:val="0"/>
        <w:autoSpaceDN w:val="0"/>
        <w:adjustRightInd w:val="0"/>
        <w:spacing w:after="0" w:line="276" w:lineRule="auto"/>
        <w:jc w:val="both"/>
        <w:rPr>
          <w:sz w:val="24"/>
          <w:szCs w:val="24"/>
        </w:rPr>
      </w:pPr>
      <w:r>
        <w:rPr>
          <w:bCs/>
          <w:sz w:val="24"/>
          <w:szCs w:val="24"/>
        </w:rPr>
        <w:t>T</w:t>
      </w:r>
      <w:r w:rsidR="00215B5D" w:rsidRPr="00872840">
        <w:rPr>
          <w:bCs/>
          <w:sz w:val="24"/>
          <w:szCs w:val="24"/>
        </w:rPr>
        <w:t xml:space="preserve">hematic analysis of the qualitative FGD and </w:t>
      </w:r>
      <w:r w:rsidR="002A53C5">
        <w:rPr>
          <w:bCs/>
          <w:sz w:val="24"/>
          <w:szCs w:val="24"/>
        </w:rPr>
        <w:t>KII</w:t>
      </w:r>
      <w:r w:rsidR="00215B5D" w:rsidRPr="00872840">
        <w:rPr>
          <w:bCs/>
          <w:sz w:val="24"/>
          <w:szCs w:val="24"/>
        </w:rPr>
        <w:t xml:space="preserve"> data collected within </w:t>
      </w:r>
      <w:proofErr w:type="spellStart"/>
      <w:r w:rsidR="00215B5D" w:rsidRPr="00872840">
        <w:rPr>
          <w:bCs/>
          <w:sz w:val="24"/>
          <w:szCs w:val="24"/>
        </w:rPr>
        <w:t>Sekhon’s</w:t>
      </w:r>
      <w:proofErr w:type="spellEnd"/>
      <w:r w:rsidR="00215B5D" w:rsidRPr="00872840">
        <w:rPr>
          <w:bCs/>
          <w:sz w:val="24"/>
          <w:szCs w:val="24"/>
        </w:rPr>
        <w:t xml:space="preserve"> Framework for healthcare interventions.</w:t>
      </w:r>
      <w:r w:rsidR="00215B5D" w:rsidRPr="00872840">
        <w:rPr>
          <w:sz w:val="24"/>
          <w:szCs w:val="24"/>
        </w:rPr>
        <w:fldChar w:fldCharType="begin" w:fldLock="1"/>
      </w:r>
      <w:r w:rsidR="000855E1">
        <w:rPr>
          <w:sz w:val="24"/>
          <w:szCs w:val="24"/>
        </w:rPr>
        <w:instrText>ADDIN CSL_CITATION {"citationItems":[{"id":"ITEM-1","itemData":{"DOI":"10.1186/s12913-015-1177-5","ISSN":"14726963","abstract":"BACKGROUND: Even though Swedish national guidelines for stroke care (SNGSC) have been accessible for nearly a decade access to stroke rehabilitation in out-patient health care vary considerably. In order to aid future interventions studies for implementation of SNGSC, this study assessed the feasibility and acceptability of study procedures including analysis of the context in out-patient health care settings. METHODS: The feasibility and acceptability of recruitment, observations and interviews with managers, staff and patients were assessed, as well as the feasibility of surveying health care records. RESULTS: To identify patients from the the hospitals was feasible but not from out-patient care where a need to relieve clinical staff of the recruitment process was identified. Assessing adherence to guidelines and standardized evaluations of patient outcomes through health care records was found to be feasible and suitable assessment tools to evaluate patient outcome were identified. Interviews were found to be a feasible and acceptable tool to survey the context of the health care setting. CONCLUSION: In this feasibility study a variety of qualitative and quantitative data collection procedures and measures were tested. The results indicate what can be used as a set of feasible and acceptable data collection procedures and suitable measures for studying implementation of stroke guidelines in an out-patient health care context.","author":[{"dropping-particle":"","family":"Palmcrantz","given":"Susanne","non-dropping-particle":"","parse-names":false,"suffix":""},{"dropping-particle":"","family":"Tistad","given":"Malin","non-dropping-particle":"","parse-names":false,"suffix":""},{"dropping-particle":"","family":"Eldh","given":"Ann Catrine","non-dropping-particle":"","parse-names":false,"suffix":""},{"dropping-particle":"","family":"Holmqvist","given":"Lotta Widén","non-dropping-particle":"","parse-names":false,"suffix":""},{"dropping-particle":"","family":"Ehrenberg","given":"Anna","non-dropping-particle":"","parse-names":false,"suffix":""},{"dropping-particle":"","family":"Tomson","given":"Göran","non-dropping-particle":"","parse-names":false,"suffix":""},{"dropping-particle":"","family":"Olsson","given":"Christina B.","non-dropping-particle":"","parse-names":false,"suffix":""},{"dropping-particle":"","family":"Wallin","given":"Lars","non-dropping-particle":"","parse-names":false,"suffix":""}],"container-title":"BMC Health Services Research","id":"ITEM-1","issue":"1","issued":{"date-parts":[["2015"]]},"page":"1-11","publisher":"BMC Health Services Research","title":"Assessing feasibility and acceptability of study procedures: Getting ready for implementation of national stroke guidelines in out-patient health care","type":"article-journal","volume":"15"},"uris":["http://www.mendeley.com/documents/?uuid=eec10b96-b68b-4869-a234-a0d5263907d1"]},{"id":"ITEM-2","itemData":{"DOI":"10.1186/s12913-017-2031-8","ISBN":"1291301720318","ISSN":"14726963","abstract":"Background It is increasingly acknowledged that ‘acceptability’ should be considered when designing, evaluating and implementing healthcare interventions. However, the published literature offers little guidance on how to define or assess acceptability. The purpose of this study was to develop a multi-construct theoretical framework of acceptability of healthcare interventions that can be applied to assess prospective (i.e. anticipated) and retrospective (i.e. experienced) acceptability from the perspective of intervention delivers and recipients. Methods Two methods were used to select the component constructs of acceptability. 1) An overview of reviews was conducted to identify systematic reviews that claim to define, theorise or measure acceptability of healthcare interventions. 2) Principles of inductive and deductive reasoning were applied to theorise the concept of acceptability and develop a theoretical framework. Steps included (1) defining acceptability; (2) describing its properties and scope and (3) identifying component constructs and empirical indicators. Results From the 43 reviews included in the overview, none explicitly theorised or defined acceptability. Measures used to assess acceptability focused on behaviour (e.g. dropout rates) (23 reviews), affect (i.e. feelings) (5 reviews), cognition (i.e. perceptions) (7 reviews) or a combination of these (8 reviews). From the methods described above we propose a definition: Acceptability is a multi-faceted construct that reflects the extent to which people delivering or receiving a healthcare intervention consider it to be appropriate, based on anticipated or experienced cognitive and emotional responses to the intervention. The theoretical framework of acceptability (TFA) consists of seven component constructs: affective attitude, burden, perceived effectiveness, ethicality, intervention coherence, opportunity costs, and self-efficacy. Conclusion Despite frequent claims that healthcare interventions have assessed acceptability, it is evident that acceptability research could be more robust. The proposed definition of acceptability and the TFA can inform assessment tools and evaluations of the acceptability of new or existing interventions.","author":[{"dropping-particle":"","family":"Sekhon","given":"Mandeep","non-dropping-particle":"","parse-names":false,"suffix":""},{"dropping-particle":"","family":"Cartwright","given":"Martin","non-dropping-particle":"","parse-names":false,"suffix":""},{"dropping-particle":"","family":"Francis","given":"Jill J.","non-dropping-particle":"","parse-names":false,"suffix":""}],"container-title":"BMC Health Services Research","id":"ITEM-2","issue":"1","issued":{"date-parts":[["2017"]]},"page":"1-13","publisher":"BMC Health Services Research","title":"Acceptability of healthcare interventions: An overview of reviews and development of a theoretical framework","type":"article-journal","volume":"17"},"uris":["http://www.mendeley.com/documents/?uuid=086fae0b-768f-454f-8a5f-5b1e539cf235"]}],"mendeley":{"formattedCitation":"&lt;sup&gt;51,52&lt;/sup&gt;","plainTextFormattedCitation":"51,52","previouslyFormattedCitation":"&lt;sup&gt;51,52&lt;/sup&gt;"},"properties":{"noteIndex":0},"schema":"https://github.com/citation-style-language/schema/raw/master/csl-citation.json"}</w:instrText>
      </w:r>
      <w:r w:rsidR="00215B5D" w:rsidRPr="00872840">
        <w:rPr>
          <w:sz w:val="24"/>
          <w:szCs w:val="24"/>
        </w:rPr>
        <w:fldChar w:fldCharType="separate"/>
      </w:r>
      <w:r w:rsidR="00DE199B" w:rsidRPr="00DE199B">
        <w:rPr>
          <w:noProof/>
          <w:sz w:val="24"/>
          <w:szCs w:val="24"/>
          <w:vertAlign w:val="superscript"/>
        </w:rPr>
        <w:t>51,52</w:t>
      </w:r>
      <w:r w:rsidR="00215B5D" w:rsidRPr="00872840">
        <w:rPr>
          <w:sz w:val="24"/>
          <w:szCs w:val="24"/>
        </w:rPr>
        <w:fldChar w:fldCharType="end"/>
      </w:r>
      <w:r w:rsidR="00215B5D" w:rsidRPr="00872840">
        <w:rPr>
          <w:sz w:val="24"/>
          <w:szCs w:val="24"/>
        </w:rPr>
        <w:t xml:space="preserve"> </w:t>
      </w:r>
    </w:p>
    <w:p w14:paraId="33551D09" w14:textId="29059331" w:rsidR="00215B5D" w:rsidRDefault="00215B5D" w:rsidP="00215B5D">
      <w:pPr>
        <w:pStyle w:val="ListParagraph"/>
        <w:autoSpaceDE w:val="0"/>
        <w:autoSpaceDN w:val="0"/>
        <w:adjustRightInd w:val="0"/>
        <w:spacing w:after="0" w:line="276" w:lineRule="auto"/>
        <w:jc w:val="both"/>
        <w:rPr>
          <w:sz w:val="24"/>
          <w:szCs w:val="24"/>
        </w:rPr>
      </w:pPr>
    </w:p>
    <w:p w14:paraId="154AA082" w14:textId="4C96F397" w:rsidR="00215B5D" w:rsidRDefault="00215B5D" w:rsidP="00872840">
      <w:pPr>
        <w:autoSpaceDE w:val="0"/>
        <w:autoSpaceDN w:val="0"/>
        <w:adjustRightInd w:val="0"/>
        <w:spacing w:line="276" w:lineRule="auto"/>
        <w:jc w:val="both"/>
        <w:rPr>
          <w:bCs/>
          <w:sz w:val="24"/>
          <w:szCs w:val="24"/>
        </w:rPr>
      </w:pPr>
      <w:bookmarkStart w:id="12" w:name="_Toc89100923"/>
      <w:r w:rsidRPr="00D85973">
        <w:rPr>
          <w:rStyle w:val="Heading3Char"/>
          <w:rFonts w:asciiTheme="minorHAnsi" w:hAnsiTheme="minorHAnsi"/>
          <w:i/>
          <w:color w:val="000000" w:themeColor="text1"/>
        </w:rPr>
        <w:t>Feasibility</w:t>
      </w:r>
      <w:bookmarkEnd w:id="12"/>
      <w:r w:rsidR="00872840" w:rsidRPr="00D85973">
        <w:rPr>
          <w:bCs/>
          <w:sz w:val="24"/>
          <w:szCs w:val="24"/>
        </w:rPr>
        <w:t xml:space="preserve"> </w:t>
      </w:r>
      <w:r w:rsidR="00872840">
        <w:rPr>
          <w:bCs/>
          <w:sz w:val="24"/>
          <w:szCs w:val="24"/>
        </w:rPr>
        <w:t>will be measured using quantitative data including:</w:t>
      </w:r>
    </w:p>
    <w:p w14:paraId="560BCBBC" w14:textId="70EECA3A" w:rsidR="00872840" w:rsidRDefault="00872840" w:rsidP="00872840">
      <w:pPr>
        <w:pStyle w:val="ListParagraph"/>
        <w:numPr>
          <w:ilvl w:val="0"/>
          <w:numId w:val="41"/>
        </w:numPr>
        <w:autoSpaceDE w:val="0"/>
        <w:autoSpaceDN w:val="0"/>
        <w:adjustRightInd w:val="0"/>
        <w:spacing w:line="276" w:lineRule="auto"/>
        <w:jc w:val="both"/>
        <w:rPr>
          <w:bCs/>
          <w:sz w:val="24"/>
          <w:szCs w:val="24"/>
        </w:rPr>
      </w:pPr>
      <w:r>
        <w:rPr>
          <w:bCs/>
          <w:sz w:val="24"/>
          <w:szCs w:val="24"/>
        </w:rPr>
        <w:t>Recruitment (</w:t>
      </w:r>
      <w:proofErr w:type="gramStart"/>
      <w:r>
        <w:rPr>
          <w:bCs/>
          <w:sz w:val="24"/>
          <w:szCs w:val="24"/>
        </w:rPr>
        <w:t>e.g.</w:t>
      </w:r>
      <w:proofErr w:type="gramEnd"/>
      <w:r>
        <w:rPr>
          <w:bCs/>
          <w:sz w:val="24"/>
          <w:szCs w:val="24"/>
        </w:rPr>
        <w:t xml:space="preserve"> number of people invited, recruited, and participant attrition)</w:t>
      </w:r>
    </w:p>
    <w:p w14:paraId="13D115E6" w14:textId="19F38B94" w:rsidR="00872840" w:rsidRDefault="00872840" w:rsidP="00872840">
      <w:pPr>
        <w:pStyle w:val="ListParagraph"/>
        <w:numPr>
          <w:ilvl w:val="0"/>
          <w:numId w:val="41"/>
        </w:numPr>
        <w:autoSpaceDE w:val="0"/>
        <w:autoSpaceDN w:val="0"/>
        <w:adjustRightInd w:val="0"/>
        <w:spacing w:line="276" w:lineRule="auto"/>
        <w:jc w:val="both"/>
        <w:rPr>
          <w:bCs/>
          <w:sz w:val="24"/>
          <w:szCs w:val="24"/>
        </w:rPr>
      </w:pPr>
      <w:r>
        <w:rPr>
          <w:bCs/>
          <w:sz w:val="24"/>
          <w:szCs w:val="24"/>
        </w:rPr>
        <w:t xml:space="preserve">Survey completion </w:t>
      </w:r>
    </w:p>
    <w:p w14:paraId="2F3E79DE" w14:textId="3FE9E636" w:rsidR="00872840" w:rsidRPr="00872840" w:rsidRDefault="00872840" w:rsidP="00872840">
      <w:pPr>
        <w:pStyle w:val="ListParagraph"/>
        <w:numPr>
          <w:ilvl w:val="0"/>
          <w:numId w:val="41"/>
        </w:numPr>
        <w:autoSpaceDE w:val="0"/>
        <w:autoSpaceDN w:val="0"/>
        <w:adjustRightInd w:val="0"/>
        <w:spacing w:line="276" w:lineRule="auto"/>
        <w:jc w:val="both"/>
        <w:rPr>
          <w:bCs/>
          <w:sz w:val="24"/>
          <w:szCs w:val="24"/>
        </w:rPr>
      </w:pPr>
      <w:r>
        <w:rPr>
          <w:bCs/>
          <w:sz w:val="24"/>
          <w:szCs w:val="24"/>
        </w:rPr>
        <w:t>ASCOT staff time and costs plus overall project costs</w:t>
      </w:r>
      <w:r w:rsidR="00BB3C55">
        <w:rPr>
          <w:bCs/>
          <w:sz w:val="24"/>
          <w:szCs w:val="24"/>
        </w:rPr>
        <w:t>.</w:t>
      </w:r>
    </w:p>
    <w:p w14:paraId="23DDB05D" w14:textId="4C083646" w:rsidR="00215B5D" w:rsidRDefault="00215B5D" w:rsidP="00215B5D">
      <w:pPr>
        <w:pStyle w:val="ListParagraph"/>
        <w:autoSpaceDE w:val="0"/>
        <w:autoSpaceDN w:val="0"/>
        <w:adjustRightInd w:val="0"/>
        <w:spacing w:line="276" w:lineRule="auto"/>
        <w:jc w:val="both"/>
        <w:rPr>
          <w:sz w:val="24"/>
          <w:szCs w:val="24"/>
        </w:rPr>
      </w:pPr>
    </w:p>
    <w:p w14:paraId="7216ECCD" w14:textId="7F9DC0DD" w:rsidR="0043060F" w:rsidRPr="0043060F" w:rsidRDefault="0043060F" w:rsidP="0043060F">
      <w:pPr>
        <w:pStyle w:val="ListParagraph"/>
        <w:autoSpaceDE w:val="0"/>
        <w:autoSpaceDN w:val="0"/>
        <w:adjustRightInd w:val="0"/>
        <w:spacing w:line="276" w:lineRule="auto"/>
        <w:ind w:left="0"/>
        <w:jc w:val="both"/>
        <w:rPr>
          <w:b/>
          <w:bCs/>
          <w:i/>
          <w:iCs/>
          <w:sz w:val="24"/>
          <w:szCs w:val="24"/>
        </w:rPr>
      </w:pPr>
      <w:r w:rsidRPr="0043060F">
        <w:rPr>
          <w:b/>
          <w:bCs/>
          <w:i/>
          <w:iCs/>
          <w:sz w:val="24"/>
          <w:szCs w:val="24"/>
        </w:rPr>
        <w:t>Secondary outcomes</w:t>
      </w:r>
    </w:p>
    <w:p w14:paraId="76F9EF28" w14:textId="77777777" w:rsidR="00FB2AB7" w:rsidRDefault="00FB2AB7" w:rsidP="009F57A1">
      <w:pPr>
        <w:pStyle w:val="ListParagraph"/>
        <w:autoSpaceDE w:val="0"/>
        <w:autoSpaceDN w:val="0"/>
        <w:adjustRightInd w:val="0"/>
        <w:spacing w:after="0" w:line="276" w:lineRule="auto"/>
        <w:ind w:left="0"/>
        <w:jc w:val="both"/>
        <w:rPr>
          <w:sz w:val="24"/>
          <w:szCs w:val="24"/>
        </w:rPr>
      </w:pPr>
    </w:p>
    <w:p w14:paraId="4F4779C9" w14:textId="61FCD964" w:rsidR="009F57A1" w:rsidRDefault="00FB2AB7" w:rsidP="009F57A1">
      <w:pPr>
        <w:pStyle w:val="ListParagraph"/>
        <w:autoSpaceDE w:val="0"/>
        <w:autoSpaceDN w:val="0"/>
        <w:adjustRightInd w:val="0"/>
        <w:spacing w:after="0" w:line="276" w:lineRule="auto"/>
        <w:ind w:left="0"/>
        <w:jc w:val="both"/>
        <w:rPr>
          <w:sz w:val="24"/>
          <w:szCs w:val="24"/>
        </w:rPr>
      </w:pPr>
      <w:bookmarkStart w:id="13" w:name="_Toc89100925"/>
      <w:r w:rsidRPr="00D85973">
        <w:rPr>
          <w:rStyle w:val="Heading3Char"/>
          <w:rFonts w:asciiTheme="minorHAnsi" w:hAnsiTheme="minorHAnsi"/>
          <w:i/>
          <w:color w:val="000000" w:themeColor="text1"/>
        </w:rPr>
        <w:t>Health systems readiness and scalability</w:t>
      </w:r>
      <w:bookmarkEnd w:id="13"/>
      <w:r>
        <w:rPr>
          <w:sz w:val="24"/>
          <w:szCs w:val="24"/>
        </w:rPr>
        <w:t xml:space="preserve"> will </w:t>
      </w:r>
      <w:r w:rsidR="00872840">
        <w:rPr>
          <w:sz w:val="24"/>
          <w:szCs w:val="24"/>
        </w:rPr>
        <w:t xml:space="preserve">be assessed using </w:t>
      </w:r>
      <w:proofErr w:type="gramStart"/>
      <w:r w:rsidR="00872840">
        <w:rPr>
          <w:sz w:val="24"/>
          <w:szCs w:val="24"/>
        </w:rPr>
        <w:t>mixed-methods</w:t>
      </w:r>
      <w:proofErr w:type="gramEnd"/>
      <w:r w:rsidR="00872840">
        <w:rPr>
          <w:sz w:val="24"/>
          <w:szCs w:val="24"/>
        </w:rPr>
        <w:t xml:space="preserve"> including thematic analysis of FGD and </w:t>
      </w:r>
      <w:r w:rsidR="002A53C5">
        <w:rPr>
          <w:sz w:val="24"/>
          <w:szCs w:val="24"/>
        </w:rPr>
        <w:t>KII</w:t>
      </w:r>
      <w:r w:rsidR="00872840">
        <w:rPr>
          <w:sz w:val="24"/>
          <w:szCs w:val="24"/>
        </w:rPr>
        <w:t xml:space="preserve"> data and quantitative analysis of the brief questionnaire completed prior to FGDs.</w:t>
      </w:r>
    </w:p>
    <w:p w14:paraId="3C2CBBF4" w14:textId="1B334554" w:rsidR="0043060F" w:rsidRDefault="0043060F" w:rsidP="009F57A1">
      <w:pPr>
        <w:pStyle w:val="ListParagraph"/>
        <w:autoSpaceDE w:val="0"/>
        <w:autoSpaceDN w:val="0"/>
        <w:adjustRightInd w:val="0"/>
        <w:spacing w:after="0" w:line="276" w:lineRule="auto"/>
        <w:ind w:left="0"/>
        <w:jc w:val="both"/>
        <w:rPr>
          <w:sz w:val="24"/>
          <w:szCs w:val="24"/>
        </w:rPr>
      </w:pPr>
    </w:p>
    <w:p w14:paraId="18F75826" w14:textId="7B7C71DD" w:rsidR="0043060F" w:rsidRPr="0043060F" w:rsidRDefault="0043060F" w:rsidP="009F57A1">
      <w:pPr>
        <w:pStyle w:val="ListParagraph"/>
        <w:autoSpaceDE w:val="0"/>
        <w:autoSpaceDN w:val="0"/>
        <w:adjustRightInd w:val="0"/>
        <w:spacing w:after="0" w:line="276" w:lineRule="auto"/>
        <w:ind w:left="0"/>
        <w:jc w:val="both"/>
        <w:rPr>
          <w:b/>
          <w:bCs/>
          <w:i/>
          <w:iCs/>
          <w:sz w:val="24"/>
          <w:szCs w:val="24"/>
        </w:rPr>
      </w:pPr>
      <w:r w:rsidRPr="0043060F">
        <w:rPr>
          <w:b/>
          <w:bCs/>
          <w:i/>
          <w:iCs/>
          <w:sz w:val="24"/>
          <w:szCs w:val="24"/>
        </w:rPr>
        <w:t>Exploratory outcomes</w:t>
      </w:r>
    </w:p>
    <w:p w14:paraId="702922F1" w14:textId="77777777" w:rsidR="0043060F" w:rsidRDefault="0043060F" w:rsidP="009F57A1">
      <w:pPr>
        <w:pStyle w:val="ListParagraph"/>
        <w:autoSpaceDE w:val="0"/>
        <w:autoSpaceDN w:val="0"/>
        <w:adjustRightInd w:val="0"/>
        <w:spacing w:after="0" w:line="276" w:lineRule="auto"/>
        <w:ind w:left="0"/>
        <w:jc w:val="both"/>
        <w:rPr>
          <w:sz w:val="24"/>
          <w:szCs w:val="24"/>
        </w:rPr>
      </w:pPr>
    </w:p>
    <w:p w14:paraId="656C6C39" w14:textId="6EF522B6" w:rsidR="009F57A1" w:rsidRDefault="00FB2AB7" w:rsidP="009F57A1">
      <w:pPr>
        <w:pStyle w:val="ListParagraph"/>
        <w:autoSpaceDE w:val="0"/>
        <w:autoSpaceDN w:val="0"/>
        <w:adjustRightInd w:val="0"/>
        <w:spacing w:after="0" w:line="276" w:lineRule="auto"/>
        <w:ind w:left="0"/>
        <w:jc w:val="both"/>
        <w:rPr>
          <w:sz w:val="24"/>
          <w:szCs w:val="24"/>
        </w:rPr>
      </w:pPr>
      <w:r>
        <w:rPr>
          <w:sz w:val="24"/>
          <w:szCs w:val="24"/>
        </w:rPr>
        <w:t>Unpowered, e</w:t>
      </w:r>
      <w:r w:rsidR="009F57A1">
        <w:rPr>
          <w:sz w:val="24"/>
          <w:szCs w:val="24"/>
        </w:rPr>
        <w:t xml:space="preserve">xploratory </w:t>
      </w:r>
      <w:r w:rsidR="00872840">
        <w:rPr>
          <w:sz w:val="24"/>
          <w:szCs w:val="24"/>
        </w:rPr>
        <w:t xml:space="preserve">outcomes will be </w:t>
      </w:r>
      <w:r>
        <w:rPr>
          <w:sz w:val="24"/>
          <w:szCs w:val="24"/>
        </w:rPr>
        <w:t>evaluated</w:t>
      </w:r>
      <w:r w:rsidR="00872840">
        <w:rPr>
          <w:sz w:val="24"/>
          <w:szCs w:val="24"/>
        </w:rPr>
        <w:t xml:space="preserve"> by comparing the proportion of people with TB in each study arm who:</w:t>
      </w:r>
    </w:p>
    <w:p w14:paraId="3BA905A4" w14:textId="77777777" w:rsidR="00FB2AB7" w:rsidRDefault="00FB2AB7" w:rsidP="009F57A1">
      <w:pPr>
        <w:pStyle w:val="ListParagraph"/>
        <w:autoSpaceDE w:val="0"/>
        <w:autoSpaceDN w:val="0"/>
        <w:adjustRightInd w:val="0"/>
        <w:spacing w:after="0" w:line="276" w:lineRule="auto"/>
        <w:ind w:left="0"/>
        <w:jc w:val="both"/>
        <w:rPr>
          <w:sz w:val="24"/>
          <w:szCs w:val="24"/>
        </w:rPr>
      </w:pPr>
    </w:p>
    <w:p w14:paraId="6D4B6B01" w14:textId="024F1EAB" w:rsidR="00872840" w:rsidRDefault="00FB2AB7" w:rsidP="00872840">
      <w:pPr>
        <w:pStyle w:val="ListParagraph"/>
        <w:numPr>
          <w:ilvl w:val="0"/>
          <w:numId w:val="42"/>
        </w:numPr>
        <w:autoSpaceDE w:val="0"/>
        <w:autoSpaceDN w:val="0"/>
        <w:adjustRightInd w:val="0"/>
        <w:spacing w:after="0" w:line="276" w:lineRule="auto"/>
        <w:jc w:val="both"/>
        <w:rPr>
          <w:sz w:val="24"/>
          <w:szCs w:val="24"/>
        </w:rPr>
      </w:pPr>
      <w:bookmarkStart w:id="14" w:name="_Toc89100927"/>
      <w:r w:rsidRPr="00D85973">
        <w:rPr>
          <w:rStyle w:val="Heading3Char"/>
          <w:rFonts w:asciiTheme="minorHAnsi" w:hAnsiTheme="minorHAnsi"/>
          <w:i/>
          <w:color w:val="000000" w:themeColor="text1"/>
        </w:rPr>
        <w:t xml:space="preserve">Achieve </w:t>
      </w:r>
      <w:r w:rsidR="00872840" w:rsidRPr="00D85973">
        <w:rPr>
          <w:rStyle w:val="Heading3Char"/>
          <w:rFonts w:asciiTheme="minorHAnsi" w:hAnsiTheme="minorHAnsi"/>
          <w:i/>
          <w:color w:val="000000" w:themeColor="text1"/>
        </w:rPr>
        <w:t>TB treatment success</w:t>
      </w:r>
      <w:bookmarkEnd w:id="14"/>
      <w:r w:rsidR="00872840" w:rsidRPr="00D85973">
        <w:rPr>
          <w:i/>
          <w:sz w:val="24"/>
          <w:szCs w:val="24"/>
        </w:rPr>
        <w:t>:</w:t>
      </w:r>
      <w:r w:rsidR="00872840">
        <w:rPr>
          <w:sz w:val="24"/>
          <w:szCs w:val="24"/>
        </w:rPr>
        <w:t xml:space="preserve"> </w:t>
      </w:r>
      <w:r>
        <w:rPr>
          <w:sz w:val="24"/>
          <w:szCs w:val="24"/>
        </w:rPr>
        <w:t xml:space="preserve">NTP-defined outcome of </w:t>
      </w:r>
      <w:r w:rsidR="00872840">
        <w:rPr>
          <w:sz w:val="24"/>
          <w:szCs w:val="24"/>
        </w:rPr>
        <w:t>completed TB treatment or confirmed cured</w:t>
      </w:r>
      <w:r>
        <w:rPr>
          <w:sz w:val="24"/>
          <w:szCs w:val="24"/>
        </w:rPr>
        <w:t xml:space="preserve"> documented in TB register</w:t>
      </w:r>
      <w:r w:rsidR="00A933C9">
        <w:rPr>
          <w:sz w:val="24"/>
          <w:szCs w:val="24"/>
        </w:rPr>
        <w:t>.</w:t>
      </w:r>
    </w:p>
    <w:p w14:paraId="38B78048" w14:textId="1341A0DE" w:rsidR="00872840" w:rsidRDefault="00FB2AB7" w:rsidP="00872840">
      <w:pPr>
        <w:pStyle w:val="ListParagraph"/>
        <w:numPr>
          <w:ilvl w:val="0"/>
          <w:numId w:val="42"/>
        </w:numPr>
        <w:autoSpaceDE w:val="0"/>
        <w:autoSpaceDN w:val="0"/>
        <w:adjustRightInd w:val="0"/>
        <w:spacing w:after="0" w:line="276" w:lineRule="auto"/>
        <w:jc w:val="both"/>
        <w:rPr>
          <w:sz w:val="24"/>
          <w:szCs w:val="24"/>
        </w:rPr>
      </w:pPr>
      <w:bookmarkStart w:id="15" w:name="_Toc89100928"/>
      <w:r w:rsidRPr="00D85973">
        <w:rPr>
          <w:rStyle w:val="Heading3Char"/>
          <w:rFonts w:asciiTheme="minorHAnsi" w:hAnsiTheme="minorHAnsi"/>
          <w:i/>
          <w:color w:val="000000" w:themeColor="text1"/>
        </w:rPr>
        <w:t>Avoid catastrophic costs</w:t>
      </w:r>
      <w:bookmarkEnd w:id="15"/>
      <w:r w:rsidR="00872840" w:rsidRPr="00D85973">
        <w:rPr>
          <w:i/>
          <w:sz w:val="24"/>
          <w:szCs w:val="24"/>
        </w:rPr>
        <w:t>:</w:t>
      </w:r>
      <w:r w:rsidR="00872840">
        <w:rPr>
          <w:sz w:val="24"/>
          <w:szCs w:val="24"/>
        </w:rPr>
        <w:t xml:space="preserve"> </w:t>
      </w:r>
      <w:r>
        <w:rPr>
          <w:sz w:val="24"/>
          <w:szCs w:val="24"/>
        </w:rPr>
        <w:t>TB-affected households that did not incur total out-of-pocket expenses and lost income during TB illness that equated to more than 20% of the same household’s annual pre-TB income</w:t>
      </w:r>
      <w:r w:rsidR="00A933C9">
        <w:rPr>
          <w:sz w:val="24"/>
          <w:szCs w:val="24"/>
        </w:rPr>
        <w:t>.</w:t>
      </w:r>
    </w:p>
    <w:p w14:paraId="0589EAFA" w14:textId="16F18816" w:rsidR="00FB2AB7" w:rsidRDefault="00FB2AB7" w:rsidP="00872840">
      <w:pPr>
        <w:pStyle w:val="ListParagraph"/>
        <w:numPr>
          <w:ilvl w:val="0"/>
          <w:numId w:val="42"/>
        </w:numPr>
        <w:autoSpaceDE w:val="0"/>
        <w:autoSpaceDN w:val="0"/>
        <w:adjustRightInd w:val="0"/>
        <w:spacing w:after="0" w:line="276" w:lineRule="auto"/>
        <w:jc w:val="both"/>
        <w:rPr>
          <w:sz w:val="24"/>
          <w:szCs w:val="24"/>
        </w:rPr>
      </w:pPr>
      <w:bookmarkStart w:id="16" w:name="_Toc89100929"/>
      <w:r w:rsidRPr="00D85973">
        <w:rPr>
          <w:rStyle w:val="Heading3Char"/>
          <w:rFonts w:asciiTheme="minorHAnsi" w:hAnsiTheme="minorHAnsi"/>
          <w:i/>
          <w:color w:val="000000" w:themeColor="text1"/>
        </w:rPr>
        <w:t>Reported enhanced wellbeing</w:t>
      </w:r>
      <w:bookmarkEnd w:id="16"/>
      <w:r w:rsidRPr="00D85973">
        <w:rPr>
          <w:i/>
          <w:sz w:val="24"/>
          <w:szCs w:val="24"/>
        </w:rPr>
        <w:t>:</w:t>
      </w:r>
      <w:r>
        <w:rPr>
          <w:sz w:val="24"/>
          <w:szCs w:val="24"/>
        </w:rPr>
        <w:t xml:space="preserve"> measured by self-reported levels of self-stigma </w:t>
      </w:r>
      <w:r w:rsidR="00311CD5">
        <w:rPr>
          <w:sz w:val="24"/>
          <w:szCs w:val="24"/>
        </w:rPr>
        <w:t xml:space="preserve">and </w:t>
      </w:r>
      <w:r>
        <w:rPr>
          <w:sz w:val="24"/>
          <w:szCs w:val="24"/>
        </w:rPr>
        <w:t xml:space="preserve">depression at </w:t>
      </w:r>
      <w:r w:rsidR="00D85973">
        <w:rPr>
          <w:sz w:val="24"/>
          <w:szCs w:val="24"/>
        </w:rPr>
        <w:t>six-month</w:t>
      </w:r>
      <w:r>
        <w:rPr>
          <w:sz w:val="24"/>
          <w:szCs w:val="24"/>
        </w:rPr>
        <w:t xml:space="preserve"> follow-up adjusted for baseline.</w:t>
      </w:r>
    </w:p>
    <w:p w14:paraId="4AFE66DE" w14:textId="3B6EA1E1" w:rsidR="0043060F" w:rsidRDefault="0043060F" w:rsidP="0043060F">
      <w:pPr>
        <w:autoSpaceDE w:val="0"/>
        <w:autoSpaceDN w:val="0"/>
        <w:adjustRightInd w:val="0"/>
        <w:spacing w:after="0" w:line="276" w:lineRule="auto"/>
        <w:jc w:val="both"/>
        <w:rPr>
          <w:sz w:val="24"/>
          <w:szCs w:val="24"/>
        </w:rPr>
      </w:pPr>
    </w:p>
    <w:p w14:paraId="59B4BC4A" w14:textId="77777777" w:rsidR="0043060F" w:rsidRPr="0043060F" w:rsidRDefault="0043060F" w:rsidP="0043060F">
      <w:pPr>
        <w:autoSpaceDE w:val="0"/>
        <w:autoSpaceDN w:val="0"/>
        <w:adjustRightInd w:val="0"/>
        <w:spacing w:after="0" w:line="276" w:lineRule="auto"/>
        <w:jc w:val="both"/>
        <w:rPr>
          <w:b/>
          <w:bCs/>
          <w:sz w:val="24"/>
          <w:szCs w:val="24"/>
        </w:rPr>
      </w:pPr>
      <w:r w:rsidRPr="0043060F">
        <w:rPr>
          <w:b/>
          <w:bCs/>
          <w:sz w:val="24"/>
          <w:szCs w:val="24"/>
        </w:rPr>
        <w:t>Data collection and management</w:t>
      </w:r>
    </w:p>
    <w:p w14:paraId="05A856E0" w14:textId="77777777" w:rsidR="0043060F" w:rsidRDefault="0043060F" w:rsidP="0043060F">
      <w:pPr>
        <w:autoSpaceDE w:val="0"/>
        <w:autoSpaceDN w:val="0"/>
        <w:adjustRightInd w:val="0"/>
        <w:spacing w:after="0" w:line="276" w:lineRule="auto"/>
        <w:jc w:val="both"/>
      </w:pPr>
    </w:p>
    <w:p w14:paraId="58FF2BAF" w14:textId="77777777" w:rsidR="00697EE6" w:rsidRDefault="0043060F" w:rsidP="0043060F">
      <w:pPr>
        <w:autoSpaceDE w:val="0"/>
        <w:autoSpaceDN w:val="0"/>
        <w:adjustRightInd w:val="0"/>
        <w:spacing w:after="0" w:line="276" w:lineRule="auto"/>
        <w:jc w:val="both"/>
        <w:rPr>
          <w:b/>
          <w:bCs/>
          <w:sz w:val="24"/>
          <w:szCs w:val="24"/>
        </w:rPr>
      </w:pPr>
      <w:r w:rsidRPr="0043060F">
        <w:rPr>
          <w:b/>
          <w:bCs/>
          <w:i/>
          <w:iCs/>
          <w:sz w:val="24"/>
          <w:szCs w:val="24"/>
        </w:rPr>
        <w:t>Survey and pilot trial</w:t>
      </w:r>
    </w:p>
    <w:p w14:paraId="261989BF" w14:textId="1B24166D" w:rsidR="0043060F" w:rsidRPr="00815FC0" w:rsidRDefault="0043060F" w:rsidP="0043060F">
      <w:pPr>
        <w:autoSpaceDE w:val="0"/>
        <w:autoSpaceDN w:val="0"/>
        <w:adjustRightInd w:val="0"/>
        <w:spacing w:after="0" w:line="276" w:lineRule="auto"/>
        <w:jc w:val="both"/>
        <w:rPr>
          <w:sz w:val="24"/>
          <w:szCs w:val="24"/>
        </w:rPr>
      </w:pPr>
      <w:r w:rsidRPr="00815FC0">
        <w:rPr>
          <w:sz w:val="24"/>
          <w:szCs w:val="24"/>
        </w:rPr>
        <w:t>During the survey, information will be collected by the project team during household visits. This information includes but is not limited to socioeconomic, health, psychosocial, and behavioural data. The data of consenting TB patients will subsequently be linked with data from NTP’s TB patient register as part of its routine surveillance data collection in each study site. This data will be collected through use of tablets and/or paper depending on the local situation (</w:t>
      </w:r>
      <w:proofErr w:type="gramStart"/>
      <w:r w:rsidRPr="00815FC0">
        <w:rPr>
          <w:sz w:val="24"/>
          <w:szCs w:val="24"/>
        </w:rPr>
        <w:t>e.g.</w:t>
      </w:r>
      <w:proofErr w:type="gramEnd"/>
      <w:r w:rsidRPr="00815FC0">
        <w:rPr>
          <w:sz w:val="24"/>
          <w:szCs w:val="24"/>
        </w:rPr>
        <w:t xml:space="preserve"> security and feasibility in each district). When entered digitally, results will be entered into a mobile data collection tool via the </w:t>
      </w:r>
      <w:proofErr w:type="spellStart"/>
      <w:r w:rsidRPr="00815FC0">
        <w:rPr>
          <w:sz w:val="24"/>
          <w:szCs w:val="24"/>
        </w:rPr>
        <w:t>Commcare</w:t>
      </w:r>
      <w:proofErr w:type="spellEnd"/>
      <w:r w:rsidRPr="00815FC0">
        <w:rPr>
          <w:sz w:val="24"/>
          <w:szCs w:val="24"/>
        </w:rPr>
        <w:t xml:space="preserve"> – ODK platform (</w:t>
      </w:r>
      <w:proofErr w:type="spellStart"/>
      <w:r w:rsidRPr="00815FC0">
        <w:rPr>
          <w:sz w:val="24"/>
          <w:szCs w:val="24"/>
        </w:rPr>
        <w:t>Dimagi</w:t>
      </w:r>
      <w:proofErr w:type="spellEnd"/>
      <w:r w:rsidRPr="00815FC0">
        <w:rPr>
          <w:sz w:val="24"/>
          <w:szCs w:val="24"/>
        </w:rPr>
        <w:t xml:space="preserve">, Inc., </w:t>
      </w:r>
      <w:r w:rsidRPr="00815FC0">
        <w:rPr>
          <w:sz w:val="24"/>
          <w:szCs w:val="24"/>
        </w:rPr>
        <w:lastRenderedPageBreak/>
        <w:t>Boston, MA), which is based on open-source suite of tools called Open Data Kit/</w:t>
      </w:r>
      <w:proofErr w:type="spellStart"/>
      <w:r w:rsidRPr="00815FC0">
        <w:rPr>
          <w:sz w:val="24"/>
          <w:szCs w:val="24"/>
        </w:rPr>
        <w:t>OpenRosa</w:t>
      </w:r>
      <w:proofErr w:type="spellEnd"/>
      <w:r w:rsidRPr="00815FC0">
        <w:rPr>
          <w:sz w:val="24"/>
          <w:szCs w:val="24"/>
        </w:rPr>
        <w:t xml:space="preserve"> developed at the University of Washington's Department of Computer Science and Engineering. The data will be uploaded to secure cloud-based servers hosted by </w:t>
      </w:r>
      <w:proofErr w:type="spellStart"/>
      <w:r w:rsidRPr="00815FC0">
        <w:rPr>
          <w:sz w:val="24"/>
          <w:szCs w:val="24"/>
        </w:rPr>
        <w:t>Dimagi</w:t>
      </w:r>
      <w:proofErr w:type="spellEnd"/>
      <w:r w:rsidRPr="00815FC0">
        <w:rPr>
          <w:sz w:val="24"/>
          <w:szCs w:val="24"/>
        </w:rPr>
        <w:t xml:space="preserve">. </w:t>
      </w:r>
      <w:proofErr w:type="spellStart"/>
      <w:r w:rsidRPr="00815FC0">
        <w:rPr>
          <w:sz w:val="24"/>
          <w:szCs w:val="24"/>
        </w:rPr>
        <w:t>Dimagi</w:t>
      </w:r>
      <w:proofErr w:type="spellEnd"/>
      <w:r w:rsidRPr="00815FC0">
        <w:rPr>
          <w:sz w:val="24"/>
          <w:szCs w:val="24"/>
        </w:rPr>
        <w:t xml:space="preserve"> servers are</w:t>
      </w:r>
      <w:r w:rsidRPr="00815FC0">
        <w:rPr>
          <w:b/>
          <w:bCs/>
          <w:sz w:val="24"/>
          <w:szCs w:val="24"/>
        </w:rPr>
        <w:t xml:space="preserve"> </w:t>
      </w:r>
      <w:r w:rsidRPr="00815FC0">
        <w:rPr>
          <w:sz w:val="24"/>
          <w:szCs w:val="24"/>
        </w:rPr>
        <w:t>secure and HIPAA compliant.</w:t>
      </w:r>
    </w:p>
    <w:p w14:paraId="3CC62AF8" w14:textId="77777777" w:rsidR="0043060F" w:rsidRPr="00815FC0" w:rsidRDefault="0043060F" w:rsidP="0043060F">
      <w:pPr>
        <w:autoSpaceDE w:val="0"/>
        <w:autoSpaceDN w:val="0"/>
        <w:adjustRightInd w:val="0"/>
        <w:spacing w:after="0" w:line="276" w:lineRule="auto"/>
        <w:jc w:val="both"/>
        <w:rPr>
          <w:sz w:val="24"/>
          <w:szCs w:val="24"/>
        </w:rPr>
      </w:pPr>
    </w:p>
    <w:p w14:paraId="211251D3" w14:textId="77777777" w:rsidR="00697EE6" w:rsidRDefault="0043060F" w:rsidP="0043060F">
      <w:pPr>
        <w:autoSpaceDE w:val="0"/>
        <w:autoSpaceDN w:val="0"/>
        <w:adjustRightInd w:val="0"/>
        <w:spacing w:after="0" w:line="276" w:lineRule="auto"/>
        <w:jc w:val="both"/>
        <w:rPr>
          <w:sz w:val="24"/>
          <w:szCs w:val="24"/>
        </w:rPr>
      </w:pPr>
      <w:r w:rsidRPr="0043060F">
        <w:rPr>
          <w:b/>
          <w:bCs/>
          <w:i/>
          <w:iCs/>
          <w:sz w:val="24"/>
          <w:szCs w:val="24"/>
        </w:rPr>
        <w:t>Process evaluation including FGDs, KIIs, and workshop</w:t>
      </w:r>
    </w:p>
    <w:p w14:paraId="196B49FB" w14:textId="22E9A58A" w:rsidR="0043060F" w:rsidRPr="00815FC0" w:rsidRDefault="0043060F" w:rsidP="0043060F">
      <w:pPr>
        <w:autoSpaceDE w:val="0"/>
        <w:autoSpaceDN w:val="0"/>
        <w:adjustRightInd w:val="0"/>
        <w:spacing w:after="0" w:line="276" w:lineRule="auto"/>
        <w:jc w:val="both"/>
        <w:rPr>
          <w:sz w:val="24"/>
          <w:szCs w:val="24"/>
        </w:rPr>
      </w:pPr>
      <w:r w:rsidRPr="00815FC0">
        <w:rPr>
          <w:sz w:val="24"/>
          <w:szCs w:val="24"/>
        </w:rPr>
        <w:t>The multisectoral stakeholders identified by the scoping exercise (</w:t>
      </w:r>
      <w:proofErr w:type="gramStart"/>
      <w:r w:rsidRPr="00815FC0">
        <w:rPr>
          <w:sz w:val="24"/>
          <w:szCs w:val="24"/>
        </w:rPr>
        <w:t>and also</w:t>
      </w:r>
      <w:proofErr w:type="gramEnd"/>
      <w:r w:rsidRPr="00815FC0">
        <w:rPr>
          <w:sz w:val="24"/>
          <w:szCs w:val="24"/>
        </w:rPr>
        <w:t xml:space="preserve"> including a subset of purposively sampled people with TB who participated in the survey) will complete a short pre-FGD/KII questionnaire (in person, by post, or by email) and then participate in either an FGD or KII. FGDs and KIIs will be audio</w:t>
      </w:r>
      <w:r>
        <w:rPr>
          <w:sz w:val="24"/>
          <w:szCs w:val="24"/>
        </w:rPr>
        <w:t>-</w:t>
      </w:r>
      <w:r w:rsidRPr="00815FC0">
        <w:rPr>
          <w:sz w:val="24"/>
          <w:szCs w:val="24"/>
        </w:rPr>
        <w:t>recorded.</w:t>
      </w:r>
    </w:p>
    <w:p w14:paraId="4401EC83" w14:textId="77777777" w:rsidR="0043060F" w:rsidRPr="00815FC0" w:rsidRDefault="0043060F" w:rsidP="0043060F">
      <w:pPr>
        <w:autoSpaceDE w:val="0"/>
        <w:autoSpaceDN w:val="0"/>
        <w:adjustRightInd w:val="0"/>
        <w:spacing w:after="0" w:line="276" w:lineRule="auto"/>
        <w:jc w:val="both"/>
        <w:rPr>
          <w:sz w:val="24"/>
          <w:szCs w:val="24"/>
        </w:rPr>
      </w:pPr>
    </w:p>
    <w:p w14:paraId="18DB3EA0" w14:textId="77777777" w:rsidR="0043060F" w:rsidRPr="00815FC0" w:rsidRDefault="0043060F" w:rsidP="0043060F">
      <w:pPr>
        <w:autoSpaceDE w:val="0"/>
        <w:autoSpaceDN w:val="0"/>
        <w:adjustRightInd w:val="0"/>
        <w:spacing w:after="0" w:line="276" w:lineRule="auto"/>
        <w:jc w:val="both"/>
        <w:rPr>
          <w:sz w:val="24"/>
          <w:szCs w:val="24"/>
        </w:rPr>
      </w:pPr>
      <w:r w:rsidRPr="00815FC0">
        <w:rPr>
          <w:sz w:val="24"/>
          <w:szCs w:val="24"/>
        </w:rPr>
        <w:t xml:space="preserve">All patient data and FGD/KII results will be entered into an encrypted access database on a project computer, which will </w:t>
      </w:r>
      <w:proofErr w:type="gramStart"/>
      <w:r w:rsidRPr="00815FC0">
        <w:rPr>
          <w:sz w:val="24"/>
          <w:szCs w:val="24"/>
        </w:rPr>
        <w:t>remain at BNMT secure offices at all times</w:t>
      </w:r>
      <w:proofErr w:type="gramEnd"/>
      <w:r w:rsidRPr="00815FC0">
        <w:rPr>
          <w:sz w:val="24"/>
          <w:szCs w:val="24"/>
        </w:rPr>
        <w:t>. The data will be uploaded to a LSTM password-secured server.</w:t>
      </w:r>
    </w:p>
    <w:p w14:paraId="2DFE3C38" w14:textId="77777777" w:rsidR="0043060F" w:rsidRDefault="0043060F" w:rsidP="0043060F">
      <w:pPr>
        <w:autoSpaceDE w:val="0"/>
        <w:autoSpaceDN w:val="0"/>
        <w:adjustRightInd w:val="0"/>
        <w:spacing w:after="0" w:line="276" w:lineRule="auto"/>
        <w:jc w:val="both"/>
      </w:pPr>
    </w:p>
    <w:p w14:paraId="43643349" w14:textId="77777777" w:rsidR="00F33ABE" w:rsidRDefault="00C57BED" w:rsidP="0043060F">
      <w:pPr>
        <w:autoSpaceDE w:val="0"/>
        <w:autoSpaceDN w:val="0"/>
        <w:adjustRightInd w:val="0"/>
        <w:spacing w:after="0" w:line="276" w:lineRule="auto"/>
        <w:jc w:val="both"/>
        <w:rPr>
          <w:rFonts w:cs="Arial"/>
          <w:color w:val="000000"/>
          <w:sz w:val="24"/>
          <w:szCs w:val="24"/>
        </w:rPr>
      </w:pPr>
      <w:r>
        <w:rPr>
          <w:rFonts w:cs="Arial"/>
          <w:color w:val="000000"/>
          <w:sz w:val="24"/>
          <w:szCs w:val="24"/>
        </w:rPr>
        <w:t xml:space="preserve">Following discussions among the ASCOT project team and during Trial Steering Committee meetings, it was decided that a Data Management Committee was not required for this pilot acceptability and feasibility trial with a relatively small sample size. However, a Data Management Committee will be formed for any follow-on large-scale, well-powered trial assessing effectiveness of the intervention on catastrophic costs incurrence and TB treatment outcomes. </w:t>
      </w:r>
    </w:p>
    <w:p w14:paraId="6D35EF43" w14:textId="77777777" w:rsidR="00F33ABE" w:rsidRDefault="00F33ABE" w:rsidP="0043060F">
      <w:pPr>
        <w:autoSpaceDE w:val="0"/>
        <w:autoSpaceDN w:val="0"/>
        <w:adjustRightInd w:val="0"/>
        <w:spacing w:after="0" w:line="276" w:lineRule="auto"/>
        <w:jc w:val="both"/>
        <w:rPr>
          <w:rFonts w:cs="Arial"/>
          <w:color w:val="000000"/>
          <w:sz w:val="24"/>
          <w:szCs w:val="24"/>
        </w:rPr>
      </w:pPr>
    </w:p>
    <w:p w14:paraId="0D58FDC0" w14:textId="76105FBE" w:rsidR="0043060F" w:rsidRPr="00815FC0" w:rsidRDefault="00F33ABE" w:rsidP="0043060F">
      <w:pPr>
        <w:autoSpaceDE w:val="0"/>
        <w:autoSpaceDN w:val="0"/>
        <w:adjustRightInd w:val="0"/>
        <w:spacing w:after="0" w:line="276" w:lineRule="auto"/>
        <w:jc w:val="both"/>
        <w:rPr>
          <w:rFonts w:cs="Arial"/>
          <w:color w:val="000000"/>
          <w:sz w:val="24"/>
          <w:szCs w:val="24"/>
        </w:rPr>
      </w:pPr>
      <w:r w:rsidRPr="00815FC0">
        <w:rPr>
          <w:rFonts w:cs="Arial"/>
          <w:color w:val="000000"/>
          <w:sz w:val="24"/>
          <w:szCs w:val="24"/>
        </w:rPr>
        <w:t xml:space="preserve">Primary study data will be managed by the Data Manager of </w:t>
      </w:r>
      <w:proofErr w:type="spellStart"/>
      <w:r w:rsidRPr="00815FC0">
        <w:rPr>
          <w:rFonts w:cs="Arial"/>
          <w:color w:val="000000"/>
          <w:sz w:val="24"/>
          <w:szCs w:val="24"/>
        </w:rPr>
        <w:t>Birat</w:t>
      </w:r>
      <w:proofErr w:type="spellEnd"/>
      <w:r w:rsidRPr="00815FC0">
        <w:rPr>
          <w:rFonts w:cs="Arial"/>
          <w:color w:val="000000"/>
          <w:sz w:val="24"/>
          <w:szCs w:val="24"/>
        </w:rPr>
        <w:t xml:space="preserve"> Nepal Medical Trust. </w:t>
      </w:r>
      <w:r w:rsidR="0043060F" w:rsidRPr="00815FC0">
        <w:rPr>
          <w:rFonts w:cs="Arial"/>
          <w:color w:val="000000"/>
          <w:sz w:val="24"/>
          <w:szCs w:val="24"/>
        </w:rPr>
        <w:t xml:space="preserve">Data input, cleaning, </w:t>
      </w:r>
      <w:proofErr w:type="gramStart"/>
      <w:r w:rsidR="0043060F" w:rsidRPr="00815FC0">
        <w:rPr>
          <w:rFonts w:cs="Arial"/>
          <w:color w:val="000000"/>
          <w:sz w:val="24"/>
          <w:szCs w:val="24"/>
        </w:rPr>
        <w:t>checking</w:t>
      </w:r>
      <w:proofErr w:type="gramEnd"/>
      <w:r w:rsidR="0043060F" w:rsidRPr="00815FC0">
        <w:rPr>
          <w:rFonts w:cs="Arial"/>
          <w:color w:val="000000"/>
          <w:sz w:val="24"/>
          <w:szCs w:val="24"/>
        </w:rPr>
        <w:t xml:space="preserve"> and double-checking, and management will be iterative and ongoing throughout the study. Data will be checked for consistency and completeness by the Data Manager and ASCOT Project Manager and double-checked by the Chief Investigator prior to hand-off to LSTM. This data will be exported to Stata and transferred to LSTM servers for analysis. </w:t>
      </w:r>
      <w:r w:rsidR="0043060F">
        <w:rPr>
          <w:rFonts w:cs="Arial"/>
          <w:color w:val="000000"/>
          <w:sz w:val="24"/>
          <w:szCs w:val="24"/>
        </w:rPr>
        <w:t xml:space="preserve">PIS </w:t>
      </w:r>
      <w:r w:rsidR="0043060F" w:rsidRPr="00815FC0">
        <w:rPr>
          <w:rFonts w:cs="Arial"/>
          <w:color w:val="000000"/>
          <w:sz w:val="24"/>
          <w:szCs w:val="24"/>
        </w:rPr>
        <w:t>will be provided and written informed consent will be obtained from all study participants. Secondary data obtained from patient register records and other sources of the Nepal NTP will be copied and entered in an electronic database by BNMT staff.</w:t>
      </w:r>
    </w:p>
    <w:p w14:paraId="2A0B5437" w14:textId="77777777" w:rsidR="0043060F" w:rsidRPr="00815FC0" w:rsidRDefault="0043060F" w:rsidP="0043060F">
      <w:pPr>
        <w:autoSpaceDE w:val="0"/>
        <w:autoSpaceDN w:val="0"/>
        <w:adjustRightInd w:val="0"/>
        <w:spacing w:after="0" w:line="276" w:lineRule="auto"/>
        <w:jc w:val="both"/>
        <w:rPr>
          <w:rFonts w:cs="Arial"/>
          <w:color w:val="000000"/>
          <w:sz w:val="24"/>
          <w:szCs w:val="24"/>
        </w:rPr>
      </w:pPr>
    </w:p>
    <w:p w14:paraId="0FAA94EE" w14:textId="77777777" w:rsidR="0043060F" w:rsidRPr="00815FC0" w:rsidRDefault="0043060F" w:rsidP="0043060F">
      <w:pPr>
        <w:autoSpaceDE w:val="0"/>
        <w:autoSpaceDN w:val="0"/>
        <w:adjustRightInd w:val="0"/>
        <w:spacing w:after="0" w:line="276" w:lineRule="auto"/>
        <w:jc w:val="both"/>
        <w:rPr>
          <w:rFonts w:cs="Arial"/>
          <w:color w:val="000000"/>
          <w:sz w:val="24"/>
          <w:szCs w:val="24"/>
        </w:rPr>
      </w:pPr>
      <w:r w:rsidRPr="00815FC0">
        <w:rPr>
          <w:rFonts w:cs="Arial"/>
          <w:color w:val="000000"/>
          <w:sz w:val="24"/>
          <w:szCs w:val="24"/>
        </w:rPr>
        <w:t>Specifically, audio recordings from the FGDs will be stored in a password-protected digital folder on an LSTM secure server. Only the Chief Investigator, Project Manager, and transcribers will have access to the data. Audio-recording data will be stored for seven years, as per the requirement of the BNMT’s data policy, after which they will be deleted.</w:t>
      </w:r>
    </w:p>
    <w:p w14:paraId="1E2024DC" w14:textId="77777777" w:rsidR="0043060F" w:rsidRPr="00815FC0" w:rsidRDefault="0043060F" w:rsidP="0043060F">
      <w:pPr>
        <w:autoSpaceDE w:val="0"/>
        <w:autoSpaceDN w:val="0"/>
        <w:adjustRightInd w:val="0"/>
        <w:spacing w:after="0" w:line="276" w:lineRule="auto"/>
        <w:jc w:val="both"/>
        <w:rPr>
          <w:rFonts w:cs="Arial"/>
          <w:color w:val="000000"/>
          <w:sz w:val="24"/>
          <w:szCs w:val="24"/>
        </w:rPr>
      </w:pPr>
    </w:p>
    <w:p w14:paraId="5232E0D1" w14:textId="270D1BCD" w:rsidR="0043060F" w:rsidRDefault="0043060F" w:rsidP="0043060F">
      <w:pPr>
        <w:autoSpaceDE w:val="0"/>
        <w:autoSpaceDN w:val="0"/>
        <w:adjustRightInd w:val="0"/>
        <w:spacing w:after="0" w:line="276" w:lineRule="auto"/>
        <w:jc w:val="both"/>
        <w:rPr>
          <w:rFonts w:cs="Arial"/>
          <w:color w:val="000000"/>
          <w:sz w:val="24"/>
          <w:szCs w:val="24"/>
        </w:rPr>
      </w:pPr>
      <w:r w:rsidRPr="00815FC0">
        <w:rPr>
          <w:rFonts w:cs="Arial"/>
          <w:color w:val="000000"/>
          <w:sz w:val="24"/>
          <w:szCs w:val="24"/>
        </w:rPr>
        <w:t>Paper-based copies and study documents will be stored in the locked offices of BNMT. The electronic database will be stored in files within LSTM’s secure server and will be password protected. Any tablet devices used for data entry will be password protected and data will be uploaded to LSTM’s secure server weekly. Access to final data will be limited to the Chief Investigator, Data Manager, Project Manager, and key authorised ASCOT staff.</w:t>
      </w:r>
      <w:r w:rsidR="00C57BED">
        <w:rPr>
          <w:rFonts w:cs="Arial"/>
          <w:color w:val="000000"/>
          <w:sz w:val="24"/>
          <w:szCs w:val="24"/>
        </w:rPr>
        <w:t xml:space="preserve"> </w:t>
      </w:r>
    </w:p>
    <w:p w14:paraId="1E450A9C" w14:textId="0FE4B248" w:rsidR="0043060F" w:rsidRDefault="0043060F" w:rsidP="0043060F">
      <w:pPr>
        <w:autoSpaceDE w:val="0"/>
        <w:autoSpaceDN w:val="0"/>
        <w:adjustRightInd w:val="0"/>
        <w:spacing w:after="0" w:line="276" w:lineRule="auto"/>
        <w:jc w:val="both"/>
        <w:rPr>
          <w:sz w:val="24"/>
          <w:szCs w:val="24"/>
        </w:rPr>
      </w:pPr>
    </w:p>
    <w:p w14:paraId="53982456" w14:textId="055A979D" w:rsidR="0061146F" w:rsidRPr="0061146F" w:rsidRDefault="0061146F" w:rsidP="0043060F">
      <w:pPr>
        <w:autoSpaceDE w:val="0"/>
        <w:autoSpaceDN w:val="0"/>
        <w:adjustRightInd w:val="0"/>
        <w:spacing w:after="0" w:line="276" w:lineRule="auto"/>
        <w:jc w:val="both"/>
        <w:rPr>
          <w:b/>
          <w:bCs/>
          <w:sz w:val="24"/>
          <w:szCs w:val="24"/>
        </w:rPr>
      </w:pPr>
      <w:r w:rsidRPr="0061146F">
        <w:rPr>
          <w:b/>
          <w:bCs/>
          <w:sz w:val="24"/>
          <w:szCs w:val="24"/>
        </w:rPr>
        <w:t>Data analysis and statistical plan</w:t>
      </w:r>
    </w:p>
    <w:p w14:paraId="1769E9CA" w14:textId="77777777" w:rsidR="0061146F" w:rsidRDefault="0061146F" w:rsidP="00C65F80">
      <w:pPr>
        <w:autoSpaceDE w:val="0"/>
        <w:autoSpaceDN w:val="0"/>
        <w:adjustRightInd w:val="0"/>
        <w:spacing w:after="0" w:line="276" w:lineRule="auto"/>
        <w:jc w:val="both"/>
        <w:rPr>
          <w:sz w:val="24"/>
          <w:szCs w:val="24"/>
        </w:rPr>
      </w:pPr>
    </w:p>
    <w:p w14:paraId="567B7473" w14:textId="0FEA0386" w:rsidR="0052658D" w:rsidRPr="00170C9B" w:rsidRDefault="000855E1" w:rsidP="00C65F80">
      <w:pPr>
        <w:autoSpaceDE w:val="0"/>
        <w:autoSpaceDN w:val="0"/>
        <w:adjustRightInd w:val="0"/>
        <w:spacing w:after="0" w:line="276" w:lineRule="auto"/>
        <w:jc w:val="both"/>
        <w:rPr>
          <w:sz w:val="24"/>
          <w:szCs w:val="24"/>
        </w:rPr>
      </w:pPr>
      <w:r>
        <w:rPr>
          <w:sz w:val="24"/>
          <w:szCs w:val="24"/>
        </w:rPr>
        <w:t xml:space="preserve">Descriptive </w:t>
      </w:r>
      <w:r w:rsidR="009F0A64">
        <w:rPr>
          <w:sz w:val="24"/>
          <w:szCs w:val="24"/>
        </w:rPr>
        <w:t>statistics</w:t>
      </w:r>
      <w:r>
        <w:rPr>
          <w:sz w:val="24"/>
          <w:szCs w:val="24"/>
        </w:rPr>
        <w:t xml:space="preserve"> will be used to </w:t>
      </w:r>
      <w:r w:rsidR="009F0A64">
        <w:rPr>
          <w:sz w:val="24"/>
          <w:szCs w:val="24"/>
        </w:rPr>
        <w:t>analyse t</w:t>
      </w:r>
      <w:r>
        <w:rPr>
          <w:sz w:val="24"/>
          <w:szCs w:val="24"/>
        </w:rPr>
        <w:t>he quantitative survey data collected during three visits to participant households</w:t>
      </w:r>
      <w:r w:rsidR="00B465E6" w:rsidRPr="00170C9B">
        <w:rPr>
          <w:sz w:val="24"/>
          <w:szCs w:val="24"/>
        </w:rPr>
        <w:t xml:space="preserve">. </w:t>
      </w:r>
      <w:r w:rsidR="009F0A64">
        <w:rPr>
          <w:sz w:val="24"/>
          <w:szCs w:val="24"/>
        </w:rPr>
        <w:t xml:space="preserve">In line with our own and others’ related research, the arithmetic means and 95% confidence intervals of continuous costs data that is continuous in distribution will be described regardless of the distribution of the data, and </w:t>
      </w:r>
      <w:r w:rsidR="009F0A64" w:rsidRPr="00170C9B">
        <w:rPr>
          <w:sz w:val="24"/>
          <w:szCs w:val="24"/>
        </w:rPr>
        <w:t xml:space="preserve">any direct expenses, lost income, or annual income recorded as “zero” or missing will be replaced with </w:t>
      </w:r>
      <w:r w:rsidR="009F0A64">
        <w:rPr>
          <w:sz w:val="24"/>
          <w:szCs w:val="24"/>
        </w:rPr>
        <w:t>the mean cost of each costs category</w:t>
      </w:r>
      <w:r w:rsidR="009F0A64">
        <w:rPr>
          <w:sz w:val="24"/>
          <w:szCs w:val="24"/>
        </w:rPr>
        <w:t xml:space="preserve"> (unless &gt;10% of data for a particular variable is missing)</w:t>
      </w:r>
      <w:r w:rsidR="00997902">
        <w:rPr>
          <w:sz w:val="24"/>
          <w:szCs w:val="24"/>
        </w:rPr>
        <w:t>.</w:t>
      </w:r>
      <w:r w:rsidR="009F0A64" w:rsidRPr="009F0A64">
        <w:rPr>
          <w:sz w:val="24"/>
          <w:szCs w:val="24"/>
        </w:rPr>
        <w:t xml:space="preserve"> </w:t>
      </w:r>
      <w:r w:rsidR="009F0A64">
        <w:rPr>
          <w:sz w:val="24"/>
          <w:szCs w:val="24"/>
        </w:rPr>
        <w:fldChar w:fldCharType="begin" w:fldLock="1"/>
      </w:r>
      <w:r w:rsidR="009F0A64">
        <w:rPr>
          <w:sz w:val="24"/>
          <w:szCs w:val="24"/>
        </w:rPr>
        <w:instrText>ADDIN CSL_CITATION {"citationItems":[{"id":"ITEM-1","itemData":{"DOI":"10.1371/journal.pmed.1001675","ISBN":"1549-1277","ISSN":"15491676","PMID":"25025331","abstract":"BACKGROUND: Even when tuberculosis (TB) treatment is free, hidden costs incurred by patients and their households (TB-affected households) may worsen poverty and health. Extreme TB-associated costs have been termed \"catastrophic\" but are poorly defined. We studied TB-affected households' hidden costs and their association with adverse TB outcome to create a clinically relevant definition of catastrophic costs., CONCLUSIONS: Despite free TB care, having TB disease was expensive for impoverished TB patients in Peru. Incurring higher relative costs was associated with adverse TB outcome. The population attributable fraction indicated that catastrophic costs and MDR TB were associated with similar proportions of adverse outcomes. Thus TB is a socioeconomic as well as infectious problem, and TB control interventions should address both the economic and clinical aspects of this disease. Please see later in the article for the Editors' Summary., METHODS AND FINDINGS: From 26 October 2002 to 30 November 2009, TB patients (n = 876, 11% with multi-drug-resistant [MDR] TB) and healthy controls (n = 487) were recruited to a prospective cohort study in shantytowns in Lima, Peru. Patients were interviewed prior to and every 2-4 wk throughout treatment, recording direct (household expenses) and indirect (lost income) TB-related costs. Costs were expressed as a proportion of the household's annual income. In poorer households, costs were lower but constituted a higher proportion of the household's annual income: 27% (95% CI = 20%-43%) in the least-poor houses versus 48% (95% CI = 36%-50%) in the poorest. Adverse TB outcome was defined as death, treatment abandonment or treatment failure during therapy, or recurrence within 2 y. 23% (166/725) of patients with a defined treatment outcome had an adverse outcome. Total costs &gt;20% of household annual income was defined as catastrophic because this threshold was most strongly associated with adverse TB outcome. Catastrophic costs were incurred by 345 households (39%). Having MDR TB was associated with a higher likelihood of incurring catastrophic costs (54% [95% CI = 43%-61%] versus 38% [95% CI = 34%-41%], p&lt;0.003). Adverse outcome was independently associated with MDR TB (odds ratio [OR] = 8.4 [95% CI = 4.7-15], p&lt;0.001), previous TB (OR = 2.1 [95% CI = 1.3-3.5], p = 0.005), days too unwell to work pre-treatment (OR = 1.01 [95% CI = 1.00-1.01], p = 0.02), and catastrophic costs (OR = 1.7 [95% CI = 1.1-2.6], p = 0.01). The a…","author":[{"dropping-particle":"","family":"Wingfield","given":"Tom","non-dropping-particle":"","parse-names":false,"suffix":""},{"dropping-particle":"","family":"Boccia","given":"Delia","non-dropping-particle":"","parse-names":false,"suffix":""},{"dropping-particle":"","family":"Tovar","given":"Marco","non-dropping-particle":"","parse-names":false,"suffix":""},{"dropping-particle":"","family":"Gavino","given":"Arquímedes","non-dropping-particle":"","parse-names":false,"suffix":""},{"dropping-particle":"","family":"Zevallos","given":"Karine","non-dropping-particle":"","parse-names":false,"suffix":""},{"dropping-particle":"","family":"Montoya","given":"Rosario","non-dropping-particle":"","parse-names":false,"suffix":""},{"dropping-particle":"","family":"Lönnroth","given":"Knut","non-dropping-particle":"","parse-names":false,"suffix":""},{"dropping-particle":"","family":"Evans","given":"Carlton A.","non-dropping-particle":"","parse-names":false,"suffix":""}],"container-title":"PLoS Medicine","id":"ITEM-1","issue":"7","issued":{"date-parts":[["2014"]]},"title":"Defining Catastrophic Costs and Comparing Their Importance for Adverse Tuberculosis Outcome with Multi-Drug Resistance: A Prospective Cohort Study, Peru","type":"article-journal","volume":"11"},"uris":["http://www.mendeley.com/documents/?uuid=013b3be7-a421-45ef-91ca-c6d255a57dcb"]}],"mendeley":{"formattedCitation":"&lt;sup&gt;5&lt;/sup&gt;","plainTextFormattedCitation":"5","previouslyFormattedCitation":"&lt;sup&gt;5&lt;/sup&gt;"},"properties":{"noteIndex":0},"schema":"https://github.com/citation-style-language/schema/raw/master/csl-citation.json"}</w:instrText>
      </w:r>
      <w:r w:rsidR="009F0A64">
        <w:rPr>
          <w:sz w:val="24"/>
          <w:szCs w:val="24"/>
        </w:rPr>
        <w:fldChar w:fldCharType="separate"/>
      </w:r>
      <w:r w:rsidR="009F0A64" w:rsidRPr="00674C0E">
        <w:rPr>
          <w:noProof/>
          <w:sz w:val="24"/>
          <w:szCs w:val="24"/>
          <w:vertAlign w:val="superscript"/>
        </w:rPr>
        <w:t>5</w:t>
      </w:r>
      <w:r w:rsidR="009F0A64">
        <w:rPr>
          <w:sz w:val="24"/>
          <w:szCs w:val="24"/>
        </w:rPr>
        <w:fldChar w:fldCharType="end"/>
      </w:r>
      <w:r w:rsidR="009F0A64">
        <w:rPr>
          <w:sz w:val="24"/>
          <w:szCs w:val="24"/>
          <w:vertAlign w:val="superscript"/>
        </w:rPr>
        <w:t>,</w:t>
      </w:r>
      <w:r w:rsidR="00C95C29">
        <w:rPr>
          <w:sz w:val="24"/>
          <w:szCs w:val="24"/>
        </w:rPr>
        <w:fldChar w:fldCharType="begin" w:fldLock="1"/>
      </w:r>
      <w:r>
        <w:rPr>
          <w:sz w:val="24"/>
          <w:szCs w:val="24"/>
        </w:rPr>
        <w:instrText>ADDIN CSL_CITATION {"citationItems":[{"id":"ITEM-1","itemData":{"DOI":"10.1136/bmj.317.7167.1195","ISBN":"0959-8138 (Print)\\n0959-535X (Linking)","ISSN":"0959-8138","PMID":"9794854","abstract":"OBJECTIVE: To review critically the statistical methods used for health economic evaluations in randomised controlled trials where an estimate of cost is available for each patient in the study. DESIGN: Survey of published randomised trials including an economic evaluation with cost values suitable for statistical analysis; 45 such trials published in 1995 were identified from Medline. MAIN OUTCOME MEASURES: The use of statistical methods for cost data was assessed in terms of the descriptive statistics reported, use of statistical inference, and whether the reported conclusions were justified. RESULTS: Although all 45 trials reviewed apparently had cost data for each patient, only 9 (20%) reported adequate measures of variability for these data and only 25 (56%) gave results of statistical tests or a measure of precision for the comparison of costs between the randomised groups. Only 16 (36%) of the articles gave conclusions which were justified on the basis of results presented in the paper. No paper reported sample size calculations for costs. CONCLUSIONS: The analysis and interpretation of cost data from published trials reveal a lack of statistical awareness. Strong and potentially misleading conclusions about the relative costs of alternative therapies have often been reported in the absence of supporting statistical evidence. Improvements in the analysis and reporting of health economic assessments are urgently required. Health economic guidelines need to be revised to incorporate more detailed statistical advice.","author":[{"dropping-particle":"","family":"Barber","given":"J. A","non-dropping-particle":"","parse-names":false,"suffix":""},{"dropping-particle":"","family":"Thompson","given":"S. G","non-dropping-particle":"","parse-names":false,"suffix":""}],"container-title":"Bmj","id":"ITEM-1","issue":"7167","issued":{"date-parts":[["1998"]]},"page":"1195-1200","title":"Analysis and interpretation of cost data in randomised controlled trials: review of published studies","type":"article-journal","volume":"317"},"uris":["http://www.mendeley.com/documents/?uuid=ad15020b-5e3e-4606-aa2d-959becd6e2bc"]},{"id":"ITEM-2","itemData":{"DOI":"10.1183/13993003.00066-2016","ISBN":"0903-1936","ISSN":"13993003","PMID":"27660507","abstract":"The End TB Strategy mandates that no tuberculosis (TB)-affected households face catastrophic costs due to TB. However, evidence is limited to evaluate socioeconomic support to achieve this change in policy and practice. The objective of the present study was to investigate the economic effects of a TB-specific socioeconomic intervention.The setting was 32 shantytown communities in Peru. The participants were from households of consecutive TB patients throughout TB treatment administered by the national TB programme. The intervention consisted of social support through household visits and community meetings, and economic support through cash transfers conditional upon TB screening in household contacts, adhering to TB treatment/chemoprophylaxis and engaging with social support. Data were collected to assess TB-affected household costs. Patient interviews were conducted at treatment initiation and then monthly for 6 months.From February 2014 to June 2015, 312 households were recruited, of which 135 were randomised to receive the intervention. Cash transfer total value averaged US$173 (3.5% of TB-affected households' average annual income) and mitigated 20% of households' TB-related costs. Households randomised to receive the intervention were less likely to incur catastrophic costs (30% (95% CI 22-38%) versus 42% (95% CI 34-51%)). The mitigation impact was higher among poorer households.The TB-specific socioeconomic intervention reduced catastrophic costs and was accessible to poorer households. Socioeconomic support and mitigating catastrophic costs are integral to the End TB strategy, and our findings inform implementation of these new policies.","author":[{"dropping-particle":"","family":"Wingfield","given":"Tom","non-dropping-particle":"","parse-names":false,"suffix":""},{"dropping-particle":"","family":"Tovar","given":"Marco A.","non-dropping-particle":"","parse-names":false,"suffix":""},{"dropping-particle":"","family":"Huff","given":"Doug","non-dropping-particle":"","parse-names":false,"suffix":""},{"dropping-particle":"","family":"Boccia","given":"Delia","non-dropping-particle":"","parse-names":false,"suffix":""},{"dropping-particle":"","family":"Montoya","given":"Rosario","non-dropping-particle":"","parse-names":false,"suffix":""},{"dropping-particle":"","family":"Ramos","given":"Eric","non-dropping-particle":"","parse-names":false,"suffix":""},{"dropping-particle":"","family":"Lewis","given":"James J.","non-dropping-particle":"","parse-names":false,"suffix":""},{"dropping-particle":"","family":"Gilman","given":"Robert H.","non-dropping-particle":"","parse-names":false,"suffix":""},{"dropping-particle":"","family":"Evans","given":"Carlton A.","non-dropping-particle":"","parse-names":false,"suffix":""}],"container-title":"European Respiratory Journal","id":"ITEM-2","issue":"5","issued":{"date-parts":[["2016"]]},"page":"1396-1410","title":"The economic effects of supporting tuberculosis-affected households in Peru","type":"article-journal","volume":"48"},"uris":["http://www.mendeley.com/documents/?uuid=784310f7-988f-49af-a7ba-602e110f376c"]}],"mendeley":{"formattedCitation":"&lt;sup&gt;6,53&lt;/sup&gt;","plainTextFormattedCitation":"6,53","previouslyFormattedCitation":"&lt;sup&gt;6,53&lt;/sup&gt;"},"properties":{"noteIndex":0},"schema":"https://github.com/citation-style-language/schema/raw/master/csl-citation.json"}</w:instrText>
      </w:r>
      <w:r w:rsidR="00C95C29">
        <w:rPr>
          <w:sz w:val="24"/>
          <w:szCs w:val="24"/>
        </w:rPr>
        <w:fldChar w:fldCharType="separate"/>
      </w:r>
      <w:r w:rsidR="00DE199B" w:rsidRPr="00DE199B">
        <w:rPr>
          <w:noProof/>
          <w:sz w:val="24"/>
          <w:szCs w:val="24"/>
          <w:vertAlign w:val="superscript"/>
        </w:rPr>
        <w:t>6,53</w:t>
      </w:r>
      <w:r w:rsidR="00C95C29">
        <w:rPr>
          <w:sz w:val="24"/>
          <w:szCs w:val="24"/>
        </w:rPr>
        <w:fldChar w:fldCharType="end"/>
      </w:r>
      <w:r w:rsidR="00C95C29">
        <w:rPr>
          <w:sz w:val="24"/>
          <w:szCs w:val="24"/>
        </w:rPr>
        <w:t xml:space="preserve"> </w:t>
      </w:r>
      <w:r w:rsidR="002C200D">
        <w:rPr>
          <w:sz w:val="24"/>
          <w:szCs w:val="24"/>
        </w:rPr>
        <w:t>Nepalese rupee</w:t>
      </w:r>
      <w:r w:rsidR="009F0A64">
        <w:rPr>
          <w:sz w:val="24"/>
          <w:szCs w:val="24"/>
        </w:rPr>
        <w:t>s, the local currency,</w:t>
      </w:r>
      <w:r w:rsidR="002C200D">
        <w:rPr>
          <w:sz w:val="24"/>
          <w:szCs w:val="24"/>
        </w:rPr>
        <w:t xml:space="preserve"> will be converted </w:t>
      </w:r>
      <w:r w:rsidR="009F0A64">
        <w:rPr>
          <w:sz w:val="24"/>
          <w:szCs w:val="24"/>
        </w:rPr>
        <w:t>to</w:t>
      </w:r>
      <w:r w:rsidR="002C200D">
        <w:rPr>
          <w:sz w:val="24"/>
          <w:szCs w:val="24"/>
        </w:rPr>
        <w:t xml:space="preserve"> United States Dollars </w:t>
      </w:r>
      <w:r w:rsidR="009F0A64">
        <w:rPr>
          <w:sz w:val="24"/>
          <w:szCs w:val="24"/>
        </w:rPr>
        <w:t xml:space="preserve">according to </w:t>
      </w:r>
      <w:hyperlink r:id="rId22" w:history="1">
        <w:r w:rsidR="007A5C6F">
          <w:rPr>
            <w:rStyle w:val="Hyperlink"/>
            <w:sz w:val="24"/>
            <w:szCs w:val="24"/>
          </w:rPr>
          <w:t>OANDA</w:t>
        </w:r>
      </w:hyperlink>
      <w:r w:rsidR="002C200D">
        <w:rPr>
          <w:sz w:val="24"/>
          <w:szCs w:val="24"/>
        </w:rPr>
        <w:t xml:space="preserve"> </w:t>
      </w:r>
      <w:r w:rsidR="009F0A64">
        <w:rPr>
          <w:sz w:val="24"/>
          <w:szCs w:val="24"/>
        </w:rPr>
        <w:t xml:space="preserve">rates </w:t>
      </w:r>
      <w:r w:rsidR="002C200D">
        <w:rPr>
          <w:sz w:val="24"/>
          <w:szCs w:val="24"/>
        </w:rPr>
        <w:t xml:space="preserve">at </w:t>
      </w:r>
      <w:r w:rsidR="009F0A64">
        <w:rPr>
          <w:sz w:val="24"/>
          <w:szCs w:val="24"/>
        </w:rPr>
        <w:t xml:space="preserve">the </w:t>
      </w:r>
      <w:r w:rsidR="002C200D">
        <w:rPr>
          <w:sz w:val="24"/>
          <w:szCs w:val="24"/>
        </w:rPr>
        <w:t xml:space="preserve">time of data collection). </w:t>
      </w:r>
      <w:r w:rsidR="00FE0D76" w:rsidRPr="00170C9B">
        <w:rPr>
          <w:sz w:val="24"/>
          <w:szCs w:val="24"/>
        </w:rPr>
        <w:t>Categorical data will be summarised as proportions with 95% confidence intervals.</w:t>
      </w:r>
      <w:r w:rsidR="00FB2AB7">
        <w:rPr>
          <w:sz w:val="24"/>
          <w:szCs w:val="24"/>
        </w:rPr>
        <w:t xml:space="preserve"> </w:t>
      </w:r>
      <w:r w:rsidR="00B465E6" w:rsidRPr="00170C9B">
        <w:rPr>
          <w:sz w:val="24"/>
          <w:szCs w:val="24"/>
        </w:rPr>
        <w:t xml:space="preserve">WHO </w:t>
      </w:r>
      <w:r w:rsidR="00FE0D76" w:rsidRPr="00170C9B">
        <w:rPr>
          <w:sz w:val="24"/>
          <w:szCs w:val="24"/>
        </w:rPr>
        <w:t xml:space="preserve">TB Patients </w:t>
      </w:r>
      <w:r w:rsidR="00B465E6" w:rsidRPr="00170C9B">
        <w:rPr>
          <w:sz w:val="24"/>
          <w:szCs w:val="24"/>
        </w:rPr>
        <w:t xml:space="preserve">Costs </w:t>
      </w:r>
      <w:r w:rsidR="003D1D52">
        <w:rPr>
          <w:sz w:val="24"/>
          <w:szCs w:val="24"/>
        </w:rPr>
        <w:t>Survey</w:t>
      </w:r>
      <w:r w:rsidR="00FE0D76" w:rsidRPr="00170C9B">
        <w:rPr>
          <w:sz w:val="24"/>
          <w:szCs w:val="24"/>
        </w:rPr>
        <w:t xml:space="preserve"> methods will be </w:t>
      </w:r>
      <w:r w:rsidR="009F0A64">
        <w:rPr>
          <w:sz w:val="24"/>
          <w:szCs w:val="24"/>
        </w:rPr>
        <w:t>used to calculate total direct costs, lost income, and catastrophic costs</w:t>
      </w:r>
      <w:r w:rsidR="00FE0D76" w:rsidRPr="00170C9B">
        <w:rPr>
          <w:sz w:val="24"/>
          <w:szCs w:val="24"/>
        </w:rPr>
        <w:t>.</w:t>
      </w:r>
      <w:r w:rsidR="002A02A6">
        <w:rPr>
          <w:sz w:val="24"/>
          <w:szCs w:val="24"/>
        </w:rPr>
        <w:fldChar w:fldCharType="begin" w:fldLock="1"/>
      </w:r>
      <w:r>
        <w:rPr>
          <w:sz w:val="24"/>
          <w:szCs w:val="24"/>
        </w:rPr>
        <w:instrText>ADDIN CSL_CITATION {"citationItems":[{"id":"ITEM-1","itemData":{"ISBN":"9789241513524","author":[{"dropping-particle":"","family":"World Health Organization (WHO)","given":"","non-dropping-particle":"","parse-names":false,"suffix":""}],"id":"ITEM-1","issued":{"date-parts":[["2017"]]},"number-of-pages":"95","title":"Tuberculosis patient cost survey: a handbook","type":"book"},"uris":["http://www.mendeley.com/documents/?uuid=be001223-d264-4ed0-89ce-bc5baa745d8c"]}],"mendeley":{"formattedCitation":"&lt;sup&gt;38&lt;/sup&gt;","plainTextFormattedCitation":"38","previouslyFormattedCitation":"&lt;sup&gt;38&lt;/sup&gt;"},"properties":{"noteIndex":0},"schema":"https://github.com/citation-style-language/schema/raw/master/csl-citation.json"}</w:instrText>
      </w:r>
      <w:r w:rsidR="002A02A6">
        <w:rPr>
          <w:sz w:val="24"/>
          <w:szCs w:val="24"/>
        </w:rPr>
        <w:fldChar w:fldCharType="separate"/>
      </w:r>
      <w:r w:rsidR="00DE199B" w:rsidRPr="00DE199B">
        <w:rPr>
          <w:noProof/>
          <w:sz w:val="24"/>
          <w:szCs w:val="24"/>
          <w:vertAlign w:val="superscript"/>
        </w:rPr>
        <w:t>38</w:t>
      </w:r>
      <w:r w:rsidR="002A02A6">
        <w:rPr>
          <w:sz w:val="24"/>
          <w:szCs w:val="24"/>
        </w:rPr>
        <w:fldChar w:fldCharType="end"/>
      </w:r>
      <w:r w:rsidR="00FE0D76" w:rsidRPr="00170C9B">
        <w:rPr>
          <w:sz w:val="24"/>
          <w:szCs w:val="24"/>
        </w:rPr>
        <w:t xml:space="preserve"> </w:t>
      </w:r>
      <w:r w:rsidR="0052658D" w:rsidRPr="00170C9B">
        <w:rPr>
          <w:sz w:val="24"/>
          <w:szCs w:val="24"/>
        </w:rPr>
        <w:t xml:space="preserve">Statistical analysis will be </w:t>
      </w:r>
      <w:r w:rsidR="00774ABD">
        <w:rPr>
          <w:sz w:val="24"/>
          <w:szCs w:val="24"/>
        </w:rPr>
        <w:t>done</w:t>
      </w:r>
      <w:r w:rsidR="0052658D" w:rsidRPr="00170C9B">
        <w:rPr>
          <w:sz w:val="24"/>
          <w:szCs w:val="24"/>
        </w:rPr>
        <w:t xml:space="preserve"> using </w:t>
      </w:r>
      <w:r w:rsidR="002A02A6">
        <w:rPr>
          <w:sz w:val="24"/>
          <w:szCs w:val="24"/>
        </w:rPr>
        <w:t>STATA v15</w:t>
      </w:r>
      <w:r w:rsidR="0052658D" w:rsidRPr="00170C9B">
        <w:rPr>
          <w:sz w:val="24"/>
          <w:szCs w:val="24"/>
        </w:rPr>
        <w:t xml:space="preserve"> (</w:t>
      </w:r>
      <w:proofErr w:type="spellStart"/>
      <w:r w:rsidR="0052658D" w:rsidRPr="00170C9B">
        <w:rPr>
          <w:sz w:val="24"/>
          <w:szCs w:val="24"/>
        </w:rPr>
        <w:t>Statacorp</w:t>
      </w:r>
      <w:proofErr w:type="spellEnd"/>
      <w:r w:rsidR="0052658D" w:rsidRPr="00170C9B">
        <w:rPr>
          <w:sz w:val="24"/>
          <w:szCs w:val="24"/>
        </w:rPr>
        <w:t>, TX, USA).</w:t>
      </w:r>
    </w:p>
    <w:p w14:paraId="592F4814" w14:textId="60EF32FC" w:rsidR="00AD4CEB" w:rsidRDefault="00AD4CEB" w:rsidP="00C65F80">
      <w:pPr>
        <w:autoSpaceDE w:val="0"/>
        <w:autoSpaceDN w:val="0"/>
        <w:adjustRightInd w:val="0"/>
        <w:spacing w:after="0" w:line="276" w:lineRule="auto"/>
        <w:jc w:val="both"/>
        <w:rPr>
          <w:sz w:val="24"/>
          <w:szCs w:val="24"/>
        </w:rPr>
      </w:pPr>
    </w:p>
    <w:p w14:paraId="5383E1FC" w14:textId="10B30014" w:rsidR="00430530" w:rsidRDefault="00430530" w:rsidP="00C65F80">
      <w:pPr>
        <w:autoSpaceDE w:val="0"/>
        <w:autoSpaceDN w:val="0"/>
        <w:adjustRightInd w:val="0"/>
        <w:spacing w:after="0" w:line="276" w:lineRule="auto"/>
        <w:jc w:val="both"/>
        <w:rPr>
          <w:sz w:val="24"/>
          <w:szCs w:val="24"/>
        </w:rPr>
      </w:pPr>
      <w:r>
        <w:rPr>
          <w:sz w:val="24"/>
          <w:szCs w:val="24"/>
        </w:rPr>
        <w:t xml:space="preserve">Quantitative </w:t>
      </w:r>
      <w:r w:rsidR="00716C7C">
        <w:rPr>
          <w:sz w:val="24"/>
          <w:szCs w:val="24"/>
        </w:rPr>
        <w:t xml:space="preserve">and categorical </w:t>
      </w:r>
      <w:r>
        <w:rPr>
          <w:sz w:val="24"/>
          <w:szCs w:val="24"/>
        </w:rPr>
        <w:t>data from the implementer and user satisfaction form (e.g. feedback on the ASCOT intervention elements received such as household visits, TB Clubs, cash transfer)</w:t>
      </w:r>
      <w:r w:rsidR="00937425">
        <w:rPr>
          <w:sz w:val="24"/>
          <w:szCs w:val="24"/>
        </w:rPr>
        <w:t xml:space="preserve">, key stakeholder </w:t>
      </w:r>
      <w:r w:rsidR="00F4554B">
        <w:rPr>
          <w:sz w:val="24"/>
          <w:szCs w:val="24"/>
        </w:rPr>
        <w:t>brief questionnaire prior to FGDs/KIIs,</w:t>
      </w:r>
      <w:r>
        <w:rPr>
          <w:sz w:val="24"/>
          <w:szCs w:val="24"/>
        </w:rPr>
        <w:t xml:space="preserve"> and project records (e.g. </w:t>
      </w:r>
      <w:r w:rsidR="00716C7C">
        <w:rPr>
          <w:sz w:val="24"/>
          <w:szCs w:val="24"/>
        </w:rPr>
        <w:t>number of participants eligible and invited to participate, number</w:t>
      </w:r>
      <w:r>
        <w:rPr>
          <w:sz w:val="24"/>
          <w:szCs w:val="24"/>
        </w:rPr>
        <w:t xml:space="preserve"> </w:t>
      </w:r>
      <w:r w:rsidR="00716C7C">
        <w:rPr>
          <w:sz w:val="24"/>
          <w:szCs w:val="24"/>
        </w:rPr>
        <w:t>recruited, number receiving intervention of those eligible, and number completing study activities and follow-up</w:t>
      </w:r>
      <w:r w:rsidR="00937425">
        <w:rPr>
          <w:sz w:val="24"/>
          <w:szCs w:val="24"/>
        </w:rPr>
        <w:t>, staff time and costs</w:t>
      </w:r>
      <w:r w:rsidR="00716C7C">
        <w:rPr>
          <w:sz w:val="24"/>
          <w:szCs w:val="24"/>
        </w:rPr>
        <w:t>) will</w:t>
      </w:r>
      <w:r>
        <w:rPr>
          <w:sz w:val="24"/>
          <w:szCs w:val="24"/>
        </w:rPr>
        <w:t xml:space="preserve"> be analysed using descriptive statistics</w:t>
      </w:r>
      <w:r w:rsidR="00716C7C">
        <w:rPr>
          <w:sz w:val="24"/>
          <w:szCs w:val="24"/>
        </w:rPr>
        <w:t xml:space="preserve">. </w:t>
      </w:r>
    </w:p>
    <w:p w14:paraId="4066819B" w14:textId="77777777" w:rsidR="00430530" w:rsidRPr="00170C9B" w:rsidRDefault="00430530" w:rsidP="00C65F80">
      <w:pPr>
        <w:autoSpaceDE w:val="0"/>
        <w:autoSpaceDN w:val="0"/>
        <w:adjustRightInd w:val="0"/>
        <w:spacing w:after="0" w:line="276" w:lineRule="auto"/>
        <w:jc w:val="both"/>
        <w:rPr>
          <w:sz w:val="24"/>
          <w:szCs w:val="24"/>
        </w:rPr>
      </w:pPr>
    </w:p>
    <w:p w14:paraId="066C418C" w14:textId="3A4F0DE5" w:rsidR="002A02A6" w:rsidRPr="002A02A6" w:rsidRDefault="002A02A6" w:rsidP="002A02A6">
      <w:pPr>
        <w:autoSpaceDE w:val="0"/>
        <w:autoSpaceDN w:val="0"/>
        <w:adjustRightInd w:val="0"/>
        <w:spacing w:after="0" w:line="276" w:lineRule="auto"/>
        <w:jc w:val="both"/>
        <w:rPr>
          <w:sz w:val="24"/>
          <w:szCs w:val="24"/>
          <w:lang w:val="en-US"/>
        </w:rPr>
      </w:pPr>
      <w:r w:rsidRPr="002A02A6">
        <w:rPr>
          <w:sz w:val="24"/>
          <w:szCs w:val="24"/>
        </w:rPr>
        <w:t xml:space="preserve">Qualitative data will be analysed by applying </w:t>
      </w:r>
      <w:r w:rsidRPr="002A02A6">
        <w:rPr>
          <w:sz w:val="24"/>
          <w:szCs w:val="24"/>
          <w:lang w:val="en-US"/>
        </w:rPr>
        <w:t xml:space="preserve">thematic analysis </w:t>
      </w:r>
      <w:r>
        <w:rPr>
          <w:sz w:val="24"/>
          <w:szCs w:val="24"/>
          <w:lang w:val="en-US"/>
        </w:rPr>
        <w:t xml:space="preserve">within </w:t>
      </w:r>
      <w:proofErr w:type="spellStart"/>
      <w:r>
        <w:rPr>
          <w:sz w:val="24"/>
          <w:szCs w:val="24"/>
          <w:lang w:val="en-US"/>
        </w:rPr>
        <w:t>Sekhon’s</w:t>
      </w:r>
      <w:proofErr w:type="spellEnd"/>
      <w:r>
        <w:rPr>
          <w:sz w:val="24"/>
          <w:szCs w:val="24"/>
          <w:lang w:val="en-US"/>
        </w:rPr>
        <w:t xml:space="preserve"> framework o</w:t>
      </w:r>
      <w:r w:rsidR="00BC575F">
        <w:rPr>
          <w:sz w:val="24"/>
          <w:szCs w:val="24"/>
          <w:lang w:val="en-US"/>
        </w:rPr>
        <w:t>f</w:t>
      </w:r>
      <w:r>
        <w:rPr>
          <w:sz w:val="24"/>
          <w:szCs w:val="24"/>
          <w:lang w:val="en-US"/>
        </w:rPr>
        <w:t xml:space="preserve"> healthcare interventions</w:t>
      </w:r>
      <w:r>
        <w:rPr>
          <w:sz w:val="24"/>
          <w:szCs w:val="24"/>
          <w:lang w:val="en-US"/>
        </w:rPr>
        <w:fldChar w:fldCharType="begin" w:fldLock="1"/>
      </w:r>
      <w:r w:rsidR="000855E1">
        <w:rPr>
          <w:sz w:val="24"/>
          <w:szCs w:val="24"/>
          <w:lang w:val="en-US"/>
        </w:rPr>
        <w:instrText>ADDIN CSL_CITATION {"citationItems":[{"id":"ITEM-1","itemData":{"DOI":"10.1186/s12913-017-2031-8","ISBN":"1291301720318","ISSN":"14726963","abstract":"Background It is increasingly acknowledged that ‘acceptability’ should be considered when designing, evaluating and implementing healthcare interventions. However, the published literature offers little guidance on how to define or assess acceptability. The purpose of this study was to develop a multi-construct theoretical framework of acceptability of healthcare interventions that can be applied to assess prospective (i.e. anticipated) and retrospective (i.e. experienced) acceptability from the perspective of intervention delivers and recipients. Methods Two methods were used to select the component constructs of acceptability. 1) An overview of reviews was conducted to identify systematic reviews that claim to define, theorise or measure acceptability of healthcare interventions. 2) Principles of inductive and deductive reasoning were applied to theorise the concept of acceptability and develop a theoretical framework. Steps included (1) defining acceptability; (2) describing its properties and scope and (3) identifying component constructs and empirical indicators. Results From the 43 reviews included in the overview, none explicitly theorised or defined acceptability. Measures used to assess acceptability focused on behaviour (e.g. dropout rates) (23 reviews), affect (i.e. feelings) (5 reviews), cognition (i.e. perceptions) (7 reviews) or a combination of these (8 reviews). From the methods described above we propose a definition: Acceptability is a multi-faceted construct that reflects the extent to which people delivering or receiving a healthcare intervention consider it to be appropriate, based on anticipated or experienced cognitive and emotional responses to the intervention. The theoretical framework of acceptability (TFA) consists of seven component constructs: affective attitude, burden, perceived effectiveness, ethicality, intervention coherence, opportunity costs, and self-efficacy. Conclusion Despite frequent claims that healthcare interventions have assessed acceptability, it is evident that acceptability research could be more robust. The proposed definition of acceptability and the TFA can inform assessment tools and evaluations of the acceptability of new or existing interventions.","author":[{"dropping-particle":"","family":"Sekhon","given":"Mandeep","non-dropping-particle":"","parse-names":false,"suffix":""},{"dropping-particle":"","family":"Cartwright","given":"Martin","non-dropping-particle":"","parse-names":false,"suffix":""},{"dropping-particle":"","family":"Francis","given":"Jill J.","non-dropping-particle":"","parse-names":false,"suffix":""}],"container-title":"BMC Health Services Research","id":"ITEM-1","issue":"1","issued":{"date-parts":[["2017"]]},"page":"1-13","publisher":"BMC Health Services Research","title":"Acceptability of healthcare interventions: An overview of reviews and development of a theoretical framework","type":"article-journal","volume":"17"},"uris":["http://www.mendeley.com/documents/?uuid=086fae0b-768f-454f-8a5f-5b1e539cf235"]}],"mendeley":{"formattedCitation":"&lt;sup&gt;52&lt;/sup&gt;","plainTextFormattedCitation":"52","previouslyFormattedCitation":"&lt;sup&gt;52&lt;/sup&gt;"},"properties":{"noteIndex":0},"schema":"https://github.com/citation-style-language/schema/raw/master/csl-citation.json"}</w:instrText>
      </w:r>
      <w:r>
        <w:rPr>
          <w:sz w:val="24"/>
          <w:szCs w:val="24"/>
          <w:lang w:val="en-US"/>
        </w:rPr>
        <w:fldChar w:fldCharType="separate"/>
      </w:r>
      <w:r w:rsidR="00DE199B" w:rsidRPr="00DE199B">
        <w:rPr>
          <w:noProof/>
          <w:sz w:val="24"/>
          <w:szCs w:val="24"/>
          <w:vertAlign w:val="superscript"/>
          <w:lang w:val="en-US"/>
        </w:rPr>
        <w:t>52</w:t>
      </w:r>
      <w:r>
        <w:rPr>
          <w:sz w:val="24"/>
          <w:szCs w:val="24"/>
          <w:lang w:val="en-US"/>
        </w:rPr>
        <w:fldChar w:fldCharType="end"/>
      </w:r>
      <w:r>
        <w:rPr>
          <w:sz w:val="24"/>
          <w:szCs w:val="24"/>
          <w:lang w:val="en-US"/>
        </w:rPr>
        <w:t xml:space="preserve"> </w:t>
      </w:r>
      <w:r w:rsidR="00F4554B">
        <w:rPr>
          <w:sz w:val="24"/>
          <w:szCs w:val="24"/>
          <w:lang w:val="en-US"/>
        </w:rPr>
        <w:t xml:space="preserve">and also application to the </w:t>
      </w:r>
      <w:proofErr w:type="spellStart"/>
      <w:r w:rsidR="00F4554B">
        <w:rPr>
          <w:sz w:val="24"/>
          <w:szCs w:val="24"/>
          <w:lang w:val="en-US"/>
        </w:rPr>
        <w:t>NoMAD</w:t>
      </w:r>
      <w:proofErr w:type="spellEnd"/>
      <w:r w:rsidR="00F4554B">
        <w:rPr>
          <w:sz w:val="24"/>
          <w:szCs w:val="24"/>
          <w:lang w:val="en-US"/>
        </w:rPr>
        <w:t xml:space="preserve"> tool’s</w:t>
      </w:r>
      <w:r w:rsidR="00F4554B">
        <w:rPr>
          <w:rFonts w:eastAsiaTheme="majorEastAsia" w:cstheme="minorHAnsi"/>
          <w:bCs/>
          <w:iCs/>
          <w:color w:val="000000" w:themeColor="text1"/>
          <w:sz w:val="24"/>
          <w:szCs w:val="24"/>
        </w:rPr>
        <w:fldChar w:fldCharType="begin" w:fldLock="1"/>
      </w:r>
      <w:r w:rsidR="000855E1">
        <w:rPr>
          <w:rFonts w:eastAsiaTheme="majorEastAsia" w:cstheme="minorHAnsi"/>
          <w:bCs/>
          <w:iCs/>
          <w:color w:val="000000" w:themeColor="text1"/>
          <w:sz w:val="24"/>
          <w:szCs w:val="24"/>
        </w:rPr>
        <w:instrText>ADDIN CSL_CITATION {"citationItems":[{"id":"ITEM-1","itemData":{"DOI":"10.1186/s12874-018-0590-y","ISBN":"1287401805","ISSN":"14712288","PMID":"30442093","abstract":"Background: Understanding and measuring implementation processes is a key challenge for implementation researchers. This study draws on Normalization Process Theory (NPT) to develop an instrument that can be applied to assess, monitor or measure factors likely to affect normalization from the perspective of implementation participants. Methods: An iterative process of instrument development was undertaken using the following methods: theoretical elaboration, item generation and item reduction (team workshops); item appraisal (QAS-99); cognitive testing with complex intervention teams; theory re-validation with NPT experts; and pilot testing of instrument. Results: We initially generated 112 potential questionnaire items; these were then reduced to 47 through team workshops and item appraisal. No concerns about item wording and construction were raised through the item appraisal process. We undertook three rounds of cognitive interviews with professionals (n = 30) involved in the development, evaluation, delivery or reception of complex interventions. We identified minor issues around wording of some items; universal issues around how to engage with people at different time points in an intervention; and conceptual issues around the types of people for whom the instrument should be designed. We managed these by adding extra items (n = 6) and including a new set of option responses: 'not relevant at this stage', 'not relevant to my role' and 'not relevant to this intervention' and decided to design an instrument explicitly for those people either delivering or receiving an intervention. This version of the instrument had 53 items. Twenty-three people with a good working knowledge of NPT reviewed the items for theoretical drift. Items that displayed a poor alignment with NPT sub-constructs were removed (n = 8) and others revised or combined (n = 6). The final instrument, with 43 items, was successfully piloted with five people, with a 100% completion rate of items. Conclusion: The process of moving through cycles of theoretical translation, item generation, cognitive testing, and theoretical (re)validation was essential for maintaining a balance between the theoretical integrity of the NPT concepts and the ease with which intended respondents could answer the questions. The final instrument could be easily understood and completed, while retaining theoretical validity. NoMAD represents a measure that can be used to understand implementation participants' e…","author":[{"dropping-particle":"","family":"Rapley","given":"Tim","non-dropping-particle":"","parse-names":false,"suffix":""},{"dropping-particle":"","family":"Girling","given":"Melissa","non-dropping-particle":"","parse-names":false,"suffix":""},{"dropping-particle":"","family":"Mair","given":"Frances S.","non-dropping-particle":"","parse-names":false,"suffix":""},{"dropping-particle":"","family":"Murray","given":"Elizabeth","non-dropping-particle":"","parse-names":false,"suffix":""},{"dropping-particle":"","family":"Treweek","given":"Shaun","non-dropping-particle":"","parse-names":false,"suffix":""},{"dropping-particle":"","family":"McColl","given":"Elaine","non-dropping-particle":"","parse-names":false,"suffix":""},{"dropping-particle":"","family":"Steen","given":"Ian Nicholas","non-dropping-particle":"","parse-names":false,"suffix":""},{"dropping-particle":"","family":"May","given":"Carl R.","non-dropping-particle":"","parse-names":false,"suffix":""},{"dropping-particle":"","family":"Finch","given":"Tracy L.","non-dropping-particle":"","parse-names":false,"suffix":""}],"container-title":"BMC Medical Research Methodology","id":"ITEM-1","issue":"1","issued":{"date-parts":[["2018"]]},"page":"1-13","publisher":"BMC Medical Research Methodology","title":"Improving the normalization of complex interventions: Part 1 - Development of the NoMAD instrument for assessing implementation work based on normalization process theory (NPT) 17 Psychology and Cognitive Sciences 1701 Psychology","type":"article-journal","volume":"18"},"uris":["http://www.mendeley.com/documents/?uuid=042507bd-6275-44b9-919c-baf01fcc80ed"]}],"mendeley":{"formattedCitation":"&lt;sup&gt;50&lt;/sup&gt;","plainTextFormattedCitation":"50","previouslyFormattedCitation":"&lt;sup&gt;50&lt;/sup&gt;"},"properties":{"noteIndex":0},"schema":"https://github.com/citation-style-language/schema/raw/master/csl-citation.json"}</w:instrText>
      </w:r>
      <w:r w:rsidR="00F4554B">
        <w:rPr>
          <w:rFonts w:eastAsiaTheme="majorEastAsia" w:cstheme="minorHAnsi"/>
          <w:bCs/>
          <w:iCs/>
          <w:color w:val="000000" w:themeColor="text1"/>
          <w:sz w:val="24"/>
          <w:szCs w:val="24"/>
        </w:rPr>
        <w:fldChar w:fldCharType="separate"/>
      </w:r>
      <w:r w:rsidR="00DE199B" w:rsidRPr="00DE199B">
        <w:rPr>
          <w:rFonts w:eastAsiaTheme="majorEastAsia" w:cstheme="minorHAnsi"/>
          <w:bCs/>
          <w:iCs/>
          <w:noProof/>
          <w:color w:val="000000" w:themeColor="text1"/>
          <w:sz w:val="24"/>
          <w:szCs w:val="24"/>
          <w:vertAlign w:val="superscript"/>
        </w:rPr>
        <w:t>50</w:t>
      </w:r>
      <w:r w:rsidR="00F4554B">
        <w:rPr>
          <w:rFonts w:eastAsiaTheme="majorEastAsia" w:cstheme="minorHAnsi"/>
          <w:bCs/>
          <w:iCs/>
          <w:color w:val="000000" w:themeColor="text1"/>
          <w:sz w:val="24"/>
          <w:szCs w:val="24"/>
        </w:rPr>
        <w:fldChar w:fldCharType="end"/>
      </w:r>
      <w:r w:rsidR="00F4554B">
        <w:rPr>
          <w:rFonts w:eastAsiaTheme="majorEastAsia" w:cstheme="minorHAnsi"/>
          <w:bCs/>
          <w:iCs/>
          <w:color w:val="000000" w:themeColor="text1"/>
          <w:sz w:val="24"/>
          <w:szCs w:val="24"/>
        </w:rPr>
        <w:t xml:space="preserve"> four constructs (coherence, engagement, collective action, and reflexive monitoring) </w:t>
      </w:r>
      <w:r w:rsidRPr="002A02A6">
        <w:rPr>
          <w:sz w:val="24"/>
          <w:szCs w:val="24"/>
          <w:lang w:val="en-US"/>
        </w:rPr>
        <w:t>using NVivo 12 to manage the data.</w:t>
      </w:r>
      <w:r w:rsidRPr="002A02A6">
        <w:rPr>
          <w:sz w:val="24"/>
          <w:szCs w:val="24"/>
          <w:lang w:val="en-US"/>
        </w:rPr>
        <w:fldChar w:fldCharType="begin" w:fldLock="1"/>
      </w:r>
      <w:r w:rsidR="000855E1">
        <w:rPr>
          <w:sz w:val="24"/>
          <w:szCs w:val="24"/>
          <w:lang w:val="en-US"/>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525cba50-4bf7-49b6-b385-985c57619483"]}],"mendeley":{"formattedCitation":"&lt;sup&gt;54&lt;/sup&gt;","plainTextFormattedCitation":"54","previouslyFormattedCitation":"&lt;sup&gt;54&lt;/sup&gt;"},"properties":{"noteIndex":0},"schema":"https://github.com/citation-style-language/schema/raw/master/csl-citation.json"}</w:instrText>
      </w:r>
      <w:r w:rsidRPr="002A02A6">
        <w:rPr>
          <w:sz w:val="24"/>
          <w:szCs w:val="24"/>
          <w:lang w:val="en-US"/>
        </w:rPr>
        <w:fldChar w:fldCharType="separate"/>
      </w:r>
      <w:r w:rsidR="00DE199B" w:rsidRPr="00DE199B">
        <w:rPr>
          <w:noProof/>
          <w:sz w:val="24"/>
          <w:szCs w:val="24"/>
          <w:vertAlign w:val="superscript"/>
          <w:lang w:val="en-US"/>
        </w:rPr>
        <w:t>54</w:t>
      </w:r>
      <w:r w:rsidRPr="002A02A6">
        <w:rPr>
          <w:sz w:val="24"/>
          <w:szCs w:val="24"/>
        </w:rPr>
        <w:fldChar w:fldCharType="end"/>
      </w:r>
      <w:r w:rsidRPr="002A02A6">
        <w:rPr>
          <w:sz w:val="24"/>
          <w:szCs w:val="24"/>
          <w:lang w:val="en-US"/>
        </w:rPr>
        <w:t xml:space="preserve"> Initial codes will be generated, which will be updated as further data becomes available and collated following each successive FGD. Both open and closed first-order category will be used to label data within NVivo. Codes may then also be grouped together into </w:t>
      </w:r>
      <w:proofErr w:type="gramStart"/>
      <w:r w:rsidRPr="002A02A6">
        <w:rPr>
          <w:sz w:val="24"/>
          <w:szCs w:val="24"/>
          <w:lang w:val="en-US"/>
        </w:rPr>
        <w:t>second-order</w:t>
      </w:r>
      <w:proofErr w:type="gramEnd"/>
      <w:r w:rsidRPr="002A02A6">
        <w:rPr>
          <w:sz w:val="24"/>
          <w:szCs w:val="24"/>
          <w:lang w:val="en-US"/>
        </w:rPr>
        <w:t xml:space="preserve"> and third-order themes.</w:t>
      </w:r>
      <w:r w:rsidRPr="002A02A6">
        <w:rPr>
          <w:b/>
          <w:sz w:val="24"/>
          <w:szCs w:val="24"/>
          <w:lang w:val="en-US"/>
        </w:rPr>
        <w:t xml:space="preserve">  </w:t>
      </w:r>
      <w:r w:rsidRPr="002A02A6">
        <w:rPr>
          <w:sz w:val="24"/>
          <w:szCs w:val="24"/>
          <w:lang w:val="en-US"/>
        </w:rPr>
        <w:t xml:space="preserve">After all the transcripts </w:t>
      </w:r>
      <w:r>
        <w:rPr>
          <w:sz w:val="24"/>
          <w:szCs w:val="24"/>
          <w:lang w:val="en-US"/>
        </w:rPr>
        <w:t>are</w:t>
      </w:r>
      <w:r w:rsidRPr="002A02A6">
        <w:rPr>
          <w:sz w:val="24"/>
          <w:szCs w:val="24"/>
          <w:lang w:val="en-US"/>
        </w:rPr>
        <w:t xml:space="preserve"> coded and </w:t>
      </w:r>
      <w:proofErr w:type="spellStart"/>
      <w:r w:rsidRPr="002A02A6">
        <w:rPr>
          <w:sz w:val="24"/>
          <w:szCs w:val="24"/>
          <w:lang w:val="en-US"/>
        </w:rPr>
        <w:t>analysed</w:t>
      </w:r>
      <w:proofErr w:type="spellEnd"/>
      <w:r w:rsidRPr="002A02A6">
        <w:rPr>
          <w:sz w:val="24"/>
          <w:szCs w:val="24"/>
          <w:lang w:val="en-US"/>
        </w:rPr>
        <w:t xml:space="preserve">, to increase trustworthiness, </w:t>
      </w:r>
      <w:r>
        <w:rPr>
          <w:sz w:val="24"/>
          <w:szCs w:val="24"/>
          <w:lang w:val="en-US"/>
        </w:rPr>
        <w:t>the we will independently review</w:t>
      </w:r>
      <w:r w:rsidRPr="002A02A6">
        <w:rPr>
          <w:sz w:val="24"/>
          <w:szCs w:val="24"/>
          <w:lang w:val="en-US"/>
        </w:rPr>
        <w:t xml:space="preserve"> coding and</w:t>
      </w:r>
      <w:r>
        <w:rPr>
          <w:sz w:val="24"/>
          <w:szCs w:val="24"/>
          <w:lang w:val="en-US"/>
        </w:rPr>
        <w:t xml:space="preserve"> themes and refine</w:t>
      </w:r>
      <w:r w:rsidRPr="002A02A6">
        <w:rPr>
          <w:sz w:val="24"/>
          <w:szCs w:val="24"/>
          <w:lang w:val="en-US"/>
        </w:rPr>
        <w:t xml:space="preserve"> them through further debate and discussion where necessary.</w:t>
      </w:r>
      <w:r w:rsidRPr="002A02A6">
        <w:rPr>
          <w:sz w:val="24"/>
          <w:szCs w:val="24"/>
          <w:lang w:val="en-US"/>
        </w:rPr>
        <w:fldChar w:fldCharType="begin" w:fldLock="1"/>
      </w:r>
      <w:r w:rsidR="000855E1">
        <w:rPr>
          <w:sz w:val="24"/>
          <w:szCs w:val="24"/>
          <w:lang w:val="en-US"/>
        </w:rPr>
        <w:instrText>ADDIN CSL_CITATION {"citationItems":[{"id":"ITEM-1","itemData":{"author":[{"dropping-particle":"","family":"Holloway Immy","given":"","non-dropping-particle":"","parse-names":false,"suffix":""},{"dropping-particle":"","family":"Galvin Kathleen.","given":"","non-dropping-particle":"","parse-names":false,"suffix":""}],"id":"ITEM-1","issued":{"date-parts":[["2016"]]},"publisher":"John Wiley &amp; Sons","title":"Qualitative research in nursing and healthcare.","type":"book"},"uris":["http://www.mendeley.com/documents/?uuid=20afee8f-a364-4ee0-bd5d-8bdc26d73d7c","http://www.mendeley.com/documents/?uuid=52907263-cf9f-45eb-8b29-98de57cc9b55"]}],"mendeley":{"formattedCitation":"&lt;sup&gt;55&lt;/sup&gt;","plainTextFormattedCitation":"55","previouslyFormattedCitation":"&lt;sup&gt;55&lt;/sup&gt;"},"properties":{"noteIndex":0},"schema":"https://github.com/citation-style-language/schema/raw/master/csl-citation.json"}</w:instrText>
      </w:r>
      <w:r w:rsidRPr="002A02A6">
        <w:rPr>
          <w:sz w:val="24"/>
          <w:szCs w:val="24"/>
          <w:lang w:val="en-US"/>
        </w:rPr>
        <w:fldChar w:fldCharType="separate"/>
      </w:r>
      <w:r w:rsidR="00DE199B" w:rsidRPr="00DE199B">
        <w:rPr>
          <w:noProof/>
          <w:sz w:val="24"/>
          <w:szCs w:val="24"/>
          <w:vertAlign w:val="superscript"/>
          <w:lang w:val="en-US"/>
        </w:rPr>
        <w:t>55</w:t>
      </w:r>
      <w:r w:rsidRPr="002A02A6">
        <w:rPr>
          <w:sz w:val="24"/>
          <w:szCs w:val="24"/>
        </w:rPr>
        <w:fldChar w:fldCharType="end"/>
      </w:r>
      <w:r w:rsidRPr="002A02A6">
        <w:rPr>
          <w:sz w:val="24"/>
          <w:szCs w:val="24"/>
          <w:lang w:val="en-US"/>
        </w:rPr>
        <w:t xml:space="preserve"> </w:t>
      </w:r>
    </w:p>
    <w:p w14:paraId="6F6A44D3" w14:textId="752E7AE6" w:rsidR="0052658D" w:rsidRDefault="0052658D" w:rsidP="00C65F80">
      <w:pPr>
        <w:autoSpaceDE w:val="0"/>
        <w:autoSpaceDN w:val="0"/>
        <w:adjustRightInd w:val="0"/>
        <w:spacing w:after="0" w:line="276" w:lineRule="auto"/>
        <w:jc w:val="both"/>
      </w:pPr>
    </w:p>
    <w:p w14:paraId="024165CE" w14:textId="77777777" w:rsidR="00F543D6" w:rsidRPr="0061146F" w:rsidRDefault="00F543D6" w:rsidP="00F543D6">
      <w:pPr>
        <w:autoSpaceDE w:val="0"/>
        <w:autoSpaceDN w:val="0"/>
        <w:adjustRightInd w:val="0"/>
        <w:spacing w:line="276" w:lineRule="auto"/>
        <w:jc w:val="both"/>
        <w:rPr>
          <w:b/>
          <w:bCs/>
          <w:sz w:val="24"/>
          <w:szCs w:val="24"/>
        </w:rPr>
      </w:pPr>
      <w:r w:rsidRPr="0061146F">
        <w:rPr>
          <w:b/>
          <w:bCs/>
          <w:sz w:val="24"/>
          <w:szCs w:val="24"/>
        </w:rPr>
        <w:t>Plans for dissemination of study findings</w:t>
      </w:r>
    </w:p>
    <w:p w14:paraId="25ACE8A2" w14:textId="028969D7" w:rsidR="00F543D6" w:rsidRPr="00F543D6" w:rsidRDefault="00F543D6" w:rsidP="00F543D6">
      <w:pPr>
        <w:autoSpaceDE w:val="0"/>
        <w:autoSpaceDN w:val="0"/>
        <w:adjustRightInd w:val="0"/>
        <w:spacing w:line="276" w:lineRule="auto"/>
        <w:jc w:val="both"/>
        <w:rPr>
          <w:sz w:val="24"/>
          <w:szCs w:val="24"/>
        </w:rPr>
      </w:pPr>
      <w:r w:rsidRPr="00170C9B">
        <w:rPr>
          <w:sz w:val="24"/>
          <w:szCs w:val="24"/>
        </w:rPr>
        <w:t xml:space="preserve">The intended research outputs of this work are to: </w:t>
      </w:r>
      <w:proofErr w:type="spellStart"/>
      <w:r>
        <w:rPr>
          <w:sz w:val="24"/>
          <w:szCs w:val="24"/>
        </w:rPr>
        <w:t>i</w:t>
      </w:r>
      <w:proofErr w:type="spellEnd"/>
      <w:r>
        <w:rPr>
          <w:sz w:val="24"/>
          <w:szCs w:val="24"/>
        </w:rPr>
        <w:t xml:space="preserve">) </w:t>
      </w:r>
      <w:r w:rsidRPr="00F82502">
        <w:rPr>
          <w:sz w:val="24"/>
          <w:szCs w:val="24"/>
        </w:rPr>
        <w:t xml:space="preserve">present the </w:t>
      </w:r>
      <w:r>
        <w:rPr>
          <w:sz w:val="24"/>
          <w:szCs w:val="24"/>
        </w:rPr>
        <w:t xml:space="preserve">interim and final </w:t>
      </w:r>
      <w:r w:rsidRPr="00F82502">
        <w:rPr>
          <w:sz w:val="24"/>
          <w:szCs w:val="24"/>
        </w:rPr>
        <w:t xml:space="preserve">findings at the International Union Against TB and Lung Disease in November </w:t>
      </w:r>
      <w:r>
        <w:rPr>
          <w:sz w:val="24"/>
          <w:szCs w:val="24"/>
        </w:rPr>
        <w:t>2022 and 2023 respectively</w:t>
      </w:r>
      <w:r w:rsidRPr="00F82502">
        <w:rPr>
          <w:sz w:val="24"/>
          <w:szCs w:val="24"/>
        </w:rPr>
        <w:t>;</w:t>
      </w:r>
      <w:r>
        <w:rPr>
          <w:sz w:val="24"/>
          <w:szCs w:val="24"/>
        </w:rPr>
        <w:t xml:space="preserve"> ii) </w:t>
      </w:r>
      <w:r w:rsidRPr="00F82502">
        <w:rPr>
          <w:sz w:val="24"/>
          <w:szCs w:val="24"/>
        </w:rPr>
        <w:t xml:space="preserve">publish, </w:t>
      </w:r>
      <w:r>
        <w:rPr>
          <w:sz w:val="24"/>
          <w:szCs w:val="24"/>
        </w:rPr>
        <w:t>in 2023</w:t>
      </w:r>
      <w:r w:rsidRPr="00F82502">
        <w:rPr>
          <w:sz w:val="24"/>
          <w:szCs w:val="24"/>
        </w:rPr>
        <w:t xml:space="preserve">, two first-author papers in high-impact journals concerning the </w:t>
      </w:r>
      <w:r>
        <w:rPr>
          <w:sz w:val="24"/>
          <w:szCs w:val="24"/>
        </w:rPr>
        <w:t>ASCOT pilot trial</w:t>
      </w:r>
      <w:r w:rsidRPr="00F82502">
        <w:rPr>
          <w:sz w:val="24"/>
          <w:szCs w:val="24"/>
        </w:rPr>
        <w:t xml:space="preserve">; </w:t>
      </w:r>
      <w:r>
        <w:rPr>
          <w:sz w:val="24"/>
          <w:szCs w:val="24"/>
        </w:rPr>
        <w:t xml:space="preserve">iii) consolidate partnerships with and disseminate findings to </w:t>
      </w:r>
      <w:r w:rsidRPr="00F82502">
        <w:rPr>
          <w:sz w:val="24"/>
          <w:szCs w:val="24"/>
        </w:rPr>
        <w:t>key stakeholders (including NTP and TB civil-society), S</w:t>
      </w:r>
      <w:r>
        <w:rPr>
          <w:sz w:val="24"/>
          <w:szCs w:val="24"/>
        </w:rPr>
        <w:t xml:space="preserve">ocial Protection Action Research and Knowledge Sharing network (SPARKS, www.sparksnetwork.ki.se) and WHO; and </w:t>
      </w:r>
      <w:r w:rsidRPr="00F543D6">
        <w:rPr>
          <w:sz w:val="24"/>
          <w:szCs w:val="24"/>
        </w:rPr>
        <w:t xml:space="preserve">submit a strong application that receives large-scale funding to conduct a well-powered full-scale </w:t>
      </w:r>
      <w:r w:rsidRPr="00F543D6">
        <w:rPr>
          <w:sz w:val="24"/>
          <w:szCs w:val="24"/>
        </w:rPr>
        <w:lastRenderedPageBreak/>
        <w:t>ASCOT trial that evaluates the impact of the intervention on health and socioeconomic outcomes.</w:t>
      </w:r>
    </w:p>
    <w:p w14:paraId="191653A1" w14:textId="77777777" w:rsidR="00F33ABE" w:rsidRDefault="00F33ABE" w:rsidP="00815FC0">
      <w:pPr>
        <w:autoSpaceDE w:val="0"/>
        <w:autoSpaceDN w:val="0"/>
        <w:adjustRightInd w:val="0"/>
        <w:spacing w:after="0" w:line="276" w:lineRule="auto"/>
        <w:jc w:val="both"/>
        <w:rPr>
          <w:b/>
          <w:bCs/>
          <w:sz w:val="24"/>
          <w:szCs w:val="24"/>
        </w:rPr>
      </w:pPr>
      <w:r>
        <w:rPr>
          <w:b/>
          <w:bCs/>
          <w:sz w:val="24"/>
          <w:szCs w:val="24"/>
        </w:rPr>
        <w:t>Trial Steering Committee</w:t>
      </w:r>
    </w:p>
    <w:p w14:paraId="0DF41664" w14:textId="680BB85E" w:rsidR="00F33ABE" w:rsidRDefault="00F33ABE" w:rsidP="00815FC0">
      <w:pPr>
        <w:autoSpaceDE w:val="0"/>
        <w:autoSpaceDN w:val="0"/>
        <w:adjustRightInd w:val="0"/>
        <w:spacing w:after="0" w:line="276" w:lineRule="auto"/>
        <w:jc w:val="both"/>
        <w:rPr>
          <w:b/>
          <w:bCs/>
          <w:sz w:val="24"/>
          <w:szCs w:val="24"/>
        </w:rPr>
      </w:pPr>
    </w:p>
    <w:p w14:paraId="48089830" w14:textId="7189D56D" w:rsidR="00F33ABE" w:rsidRDefault="00F33ABE" w:rsidP="00815FC0">
      <w:pPr>
        <w:autoSpaceDE w:val="0"/>
        <w:autoSpaceDN w:val="0"/>
        <w:adjustRightInd w:val="0"/>
        <w:spacing w:after="0" w:line="276" w:lineRule="auto"/>
        <w:jc w:val="both"/>
        <w:rPr>
          <w:sz w:val="24"/>
          <w:szCs w:val="24"/>
        </w:rPr>
      </w:pPr>
      <w:r>
        <w:rPr>
          <w:sz w:val="24"/>
          <w:szCs w:val="24"/>
        </w:rPr>
        <w:t>In September 2021, a Trial Steering Committee (TSC) was formed to provide oversight and guidance on the ASCOT pilot trial and any future related trials. Potential TSC members were identified by the ASCOT project team according to the National Institution of Health Research “</w:t>
      </w:r>
      <w:hyperlink r:id="rId23" w:history="1">
        <w:r w:rsidRPr="00F33ABE">
          <w:rPr>
            <w:rStyle w:val="Hyperlink"/>
            <w:sz w:val="24"/>
            <w:szCs w:val="24"/>
          </w:rPr>
          <w:t>Good practice guidelines on the recruitment and involvement of public members on Trial Steering Committees (TSCs) / Study Steering Committees (SSCs)</w:t>
        </w:r>
      </w:hyperlink>
      <w:r>
        <w:rPr>
          <w:sz w:val="24"/>
          <w:szCs w:val="24"/>
        </w:rPr>
        <w:t xml:space="preserve">”. </w:t>
      </w:r>
      <w:r w:rsidR="00A2356F">
        <w:rPr>
          <w:sz w:val="24"/>
          <w:szCs w:val="24"/>
        </w:rPr>
        <w:t>At the time of selection, the potential TSC members were selected based on their expertise in various fields related to TB</w:t>
      </w:r>
      <w:r w:rsidR="0050169F">
        <w:rPr>
          <w:sz w:val="24"/>
          <w:szCs w:val="24"/>
        </w:rPr>
        <w:t>, their</w:t>
      </w:r>
      <w:r w:rsidR="00A2356F">
        <w:rPr>
          <w:sz w:val="24"/>
          <w:szCs w:val="24"/>
        </w:rPr>
        <w:t xml:space="preserve"> diverse </w:t>
      </w:r>
      <w:r w:rsidR="0050169F">
        <w:rPr>
          <w:sz w:val="24"/>
          <w:szCs w:val="24"/>
        </w:rPr>
        <w:t xml:space="preserve">and complementary </w:t>
      </w:r>
      <w:r w:rsidR="00A2356F">
        <w:rPr>
          <w:sz w:val="24"/>
          <w:szCs w:val="24"/>
        </w:rPr>
        <w:t>skillsets, having no direct research, publications, or outputs with the ASCOT PI in the past five years, and not working in the same department as the ASCOT PI. Email invitations were sent to potential TSC members summarising the ASCOT project, team members, and reiterating key aspects of the Good Practice Guidelines cited above. From responses received, it was possible to create the TSC, which is composed of the following members:</w:t>
      </w:r>
    </w:p>
    <w:p w14:paraId="2ED42D9F" w14:textId="77777777" w:rsidR="00D70BDE" w:rsidRDefault="00A2356F" w:rsidP="00D70BDE">
      <w:pPr>
        <w:pStyle w:val="ListParagraph"/>
        <w:numPr>
          <w:ilvl w:val="0"/>
          <w:numId w:val="48"/>
        </w:numPr>
        <w:autoSpaceDE w:val="0"/>
        <w:autoSpaceDN w:val="0"/>
        <w:adjustRightInd w:val="0"/>
        <w:spacing w:after="0" w:line="276" w:lineRule="auto"/>
        <w:rPr>
          <w:sz w:val="24"/>
          <w:szCs w:val="24"/>
        </w:rPr>
      </w:pPr>
      <w:r>
        <w:rPr>
          <w:sz w:val="24"/>
          <w:szCs w:val="24"/>
        </w:rPr>
        <w:t xml:space="preserve">Dr Ahmad </w:t>
      </w:r>
      <w:proofErr w:type="spellStart"/>
      <w:r>
        <w:rPr>
          <w:sz w:val="24"/>
          <w:szCs w:val="24"/>
        </w:rPr>
        <w:t>Fuady</w:t>
      </w:r>
      <w:proofErr w:type="spellEnd"/>
      <w:r>
        <w:rPr>
          <w:sz w:val="24"/>
          <w:szCs w:val="24"/>
        </w:rPr>
        <w:t xml:space="preserve">, </w:t>
      </w:r>
      <w:r w:rsidR="00D70BDE">
        <w:rPr>
          <w:sz w:val="24"/>
          <w:szCs w:val="24"/>
        </w:rPr>
        <w:t xml:space="preserve">Post-doctoral Researcher, </w:t>
      </w:r>
      <w:r w:rsidR="00D70BDE" w:rsidRPr="00D70BDE">
        <w:rPr>
          <w:sz w:val="24"/>
          <w:szCs w:val="24"/>
        </w:rPr>
        <w:t xml:space="preserve">Department of Community Medicine, Faculty of Medicine, Universitas Indonesia, Indonesia. </w:t>
      </w:r>
    </w:p>
    <w:p w14:paraId="24ACD746" w14:textId="5935A700" w:rsidR="00F33ABE" w:rsidRDefault="00D70BDE" w:rsidP="00D70BDE">
      <w:pPr>
        <w:pStyle w:val="ListParagraph"/>
        <w:numPr>
          <w:ilvl w:val="0"/>
          <w:numId w:val="48"/>
        </w:numPr>
        <w:autoSpaceDE w:val="0"/>
        <w:autoSpaceDN w:val="0"/>
        <w:adjustRightInd w:val="0"/>
        <w:spacing w:after="0" w:line="276" w:lineRule="auto"/>
        <w:rPr>
          <w:sz w:val="24"/>
          <w:szCs w:val="24"/>
        </w:rPr>
      </w:pPr>
      <w:r>
        <w:rPr>
          <w:sz w:val="24"/>
          <w:szCs w:val="24"/>
        </w:rPr>
        <w:t xml:space="preserve">Professor Buddha </w:t>
      </w:r>
      <w:proofErr w:type="spellStart"/>
      <w:r>
        <w:rPr>
          <w:sz w:val="24"/>
          <w:szCs w:val="24"/>
        </w:rPr>
        <w:t>Basnyat</w:t>
      </w:r>
      <w:proofErr w:type="spellEnd"/>
      <w:r>
        <w:rPr>
          <w:sz w:val="24"/>
          <w:szCs w:val="24"/>
        </w:rPr>
        <w:t xml:space="preserve">, Associate Professor, </w:t>
      </w:r>
      <w:r w:rsidRPr="00D70BDE">
        <w:rPr>
          <w:sz w:val="24"/>
          <w:szCs w:val="24"/>
        </w:rPr>
        <w:t>Director of Oxford University Clinical Research Unit-Nepal</w:t>
      </w:r>
      <w:r>
        <w:rPr>
          <w:sz w:val="24"/>
          <w:szCs w:val="24"/>
        </w:rPr>
        <w:t xml:space="preserve">, hosted by Patan Hospital and the Patan Academy of Health Sciences. </w:t>
      </w:r>
    </w:p>
    <w:p w14:paraId="7A549672" w14:textId="5C71FE35" w:rsidR="00D70BDE" w:rsidRDefault="00D70BDE" w:rsidP="00D70BDE">
      <w:pPr>
        <w:pStyle w:val="ListParagraph"/>
        <w:numPr>
          <w:ilvl w:val="0"/>
          <w:numId w:val="48"/>
        </w:numPr>
        <w:autoSpaceDE w:val="0"/>
        <w:autoSpaceDN w:val="0"/>
        <w:adjustRightInd w:val="0"/>
        <w:spacing w:after="0" w:line="276" w:lineRule="auto"/>
        <w:rPr>
          <w:sz w:val="24"/>
          <w:szCs w:val="24"/>
        </w:rPr>
      </w:pPr>
      <w:r>
        <w:rPr>
          <w:sz w:val="24"/>
          <w:szCs w:val="24"/>
        </w:rPr>
        <w:t xml:space="preserve">Dr </w:t>
      </w:r>
      <w:proofErr w:type="spellStart"/>
      <w:r>
        <w:rPr>
          <w:sz w:val="24"/>
          <w:szCs w:val="24"/>
        </w:rPr>
        <w:t>Bhabhana</w:t>
      </w:r>
      <w:proofErr w:type="spellEnd"/>
      <w:r>
        <w:rPr>
          <w:sz w:val="24"/>
          <w:szCs w:val="24"/>
        </w:rPr>
        <w:t xml:space="preserve"> Shrestha, </w:t>
      </w:r>
      <w:r w:rsidRPr="00D70BDE">
        <w:rPr>
          <w:sz w:val="24"/>
          <w:szCs w:val="24"/>
        </w:rPr>
        <w:t>Tuberculosis Unit, Nepal Anti-Tuberculosis Association/German Nepal TB Project, Kathmandu, Nepal</w:t>
      </w:r>
      <w:r>
        <w:rPr>
          <w:sz w:val="24"/>
          <w:szCs w:val="24"/>
        </w:rPr>
        <w:t>.</w:t>
      </w:r>
    </w:p>
    <w:p w14:paraId="1C320BED" w14:textId="55B09B66" w:rsidR="00D70BDE" w:rsidRDefault="00D70BDE" w:rsidP="00D70BDE">
      <w:pPr>
        <w:pStyle w:val="ListParagraph"/>
        <w:numPr>
          <w:ilvl w:val="0"/>
          <w:numId w:val="48"/>
        </w:numPr>
        <w:autoSpaceDE w:val="0"/>
        <w:autoSpaceDN w:val="0"/>
        <w:adjustRightInd w:val="0"/>
        <w:spacing w:after="0" w:line="276" w:lineRule="auto"/>
        <w:jc w:val="both"/>
        <w:rPr>
          <w:sz w:val="24"/>
          <w:szCs w:val="24"/>
        </w:rPr>
      </w:pPr>
      <w:r>
        <w:rPr>
          <w:sz w:val="24"/>
          <w:szCs w:val="24"/>
        </w:rPr>
        <w:t>Dr Laura Dean, Post-doctoral Social Science Lecturer, Liverpool School of Tropical Medicine, UK.</w:t>
      </w:r>
    </w:p>
    <w:p w14:paraId="73466D2C" w14:textId="11358F4F" w:rsidR="00D70BDE" w:rsidRDefault="00D70BDE" w:rsidP="00D70BDE">
      <w:pPr>
        <w:pStyle w:val="ListParagraph"/>
        <w:numPr>
          <w:ilvl w:val="0"/>
          <w:numId w:val="48"/>
        </w:numPr>
        <w:autoSpaceDE w:val="0"/>
        <w:autoSpaceDN w:val="0"/>
        <w:adjustRightInd w:val="0"/>
        <w:spacing w:after="0" w:line="276" w:lineRule="auto"/>
        <w:jc w:val="both"/>
        <w:rPr>
          <w:sz w:val="24"/>
          <w:szCs w:val="24"/>
        </w:rPr>
      </w:pPr>
      <w:r>
        <w:rPr>
          <w:sz w:val="24"/>
          <w:szCs w:val="24"/>
        </w:rPr>
        <w:t xml:space="preserve">Professor James Lewis, </w:t>
      </w:r>
      <w:r w:rsidR="0050169F">
        <w:rPr>
          <w:sz w:val="24"/>
          <w:szCs w:val="24"/>
        </w:rPr>
        <w:t xml:space="preserve">Director of </w:t>
      </w:r>
      <w:r w:rsidR="0050169F" w:rsidRPr="0050169F">
        <w:rPr>
          <w:sz w:val="24"/>
          <w:szCs w:val="24"/>
        </w:rPr>
        <w:t>Cardiff University's Y Lab - the Public Services Innovation Lab for Wales</w:t>
      </w:r>
      <w:r w:rsidR="0050169F">
        <w:rPr>
          <w:sz w:val="24"/>
          <w:szCs w:val="24"/>
        </w:rPr>
        <w:t>, Wales, UK.</w:t>
      </w:r>
    </w:p>
    <w:p w14:paraId="02A00140" w14:textId="77777777" w:rsidR="00F33ABE" w:rsidRPr="00F33ABE" w:rsidRDefault="00F33ABE" w:rsidP="00815FC0">
      <w:pPr>
        <w:autoSpaceDE w:val="0"/>
        <w:autoSpaceDN w:val="0"/>
        <w:adjustRightInd w:val="0"/>
        <w:spacing w:after="0" w:line="276" w:lineRule="auto"/>
        <w:jc w:val="both"/>
        <w:rPr>
          <w:sz w:val="24"/>
          <w:szCs w:val="24"/>
        </w:rPr>
      </w:pPr>
    </w:p>
    <w:p w14:paraId="69813094" w14:textId="0893175E" w:rsidR="00815FC0" w:rsidRPr="00F543D6" w:rsidRDefault="00F543D6" w:rsidP="00815FC0">
      <w:pPr>
        <w:autoSpaceDE w:val="0"/>
        <w:autoSpaceDN w:val="0"/>
        <w:adjustRightInd w:val="0"/>
        <w:spacing w:after="0" w:line="276" w:lineRule="auto"/>
        <w:jc w:val="both"/>
        <w:rPr>
          <w:b/>
          <w:bCs/>
          <w:sz w:val="24"/>
          <w:szCs w:val="24"/>
        </w:rPr>
      </w:pPr>
      <w:r w:rsidRPr="00F543D6">
        <w:rPr>
          <w:b/>
          <w:bCs/>
          <w:sz w:val="24"/>
          <w:szCs w:val="24"/>
        </w:rPr>
        <w:t>Study status</w:t>
      </w:r>
    </w:p>
    <w:p w14:paraId="0789B9C2" w14:textId="77777777" w:rsidR="00FA2A91" w:rsidRPr="00FA2A91" w:rsidRDefault="00FA2A91" w:rsidP="00C65F80">
      <w:pPr>
        <w:autoSpaceDE w:val="0"/>
        <w:autoSpaceDN w:val="0"/>
        <w:adjustRightInd w:val="0"/>
        <w:spacing w:after="0" w:line="276" w:lineRule="auto"/>
        <w:jc w:val="both"/>
        <w:rPr>
          <w:rFonts w:cs="Arial"/>
          <w:color w:val="000000"/>
          <w:sz w:val="24"/>
          <w:szCs w:val="24"/>
        </w:rPr>
      </w:pPr>
    </w:p>
    <w:p w14:paraId="26A8711C" w14:textId="3FBFDE12" w:rsidR="00F543D6" w:rsidRDefault="00604ABE" w:rsidP="00F543D6">
      <w:pPr>
        <w:autoSpaceDE w:val="0"/>
        <w:autoSpaceDN w:val="0"/>
        <w:adjustRightInd w:val="0"/>
        <w:spacing w:after="0" w:line="276" w:lineRule="auto"/>
        <w:jc w:val="both"/>
        <w:rPr>
          <w:sz w:val="24"/>
          <w:szCs w:val="24"/>
        </w:rPr>
      </w:pPr>
      <w:r>
        <w:rPr>
          <w:sz w:val="24"/>
          <w:szCs w:val="24"/>
        </w:rPr>
        <w:t>From August</w:t>
      </w:r>
      <w:r w:rsidR="00EE66B0" w:rsidRPr="00EE66B0">
        <w:rPr>
          <w:sz w:val="24"/>
          <w:szCs w:val="24"/>
        </w:rPr>
        <w:t xml:space="preserve"> </w:t>
      </w:r>
      <w:r w:rsidR="00D6377B">
        <w:rPr>
          <w:sz w:val="24"/>
          <w:szCs w:val="24"/>
        </w:rPr>
        <w:t>to December 2021</w:t>
      </w:r>
      <w:r w:rsidR="00EE66B0">
        <w:rPr>
          <w:sz w:val="24"/>
          <w:szCs w:val="24"/>
        </w:rPr>
        <w:t xml:space="preserve">, </w:t>
      </w:r>
      <w:r w:rsidR="00EE66B0" w:rsidRPr="00EE66B0">
        <w:rPr>
          <w:sz w:val="24"/>
          <w:szCs w:val="24"/>
        </w:rPr>
        <w:t xml:space="preserve">training </w:t>
      </w:r>
      <w:r w:rsidR="006E56CA">
        <w:rPr>
          <w:sz w:val="24"/>
          <w:szCs w:val="24"/>
        </w:rPr>
        <w:t>of BNMT DPC, CHS</w:t>
      </w:r>
      <w:r w:rsidR="00EE66B0">
        <w:rPr>
          <w:sz w:val="24"/>
          <w:szCs w:val="24"/>
        </w:rPr>
        <w:t xml:space="preserve">, and FCHVs </w:t>
      </w:r>
      <w:r w:rsidR="00020C62">
        <w:rPr>
          <w:sz w:val="24"/>
          <w:szCs w:val="24"/>
        </w:rPr>
        <w:t>took place</w:t>
      </w:r>
      <w:r w:rsidR="00EE66B0">
        <w:rPr>
          <w:sz w:val="24"/>
          <w:szCs w:val="24"/>
        </w:rPr>
        <w:t xml:space="preserve"> in the field</w:t>
      </w:r>
      <w:r w:rsidR="00D6377B">
        <w:rPr>
          <w:sz w:val="24"/>
          <w:szCs w:val="24"/>
        </w:rPr>
        <w:t xml:space="preserve">. In January 2022, there will be </w:t>
      </w:r>
      <w:r w:rsidR="00EE66B0" w:rsidRPr="00EE66B0">
        <w:rPr>
          <w:sz w:val="24"/>
          <w:szCs w:val="24"/>
        </w:rPr>
        <w:t>piloting</w:t>
      </w:r>
      <w:r w:rsidR="00EE66B0">
        <w:rPr>
          <w:sz w:val="24"/>
          <w:szCs w:val="24"/>
        </w:rPr>
        <w:t xml:space="preserve"> of recruitment, activities, and the intervention in 10-20 participants. Recruitment of consecutively newly diagnosed people with TB in the study sites and key </w:t>
      </w:r>
      <w:r w:rsidR="002B0EDC">
        <w:rPr>
          <w:sz w:val="24"/>
          <w:szCs w:val="24"/>
        </w:rPr>
        <w:t xml:space="preserve">stakeholders will continue from </w:t>
      </w:r>
      <w:r w:rsidR="00F543D6">
        <w:rPr>
          <w:sz w:val="24"/>
          <w:szCs w:val="24"/>
        </w:rPr>
        <w:t>January</w:t>
      </w:r>
      <w:r w:rsidR="002B0EDC">
        <w:rPr>
          <w:sz w:val="24"/>
          <w:szCs w:val="24"/>
        </w:rPr>
        <w:t xml:space="preserve"> </w:t>
      </w:r>
      <w:r w:rsidR="00020C62">
        <w:rPr>
          <w:sz w:val="24"/>
          <w:szCs w:val="24"/>
        </w:rPr>
        <w:t>202</w:t>
      </w:r>
      <w:r w:rsidR="00F543D6">
        <w:rPr>
          <w:sz w:val="24"/>
          <w:szCs w:val="24"/>
        </w:rPr>
        <w:t>2</w:t>
      </w:r>
      <w:r w:rsidR="00020C62">
        <w:rPr>
          <w:sz w:val="24"/>
          <w:szCs w:val="24"/>
        </w:rPr>
        <w:t xml:space="preserve"> to </w:t>
      </w:r>
      <w:r w:rsidR="00F543D6">
        <w:rPr>
          <w:sz w:val="24"/>
          <w:szCs w:val="24"/>
        </w:rPr>
        <w:t>June</w:t>
      </w:r>
      <w:r w:rsidR="00020C62">
        <w:rPr>
          <w:sz w:val="24"/>
          <w:szCs w:val="24"/>
        </w:rPr>
        <w:t xml:space="preserve"> 2022</w:t>
      </w:r>
      <w:r w:rsidR="00EE66B0">
        <w:rPr>
          <w:sz w:val="24"/>
          <w:szCs w:val="24"/>
        </w:rPr>
        <w:t xml:space="preserve">. </w:t>
      </w:r>
      <w:r w:rsidR="005844E1">
        <w:rPr>
          <w:sz w:val="24"/>
          <w:szCs w:val="24"/>
        </w:rPr>
        <w:t>From June</w:t>
      </w:r>
      <w:r w:rsidR="00657D0D">
        <w:rPr>
          <w:sz w:val="24"/>
          <w:szCs w:val="24"/>
        </w:rPr>
        <w:t xml:space="preserve"> to September 2022, we will undertake </w:t>
      </w:r>
      <w:r w:rsidR="00EE66B0" w:rsidRPr="00EE66B0">
        <w:rPr>
          <w:sz w:val="24"/>
          <w:szCs w:val="24"/>
        </w:rPr>
        <w:t>write up and dissemination</w:t>
      </w:r>
      <w:r w:rsidR="00657D0D">
        <w:rPr>
          <w:sz w:val="24"/>
          <w:szCs w:val="24"/>
        </w:rPr>
        <w:t>, including a one</w:t>
      </w:r>
      <w:r w:rsidR="005E407F">
        <w:rPr>
          <w:sz w:val="24"/>
          <w:szCs w:val="24"/>
        </w:rPr>
        <w:t>-</w:t>
      </w:r>
      <w:r w:rsidR="00657D0D">
        <w:rPr>
          <w:sz w:val="24"/>
          <w:szCs w:val="24"/>
        </w:rPr>
        <w:t>day workshop and dissemination meeting of ASCOT team and key stakeholders including the NTP.</w:t>
      </w:r>
    </w:p>
    <w:p w14:paraId="7770366A" w14:textId="77777777" w:rsidR="00F543D6" w:rsidRDefault="00F543D6" w:rsidP="00F543D6">
      <w:pPr>
        <w:autoSpaceDE w:val="0"/>
        <w:autoSpaceDN w:val="0"/>
        <w:adjustRightInd w:val="0"/>
        <w:spacing w:after="0" w:line="276" w:lineRule="auto"/>
        <w:jc w:val="both"/>
        <w:rPr>
          <w:sz w:val="24"/>
          <w:szCs w:val="24"/>
        </w:rPr>
      </w:pPr>
    </w:p>
    <w:p w14:paraId="0F226C1A" w14:textId="2707F5DF" w:rsidR="00F543D6" w:rsidRPr="00F543D6" w:rsidRDefault="00F543D6" w:rsidP="00F543D6">
      <w:pPr>
        <w:autoSpaceDE w:val="0"/>
        <w:autoSpaceDN w:val="0"/>
        <w:adjustRightInd w:val="0"/>
        <w:spacing w:after="0" w:line="276" w:lineRule="auto"/>
        <w:jc w:val="both"/>
        <w:rPr>
          <w:b/>
          <w:bCs/>
          <w:sz w:val="28"/>
          <w:szCs w:val="28"/>
        </w:rPr>
      </w:pPr>
      <w:r w:rsidRPr="00F543D6">
        <w:rPr>
          <w:b/>
          <w:bCs/>
          <w:sz w:val="28"/>
          <w:szCs w:val="28"/>
        </w:rPr>
        <w:t>Discussion</w:t>
      </w:r>
    </w:p>
    <w:p w14:paraId="238A2190" w14:textId="77777777" w:rsidR="00F543D6" w:rsidRDefault="00F543D6" w:rsidP="00657D0D">
      <w:pPr>
        <w:autoSpaceDE w:val="0"/>
        <w:autoSpaceDN w:val="0"/>
        <w:adjustRightInd w:val="0"/>
        <w:spacing w:after="0" w:line="276" w:lineRule="auto"/>
        <w:jc w:val="both"/>
        <w:rPr>
          <w:bCs/>
          <w:sz w:val="24"/>
          <w:szCs w:val="24"/>
        </w:rPr>
      </w:pPr>
    </w:p>
    <w:p w14:paraId="06BDE559" w14:textId="2AAFC014" w:rsidR="00657D0D" w:rsidRPr="00657D0D" w:rsidRDefault="00657D0D" w:rsidP="00657D0D">
      <w:pPr>
        <w:autoSpaceDE w:val="0"/>
        <w:autoSpaceDN w:val="0"/>
        <w:adjustRightInd w:val="0"/>
        <w:spacing w:after="0" w:line="276" w:lineRule="auto"/>
        <w:jc w:val="both"/>
        <w:rPr>
          <w:bCs/>
          <w:sz w:val="24"/>
          <w:szCs w:val="24"/>
        </w:rPr>
      </w:pPr>
      <w:r w:rsidRPr="00657D0D">
        <w:rPr>
          <w:bCs/>
          <w:sz w:val="24"/>
          <w:szCs w:val="24"/>
        </w:rPr>
        <w:lastRenderedPageBreak/>
        <w:t xml:space="preserve">This </w:t>
      </w:r>
      <w:r>
        <w:rPr>
          <w:bCs/>
          <w:sz w:val="24"/>
          <w:szCs w:val="24"/>
        </w:rPr>
        <w:t xml:space="preserve">innovative </w:t>
      </w:r>
      <w:r w:rsidRPr="00657D0D">
        <w:rPr>
          <w:bCs/>
          <w:sz w:val="24"/>
          <w:szCs w:val="24"/>
        </w:rPr>
        <w:t xml:space="preserve">research extends our </w:t>
      </w:r>
      <w:proofErr w:type="spellStart"/>
      <w:r w:rsidRPr="00657D0D">
        <w:rPr>
          <w:bCs/>
          <w:sz w:val="24"/>
          <w:szCs w:val="24"/>
        </w:rPr>
        <w:t>Wellcome</w:t>
      </w:r>
      <w:proofErr w:type="spellEnd"/>
      <w:r w:rsidRPr="00657D0D">
        <w:rPr>
          <w:bCs/>
          <w:sz w:val="24"/>
          <w:szCs w:val="24"/>
        </w:rPr>
        <w:t xml:space="preserve"> Trust Seed Award research with diverse stakeholders in Nepal and internationally. This intersectoral participation and broad dissemination through academic meetings, networks such as SPARKS, and partnerships with WHO will continue to ensure the widest possible use of our research findings. Outputs will include publications in leading peer-reviewed scientific journals, media pieces, policy guidance, and a practical handbook on implementing socioeconomic support for TB-affected households.   </w:t>
      </w:r>
    </w:p>
    <w:p w14:paraId="7D97BD55" w14:textId="77777777" w:rsidR="00294C55" w:rsidRPr="00B372E5" w:rsidRDefault="00294C55" w:rsidP="00C65F80">
      <w:pPr>
        <w:autoSpaceDE w:val="0"/>
        <w:autoSpaceDN w:val="0"/>
        <w:adjustRightInd w:val="0"/>
        <w:spacing w:after="0" w:line="276" w:lineRule="auto"/>
        <w:jc w:val="both"/>
        <w:rPr>
          <w:sz w:val="24"/>
          <w:szCs w:val="24"/>
          <w:highlight w:val="yellow"/>
        </w:rPr>
      </w:pPr>
    </w:p>
    <w:p w14:paraId="6A664DE9" w14:textId="33086936" w:rsidR="00304484" w:rsidRDefault="006C0541" w:rsidP="00B7512F">
      <w:pPr>
        <w:autoSpaceDE w:val="0"/>
        <w:autoSpaceDN w:val="0"/>
        <w:adjustRightInd w:val="0"/>
        <w:spacing w:after="0" w:line="276" w:lineRule="auto"/>
        <w:jc w:val="both"/>
        <w:rPr>
          <w:sz w:val="24"/>
          <w:szCs w:val="24"/>
        </w:rPr>
      </w:pPr>
      <w:r>
        <w:rPr>
          <w:sz w:val="24"/>
          <w:szCs w:val="24"/>
        </w:rPr>
        <w:t>The further significance</w:t>
      </w:r>
      <w:r w:rsidR="00304484" w:rsidRPr="00B372E5">
        <w:rPr>
          <w:sz w:val="24"/>
          <w:szCs w:val="24"/>
        </w:rPr>
        <w:t xml:space="preserve"> of the study lies in </w:t>
      </w:r>
      <w:r w:rsidR="00F4554B">
        <w:rPr>
          <w:sz w:val="24"/>
          <w:szCs w:val="24"/>
        </w:rPr>
        <w:t>refining a socioeconomic support intervention for</w:t>
      </w:r>
      <w:r w:rsidR="00F4554B" w:rsidRPr="00B372E5">
        <w:rPr>
          <w:sz w:val="24"/>
          <w:szCs w:val="24"/>
        </w:rPr>
        <w:t xml:space="preserve"> TB-affected households</w:t>
      </w:r>
      <w:r w:rsidR="00F4554B">
        <w:rPr>
          <w:sz w:val="24"/>
          <w:szCs w:val="24"/>
        </w:rPr>
        <w:t xml:space="preserve"> in Nepal that is </w:t>
      </w:r>
      <w:proofErr w:type="gramStart"/>
      <w:r w:rsidR="00F4554B">
        <w:rPr>
          <w:sz w:val="24"/>
          <w:szCs w:val="24"/>
        </w:rPr>
        <w:t>locally-appropriate</w:t>
      </w:r>
      <w:proofErr w:type="gramEnd"/>
      <w:r w:rsidR="00F4554B">
        <w:rPr>
          <w:sz w:val="24"/>
          <w:szCs w:val="24"/>
        </w:rPr>
        <w:t>, feasible, and acceptable</w:t>
      </w:r>
      <w:r w:rsidR="00304484" w:rsidRPr="00B372E5">
        <w:rPr>
          <w:sz w:val="24"/>
          <w:szCs w:val="24"/>
        </w:rPr>
        <w:t xml:space="preserve"> </w:t>
      </w:r>
      <w:r w:rsidR="00294C55" w:rsidRPr="00B372E5">
        <w:rPr>
          <w:sz w:val="24"/>
          <w:szCs w:val="24"/>
        </w:rPr>
        <w:t>development of a shortlist of a grassroots intervention</w:t>
      </w:r>
      <w:r w:rsidR="00304484" w:rsidRPr="00B372E5">
        <w:rPr>
          <w:sz w:val="24"/>
          <w:szCs w:val="24"/>
        </w:rPr>
        <w:t xml:space="preserve"> to</w:t>
      </w:r>
      <w:r w:rsidR="00B021F6" w:rsidRPr="00B372E5">
        <w:rPr>
          <w:sz w:val="24"/>
          <w:szCs w:val="24"/>
        </w:rPr>
        <w:t xml:space="preserve"> provide socioeconomic support. Through collaboration with diverse stakeholders in Nepal</w:t>
      </w:r>
      <w:r w:rsidR="00304484" w:rsidRPr="00B372E5">
        <w:rPr>
          <w:sz w:val="24"/>
          <w:szCs w:val="24"/>
        </w:rPr>
        <w:t xml:space="preserve"> </w:t>
      </w:r>
      <w:r w:rsidR="00B021F6" w:rsidRPr="00B372E5">
        <w:rPr>
          <w:sz w:val="24"/>
          <w:szCs w:val="24"/>
        </w:rPr>
        <w:t xml:space="preserve">from patients to NTP managers to civil-society representatives, it is </w:t>
      </w:r>
      <w:r w:rsidR="00657D0D">
        <w:rPr>
          <w:sz w:val="24"/>
          <w:szCs w:val="24"/>
        </w:rPr>
        <w:t>envisaged that th</w:t>
      </w:r>
      <w:r w:rsidR="00CF492E">
        <w:rPr>
          <w:sz w:val="24"/>
          <w:szCs w:val="24"/>
        </w:rPr>
        <w:t>is work will lead onto a success</w:t>
      </w:r>
      <w:r w:rsidR="00657D0D">
        <w:rPr>
          <w:sz w:val="24"/>
          <w:szCs w:val="24"/>
        </w:rPr>
        <w:t xml:space="preserve">ful funding bid for </w:t>
      </w:r>
      <w:r w:rsidR="00B021F6" w:rsidRPr="00B372E5">
        <w:rPr>
          <w:sz w:val="24"/>
          <w:szCs w:val="24"/>
        </w:rPr>
        <w:t>the</w:t>
      </w:r>
      <w:r w:rsidR="00E22679">
        <w:rPr>
          <w:sz w:val="24"/>
          <w:szCs w:val="24"/>
        </w:rPr>
        <w:t xml:space="preserve"> </w:t>
      </w:r>
      <w:r w:rsidR="00657D0D">
        <w:rPr>
          <w:sz w:val="24"/>
          <w:szCs w:val="24"/>
        </w:rPr>
        <w:t>definitive, well-powered</w:t>
      </w:r>
      <w:r>
        <w:rPr>
          <w:sz w:val="24"/>
          <w:szCs w:val="24"/>
        </w:rPr>
        <w:t xml:space="preserve"> </w:t>
      </w:r>
      <w:r w:rsidR="00E22679">
        <w:rPr>
          <w:sz w:val="24"/>
          <w:szCs w:val="24"/>
        </w:rPr>
        <w:t xml:space="preserve">randomised-controlled </w:t>
      </w:r>
      <w:r w:rsidR="00657D0D">
        <w:rPr>
          <w:sz w:val="24"/>
          <w:szCs w:val="24"/>
        </w:rPr>
        <w:t xml:space="preserve">ASCOT </w:t>
      </w:r>
      <w:r>
        <w:rPr>
          <w:sz w:val="24"/>
          <w:szCs w:val="24"/>
        </w:rPr>
        <w:t>trial</w:t>
      </w:r>
      <w:r w:rsidR="00165AA1">
        <w:rPr>
          <w:sz w:val="24"/>
          <w:szCs w:val="24"/>
        </w:rPr>
        <w:t>, which will evaluate the impact of the intervention on outcome measures including catastrophic costs and TB treatment outcomes</w:t>
      </w:r>
      <w:r w:rsidR="007A27B0">
        <w:rPr>
          <w:sz w:val="24"/>
          <w:szCs w:val="24"/>
        </w:rPr>
        <w:t>.</w:t>
      </w:r>
      <w:r w:rsidR="00304484" w:rsidRPr="00B372E5">
        <w:rPr>
          <w:sz w:val="24"/>
          <w:szCs w:val="24"/>
        </w:rPr>
        <w:t xml:space="preserve"> </w:t>
      </w:r>
    </w:p>
    <w:p w14:paraId="5850B38B" w14:textId="77777777" w:rsidR="00657D0D" w:rsidRDefault="00657D0D" w:rsidP="00657D0D">
      <w:pPr>
        <w:autoSpaceDE w:val="0"/>
        <w:autoSpaceDN w:val="0"/>
        <w:adjustRightInd w:val="0"/>
        <w:spacing w:after="0" w:line="276" w:lineRule="auto"/>
        <w:jc w:val="both"/>
        <w:rPr>
          <w:bCs/>
          <w:sz w:val="24"/>
          <w:szCs w:val="24"/>
        </w:rPr>
      </w:pPr>
    </w:p>
    <w:p w14:paraId="3052D937" w14:textId="77777777" w:rsidR="00165AA1" w:rsidRPr="00165AA1" w:rsidRDefault="00165AA1" w:rsidP="00657D0D">
      <w:pPr>
        <w:autoSpaceDE w:val="0"/>
        <w:autoSpaceDN w:val="0"/>
        <w:adjustRightInd w:val="0"/>
        <w:spacing w:after="0" w:line="276" w:lineRule="auto"/>
        <w:jc w:val="both"/>
        <w:rPr>
          <w:b/>
          <w:sz w:val="24"/>
          <w:szCs w:val="24"/>
        </w:rPr>
      </w:pPr>
      <w:r w:rsidRPr="00165AA1">
        <w:rPr>
          <w:b/>
          <w:sz w:val="24"/>
          <w:szCs w:val="24"/>
        </w:rPr>
        <w:t>Conclusions</w:t>
      </w:r>
    </w:p>
    <w:p w14:paraId="164FFCA7" w14:textId="77777777" w:rsidR="00165AA1" w:rsidRDefault="00165AA1" w:rsidP="00657D0D">
      <w:pPr>
        <w:autoSpaceDE w:val="0"/>
        <w:autoSpaceDN w:val="0"/>
        <w:adjustRightInd w:val="0"/>
        <w:spacing w:after="0" w:line="276" w:lineRule="auto"/>
        <w:jc w:val="both"/>
        <w:rPr>
          <w:bCs/>
          <w:sz w:val="24"/>
          <w:szCs w:val="24"/>
        </w:rPr>
      </w:pPr>
    </w:p>
    <w:p w14:paraId="59741CFB" w14:textId="0889F2A4" w:rsidR="00657D0D" w:rsidRDefault="00657D0D" w:rsidP="00657D0D">
      <w:pPr>
        <w:autoSpaceDE w:val="0"/>
        <w:autoSpaceDN w:val="0"/>
        <w:adjustRightInd w:val="0"/>
        <w:spacing w:after="0" w:line="276" w:lineRule="auto"/>
        <w:jc w:val="both"/>
        <w:rPr>
          <w:bCs/>
          <w:sz w:val="24"/>
          <w:szCs w:val="24"/>
        </w:rPr>
      </w:pPr>
      <w:r w:rsidRPr="00657D0D">
        <w:rPr>
          <w:bCs/>
          <w:sz w:val="24"/>
          <w:szCs w:val="24"/>
        </w:rPr>
        <w:t>Ending TB, alleviating poverty, and eradicating catastrophic healthcare costs are integral aspects of WHO’s global TB policy and the SDGs. This highly timely pilot and future trial will provide the world’s first, robust evidence regarding the feasibility, acceptability, and impact of socioeconomic support for TB-affected households in a TB-endemic LIC. Strong national and international partnerships will ensure the findings lead to policy and practice change in Nepal and other LICs.</w:t>
      </w:r>
    </w:p>
    <w:p w14:paraId="2F2E2A50" w14:textId="191A0366" w:rsidR="00A15289" w:rsidRDefault="00A15289" w:rsidP="00657D0D">
      <w:pPr>
        <w:autoSpaceDE w:val="0"/>
        <w:autoSpaceDN w:val="0"/>
        <w:adjustRightInd w:val="0"/>
        <w:spacing w:after="0" w:line="276" w:lineRule="auto"/>
        <w:jc w:val="both"/>
        <w:rPr>
          <w:bCs/>
          <w:sz w:val="24"/>
          <w:szCs w:val="24"/>
        </w:rPr>
      </w:pPr>
    </w:p>
    <w:p w14:paraId="16012CB6" w14:textId="7ECAD1AD" w:rsidR="00A15289" w:rsidRPr="00DE47F2" w:rsidRDefault="00A15289" w:rsidP="00657D0D">
      <w:pPr>
        <w:autoSpaceDE w:val="0"/>
        <w:autoSpaceDN w:val="0"/>
        <w:adjustRightInd w:val="0"/>
        <w:spacing w:after="0" w:line="276" w:lineRule="auto"/>
        <w:jc w:val="both"/>
        <w:rPr>
          <w:b/>
          <w:sz w:val="24"/>
          <w:szCs w:val="24"/>
        </w:rPr>
      </w:pPr>
      <w:r w:rsidRPr="00DE47F2">
        <w:rPr>
          <w:b/>
          <w:sz w:val="24"/>
          <w:szCs w:val="24"/>
        </w:rPr>
        <w:t>Data availability</w:t>
      </w:r>
    </w:p>
    <w:p w14:paraId="45DAE54A" w14:textId="799B2311" w:rsidR="00A15289" w:rsidRDefault="00A15289" w:rsidP="00657D0D">
      <w:pPr>
        <w:autoSpaceDE w:val="0"/>
        <w:autoSpaceDN w:val="0"/>
        <w:adjustRightInd w:val="0"/>
        <w:spacing w:after="0" w:line="276" w:lineRule="auto"/>
        <w:jc w:val="both"/>
        <w:rPr>
          <w:bCs/>
          <w:sz w:val="24"/>
          <w:szCs w:val="24"/>
        </w:rPr>
      </w:pPr>
    </w:p>
    <w:p w14:paraId="7C16895D" w14:textId="77777777" w:rsidR="00A45B83" w:rsidRPr="00463954" w:rsidRDefault="00A45B83" w:rsidP="00A45B83">
      <w:pPr>
        <w:autoSpaceDE w:val="0"/>
        <w:autoSpaceDN w:val="0"/>
        <w:adjustRightInd w:val="0"/>
        <w:spacing w:after="0" w:line="276" w:lineRule="auto"/>
        <w:jc w:val="both"/>
        <w:rPr>
          <w:bCs/>
          <w:i/>
          <w:iCs/>
          <w:sz w:val="24"/>
          <w:szCs w:val="24"/>
        </w:rPr>
      </w:pPr>
      <w:bookmarkStart w:id="17" w:name="d8676e1075"/>
      <w:bookmarkEnd w:id="17"/>
      <w:r w:rsidRPr="00463954">
        <w:rPr>
          <w:bCs/>
          <w:i/>
          <w:iCs/>
          <w:sz w:val="24"/>
          <w:szCs w:val="24"/>
        </w:rPr>
        <w:t>Underlying data</w:t>
      </w:r>
    </w:p>
    <w:p w14:paraId="07A09D8A" w14:textId="4EE38AAD" w:rsidR="00A45B83" w:rsidRPr="00A45B83" w:rsidRDefault="00A45B83" w:rsidP="00A45B83">
      <w:pPr>
        <w:autoSpaceDE w:val="0"/>
        <w:autoSpaceDN w:val="0"/>
        <w:adjustRightInd w:val="0"/>
        <w:spacing w:after="0" w:line="276" w:lineRule="auto"/>
        <w:jc w:val="both"/>
        <w:rPr>
          <w:bCs/>
          <w:sz w:val="24"/>
          <w:szCs w:val="24"/>
        </w:rPr>
      </w:pPr>
      <w:r w:rsidRPr="00A45B83">
        <w:rPr>
          <w:bCs/>
          <w:sz w:val="24"/>
          <w:szCs w:val="24"/>
        </w:rPr>
        <w:t>No</w:t>
      </w:r>
      <w:r w:rsidR="002B18AA">
        <w:rPr>
          <w:bCs/>
          <w:sz w:val="24"/>
          <w:szCs w:val="24"/>
        </w:rPr>
        <w:t xml:space="preserve"> underlying</w:t>
      </w:r>
      <w:r w:rsidRPr="00A45B83">
        <w:rPr>
          <w:bCs/>
          <w:sz w:val="24"/>
          <w:szCs w:val="24"/>
        </w:rPr>
        <w:t xml:space="preserve"> data are associated with this article</w:t>
      </w:r>
    </w:p>
    <w:p w14:paraId="323A4A11" w14:textId="77777777" w:rsidR="00A45B83" w:rsidRDefault="00A45B83" w:rsidP="00A45B83">
      <w:pPr>
        <w:autoSpaceDE w:val="0"/>
        <w:autoSpaceDN w:val="0"/>
        <w:adjustRightInd w:val="0"/>
        <w:spacing w:after="0" w:line="276" w:lineRule="auto"/>
        <w:jc w:val="both"/>
        <w:rPr>
          <w:bCs/>
          <w:sz w:val="24"/>
          <w:szCs w:val="24"/>
        </w:rPr>
      </w:pPr>
      <w:bookmarkStart w:id="18" w:name="d8676e1084"/>
      <w:bookmarkEnd w:id="18"/>
    </w:p>
    <w:p w14:paraId="37C86836" w14:textId="63042CDF" w:rsidR="00A45B83" w:rsidRPr="00463954" w:rsidRDefault="00A45B83" w:rsidP="00A45B83">
      <w:pPr>
        <w:autoSpaceDE w:val="0"/>
        <w:autoSpaceDN w:val="0"/>
        <w:adjustRightInd w:val="0"/>
        <w:spacing w:after="0" w:line="276" w:lineRule="auto"/>
        <w:jc w:val="both"/>
        <w:rPr>
          <w:bCs/>
          <w:i/>
          <w:iCs/>
          <w:sz w:val="24"/>
          <w:szCs w:val="24"/>
        </w:rPr>
      </w:pPr>
      <w:r w:rsidRPr="00463954">
        <w:rPr>
          <w:bCs/>
          <w:i/>
          <w:iCs/>
          <w:sz w:val="24"/>
          <w:szCs w:val="24"/>
        </w:rPr>
        <w:t>Extended data</w:t>
      </w:r>
    </w:p>
    <w:p w14:paraId="67ED4A96" w14:textId="77777777" w:rsidR="00A45B83" w:rsidRDefault="00A45B83" w:rsidP="00A45B83">
      <w:pPr>
        <w:autoSpaceDE w:val="0"/>
        <w:autoSpaceDN w:val="0"/>
        <w:adjustRightInd w:val="0"/>
        <w:spacing w:after="0" w:line="276" w:lineRule="auto"/>
        <w:jc w:val="both"/>
        <w:rPr>
          <w:bCs/>
          <w:sz w:val="24"/>
          <w:szCs w:val="24"/>
        </w:rPr>
      </w:pPr>
    </w:p>
    <w:p w14:paraId="1E52B87C" w14:textId="5F8ADE81" w:rsidR="00A45B83" w:rsidRPr="00A45B83" w:rsidRDefault="00A45B83" w:rsidP="00A45B83">
      <w:pPr>
        <w:autoSpaceDE w:val="0"/>
        <w:autoSpaceDN w:val="0"/>
        <w:adjustRightInd w:val="0"/>
        <w:spacing w:after="0" w:line="276" w:lineRule="auto"/>
        <w:jc w:val="both"/>
        <w:rPr>
          <w:bCs/>
          <w:sz w:val="24"/>
          <w:szCs w:val="24"/>
        </w:rPr>
      </w:pPr>
      <w:r w:rsidRPr="00A45B83">
        <w:rPr>
          <w:bCs/>
          <w:sz w:val="24"/>
          <w:szCs w:val="24"/>
        </w:rPr>
        <w:t xml:space="preserve">Open Science Framework: </w:t>
      </w:r>
      <w:r w:rsidR="00DE47F2" w:rsidRPr="00DE47F2">
        <w:rPr>
          <w:bCs/>
          <w:sz w:val="24"/>
          <w:szCs w:val="24"/>
        </w:rPr>
        <w:t>Addressing the Social Determinants and Consequences of Tuberculosis in Nepal (ASCOT): a pilot trial</w:t>
      </w:r>
      <w:r w:rsidRPr="00A45B83">
        <w:rPr>
          <w:bCs/>
          <w:sz w:val="24"/>
          <w:szCs w:val="24"/>
        </w:rPr>
        <w:t>. </w:t>
      </w:r>
      <w:r w:rsidR="00D94BF1" w:rsidRPr="00D94BF1">
        <w:rPr>
          <w:bCs/>
          <w:sz w:val="24"/>
          <w:szCs w:val="24"/>
        </w:rPr>
        <w:t>10.17605/OSF.IO/5Z4FY</w:t>
      </w:r>
      <w:r w:rsidR="003234B3">
        <w:rPr>
          <w:bCs/>
          <w:sz w:val="24"/>
          <w:szCs w:val="24"/>
        </w:rPr>
        <w:t xml:space="preserve"> (55)</w:t>
      </w:r>
    </w:p>
    <w:p w14:paraId="5ABF7785" w14:textId="77777777" w:rsidR="00DE47F2" w:rsidRDefault="00DE47F2" w:rsidP="00A45B83">
      <w:pPr>
        <w:autoSpaceDE w:val="0"/>
        <w:autoSpaceDN w:val="0"/>
        <w:adjustRightInd w:val="0"/>
        <w:spacing w:after="0" w:line="276" w:lineRule="auto"/>
        <w:jc w:val="both"/>
        <w:rPr>
          <w:bCs/>
          <w:sz w:val="24"/>
          <w:szCs w:val="24"/>
        </w:rPr>
      </w:pPr>
    </w:p>
    <w:p w14:paraId="667C30DB" w14:textId="70D94881" w:rsidR="00A45B83" w:rsidRPr="00A45B83" w:rsidRDefault="00A45B83" w:rsidP="00A45B83">
      <w:pPr>
        <w:autoSpaceDE w:val="0"/>
        <w:autoSpaceDN w:val="0"/>
        <w:adjustRightInd w:val="0"/>
        <w:spacing w:after="0" w:line="276" w:lineRule="auto"/>
        <w:jc w:val="both"/>
        <w:rPr>
          <w:bCs/>
          <w:sz w:val="24"/>
          <w:szCs w:val="24"/>
        </w:rPr>
      </w:pPr>
      <w:r w:rsidRPr="00A45B83">
        <w:rPr>
          <w:bCs/>
          <w:sz w:val="24"/>
          <w:szCs w:val="24"/>
        </w:rPr>
        <w:t>This project contains the following extended data:</w:t>
      </w:r>
    </w:p>
    <w:p w14:paraId="5FDED26A"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bookmarkStart w:id="19" w:name="d8676e1099"/>
      <w:bookmarkEnd w:id="19"/>
      <w:r w:rsidRPr="005E38DF">
        <w:rPr>
          <w:bCs/>
          <w:sz w:val="24"/>
          <w:szCs w:val="24"/>
        </w:rPr>
        <w:t>ASCOT CONSENT FORM FOR PARTICIPATION IN SURVEY AND PILOT TRIAL V5.2_27-01-2022_English.pdf</w:t>
      </w:r>
    </w:p>
    <w:p w14:paraId="4908B0D6"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 xml:space="preserve">ASCOT household contact </w:t>
      </w:r>
      <w:proofErr w:type="spellStart"/>
      <w:r w:rsidRPr="005E38DF">
        <w:rPr>
          <w:bCs/>
          <w:sz w:val="24"/>
          <w:szCs w:val="24"/>
        </w:rPr>
        <w:t>consentform</w:t>
      </w:r>
      <w:proofErr w:type="spellEnd"/>
      <w:r w:rsidRPr="005E38DF">
        <w:rPr>
          <w:bCs/>
          <w:sz w:val="24"/>
          <w:szCs w:val="24"/>
        </w:rPr>
        <w:t xml:space="preserve"> V5_27-01-2022_English.pdf</w:t>
      </w:r>
    </w:p>
    <w:p w14:paraId="6D74E04D"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 xml:space="preserve">ASCOT KII and Workshop </w:t>
      </w:r>
      <w:proofErr w:type="spellStart"/>
      <w:r w:rsidRPr="005E38DF">
        <w:rPr>
          <w:bCs/>
          <w:sz w:val="24"/>
          <w:szCs w:val="24"/>
        </w:rPr>
        <w:t>ConsentForm</w:t>
      </w:r>
      <w:proofErr w:type="spellEnd"/>
      <w:r w:rsidRPr="005E38DF">
        <w:rPr>
          <w:bCs/>
          <w:sz w:val="24"/>
          <w:szCs w:val="24"/>
        </w:rPr>
        <w:t xml:space="preserve"> v4.1 27-Jan-2022_English.pdf</w:t>
      </w:r>
    </w:p>
    <w:p w14:paraId="14ECC611"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lastRenderedPageBreak/>
        <w:t>ASCOT FGD and workshop consentform-v4.1-27-Jan-2022-English.pdf</w:t>
      </w:r>
    </w:p>
    <w:p w14:paraId="4B5BFF19"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 xml:space="preserve">ASCOT FGD and </w:t>
      </w:r>
      <w:proofErr w:type="spellStart"/>
      <w:r w:rsidRPr="005E38DF">
        <w:rPr>
          <w:bCs/>
          <w:sz w:val="24"/>
          <w:szCs w:val="24"/>
        </w:rPr>
        <w:t>workshopparticipant</w:t>
      </w:r>
      <w:proofErr w:type="spellEnd"/>
      <w:r w:rsidRPr="005E38DF">
        <w:rPr>
          <w:bCs/>
          <w:sz w:val="24"/>
          <w:szCs w:val="24"/>
        </w:rPr>
        <w:t xml:space="preserve"> information sheet V4.1-27-01-2022.pdf</w:t>
      </w:r>
    </w:p>
    <w:p w14:paraId="38B03BFE"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 xml:space="preserve">ASCOT KII and </w:t>
      </w:r>
      <w:proofErr w:type="spellStart"/>
      <w:r w:rsidRPr="005E38DF">
        <w:rPr>
          <w:bCs/>
          <w:sz w:val="24"/>
          <w:szCs w:val="24"/>
        </w:rPr>
        <w:t>workshopparticipant</w:t>
      </w:r>
      <w:proofErr w:type="spellEnd"/>
      <w:r w:rsidRPr="005E38DF">
        <w:rPr>
          <w:bCs/>
          <w:sz w:val="24"/>
          <w:szCs w:val="24"/>
        </w:rPr>
        <w:t xml:space="preserve"> information sheet-V4.1-27-01-2022 English.pdf</w:t>
      </w:r>
    </w:p>
    <w:p w14:paraId="43DB05EC"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ASCOT survey and pilot trial participant information sheet-V5-27-01-2022.pdf</w:t>
      </w:r>
    </w:p>
    <w:p w14:paraId="6AE3895A"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Household contact pilot trial participant information Sheet v4.1 27 Jan 2022.pdf</w:t>
      </w:r>
    </w:p>
    <w:p w14:paraId="795341E8"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 xml:space="preserve">ASCOT Tuberculosis </w:t>
      </w:r>
      <w:proofErr w:type="spellStart"/>
      <w:r w:rsidRPr="005E38DF">
        <w:rPr>
          <w:bCs/>
          <w:sz w:val="24"/>
          <w:szCs w:val="24"/>
        </w:rPr>
        <w:t>InformationLeaflet</w:t>
      </w:r>
      <w:proofErr w:type="spellEnd"/>
      <w:r w:rsidRPr="005E38DF">
        <w:rPr>
          <w:bCs/>
          <w:sz w:val="24"/>
          <w:szCs w:val="24"/>
        </w:rPr>
        <w:t xml:space="preserve"> v3-27-01-2022_TW.pdf</w:t>
      </w:r>
    </w:p>
    <w:p w14:paraId="37DBEAA0"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JGHT ASCOT Survey v5.1 27-01-2022.pdf</w:t>
      </w:r>
    </w:p>
    <w:p w14:paraId="0282778F"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ASCOT FGD and KII TopicGuides_v4.0 27012022-PR_BR_KD_TW_Clean.pdf</w:t>
      </w:r>
    </w:p>
    <w:p w14:paraId="2C0338B0" w14:textId="77777777" w:rsidR="005E38DF" w:rsidRP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ASCOT Protocol v4.3 27012022 TW.pdf</w:t>
      </w:r>
    </w:p>
    <w:p w14:paraId="7CDCE938" w14:textId="77777777" w:rsidR="005E38DF" w:rsidRDefault="005E38DF" w:rsidP="005E38DF">
      <w:pPr>
        <w:pStyle w:val="ListParagraph"/>
        <w:numPr>
          <w:ilvl w:val="0"/>
          <w:numId w:val="45"/>
        </w:numPr>
        <w:autoSpaceDE w:val="0"/>
        <w:autoSpaceDN w:val="0"/>
        <w:adjustRightInd w:val="0"/>
        <w:spacing w:after="0" w:line="276" w:lineRule="auto"/>
        <w:jc w:val="both"/>
        <w:rPr>
          <w:bCs/>
          <w:sz w:val="24"/>
          <w:szCs w:val="24"/>
        </w:rPr>
      </w:pPr>
      <w:r w:rsidRPr="005E38DF">
        <w:rPr>
          <w:bCs/>
          <w:sz w:val="24"/>
          <w:szCs w:val="24"/>
        </w:rPr>
        <w:t>ASCOT SOP v11.3 27012022 TW.pdf</w:t>
      </w:r>
    </w:p>
    <w:p w14:paraId="59F0B63A" w14:textId="6D86F345" w:rsidR="00D76D73" w:rsidRPr="00D76D73" w:rsidRDefault="00D76D73" w:rsidP="00D76D73">
      <w:pPr>
        <w:pStyle w:val="ListParagraph"/>
        <w:numPr>
          <w:ilvl w:val="0"/>
          <w:numId w:val="45"/>
        </w:numPr>
        <w:rPr>
          <w:bCs/>
          <w:sz w:val="24"/>
          <w:szCs w:val="24"/>
        </w:rPr>
      </w:pPr>
      <w:r w:rsidRPr="00D76D73">
        <w:rPr>
          <w:bCs/>
          <w:sz w:val="24"/>
          <w:szCs w:val="24"/>
        </w:rPr>
        <w:t>Nepali_version_Final-v5.231_Jan_2022_Patient cost instrument_(Nepal)_ASCOT project-revised.pdf</w:t>
      </w:r>
    </w:p>
    <w:p w14:paraId="1D694F7A" w14:textId="77777777" w:rsidR="00DE47F2" w:rsidRDefault="00DE47F2" w:rsidP="00D76D73">
      <w:pPr>
        <w:pStyle w:val="ListParagraph"/>
        <w:rPr>
          <w:bCs/>
          <w:sz w:val="24"/>
          <w:szCs w:val="24"/>
        </w:rPr>
      </w:pPr>
    </w:p>
    <w:p w14:paraId="70B4CE98" w14:textId="10DA2FD2" w:rsidR="00A45B83" w:rsidRPr="00A45B83" w:rsidRDefault="00A45B83" w:rsidP="00A45B83">
      <w:pPr>
        <w:autoSpaceDE w:val="0"/>
        <w:autoSpaceDN w:val="0"/>
        <w:adjustRightInd w:val="0"/>
        <w:spacing w:after="0" w:line="276" w:lineRule="auto"/>
        <w:jc w:val="both"/>
        <w:rPr>
          <w:bCs/>
          <w:sz w:val="24"/>
          <w:szCs w:val="24"/>
        </w:rPr>
      </w:pPr>
      <w:r w:rsidRPr="00A45B83">
        <w:rPr>
          <w:bCs/>
          <w:sz w:val="24"/>
          <w:szCs w:val="24"/>
        </w:rPr>
        <w:t>Data are available under the terms of the </w:t>
      </w:r>
      <w:hyperlink r:id="rId24" w:tgtFrame="xrefwindow" w:history="1">
        <w:r w:rsidRPr="00A45B83">
          <w:rPr>
            <w:rStyle w:val="Hyperlink"/>
            <w:bCs/>
            <w:sz w:val="24"/>
            <w:szCs w:val="24"/>
          </w:rPr>
          <w:t>Creative Commons Zero "No rights reserved" data waiver</w:t>
        </w:r>
      </w:hyperlink>
      <w:r w:rsidRPr="00A45B83">
        <w:rPr>
          <w:bCs/>
          <w:sz w:val="24"/>
          <w:szCs w:val="24"/>
        </w:rPr>
        <w:t> (CC0 1.0 Public domain dedication).</w:t>
      </w:r>
    </w:p>
    <w:p w14:paraId="4F9D458D" w14:textId="77777777" w:rsidR="00A15289" w:rsidRDefault="00A15289" w:rsidP="00657D0D">
      <w:pPr>
        <w:autoSpaceDE w:val="0"/>
        <w:autoSpaceDN w:val="0"/>
        <w:adjustRightInd w:val="0"/>
        <w:spacing w:after="0" w:line="276" w:lineRule="auto"/>
        <w:jc w:val="both"/>
        <w:rPr>
          <w:bCs/>
          <w:sz w:val="24"/>
          <w:szCs w:val="24"/>
        </w:rPr>
      </w:pPr>
    </w:p>
    <w:p w14:paraId="71B53DBA" w14:textId="01EDD86D" w:rsidR="00BF1CDE" w:rsidRPr="00463954" w:rsidRDefault="00BF1CDE" w:rsidP="00657D0D">
      <w:pPr>
        <w:autoSpaceDE w:val="0"/>
        <w:autoSpaceDN w:val="0"/>
        <w:adjustRightInd w:val="0"/>
        <w:spacing w:after="0" w:line="276" w:lineRule="auto"/>
        <w:jc w:val="both"/>
        <w:rPr>
          <w:b/>
          <w:sz w:val="24"/>
          <w:szCs w:val="24"/>
        </w:rPr>
      </w:pPr>
      <w:r>
        <w:rPr>
          <w:b/>
          <w:sz w:val="24"/>
          <w:szCs w:val="24"/>
        </w:rPr>
        <w:t>Reporting guidelines</w:t>
      </w:r>
    </w:p>
    <w:p w14:paraId="212D9C9C" w14:textId="2CDD4E5E" w:rsidR="00396FF8" w:rsidRDefault="00396FF8" w:rsidP="00396FF8">
      <w:pPr>
        <w:rPr>
          <w:bCs/>
          <w:sz w:val="24"/>
          <w:szCs w:val="24"/>
        </w:rPr>
      </w:pPr>
    </w:p>
    <w:p w14:paraId="41143B33" w14:textId="32D005C2" w:rsidR="00396FF8" w:rsidRDefault="00396FF8" w:rsidP="00396FF8">
      <w:pPr>
        <w:rPr>
          <w:bCs/>
          <w:sz w:val="24"/>
          <w:szCs w:val="24"/>
        </w:rPr>
      </w:pPr>
      <w:r>
        <w:rPr>
          <w:bCs/>
          <w:sz w:val="24"/>
          <w:szCs w:val="24"/>
        </w:rPr>
        <w:t xml:space="preserve">The reporting of this ASCOT trial protocol adhered to the </w:t>
      </w:r>
      <w:hyperlink r:id="rId25" w:history="1">
        <w:r w:rsidRPr="00396FF8">
          <w:rPr>
            <w:rStyle w:val="Hyperlink"/>
            <w:bCs/>
            <w:sz w:val="24"/>
            <w:szCs w:val="24"/>
          </w:rPr>
          <w:t>SPIRIT checklist</w:t>
        </w:r>
      </w:hyperlink>
      <w:r>
        <w:rPr>
          <w:bCs/>
          <w:sz w:val="24"/>
          <w:szCs w:val="24"/>
        </w:rPr>
        <w:t xml:space="preserve">. The completed checklist can be found with other open access ASCOT trial documents at the Open Science Framework </w:t>
      </w:r>
      <w:r w:rsidRPr="00D94BF1">
        <w:rPr>
          <w:bCs/>
          <w:sz w:val="24"/>
          <w:szCs w:val="24"/>
        </w:rPr>
        <w:t>10.17605/OSF.IO/5Z4FY</w:t>
      </w:r>
      <w:r>
        <w:rPr>
          <w:bCs/>
          <w:sz w:val="24"/>
          <w:szCs w:val="24"/>
        </w:rPr>
        <w:t xml:space="preserve"> (55)</w:t>
      </w:r>
    </w:p>
    <w:p w14:paraId="5C75FBC1" w14:textId="4744D530" w:rsidR="00396FF8" w:rsidRPr="00396FF8" w:rsidRDefault="00396FF8" w:rsidP="00B7512F">
      <w:pPr>
        <w:autoSpaceDE w:val="0"/>
        <w:autoSpaceDN w:val="0"/>
        <w:adjustRightInd w:val="0"/>
        <w:spacing w:after="0" w:line="276" w:lineRule="auto"/>
        <w:jc w:val="both"/>
        <w:rPr>
          <w:sz w:val="24"/>
          <w:szCs w:val="24"/>
        </w:rPr>
      </w:pPr>
    </w:p>
    <w:p w14:paraId="35FC5238" w14:textId="7D2A57C4" w:rsidR="00657D0D" w:rsidRDefault="00AD06F5" w:rsidP="00B7512F">
      <w:pPr>
        <w:autoSpaceDE w:val="0"/>
        <w:autoSpaceDN w:val="0"/>
        <w:adjustRightInd w:val="0"/>
        <w:spacing w:after="0" w:line="276" w:lineRule="auto"/>
        <w:jc w:val="both"/>
        <w:rPr>
          <w:b/>
          <w:bCs/>
          <w:sz w:val="24"/>
          <w:szCs w:val="24"/>
        </w:rPr>
      </w:pPr>
      <w:r>
        <w:rPr>
          <w:b/>
          <w:bCs/>
          <w:sz w:val="24"/>
          <w:szCs w:val="24"/>
        </w:rPr>
        <w:t>Grant information</w:t>
      </w:r>
    </w:p>
    <w:p w14:paraId="07361EB7" w14:textId="7179BFC9" w:rsidR="00AD06F5" w:rsidRDefault="00AD06F5" w:rsidP="00B7512F">
      <w:pPr>
        <w:autoSpaceDE w:val="0"/>
        <w:autoSpaceDN w:val="0"/>
        <w:adjustRightInd w:val="0"/>
        <w:spacing w:after="0" w:line="276" w:lineRule="auto"/>
        <w:jc w:val="both"/>
        <w:rPr>
          <w:b/>
          <w:bCs/>
          <w:sz w:val="24"/>
          <w:szCs w:val="24"/>
        </w:rPr>
      </w:pPr>
    </w:p>
    <w:p w14:paraId="66BF79D4" w14:textId="7DA714D8" w:rsidR="00396FF8" w:rsidRPr="00B51BA5" w:rsidRDefault="00B51BA5" w:rsidP="00B7512F">
      <w:pPr>
        <w:autoSpaceDE w:val="0"/>
        <w:autoSpaceDN w:val="0"/>
        <w:adjustRightInd w:val="0"/>
        <w:spacing w:after="0" w:line="276" w:lineRule="auto"/>
        <w:jc w:val="both"/>
        <w:rPr>
          <w:sz w:val="24"/>
          <w:szCs w:val="24"/>
        </w:rPr>
      </w:pPr>
      <w:r w:rsidRPr="00B51BA5">
        <w:rPr>
          <w:sz w:val="24"/>
          <w:szCs w:val="24"/>
        </w:rPr>
        <w:t xml:space="preserve">The ASCOT pilot trial and related research is supported by grants from the </w:t>
      </w:r>
      <w:proofErr w:type="spellStart"/>
      <w:r w:rsidRPr="00B51BA5">
        <w:rPr>
          <w:sz w:val="24"/>
          <w:szCs w:val="24"/>
        </w:rPr>
        <w:t>Wellcome</w:t>
      </w:r>
      <w:proofErr w:type="spellEnd"/>
      <w:r w:rsidRPr="00B51BA5">
        <w:rPr>
          <w:sz w:val="24"/>
          <w:szCs w:val="24"/>
        </w:rPr>
        <w:t xml:space="preserve"> Trust, UK (209075/Z/17/Z) and the Medical Research Council, Department for International Development, and </w:t>
      </w:r>
      <w:proofErr w:type="spellStart"/>
      <w:r w:rsidRPr="00B51BA5">
        <w:rPr>
          <w:sz w:val="24"/>
          <w:szCs w:val="24"/>
        </w:rPr>
        <w:t>Wellcome</w:t>
      </w:r>
      <w:proofErr w:type="spellEnd"/>
      <w:r w:rsidRPr="00B51BA5">
        <w:rPr>
          <w:sz w:val="24"/>
          <w:szCs w:val="24"/>
        </w:rPr>
        <w:t xml:space="preserve"> Trust (Joint Global Health Trials, MR/V004832/1).</w:t>
      </w:r>
    </w:p>
    <w:p w14:paraId="374EA100" w14:textId="77777777" w:rsidR="00B51BA5" w:rsidRDefault="00B51BA5" w:rsidP="00B7512F">
      <w:pPr>
        <w:autoSpaceDE w:val="0"/>
        <w:autoSpaceDN w:val="0"/>
        <w:adjustRightInd w:val="0"/>
        <w:spacing w:after="0" w:line="276" w:lineRule="auto"/>
        <w:jc w:val="both"/>
        <w:rPr>
          <w:b/>
          <w:bCs/>
          <w:sz w:val="24"/>
          <w:szCs w:val="24"/>
        </w:rPr>
      </w:pPr>
    </w:p>
    <w:p w14:paraId="6E894816" w14:textId="2421949A" w:rsidR="00AD06F5" w:rsidRPr="00463954" w:rsidRDefault="00AD06F5" w:rsidP="00B7512F">
      <w:pPr>
        <w:autoSpaceDE w:val="0"/>
        <w:autoSpaceDN w:val="0"/>
        <w:adjustRightInd w:val="0"/>
        <w:spacing w:after="0" w:line="276" w:lineRule="auto"/>
        <w:jc w:val="both"/>
        <w:rPr>
          <w:b/>
          <w:bCs/>
          <w:sz w:val="24"/>
          <w:szCs w:val="24"/>
        </w:rPr>
      </w:pPr>
      <w:r>
        <w:rPr>
          <w:b/>
          <w:bCs/>
          <w:sz w:val="24"/>
          <w:szCs w:val="24"/>
        </w:rPr>
        <w:t>Competing interests</w:t>
      </w:r>
    </w:p>
    <w:p w14:paraId="1C2027C2" w14:textId="77777777" w:rsidR="00B51BA5" w:rsidRDefault="00B51BA5" w:rsidP="0082274E">
      <w:pPr>
        <w:rPr>
          <w:color w:val="000000" w:themeColor="text1"/>
        </w:rPr>
      </w:pPr>
    </w:p>
    <w:p w14:paraId="183B5E85" w14:textId="19987363" w:rsidR="005E4C15" w:rsidRPr="00B51BA5" w:rsidRDefault="00B51BA5" w:rsidP="0082274E">
      <w:pPr>
        <w:rPr>
          <w:color w:val="FFFFFF" w:themeColor="background1"/>
          <w:sz w:val="24"/>
          <w:szCs w:val="24"/>
        </w:rPr>
      </w:pPr>
      <w:r w:rsidRPr="00B51BA5">
        <w:rPr>
          <w:color w:val="000000" w:themeColor="text1"/>
          <w:sz w:val="24"/>
          <w:szCs w:val="24"/>
        </w:rPr>
        <w:t>The authors declare no competing interests.</w:t>
      </w:r>
      <w:r w:rsidR="00AB338A" w:rsidRPr="00B51BA5">
        <w:rPr>
          <w:color w:val="FFFFFF" w:themeColor="background1"/>
          <w:sz w:val="24"/>
          <w:szCs w:val="24"/>
        </w:rPr>
        <w:br w:type="page"/>
      </w:r>
    </w:p>
    <w:p w14:paraId="3DCD1882" w14:textId="08B675FB" w:rsidR="0082274E" w:rsidRPr="0082274E" w:rsidRDefault="0082274E" w:rsidP="0082274E">
      <w:pPr>
        <w:rPr>
          <w:rFonts w:eastAsiaTheme="majorEastAsia" w:cstheme="majorBidi"/>
          <w:b/>
          <w:bCs/>
          <w:color w:val="000000" w:themeColor="text1"/>
          <w:sz w:val="24"/>
          <w:szCs w:val="24"/>
        </w:rPr>
      </w:pPr>
      <w:r w:rsidRPr="0082274E">
        <w:rPr>
          <w:b/>
          <w:bCs/>
          <w:color w:val="000000" w:themeColor="text1"/>
          <w:sz w:val="24"/>
          <w:szCs w:val="24"/>
        </w:rPr>
        <w:lastRenderedPageBreak/>
        <w:t>References</w:t>
      </w:r>
    </w:p>
    <w:p w14:paraId="1FCE6E13" w14:textId="2A46CEB8" w:rsidR="00D71438" w:rsidRDefault="00D71438" w:rsidP="00657D0D">
      <w:pPr>
        <w:pStyle w:val="ListParagraph"/>
        <w:spacing w:after="0" w:line="240" w:lineRule="auto"/>
        <w:ind w:left="0"/>
        <w:rPr>
          <w:i/>
          <w:sz w:val="24"/>
          <w:szCs w:val="24"/>
        </w:rPr>
      </w:pPr>
    </w:p>
    <w:p w14:paraId="7152BC74" w14:textId="78E3DEDE" w:rsidR="000855E1" w:rsidRPr="000855E1" w:rsidRDefault="00223855" w:rsidP="000855E1">
      <w:pPr>
        <w:widowControl w:val="0"/>
        <w:autoSpaceDE w:val="0"/>
        <w:autoSpaceDN w:val="0"/>
        <w:adjustRightInd w:val="0"/>
        <w:spacing w:after="0" w:line="240" w:lineRule="auto"/>
        <w:ind w:left="640" w:hanging="640"/>
        <w:rPr>
          <w:rFonts w:ascii="Calibri" w:hAnsi="Calibri" w:cs="Calibri"/>
          <w:noProof/>
          <w:sz w:val="24"/>
          <w:szCs w:val="24"/>
        </w:rPr>
      </w:pPr>
      <w:r w:rsidRPr="00223855">
        <w:rPr>
          <w:rFonts w:cstheme="minorHAnsi"/>
          <w:sz w:val="24"/>
          <w:szCs w:val="24"/>
        </w:rPr>
        <w:fldChar w:fldCharType="begin" w:fldLock="1"/>
      </w:r>
      <w:r w:rsidRPr="00223855">
        <w:rPr>
          <w:rFonts w:cstheme="minorHAnsi"/>
          <w:sz w:val="24"/>
          <w:szCs w:val="24"/>
        </w:rPr>
        <w:instrText xml:space="preserve">ADDIN Mendeley Bibliography CSL_BIBLIOGRAPHY </w:instrText>
      </w:r>
      <w:r w:rsidRPr="00223855">
        <w:rPr>
          <w:rFonts w:cstheme="minorHAnsi"/>
          <w:sz w:val="24"/>
          <w:szCs w:val="24"/>
        </w:rPr>
        <w:fldChar w:fldCharType="separate"/>
      </w:r>
      <w:r w:rsidR="000855E1" w:rsidRPr="000855E1">
        <w:rPr>
          <w:rFonts w:ascii="Calibri" w:hAnsi="Calibri" w:cs="Calibri"/>
          <w:noProof/>
          <w:sz w:val="24"/>
          <w:szCs w:val="24"/>
        </w:rPr>
        <w:t>1.</w:t>
      </w:r>
      <w:r w:rsidR="000855E1" w:rsidRPr="000855E1">
        <w:rPr>
          <w:rFonts w:ascii="Calibri" w:hAnsi="Calibri" w:cs="Calibri"/>
          <w:noProof/>
          <w:sz w:val="24"/>
          <w:szCs w:val="24"/>
        </w:rPr>
        <w:tab/>
        <w:t xml:space="preserve">World Health Organization (WHO). </w:t>
      </w:r>
      <w:r w:rsidR="000855E1" w:rsidRPr="000855E1">
        <w:rPr>
          <w:rFonts w:ascii="Calibri" w:hAnsi="Calibri" w:cs="Calibri"/>
          <w:i/>
          <w:iCs/>
          <w:noProof/>
          <w:sz w:val="24"/>
          <w:szCs w:val="24"/>
        </w:rPr>
        <w:t>Global Tuberculosis Report 2020</w:t>
      </w:r>
      <w:r w:rsidR="000855E1" w:rsidRPr="000855E1">
        <w:rPr>
          <w:rFonts w:ascii="Calibri" w:hAnsi="Calibri" w:cs="Calibri"/>
          <w:noProof/>
          <w:sz w:val="24"/>
          <w:szCs w:val="24"/>
        </w:rPr>
        <w:t>. (2020).</w:t>
      </w:r>
    </w:p>
    <w:p w14:paraId="0E14A581"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Beyond pills and tests: addressing the social determinants of tuberculosis. </w:t>
      </w:r>
      <w:r w:rsidRPr="000855E1">
        <w:rPr>
          <w:rFonts w:ascii="Calibri" w:hAnsi="Calibri" w:cs="Calibri"/>
          <w:i/>
          <w:iCs/>
          <w:noProof/>
          <w:sz w:val="24"/>
          <w:szCs w:val="24"/>
        </w:rPr>
        <w:t>Clin. Med.</w:t>
      </w:r>
      <w:r w:rsidRPr="000855E1">
        <w:rPr>
          <w:rFonts w:ascii="Calibri" w:hAnsi="Calibri" w:cs="Calibri"/>
          <w:noProof/>
          <w:sz w:val="24"/>
          <w:szCs w:val="24"/>
        </w:rPr>
        <w:t xml:space="preserve"> </w:t>
      </w:r>
      <w:r w:rsidRPr="000855E1">
        <w:rPr>
          <w:rFonts w:ascii="Calibri" w:hAnsi="Calibri" w:cs="Calibri"/>
          <w:b/>
          <w:bCs/>
          <w:noProof/>
          <w:sz w:val="24"/>
          <w:szCs w:val="24"/>
        </w:rPr>
        <w:t>16</w:t>
      </w:r>
      <w:r w:rsidRPr="000855E1">
        <w:rPr>
          <w:rFonts w:ascii="Calibri" w:hAnsi="Calibri" w:cs="Calibri"/>
          <w:noProof/>
          <w:sz w:val="24"/>
          <w:szCs w:val="24"/>
        </w:rPr>
        <w:t>, s79–s91 (2016).</w:t>
      </w:r>
    </w:p>
    <w:p w14:paraId="491E06F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w:t>
      </w:r>
      <w:r w:rsidRPr="000855E1">
        <w:rPr>
          <w:rFonts w:ascii="Calibri" w:hAnsi="Calibri" w:cs="Calibri"/>
          <w:noProof/>
          <w:sz w:val="24"/>
          <w:szCs w:val="24"/>
        </w:rPr>
        <w:tab/>
        <w:t xml:space="preserve">Wingfield, T., Tovar, M. A., Datta, S., Saunders, M. J. &amp; Evans, C. A. Addressing social determinants to end tuberculosis. </w:t>
      </w:r>
      <w:r w:rsidRPr="000855E1">
        <w:rPr>
          <w:rFonts w:ascii="Calibri" w:hAnsi="Calibri" w:cs="Calibri"/>
          <w:i/>
          <w:iCs/>
          <w:noProof/>
          <w:sz w:val="24"/>
          <w:szCs w:val="24"/>
        </w:rPr>
        <w:t>Lancet</w:t>
      </w:r>
      <w:r w:rsidRPr="000855E1">
        <w:rPr>
          <w:rFonts w:ascii="Calibri" w:hAnsi="Calibri" w:cs="Calibri"/>
          <w:noProof/>
          <w:sz w:val="24"/>
          <w:szCs w:val="24"/>
        </w:rPr>
        <w:t xml:space="preserve"> </w:t>
      </w:r>
      <w:r w:rsidRPr="000855E1">
        <w:rPr>
          <w:rFonts w:ascii="Calibri" w:hAnsi="Calibri" w:cs="Calibri"/>
          <w:b/>
          <w:bCs/>
          <w:noProof/>
          <w:sz w:val="24"/>
          <w:szCs w:val="24"/>
        </w:rPr>
        <w:t>391</w:t>
      </w:r>
      <w:r w:rsidRPr="000855E1">
        <w:rPr>
          <w:rFonts w:ascii="Calibri" w:hAnsi="Calibri" w:cs="Calibri"/>
          <w:noProof/>
          <w:sz w:val="24"/>
          <w:szCs w:val="24"/>
        </w:rPr>
        <w:t>, 1129–1132 (2018).</w:t>
      </w:r>
    </w:p>
    <w:p w14:paraId="1FFE78BE"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w:t>
      </w:r>
      <w:r w:rsidRPr="000855E1">
        <w:rPr>
          <w:rFonts w:ascii="Calibri" w:hAnsi="Calibri" w:cs="Calibri"/>
          <w:noProof/>
          <w:sz w:val="24"/>
          <w:szCs w:val="24"/>
        </w:rPr>
        <w:tab/>
        <w:t xml:space="preserve">World Health Organization (WHO). </w:t>
      </w:r>
      <w:r w:rsidRPr="000855E1">
        <w:rPr>
          <w:rFonts w:ascii="Calibri" w:hAnsi="Calibri" w:cs="Calibri"/>
          <w:i/>
          <w:iCs/>
          <w:noProof/>
          <w:sz w:val="24"/>
          <w:szCs w:val="24"/>
        </w:rPr>
        <w:t>The End TB Strategy, World Health Organisation, Geneva</w:t>
      </w:r>
      <w:r w:rsidRPr="000855E1">
        <w:rPr>
          <w:rFonts w:ascii="Calibri" w:hAnsi="Calibri" w:cs="Calibri"/>
          <w:noProof/>
          <w:sz w:val="24"/>
          <w:szCs w:val="24"/>
        </w:rPr>
        <w:t>. (2015).</w:t>
      </w:r>
    </w:p>
    <w:p w14:paraId="006AD54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5.</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Defining Catastrophic Costs and Comparing Their Importance for Adverse Tuberculosis Outcome with Multi-Drug Resistance: A Prospective Cohort Study, Peru. </w:t>
      </w:r>
      <w:r w:rsidRPr="000855E1">
        <w:rPr>
          <w:rFonts w:ascii="Calibri" w:hAnsi="Calibri" w:cs="Calibri"/>
          <w:i/>
          <w:iCs/>
          <w:noProof/>
          <w:sz w:val="24"/>
          <w:szCs w:val="24"/>
        </w:rPr>
        <w:t>PLoS Med.</w:t>
      </w:r>
      <w:r w:rsidRPr="000855E1">
        <w:rPr>
          <w:rFonts w:ascii="Calibri" w:hAnsi="Calibri" w:cs="Calibri"/>
          <w:noProof/>
          <w:sz w:val="24"/>
          <w:szCs w:val="24"/>
        </w:rPr>
        <w:t xml:space="preserve"> </w:t>
      </w:r>
      <w:r w:rsidRPr="000855E1">
        <w:rPr>
          <w:rFonts w:ascii="Calibri" w:hAnsi="Calibri" w:cs="Calibri"/>
          <w:b/>
          <w:bCs/>
          <w:noProof/>
          <w:sz w:val="24"/>
          <w:szCs w:val="24"/>
        </w:rPr>
        <w:t>11</w:t>
      </w:r>
      <w:r w:rsidRPr="000855E1">
        <w:rPr>
          <w:rFonts w:ascii="Calibri" w:hAnsi="Calibri" w:cs="Calibri"/>
          <w:noProof/>
          <w:sz w:val="24"/>
          <w:szCs w:val="24"/>
        </w:rPr>
        <w:t>, (2014).</w:t>
      </w:r>
    </w:p>
    <w:p w14:paraId="1D851735"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6.</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The economic effects of supporting tuberculosis-affected households in Peru. </w:t>
      </w:r>
      <w:r w:rsidRPr="000855E1">
        <w:rPr>
          <w:rFonts w:ascii="Calibri" w:hAnsi="Calibri" w:cs="Calibri"/>
          <w:i/>
          <w:iCs/>
          <w:noProof/>
          <w:sz w:val="24"/>
          <w:szCs w:val="24"/>
        </w:rPr>
        <w:t>Eur. Respir. J.</w:t>
      </w:r>
      <w:r w:rsidRPr="000855E1">
        <w:rPr>
          <w:rFonts w:ascii="Calibri" w:hAnsi="Calibri" w:cs="Calibri"/>
          <w:noProof/>
          <w:sz w:val="24"/>
          <w:szCs w:val="24"/>
        </w:rPr>
        <w:t xml:space="preserve"> </w:t>
      </w:r>
      <w:r w:rsidRPr="000855E1">
        <w:rPr>
          <w:rFonts w:ascii="Calibri" w:hAnsi="Calibri" w:cs="Calibri"/>
          <w:b/>
          <w:bCs/>
          <w:noProof/>
          <w:sz w:val="24"/>
          <w:szCs w:val="24"/>
        </w:rPr>
        <w:t>48</w:t>
      </w:r>
      <w:r w:rsidRPr="000855E1">
        <w:rPr>
          <w:rFonts w:ascii="Calibri" w:hAnsi="Calibri" w:cs="Calibri"/>
          <w:noProof/>
          <w:sz w:val="24"/>
          <w:szCs w:val="24"/>
        </w:rPr>
        <w:t>, 1396–1410 (2016).</w:t>
      </w:r>
    </w:p>
    <w:p w14:paraId="15D7FCE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7.</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A randomized controlled study of socioeconomic support to enhance tuberculosis prevention and treatment, Peru. </w:t>
      </w:r>
      <w:r w:rsidRPr="000855E1">
        <w:rPr>
          <w:rFonts w:ascii="Calibri" w:hAnsi="Calibri" w:cs="Calibri"/>
          <w:i/>
          <w:iCs/>
          <w:noProof/>
          <w:sz w:val="24"/>
          <w:szCs w:val="24"/>
        </w:rPr>
        <w:t>Bull World Heal. Organ</w:t>
      </w:r>
      <w:r w:rsidRPr="000855E1">
        <w:rPr>
          <w:rFonts w:ascii="Calibri" w:hAnsi="Calibri" w:cs="Calibri"/>
          <w:noProof/>
          <w:sz w:val="24"/>
          <w:szCs w:val="24"/>
        </w:rPr>
        <w:t xml:space="preserve"> </w:t>
      </w:r>
      <w:r w:rsidRPr="000855E1">
        <w:rPr>
          <w:rFonts w:ascii="Calibri" w:hAnsi="Calibri" w:cs="Calibri"/>
          <w:b/>
          <w:bCs/>
          <w:noProof/>
          <w:sz w:val="24"/>
          <w:szCs w:val="24"/>
        </w:rPr>
        <w:t>95</w:t>
      </w:r>
      <w:r w:rsidRPr="000855E1">
        <w:rPr>
          <w:rFonts w:ascii="Calibri" w:hAnsi="Calibri" w:cs="Calibri"/>
          <w:noProof/>
          <w:sz w:val="24"/>
          <w:szCs w:val="24"/>
        </w:rPr>
        <w:t>, 270–280 (2017).</w:t>
      </w:r>
    </w:p>
    <w:p w14:paraId="1A0D4B06"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8.</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Socioeconomic support to improve initiation of tuberculosis preventive therapy and increase tuberculosis treatment success in Peru: a household-randomised, controlled evaluation. </w:t>
      </w:r>
      <w:r w:rsidRPr="000855E1">
        <w:rPr>
          <w:rFonts w:ascii="Calibri" w:hAnsi="Calibri" w:cs="Calibri"/>
          <w:i/>
          <w:iCs/>
          <w:noProof/>
          <w:sz w:val="24"/>
          <w:szCs w:val="24"/>
        </w:rPr>
        <w:t>Lancet</w:t>
      </w:r>
      <w:r w:rsidRPr="000855E1">
        <w:rPr>
          <w:rFonts w:ascii="Calibri" w:hAnsi="Calibri" w:cs="Calibri"/>
          <w:noProof/>
          <w:sz w:val="24"/>
          <w:szCs w:val="24"/>
        </w:rPr>
        <w:t xml:space="preserve"> </w:t>
      </w:r>
      <w:r w:rsidRPr="000855E1">
        <w:rPr>
          <w:rFonts w:ascii="Calibri" w:hAnsi="Calibri" w:cs="Calibri"/>
          <w:b/>
          <w:bCs/>
          <w:noProof/>
          <w:sz w:val="24"/>
          <w:szCs w:val="24"/>
        </w:rPr>
        <w:t>389</w:t>
      </w:r>
      <w:r w:rsidRPr="000855E1">
        <w:rPr>
          <w:rFonts w:ascii="Calibri" w:hAnsi="Calibri" w:cs="Calibri"/>
          <w:noProof/>
          <w:sz w:val="24"/>
          <w:szCs w:val="24"/>
        </w:rPr>
        <w:t>, S16 (2017).</w:t>
      </w:r>
    </w:p>
    <w:p w14:paraId="0B03EA01"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9.</w:t>
      </w:r>
      <w:r w:rsidRPr="000855E1">
        <w:rPr>
          <w:rFonts w:ascii="Calibri" w:hAnsi="Calibri" w:cs="Calibri"/>
          <w:noProof/>
          <w:sz w:val="24"/>
          <w:szCs w:val="24"/>
        </w:rPr>
        <w:tab/>
        <w:t xml:space="preserve">Saunders, M. J. </w:t>
      </w:r>
      <w:r w:rsidRPr="000855E1">
        <w:rPr>
          <w:rFonts w:ascii="Calibri" w:hAnsi="Calibri" w:cs="Calibri"/>
          <w:i/>
          <w:iCs/>
          <w:noProof/>
          <w:sz w:val="24"/>
          <w:szCs w:val="24"/>
        </w:rPr>
        <w:t>et al.</w:t>
      </w:r>
      <w:r w:rsidRPr="000855E1">
        <w:rPr>
          <w:rFonts w:ascii="Calibri" w:hAnsi="Calibri" w:cs="Calibri"/>
          <w:noProof/>
          <w:sz w:val="24"/>
          <w:szCs w:val="24"/>
        </w:rPr>
        <w:t xml:space="preserve"> A score to predict and stratify risk of tuberculosis in adult contacts of tuberculosis index cases: a prospective derivation and external validation cohort study. </w:t>
      </w:r>
      <w:r w:rsidRPr="000855E1">
        <w:rPr>
          <w:rFonts w:ascii="Calibri" w:hAnsi="Calibri" w:cs="Calibri"/>
          <w:i/>
          <w:iCs/>
          <w:noProof/>
          <w:sz w:val="24"/>
          <w:szCs w:val="24"/>
        </w:rPr>
        <w:t>Lancet Infect. Dis.</w:t>
      </w:r>
      <w:r w:rsidRPr="000855E1">
        <w:rPr>
          <w:rFonts w:ascii="Calibri" w:hAnsi="Calibri" w:cs="Calibri"/>
          <w:noProof/>
          <w:sz w:val="24"/>
          <w:szCs w:val="24"/>
        </w:rPr>
        <w:t xml:space="preserve"> </w:t>
      </w:r>
      <w:r w:rsidRPr="000855E1">
        <w:rPr>
          <w:rFonts w:ascii="Calibri" w:hAnsi="Calibri" w:cs="Calibri"/>
          <w:b/>
          <w:bCs/>
          <w:noProof/>
          <w:sz w:val="24"/>
          <w:szCs w:val="24"/>
        </w:rPr>
        <w:t>17</w:t>
      </w:r>
      <w:r w:rsidRPr="000855E1">
        <w:rPr>
          <w:rFonts w:ascii="Calibri" w:hAnsi="Calibri" w:cs="Calibri"/>
          <w:noProof/>
          <w:sz w:val="24"/>
          <w:szCs w:val="24"/>
        </w:rPr>
        <w:t>, 1190–1199 (2017).</w:t>
      </w:r>
    </w:p>
    <w:p w14:paraId="3034E8C4"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10.</w:t>
      </w:r>
      <w:r w:rsidRPr="000855E1">
        <w:rPr>
          <w:rFonts w:ascii="Calibri" w:hAnsi="Calibri" w:cs="Calibri"/>
          <w:noProof/>
          <w:sz w:val="24"/>
          <w:szCs w:val="24"/>
        </w:rPr>
        <w:tab/>
        <w:t xml:space="preserve">Saunders, M. J. </w:t>
      </w:r>
      <w:r w:rsidRPr="000855E1">
        <w:rPr>
          <w:rFonts w:ascii="Calibri" w:hAnsi="Calibri" w:cs="Calibri"/>
          <w:i/>
          <w:iCs/>
          <w:noProof/>
          <w:sz w:val="24"/>
          <w:szCs w:val="24"/>
        </w:rPr>
        <w:t>et al.</w:t>
      </w:r>
      <w:r w:rsidRPr="000855E1">
        <w:rPr>
          <w:rFonts w:ascii="Calibri" w:hAnsi="Calibri" w:cs="Calibri"/>
          <w:noProof/>
          <w:sz w:val="24"/>
          <w:szCs w:val="24"/>
        </w:rPr>
        <w:t xml:space="preserve"> A household-level score to predict the risk of tuberculosis among contacts of patients with tuberculosis: a derivation and external validation prospective cohort study. </w:t>
      </w:r>
      <w:r w:rsidRPr="000855E1">
        <w:rPr>
          <w:rFonts w:ascii="Calibri" w:hAnsi="Calibri" w:cs="Calibri"/>
          <w:i/>
          <w:iCs/>
          <w:noProof/>
          <w:sz w:val="24"/>
          <w:szCs w:val="24"/>
        </w:rPr>
        <w:t>Lancet Infect. Dis.</w:t>
      </w:r>
      <w:r w:rsidRPr="000855E1">
        <w:rPr>
          <w:rFonts w:ascii="Calibri" w:hAnsi="Calibri" w:cs="Calibri"/>
          <w:noProof/>
          <w:sz w:val="24"/>
          <w:szCs w:val="24"/>
        </w:rPr>
        <w:t xml:space="preserve"> </w:t>
      </w:r>
      <w:r w:rsidRPr="000855E1">
        <w:rPr>
          <w:rFonts w:ascii="Calibri" w:hAnsi="Calibri" w:cs="Calibri"/>
          <w:b/>
          <w:bCs/>
          <w:noProof/>
          <w:sz w:val="24"/>
          <w:szCs w:val="24"/>
        </w:rPr>
        <w:t>20</w:t>
      </w:r>
      <w:r w:rsidRPr="000855E1">
        <w:rPr>
          <w:rFonts w:ascii="Calibri" w:hAnsi="Calibri" w:cs="Calibri"/>
          <w:noProof/>
          <w:sz w:val="24"/>
          <w:szCs w:val="24"/>
        </w:rPr>
        <w:t>, 110–122 (2020).</w:t>
      </w:r>
    </w:p>
    <w:p w14:paraId="78D27277"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11.</w:t>
      </w:r>
      <w:r w:rsidRPr="000855E1">
        <w:rPr>
          <w:rFonts w:ascii="Calibri" w:hAnsi="Calibri" w:cs="Calibri"/>
          <w:noProof/>
          <w:sz w:val="24"/>
          <w:szCs w:val="24"/>
        </w:rPr>
        <w:tab/>
        <w:t xml:space="preserve">Rai, B. </w:t>
      </w:r>
      <w:r w:rsidRPr="000855E1">
        <w:rPr>
          <w:rFonts w:ascii="Calibri" w:hAnsi="Calibri" w:cs="Calibri"/>
          <w:i/>
          <w:iCs/>
          <w:noProof/>
          <w:sz w:val="24"/>
          <w:szCs w:val="24"/>
        </w:rPr>
        <w:t>et al.</w:t>
      </w:r>
      <w:r w:rsidRPr="000855E1">
        <w:rPr>
          <w:rFonts w:ascii="Calibri" w:hAnsi="Calibri" w:cs="Calibri"/>
          <w:noProof/>
          <w:sz w:val="24"/>
          <w:szCs w:val="24"/>
        </w:rPr>
        <w:t xml:space="preserve"> Developing a feasible, locally-appropriate socioeconomic intervention for TB-affected households in Nepal: a report from a national workshop and review of the literature. </w:t>
      </w:r>
      <w:r w:rsidRPr="000855E1">
        <w:rPr>
          <w:rFonts w:ascii="Calibri" w:hAnsi="Calibri" w:cs="Calibri"/>
          <w:i/>
          <w:iCs/>
          <w:noProof/>
          <w:sz w:val="24"/>
          <w:szCs w:val="24"/>
        </w:rPr>
        <w:t>(under Rev.</w:t>
      </w:r>
      <w:r w:rsidRPr="000855E1">
        <w:rPr>
          <w:rFonts w:ascii="Calibri" w:hAnsi="Calibri" w:cs="Calibri"/>
          <w:noProof/>
          <w:sz w:val="24"/>
          <w:szCs w:val="24"/>
        </w:rPr>
        <w:t xml:space="preserve"> (2020).</w:t>
      </w:r>
    </w:p>
    <w:p w14:paraId="3C7E3DD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12.</w:t>
      </w:r>
      <w:r w:rsidRPr="000855E1">
        <w:rPr>
          <w:rFonts w:ascii="Calibri" w:hAnsi="Calibri" w:cs="Calibri"/>
          <w:noProof/>
          <w:sz w:val="24"/>
          <w:szCs w:val="24"/>
        </w:rPr>
        <w:tab/>
        <w:t xml:space="preserve">Dixit, K. </w:t>
      </w:r>
      <w:r w:rsidRPr="000855E1">
        <w:rPr>
          <w:rFonts w:ascii="Calibri" w:hAnsi="Calibri" w:cs="Calibri"/>
          <w:i/>
          <w:iCs/>
          <w:noProof/>
          <w:sz w:val="24"/>
          <w:szCs w:val="24"/>
        </w:rPr>
        <w:t>et al.</w:t>
      </w:r>
      <w:r w:rsidRPr="000855E1">
        <w:rPr>
          <w:rFonts w:ascii="Calibri" w:hAnsi="Calibri" w:cs="Calibri"/>
          <w:noProof/>
          <w:sz w:val="24"/>
          <w:szCs w:val="24"/>
        </w:rPr>
        <w:t xml:space="preserve"> Research protocol for a mixed-methods study to characterise and address the socioeconomic impact of accessing TB diagnosis and care in Nepal. </w:t>
      </w:r>
      <w:r w:rsidRPr="000855E1">
        <w:rPr>
          <w:rFonts w:ascii="Calibri" w:hAnsi="Calibri" w:cs="Calibri"/>
          <w:i/>
          <w:iCs/>
          <w:noProof/>
          <w:sz w:val="24"/>
          <w:szCs w:val="24"/>
        </w:rPr>
        <w:t>Wellcome Open Res.</w:t>
      </w:r>
      <w:r w:rsidRPr="000855E1">
        <w:rPr>
          <w:rFonts w:ascii="Calibri" w:hAnsi="Calibri" w:cs="Calibri"/>
          <w:noProof/>
          <w:sz w:val="24"/>
          <w:szCs w:val="24"/>
        </w:rPr>
        <w:t xml:space="preserve"> (2020).</w:t>
      </w:r>
    </w:p>
    <w:p w14:paraId="521689D0"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13.</w:t>
      </w:r>
      <w:r w:rsidRPr="000855E1">
        <w:rPr>
          <w:rFonts w:ascii="Calibri" w:hAnsi="Calibri" w:cs="Calibri"/>
          <w:noProof/>
          <w:sz w:val="24"/>
          <w:szCs w:val="24"/>
        </w:rPr>
        <w:tab/>
        <w:t xml:space="preserve">Gurung, S. </w:t>
      </w:r>
      <w:r w:rsidRPr="000855E1">
        <w:rPr>
          <w:rFonts w:ascii="Calibri" w:hAnsi="Calibri" w:cs="Calibri"/>
          <w:i/>
          <w:iCs/>
          <w:noProof/>
          <w:sz w:val="24"/>
          <w:szCs w:val="24"/>
        </w:rPr>
        <w:t>et al.</w:t>
      </w:r>
      <w:r w:rsidRPr="000855E1">
        <w:rPr>
          <w:rFonts w:ascii="Calibri" w:hAnsi="Calibri" w:cs="Calibri"/>
          <w:noProof/>
          <w:sz w:val="24"/>
          <w:szCs w:val="24"/>
        </w:rPr>
        <w:t xml:space="preserve"> The role of active case finding in reducing patient incurred catastrophic costs for tuberculosis in Nepal. </w:t>
      </w:r>
      <w:r w:rsidRPr="000855E1">
        <w:rPr>
          <w:rFonts w:ascii="Calibri" w:hAnsi="Calibri" w:cs="Calibri"/>
          <w:i/>
          <w:iCs/>
          <w:noProof/>
          <w:sz w:val="24"/>
          <w:szCs w:val="24"/>
        </w:rPr>
        <w:t>Infect. Dis. Poverty</w:t>
      </w:r>
      <w:r w:rsidRPr="000855E1">
        <w:rPr>
          <w:rFonts w:ascii="Calibri" w:hAnsi="Calibri" w:cs="Calibri"/>
          <w:noProof/>
          <w:sz w:val="24"/>
          <w:szCs w:val="24"/>
        </w:rPr>
        <w:t xml:space="preserve"> </w:t>
      </w:r>
      <w:r w:rsidRPr="000855E1">
        <w:rPr>
          <w:rFonts w:ascii="Calibri" w:hAnsi="Calibri" w:cs="Calibri"/>
          <w:b/>
          <w:bCs/>
          <w:noProof/>
          <w:sz w:val="24"/>
          <w:szCs w:val="24"/>
        </w:rPr>
        <w:t>8</w:t>
      </w:r>
      <w:r w:rsidRPr="000855E1">
        <w:rPr>
          <w:rFonts w:ascii="Calibri" w:hAnsi="Calibri" w:cs="Calibri"/>
          <w:noProof/>
          <w:sz w:val="24"/>
          <w:szCs w:val="24"/>
        </w:rPr>
        <w:t>, (2019).</w:t>
      </w:r>
    </w:p>
    <w:p w14:paraId="45B1D950"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14.</w:t>
      </w:r>
      <w:r w:rsidRPr="000855E1">
        <w:rPr>
          <w:rFonts w:ascii="Calibri" w:hAnsi="Calibri" w:cs="Calibri"/>
          <w:noProof/>
          <w:sz w:val="24"/>
          <w:szCs w:val="24"/>
        </w:rPr>
        <w:tab/>
        <w:t xml:space="preserve">Dixit, K. </w:t>
      </w:r>
      <w:r w:rsidRPr="000855E1">
        <w:rPr>
          <w:rFonts w:ascii="Calibri" w:hAnsi="Calibri" w:cs="Calibri"/>
          <w:i/>
          <w:iCs/>
          <w:noProof/>
          <w:sz w:val="24"/>
          <w:szCs w:val="24"/>
        </w:rPr>
        <w:t>et al.</w:t>
      </w:r>
      <w:r w:rsidRPr="000855E1">
        <w:rPr>
          <w:rFonts w:ascii="Calibri" w:hAnsi="Calibri" w:cs="Calibri"/>
          <w:noProof/>
          <w:sz w:val="24"/>
          <w:szCs w:val="24"/>
        </w:rPr>
        <w:t xml:space="preserve"> Barriers and facilitators to accessing and engaging in tuberculosis care: a qualitative study from Nepal. in </w:t>
      </w:r>
      <w:r w:rsidRPr="000855E1">
        <w:rPr>
          <w:rFonts w:ascii="Calibri" w:hAnsi="Calibri" w:cs="Calibri"/>
          <w:i/>
          <w:iCs/>
          <w:noProof/>
          <w:sz w:val="24"/>
          <w:szCs w:val="24"/>
        </w:rPr>
        <w:t>The 50th Union World Conference on Lung Health</w:t>
      </w:r>
      <w:r w:rsidRPr="000855E1">
        <w:rPr>
          <w:rFonts w:ascii="Calibri" w:hAnsi="Calibri" w:cs="Calibri"/>
          <w:noProof/>
          <w:sz w:val="24"/>
          <w:szCs w:val="24"/>
        </w:rPr>
        <w:t xml:space="preserve"> PS-33-C8 (2019).</w:t>
      </w:r>
    </w:p>
    <w:p w14:paraId="52EAA95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15.</w:t>
      </w:r>
      <w:r w:rsidRPr="000855E1">
        <w:rPr>
          <w:rFonts w:ascii="Calibri" w:hAnsi="Calibri" w:cs="Calibri"/>
          <w:noProof/>
          <w:sz w:val="24"/>
          <w:szCs w:val="24"/>
        </w:rPr>
        <w:tab/>
        <w:t xml:space="preserve">Dixit, K., Gurung, S., Dhital, R., Caws, M. &amp; Wingfield, T. Patient and stakeholder perspectives on barriers and facilitators to tuberculosis care in Nepal. in </w:t>
      </w:r>
      <w:r w:rsidRPr="000855E1">
        <w:rPr>
          <w:rFonts w:ascii="Calibri" w:hAnsi="Calibri" w:cs="Calibri"/>
          <w:i/>
          <w:iCs/>
          <w:noProof/>
          <w:sz w:val="24"/>
          <w:szCs w:val="24"/>
        </w:rPr>
        <w:t>11th European Congress on Tropical Medicine and International Health</w:t>
      </w:r>
      <w:r w:rsidRPr="000855E1">
        <w:rPr>
          <w:rFonts w:ascii="Calibri" w:hAnsi="Calibri" w:cs="Calibri"/>
          <w:noProof/>
          <w:sz w:val="24"/>
          <w:szCs w:val="24"/>
        </w:rPr>
        <w:t xml:space="preserve"> Poster 948 (2019).</w:t>
      </w:r>
    </w:p>
    <w:p w14:paraId="0F6FD2F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16.</w:t>
      </w:r>
      <w:r w:rsidRPr="000855E1">
        <w:rPr>
          <w:rFonts w:ascii="Calibri" w:hAnsi="Calibri" w:cs="Calibri"/>
          <w:noProof/>
          <w:sz w:val="24"/>
          <w:szCs w:val="24"/>
        </w:rPr>
        <w:tab/>
        <w:t xml:space="preserve">Dixit, K. </w:t>
      </w:r>
      <w:r w:rsidRPr="000855E1">
        <w:rPr>
          <w:rFonts w:ascii="Calibri" w:hAnsi="Calibri" w:cs="Calibri"/>
          <w:i/>
          <w:iCs/>
          <w:noProof/>
          <w:sz w:val="24"/>
          <w:szCs w:val="24"/>
        </w:rPr>
        <w:t>et al.</w:t>
      </w:r>
      <w:r w:rsidRPr="000855E1">
        <w:rPr>
          <w:rFonts w:ascii="Calibri" w:hAnsi="Calibri" w:cs="Calibri"/>
          <w:noProof/>
          <w:sz w:val="24"/>
          <w:szCs w:val="24"/>
        </w:rPr>
        <w:t xml:space="preserve"> Addressing the social determinants and consequences of tuberculosis in Nepal. in </w:t>
      </w:r>
      <w:r w:rsidRPr="000855E1">
        <w:rPr>
          <w:rFonts w:ascii="Calibri" w:hAnsi="Calibri" w:cs="Calibri"/>
          <w:i/>
          <w:iCs/>
          <w:noProof/>
          <w:sz w:val="24"/>
          <w:szCs w:val="24"/>
        </w:rPr>
        <w:t>European Congress on Tropical Medicine and International Health</w:t>
      </w:r>
      <w:r w:rsidRPr="000855E1">
        <w:rPr>
          <w:rFonts w:ascii="Calibri" w:hAnsi="Calibri" w:cs="Calibri"/>
          <w:noProof/>
          <w:sz w:val="24"/>
          <w:szCs w:val="24"/>
        </w:rPr>
        <w:t xml:space="preserve"> (2019).</w:t>
      </w:r>
    </w:p>
    <w:p w14:paraId="4FFDFFF6"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17.</w:t>
      </w:r>
      <w:r w:rsidRPr="000855E1">
        <w:rPr>
          <w:rFonts w:ascii="Calibri" w:hAnsi="Calibri" w:cs="Calibri"/>
          <w:noProof/>
          <w:sz w:val="24"/>
          <w:szCs w:val="24"/>
        </w:rPr>
        <w:tab/>
        <w:t xml:space="preserve">Weaver, M. S., Lönnroth, K., Howard, S. C., Roter, D. L. &amp; Lam, C. G. Interventions to improve adherence to treatment for paediatric tuberculosis in low- and middle-income countries: a systematic review and meta-analysis. </w:t>
      </w:r>
      <w:r w:rsidRPr="000855E1">
        <w:rPr>
          <w:rFonts w:ascii="Calibri" w:hAnsi="Calibri" w:cs="Calibri"/>
          <w:i/>
          <w:iCs/>
          <w:noProof/>
          <w:sz w:val="24"/>
          <w:szCs w:val="24"/>
        </w:rPr>
        <w:t>Bull. World Health Organ.</w:t>
      </w:r>
      <w:r w:rsidRPr="000855E1">
        <w:rPr>
          <w:rFonts w:ascii="Calibri" w:hAnsi="Calibri" w:cs="Calibri"/>
          <w:noProof/>
          <w:sz w:val="24"/>
          <w:szCs w:val="24"/>
        </w:rPr>
        <w:t xml:space="preserve"> </w:t>
      </w:r>
      <w:r w:rsidRPr="000855E1">
        <w:rPr>
          <w:rFonts w:ascii="Calibri" w:hAnsi="Calibri" w:cs="Calibri"/>
          <w:b/>
          <w:bCs/>
          <w:noProof/>
          <w:sz w:val="24"/>
          <w:szCs w:val="24"/>
        </w:rPr>
        <w:t>93</w:t>
      </w:r>
      <w:r w:rsidRPr="000855E1">
        <w:rPr>
          <w:rFonts w:ascii="Calibri" w:hAnsi="Calibri" w:cs="Calibri"/>
          <w:noProof/>
          <w:sz w:val="24"/>
          <w:szCs w:val="24"/>
        </w:rPr>
        <w:t>, 700-711B (2015).</w:t>
      </w:r>
    </w:p>
    <w:p w14:paraId="5E516837"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18.</w:t>
      </w:r>
      <w:r w:rsidRPr="000855E1">
        <w:rPr>
          <w:rFonts w:ascii="Calibri" w:hAnsi="Calibri" w:cs="Calibri"/>
          <w:noProof/>
          <w:sz w:val="24"/>
          <w:szCs w:val="24"/>
        </w:rPr>
        <w:tab/>
        <w:t xml:space="preserve">Dixit, K. </w:t>
      </w:r>
      <w:r w:rsidRPr="000855E1">
        <w:rPr>
          <w:rFonts w:ascii="Calibri" w:hAnsi="Calibri" w:cs="Calibri"/>
          <w:i/>
          <w:iCs/>
          <w:noProof/>
          <w:sz w:val="24"/>
          <w:szCs w:val="24"/>
        </w:rPr>
        <w:t>et al.</w:t>
      </w:r>
      <w:r w:rsidRPr="000855E1">
        <w:rPr>
          <w:rFonts w:ascii="Calibri" w:hAnsi="Calibri" w:cs="Calibri"/>
          <w:noProof/>
          <w:sz w:val="24"/>
          <w:szCs w:val="24"/>
        </w:rPr>
        <w:t xml:space="preserve"> Barriers and facilitators to accessing tuberculosis care in Nepal: a </w:t>
      </w:r>
      <w:r w:rsidRPr="000855E1">
        <w:rPr>
          <w:rFonts w:ascii="Calibri" w:hAnsi="Calibri" w:cs="Calibri"/>
          <w:noProof/>
          <w:sz w:val="24"/>
          <w:szCs w:val="24"/>
        </w:rPr>
        <w:lastRenderedPageBreak/>
        <w:t xml:space="preserve">qualitative study to inform the design of a socioeconomic support intervention. </w:t>
      </w:r>
      <w:r w:rsidRPr="000855E1">
        <w:rPr>
          <w:rFonts w:ascii="Calibri" w:hAnsi="Calibri" w:cs="Calibri"/>
          <w:i/>
          <w:iCs/>
          <w:noProof/>
          <w:sz w:val="24"/>
          <w:szCs w:val="24"/>
        </w:rPr>
        <w:t>BMJ Open</w:t>
      </w:r>
      <w:r w:rsidRPr="000855E1">
        <w:rPr>
          <w:rFonts w:ascii="Calibri" w:hAnsi="Calibri" w:cs="Calibri"/>
          <w:noProof/>
          <w:sz w:val="24"/>
          <w:szCs w:val="24"/>
        </w:rPr>
        <w:t xml:space="preserve"> </w:t>
      </w:r>
      <w:r w:rsidRPr="000855E1">
        <w:rPr>
          <w:rFonts w:ascii="Calibri" w:hAnsi="Calibri" w:cs="Calibri"/>
          <w:b/>
          <w:bCs/>
          <w:noProof/>
          <w:sz w:val="24"/>
          <w:szCs w:val="24"/>
        </w:rPr>
        <w:t>11</w:t>
      </w:r>
      <w:r w:rsidRPr="000855E1">
        <w:rPr>
          <w:rFonts w:ascii="Calibri" w:hAnsi="Calibri" w:cs="Calibri"/>
          <w:noProof/>
          <w:sz w:val="24"/>
          <w:szCs w:val="24"/>
        </w:rPr>
        <w:t>, e049900 (2021).</w:t>
      </w:r>
    </w:p>
    <w:p w14:paraId="7417FCB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19.</w:t>
      </w:r>
      <w:r w:rsidRPr="000855E1">
        <w:rPr>
          <w:rFonts w:ascii="Calibri" w:hAnsi="Calibri" w:cs="Calibri"/>
          <w:noProof/>
          <w:sz w:val="24"/>
          <w:szCs w:val="24"/>
        </w:rPr>
        <w:tab/>
        <w:t xml:space="preserve">Rai, B. </w:t>
      </w:r>
      <w:r w:rsidRPr="000855E1">
        <w:rPr>
          <w:rFonts w:ascii="Calibri" w:hAnsi="Calibri" w:cs="Calibri"/>
          <w:i/>
          <w:iCs/>
          <w:noProof/>
          <w:sz w:val="24"/>
          <w:szCs w:val="24"/>
        </w:rPr>
        <w:t>et al.</w:t>
      </w:r>
      <w:r w:rsidRPr="000855E1">
        <w:rPr>
          <w:rFonts w:ascii="Calibri" w:hAnsi="Calibri" w:cs="Calibri"/>
          <w:noProof/>
          <w:sz w:val="24"/>
          <w:szCs w:val="24"/>
        </w:rPr>
        <w:t xml:space="preserve"> Developing feasible, locally appropriate socioeconomic support for TB-affected households in Nepal. </w:t>
      </w:r>
      <w:r w:rsidRPr="000855E1">
        <w:rPr>
          <w:rFonts w:ascii="Calibri" w:hAnsi="Calibri" w:cs="Calibri"/>
          <w:i/>
          <w:iCs/>
          <w:noProof/>
          <w:sz w:val="24"/>
          <w:szCs w:val="24"/>
        </w:rPr>
        <w:t>Trop. Med. Infect. Dis.</w:t>
      </w:r>
      <w:r w:rsidRPr="000855E1">
        <w:rPr>
          <w:rFonts w:ascii="Calibri" w:hAnsi="Calibri" w:cs="Calibri"/>
          <w:noProof/>
          <w:sz w:val="24"/>
          <w:szCs w:val="24"/>
        </w:rPr>
        <w:t xml:space="preserve"> </w:t>
      </w:r>
      <w:r w:rsidRPr="000855E1">
        <w:rPr>
          <w:rFonts w:ascii="Calibri" w:hAnsi="Calibri" w:cs="Calibri"/>
          <w:b/>
          <w:bCs/>
          <w:noProof/>
          <w:sz w:val="24"/>
          <w:szCs w:val="24"/>
        </w:rPr>
        <w:t>5</w:t>
      </w:r>
      <w:r w:rsidRPr="000855E1">
        <w:rPr>
          <w:rFonts w:ascii="Calibri" w:hAnsi="Calibri" w:cs="Calibri"/>
          <w:noProof/>
          <w:sz w:val="24"/>
          <w:szCs w:val="24"/>
        </w:rPr>
        <w:t>, 1–15 (2020).</w:t>
      </w:r>
    </w:p>
    <w:p w14:paraId="5747DB0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20.</w:t>
      </w:r>
      <w:r w:rsidRPr="000855E1">
        <w:rPr>
          <w:rFonts w:ascii="Calibri" w:hAnsi="Calibri" w:cs="Calibri"/>
          <w:noProof/>
          <w:sz w:val="24"/>
          <w:szCs w:val="24"/>
        </w:rPr>
        <w:tab/>
        <w:t>ISRCTN - ISRCTN17025974: Addressing the social determinants and consequences of tuberculosis. https://www.isrctn.com/ISRCTN17025974.</w:t>
      </w:r>
    </w:p>
    <w:p w14:paraId="7AAAFC8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21.</w:t>
      </w:r>
      <w:r w:rsidRPr="000855E1">
        <w:rPr>
          <w:rFonts w:ascii="Calibri" w:hAnsi="Calibri" w:cs="Calibri"/>
          <w:noProof/>
          <w:sz w:val="24"/>
          <w:szCs w:val="24"/>
        </w:rPr>
        <w:tab/>
        <w:t xml:space="preserve">Chan, A. W. </w:t>
      </w:r>
      <w:r w:rsidRPr="000855E1">
        <w:rPr>
          <w:rFonts w:ascii="Calibri" w:hAnsi="Calibri" w:cs="Calibri"/>
          <w:i/>
          <w:iCs/>
          <w:noProof/>
          <w:sz w:val="24"/>
          <w:szCs w:val="24"/>
        </w:rPr>
        <w:t>et al.</w:t>
      </w:r>
      <w:r w:rsidRPr="000855E1">
        <w:rPr>
          <w:rFonts w:ascii="Calibri" w:hAnsi="Calibri" w:cs="Calibri"/>
          <w:noProof/>
          <w:sz w:val="24"/>
          <w:szCs w:val="24"/>
        </w:rPr>
        <w:t xml:space="preserve"> SPIRIT 2013 Statement: Defining Standard Protocol Items for Clinical Trials. </w:t>
      </w:r>
      <w:r w:rsidRPr="000855E1">
        <w:rPr>
          <w:rFonts w:ascii="Calibri" w:hAnsi="Calibri" w:cs="Calibri"/>
          <w:i/>
          <w:iCs/>
          <w:noProof/>
          <w:sz w:val="24"/>
          <w:szCs w:val="24"/>
        </w:rPr>
        <w:t>Ann. Intern. Med.</w:t>
      </w:r>
      <w:r w:rsidRPr="000855E1">
        <w:rPr>
          <w:rFonts w:ascii="Calibri" w:hAnsi="Calibri" w:cs="Calibri"/>
          <w:noProof/>
          <w:sz w:val="24"/>
          <w:szCs w:val="24"/>
        </w:rPr>
        <w:t xml:space="preserve"> </w:t>
      </w:r>
      <w:r w:rsidRPr="000855E1">
        <w:rPr>
          <w:rFonts w:ascii="Calibri" w:hAnsi="Calibri" w:cs="Calibri"/>
          <w:b/>
          <w:bCs/>
          <w:noProof/>
          <w:sz w:val="24"/>
          <w:szCs w:val="24"/>
        </w:rPr>
        <w:t>158</w:t>
      </w:r>
      <w:r w:rsidRPr="000855E1">
        <w:rPr>
          <w:rFonts w:ascii="Calibri" w:hAnsi="Calibri" w:cs="Calibri"/>
          <w:noProof/>
          <w:sz w:val="24"/>
          <w:szCs w:val="24"/>
        </w:rPr>
        <w:t>, 200 (2013).</w:t>
      </w:r>
    </w:p>
    <w:p w14:paraId="0CA798F9"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22.</w:t>
      </w:r>
      <w:r w:rsidRPr="000855E1">
        <w:rPr>
          <w:rFonts w:ascii="Calibri" w:hAnsi="Calibri" w:cs="Calibri"/>
          <w:noProof/>
          <w:sz w:val="24"/>
          <w:szCs w:val="24"/>
        </w:rPr>
        <w:tab/>
        <w:t xml:space="preserve">Laura Linnan &amp; Allan Steckler. Process Evaluation for Public Health Interventions and Research: An Overview. </w:t>
      </w:r>
      <w:r w:rsidRPr="000855E1">
        <w:rPr>
          <w:rFonts w:ascii="Calibri" w:hAnsi="Calibri" w:cs="Calibri"/>
          <w:i/>
          <w:iCs/>
          <w:noProof/>
          <w:sz w:val="24"/>
          <w:szCs w:val="24"/>
        </w:rPr>
        <w:t>Process Eval. Public Heal. Interv. Res.</w:t>
      </w:r>
      <w:r w:rsidRPr="000855E1">
        <w:rPr>
          <w:rFonts w:ascii="Calibri" w:hAnsi="Calibri" w:cs="Calibri"/>
          <w:noProof/>
          <w:sz w:val="24"/>
          <w:szCs w:val="24"/>
        </w:rPr>
        <w:t xml:space="preserve"> 1–23 (2002).</w:t>
      </w:r>
    </w:p>
    <w:p w14:paraId="14A443B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23.</w:t>
      </w:r>
      <w:r w:rsidRPr="000855E1">
        <w:rPr>
          <w:rFonts w:ascii="Calibri" w:hAnsi="Calibri" w:cs="Calibri"/>
          <w:noProof/>
          <w:sz w:val="24"/>
          <w:szCs w:val="24"/>
        </w:rPr>
        <w:tab/>
        <w:t xml:space="preserve">National Tuberculosis Control Center. </w:t>
      </w:r>
      <w:r w:rsidRPr="000855E1">
        <w:rPr>
          <w:rFonts w:ascii="Calibri" w:hAnsi="Calibri" w:cs="Calibri"/>
          <w:i/>
          <w:iCs/>
          <w:noProof/>
          <w:sz w:val="24"/>
          <w:szCs w:val="24"/>
        </w:rPr>
        <w:t>Nepal National TB Prevalence Survey Brief</w:t>
      </w:r>
      <w:r w:rsidRPr="000855E1">
        <w:rPr>
          <w:rFonts w:ascii="Calibri" w:hAnsi="Calibri" w:cs="Calibri"/>
          <w:noProof/>
          <w:sz w:val="24"/>
          <w:szCs w:val="24"/>
        </w:rPr>
        <w:t>. (2020).</w:t>
      </w:r>
    </w:p>
    <w:p w14:paraId="7CC7040B"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24.</w:t>
      </w:r>
      <w:r w:rsidRPr="000855E1">
        <w:rPr>
          <w:rFonts w:ascii="Calibri" w:hAnsi="Calibri" w:cs="Calibri"/>
          <w:noProof/>
          <w:sz w:val="24"/>
          <w:szCs w:val="24"/>
        </w:rPr>
        <w:tab/>
        <w:t xml:space="preserve">NTC. </w:t>
      </w:r>
      <w:r w:rsidRPr="000855E1">
        <w:rPr>
          <w:rFonts w:ascii="Calibri" w:hAnsi="Calibri" w:cs="Calibri"/>
          <w:i/>
          <w:iCs/>
          <w:noProof/>
          <w:sz w:val="24"/>
          <w:szCs w:val="24"/>
        </w:rPr>
        <w:t>National Tuberculosis Program Nepal. Annual report 2074/75 (2018)</w:t>
      </w:r>
      <w:r w:rsidRPr="000855E1">
        <w:rPr>
          <w:rFonts w:ascii="Calibri" w:hAnsi="Calibri" w:cs="Calibri"/>
          <w:noProof/>
          <w:sz w:val="24"/>
          <w:szCs w:val="24"/>
        </w:rPr>
        <w:t>. vol. 75 (2018).</w:t>
      </w:r>
    </w:p>
    <w:p w14:paraId="79F31327"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25.</w:t>
      </w:r>
      <w:r w:rsidRPr="000855E1">
        <w:rPr>
          <w:rFonts w:ascii="Calibri" w:hAnsi="Calibri" w:cs="Calibri"/>
          <w:noProof/>
          <w:sz w:val="24"/>
          <w:szCs w:val="24"/>
        </w:rPr>
        <w:tab/>
        <w:t xml:space="preserve">Baral, S. C., Aryal, Y., Bhattrai, R., King, R. &amp; Newell, J. N. The importance of providing counselling and financial support to patients receiving treatment for multi-drug resistant TB: Mixed method qualitative and pilot intervention studies. </w:t>
      </w:r>
      <w:r w:rsidRPr="000855E1">
        <w:rPr>
          <w:rFonts w:ascii="Calibri" w:hAnsi="Calibri" w:cs="Calibri"/>
          <w:i/>
          <w:iCs/>
          <w:noProof/>
          <w:sz w:val="24"/>
          <w:szCs w:val="24"/>
        </w:rPr>
        <w:t>BMC Public Health</w:t>
      </w:r>
      <w:r w:rsidRPr="000855E1">
        <w:rPr>
          <w:rFonts w:ascii="Calibri" w:hAnsi="Calibri" w:cs="Calibri"/>
          <w:noProof/>
          <w:sz w:val="24"/>
          <w:szCs w:val="24"/>
        </w:rPr>
        <w:t xml:space="preserve"> </w:t>
      </w:r>
      <w:r w:rsidRPr="000855E1">
        <w:rPr>
          <w:rFonts w:ascii="Calibri" w:hAnsi="Calibri" w:cs="Calibri"/>
          <w:b/>
          <w:bCs/>
          <w:noProof/>
          <w:sz w:val="24"/>
          <w:szCs w:val="24"/>
        </w:rPr>
        <w:t>14</w:t>
      </w:r>
      <w:r w:rsidRPr="000855E1">
        <w:rPr>
          <w:rFonts w:ascii="Calibri" w:hAnsi="Calibri" w:cs="Calibri"/>
          <w:noProof/>
          <w:sz w:val="24"/>
          <w:szCs w:val="24"/>
        </w:rPr>
        <w:t>, (2014).</w:t>
      </w:r>
    </w:p>
    <w:p w14:paraId="7D32B46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26.</w:t>
      </w:r>
      <w:r w:rsidRPr="000855E1">
        <w:rPr>
          <w:rFonts w:ascii="Calibri" w:hAnsi="Calibri" w:cs="Calibri"/>
          <w:noProof/>
          <w:sz w:val="24"/>
          <w:szCs w:val="24"/>
        </w:rPr>
        <w:tab/>
        <w:t xml:space="preserve">Bam, T. S. </w:t>
      </w:r>
      <w:r w:rsidRPr="000855E1">
        <w:rPr>
          <w:rFonts w:ascii="Calibri" w:hAnsi="Calibri" w:cs="Calibri"/>
          <w:i/>
          <w:iCs/>
          <w:noProof/>
          <w:sz w:val="24"/>
          <w:szCs w:val="24"/>
        </w:rPr>
        <w:t>et al.</w:t>
      </w:r>
      <w:r w:rsidRPr="000855E1">
        <w:rPr>
          <w:rFonts w:ascii="Calibri" w:hAnsi="Calibri" w:cs="Calibri"/>
          <w:noProof/>
          <w:sz w:val="24"/>
          <w:szCs w:val="24"/>
        </w:rPr>
        <w:t xml:space="preserve"> Factors affecting patient adherence to DOTS in urban Kathmandu , Nepal. </w:t>
      </w:r>
      <w:r w:rsidRPr="000855E1">
        <w:rPr>
          <w:rFonts w:ascii="Calibri" w:hAnsi="Calibri" w:cs="Calibri"/>
          <w:b/>
          <w:bCs/>
          <w:noProof/>
          <w:sz w:val="24"/>
          <w:szCs w:val="24"/>
        </w:rPr>
        <w:t>10</w:t>
      </w:r>
      <w:r w:rsidRPr="000855E1">
        <w:rPr>
          <w:rFonts w:ascii="Calibri" w:hAnsi="Calibri" w:cs="Calibri"/>
          <w:noProof/>
          <w:sz w:val="24"/>
          <w:szCs w:val="24"/>
        </w:rPr>
        <w:t>, 270–276 (2006).</w:t>
      </w:r>
    </w:p>
    <w:p w14:paraId="1D40C424"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27.</w:t>
      </w:r>
      <w:r w:rsidRPr="000855E1">
        <w:rPr>
          <w:rFonts w:ascii="Calibri" w:hAnsi="Calibri" w:cs="Calibri"/>
          <w:noProof/>
          <w:sz w:val="24"/>
          <w:szCs w:val="24"/>
        </w:rPr>
        <w:tab/>
        <w:t xml:space="preserve">de Cuevas, R. M. A. </w:t>
      </w:r>
      <w:r w:rsidRPr="000855E1">
        <w:rPr>
          <w:rFonts w:ascii="Calibri" w:hAnsi="Calibri" w:cs="Calibri"/>
          <w:i/>
          <w:iCs/>
          <w:noProof/>
          <w:sz w:val="24"/>
          <w:szCs w:val="24"/>
        </w:rPr>
        <w:t>et al.</w:t>
      </w:r>
      <w:r w:rsidRPr="000855E1">
        <w:rPr>
          <w:rFonts w:ascii="Calibri" w:hAnsi="Calibri" w:cs="Calibri"/>
          <w:noProof/>
          <w:sz w:val="24"/>
          <w:szCs w:val="24"/>
        </w:rPr>
        <w:t xml:space="preserve"> Patients direct costs to undergo TB diagnosis. </w:t>
      </w:r>
      <w:r w:rsidRPr="000855E1">
        <w:rPr>
          <w:rFonts w:ascii="Calibri" w:hAnsi="Calibri" w:cs="Calibri"/>
          <w:i/>
          <w:iCs/>
          <w:noProof/>
          <w:sz w:val="24"/>
          <w:szCs w:val="24"/>
        </w:rPr>
        <w:t>Infect. Dis. Poverty</w:t>
      </w:r>
      <w:r w:rsidRPr="000855E1">
        <w:rPr>
          <w:rFonts w:ascii="Calibri" w:hAnsi="Calibri" w:cs="Calibri"/>
          <w:noProof/>
          <w:sz w:val="24"/>
          <w:szCs w:val="24"/>
        </w:rPr>
        <w:t xml:space="preserve"> </w:t>
      </w:r>
      <w:r w:rsidRPr="000855E1">
        <w:rPr>
          <w:rFonts w:ascii="Calibri" w:hAnsi="Calibri" w:cs="Calibri"/>
          <w:b/>
          <w:bCs/>
          <w:noProof/>
          <w:sz w:val="24"/>
          <w:szCs w:val="24"/>
        </w:rPr>
        <w:t>5</w:t>
      </w:r>
      <w:r w:rsidRPr="000855E1">
        <w:rPr>
          <w:rFonts w:ascii="Calibri" w:hAnsi="Calibri" w:cs="Calibri"/>
          <w:noProof/>
          <w:sz w:val="24"/>
          <w:szCs w:val="24"/>
        </w:rPr>
        <w:t>, 1–9 (2016).</w:t>
      </w:r>
    </w:p>
    <w:p w14:paraId="58B16D5F"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28.</w:t>
      </w:r>
      <w:r w:rsidRPr="000855E1">
        <w:rPr>
          <w:rFonts w:ascii="Calibri" w:hAnsi="Calibri" w:cs="Calibri"/>
          <w:noProof/>
          <w:sz w:val="24"/>
          <w:szCs w:val="24"/>
        </w:rPr>
        <w:tab/>
        <w:t xml:space="preserve">WHO. </w:t>
      </w:r>
      <w:r w:rsidRPr="000855E1">
        <w:rPr>
          <w:rFonts w:ascii="Calibri" w:hAnsi="Calibri" w:cs="Calibri"/>
          <w:i/>
          <w:iCs/>
          <w:noProof/>
          <w:sz w:val="24"/>
          <w:szCs w:val="24"/>
        </w:rPr>
        <w:t>World Health Organisation Global Tuberculosis Report 2018</w:t>
      </w:r>
      <w:r w:rsidRPr="000855E1">
        <w:rPr>
          <w:rFonts w:ascii="Calibri" w:hAnsi="Calibri" w:cs="Calibri"/>
          <w:noProof/>
          <w:sz w:val="24"/>
          <w:szCs w:val="24"/>
        </w:rPr>
        <w:t>. http://apps.who.int/bookorders. (2018).</w:t>
      </w:r>
    </w:p>
    <w:p w14:paraId="29BDBC9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29.</w:t>
      </w:r>
      <w:r w:rsidRPr="000855E1">
        <w:rPr>
          <w:rFonts w:ascii="Calibri" w:hAnsi="Calibri" w:cs="Calibri"/>
          <w:noProof/>
          <w:sz w:val="24"/>
          <w:szCs w:val="24"/>
        </w:rPr>
        <w:tab/>
        <w:t xml:space="preserve">Ha, A., Bijlsma, M. W., Malla, P., Shrestha, B. &amp; Delnoij, D. M. J. The road to tuberculosis treatment in rural Nepal : A qualitative assessment of 26 journeys. </w:t>
      </w:r>
      <w:r w:rsidRPr="000855E1">
        <w:rPr>
          <w:rFonts w:ascii="Calibri" w:hAnsi="Calibri" w:cs="Calibri"/>
          <w:i/>
          <w:iCs/>
          <w:noProof/>
          <w:sz w:val="24"/>
          <w:szCs w:val="24"/>
        </w:rPr>
        <w:t>BMC Health Serv. Res.</w:t>
      </w:r>
      <w:r w:rsidRPr="000855E1">
        <w:rPr>
          <w:rFonts w:ascii="Calibri" w:hAnsi="Calibri" w:cs="Calibri"/>
          <w:noProof/>
          <w:sz w:val="24"/>
          <w:szCs w:val="24"/>
        </w:rPr>
        <w:t xml:space="preserve"> </w:t>
      </w:r>
      <w:r w:rsidRPr="000855E1">
        <w:rPr>
          <w:rFonts w:ascii="Calibri" w:hAnsi="Calibri" w:cs="Calibri"/>
          <w:b/>
          <w:bCs/>
          <w:noProof/>
          <w:sz w:val="24"/>
          <w:szCs w:val="24"/>
        </w:rPr>
        <w:t>10</w:t>
      </w:r>
      <w:r w:rsidRPr="000855E1">
        <w:rPr>
          <w:rFonts w:ascii="Calibri" w:hAnsi="Calibri" w:cs="Calibri"/>
          <w:noProof/>
          <w:sz w:val="24"/>
          <w:szCs w:val="24"/>
        </w:rPr>
        <w:t>, 1–10 (2008).</w:t>
      </w:r>
    </w:p>
    <w:p w14:paraId="6EF9AA79"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30.</w:t>
      </w:r>
      <w:r w:rsidRPr="000855E1">
        <w:rPr>
          <w:rFonts w:ascii="Calibri" w:hAnsi="Calibri" w:cs="Calibri"/>
          <w:noProof/>
          <w:sz w:val="24"/>
          <w:szCs w:val="24"/>
        </w:rPr>
        <w:tab/>
        <w:t xml:space="preserve">Mascie-Taylor, N., Lucas, S., Powis, B. &amp; Mesko, N. </w:t>
      </w:r>
      <w:r w:rsidRPr="000855E1">
        <w:rPr>
          <w:rFonts w:ascii="Calibri" w:hAnsi="Calibri" w:cs="Calibri"/>
          <w:i/>
          <w:iCs/>
          <w:noProof/>
          <w:sz w:val="24"/>
          <w:szCs w:val="24"/>
        </w:rPr>
        <w:t>Regional Dimensions of Poverty and Vulnerability in Nepal - Background Reports. Department For International Development, UK.</w:t>
      </w:r>
      <w:r w:rsidRPr="000855E1">
        <w:rPr>
          <w:rFonts w:ascii="Calibri" w:hAnsi="Calibri" w:cs="Calibri"/>
          <w:noProof/>
          <w:sz w:val="24"/>
          <w:szCs w:val="24"/>
        </w:rPr>
        <w:t xml:space="preserve"> (2013).</w:t>
      </w:r>
    </w:p>
    <w:p w14:paraId="7B0DE32F"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31.</w:t>
      </w:r>
      <w:r w:rsidRPr="000855E1">
        <w:rPr>
          <w:rFonts w:ascii="Calibri" w:hAnsi="Calibri" w:cs="Calibri"/>
          <w:noProof/>
          <w:sz w:val="24"/>
          <w:szCs w:val="24"/>
        </w:rPr>
        <w:tab/>
        <w:t xml:space="preserve">Moore, G. </w:t>
      </w:r>
      <w:r w:rsidRPr="000855E1">
        <w:rPr>
          <w:rFonts w:ascii="Calibri" w:hAnsi="Calibri" w:cs="Calibri"/>
          <w:i/>
          <w:iCs/>
          <w:noProof/>
          <w:sz w:val="24"/>
          <w:szCs w:val="24"/>
        </w:rPr>
        <w:t>et al.</w:t>
      </w:r>
      <w:r w:rsidRPr="000855E1">
        <w:rPr>
          <w:rFonts w:ascii="Calibri" w:hAnsi="Calibri" w:cs="Calibri"/>
          <w:noProof/>
          <w:sz w:val="24"/>
          <w:szCs w:val="24"/>
        </w:rPr>
        <w:t xml:space="preserve"> Process evaluation of complex interventions. </w:t>
      </w:r>
      <w:r w:rsidRPr="000855E1">
        <w:rPr>
          <w:rFonts w:ascii="Calibri" w:hAnsi="Calibri" w:cs="Calibri"/>
          <w:i/>
          <w:iCs/>
          <w:noProof/>
          <w:sz w:val="24"/>
          <w:szCs w:val="24"/>
        </w:rPr>
        <w:t>Decipher.Uk.Net</w:t>
      </w:r>
      <w:r w:rsidRPr="000855E1">
        <w:rPr>
          <w:rFonts w:ascii="Calibri" w:hAnsi="Calibri" w:cs="Calibri"/>
          <w:noProof/>
          <w:sz w:val="24"/>
          <w:szCs w:val="24"/>
        </w:rPr>
        <w:t xml:space="preserve"> 19–75 (2014) doi:http://www.populationhealthsciences.org/MRC-PHSRN-Process-evaluation-guidance-final-2-.pdf.</w:t>
      </w:r>
    </w:p>
    <w:p w14:paraId="5ED16C65"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32.</w:t>
      </w:r>
      <w:r w:rsidRPr="000855E1">
        <w:rPr>
          <w:rFonts w:ascii="Calibri" w:hAnsi="Calibri" w:cs="Calibri"/>
          <w:noProof/>
          <w:sz w:val="24"/>
          <w:szCs w:val="24"/>
        </w:rPr>
        <w:tab/>
        <w:t xml:space="preserve">Gama, E. </w:t>
      </w:r>
      <w:r w:rsidRPr="000855E1">
        <w:rPr>
          <w:rFonts w:ascii="Calibri" w:hAnsi="Calibri" w:cs="Calibri"/>
          <w:i/>
          <w:iCs/>
          <w:noProof/>
          <w:sz w:val="24"/>
          <w:szCs w:val="24"/>
        </w:rPr>
        <w:t>et al.</w:t>
      </w:r>
      <w:r w:rsidRPr="000855E1">
        <w:rPr>
          <w:rFonts w:ascii="Calibri" w:hAnsi="Calibri" w:cs="Calibri"/>
          <w:noProof/>
          <w:sz w:val="24"/>
          <w:szCs w:val="24"/>
        </w:rPr>
        <w:t xml:space="preserve"> Economic evaluation of a shortened standardised treatment regimen of antituberculosis drugs for patients with multidrug-resistant tuberculosis (STREAM): Study protocol. </w:t>
      </w:r>
      <w:r w:rsidRPr="000855E1">
        <w:rPr>
          <w:rFonts w:ascii="Calibri" w:hAnsi="Calibri" w:cs="Calibri"/>
          <w:i/>
          <w:iCs/>
          <w:noProof/>
          <w:sz w:val="24"/>
          <w:szCs w:val="24"/>
        </w:rPr>
        <w:t>BMJ Open</w:t>
      </w:r>
      <w:r w:rsidRPr="000855E1">
        <w:rPr>
          <w:rFonts w:ascii="Calibri" w:hAnsi="Calibri" w:cs="Calibri"/>
          <w:noProof/>
          <w:sz w:val="24"/>
          <w:szCs w:val="24"/>
        </w:rPr>
        <w:t xml:space="preserve"> </w:t>
      </w:r>
      <w:r w:rsidRPr="000855E1">
        <w:rPr>
          <w:rFonts w:ascii="Calibri" w:hAnsi="Calibri" w:cs="Calibri"/>
          <w:b/>
          <w:bCs/>
          <w:noProof/>
          <w:sz w:val="24"/>
          <w:szCs w:val="24"/>
        </w:rPr>
        <w:t>6</w:t>
      </w:r>
      <w:r w:rsidRPr="000855E1">
        <w:rPr>
          <w:rFonts w:ascii="Calibri" w:hAnsi="Calibri" w:cs="Calibri"/>
          <w:noProof/>
          <w:sz w:val="24"/>
          <w:szCs w:val="24"/>
        </w:rPr>
        <w:t>, 1–7 (2016).</w:t>
      </w:r>
    </w:p>
    <w:p w14:paraId="2338554E"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33.</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Designing and implementing a socioeconomic intervention to enhance TB control: Operational evidence from the CRESIPT project in Peru. </w:t>
      </w:r>
      <w:r w:rsidRPr="000855E1">
        <w:rPr>
          <w:rFonts w:ascii="Calibri" w:hAnsi="Calibri" w:cs="Calibri"/>
          <w:i/>
          <w:iCs/>
          <w:noProof/>
          <w:sz w:val="24"/>
          <w:szCs w:val="24"/>
        </w:rPr>
        <w:t>BMC Public Health</w:t>
      </w:r>
      <w:r w:rsidRPr="000855E1">
        <w:rPr>
          <w:rFonts w:ascii="Calibri" w:hAnsi="Calibri" w:cs="Calibri"/>
          <w:noProof/>
          <w:sz w:val="24"/>
          <w:szCs w:val="24"/>
        </w:rPr>
        <w:t xml:space="preserve"> </w:t>
      </w:r>
      <w:r w:rsidRPr="000855E1">
        <w:rPr>
          <w:rFonts w:ascii="Calibri" w:hAnsi="Calibri" w:cs="Calibri"/>
          <w:b/>
          <w:bCs/>
          <w:noProof/>
          <w:sz w:val="24"/>
          <w:szCs w:val="24"/>
        </w:rPr>
        <w:t>15</w:t>
      </w:r>
      <w:r w:rsidRPr="000855E1">
        <w:rPr>
          <w:rFonts w:ascii="Calibri" w:hAnsi="Calibri" w:cs="Calibri"/>
          <w:noProof/>
          <w:sz w:val="24"/>
          <w:szCs w:val="24"/>
        </w:rPr>
        <w:t>, 1–16 (2015).</w:t>
      </w:r>
    </w:p>
    <w:p w14:paraId="432D596B"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34.</w:t>
      </w:r>
      <w:r w:rsidRPr="000855E1">
        <w:rPr>
          <w:rFonts w:ascii="Calibri" w:hAnsi="Calibri" w:cs="Calibri"/>
          <w:noProof/>
          <w:sz w:val="24"/>
          <w:szCs w:val="24"/>
        </w:rPr>
        <w:tab/>
        <w:t xml:space="preserve">Bonevski, B. </w:t>
      </w:r>
      <w:r w:rsidRPr="000855E1">
        <w:rPr>
          <w:rFonts w:ascii="Calibri" w:hAnsi="Calibri" w:cs="Calibri"/>
          <w:i/>
          <w:iCs/>
          <w:noProof/>
          <w:sz w:val="24"/>
          <w:szCs w:val="24"/>
        </w:rPr>
        <w:t>et al.</w:t>
      </w:r>
      <w:r w:rsidRPr="000855E1">
        <w:rPr>
          <w:rFonts w:ascii="Calibri" w:hAnsi="Calibri" w:cs="Calibri"/>
          <w:noProof/>
          <w:sz w:val="24"/>
          <w:szCs w:val="24"/>
        </w:rPr>
        <w:t xml:space="preserve"> Reaching the hard-to-reach: A systematic review of strategies for improving health and medical research with socially disadvantaged groups. </w:t>
      </w:r>
      <w:r w:rsidRPr="000855E1">
        <w:rPr>
          <w:rFonts w:ascii="Calibri" w:hAnsi="Calibri" w:cs="Calibri"/>
          <w:i/>
          <w:iCs/>
          <w:noProof/>
          <w:sz w:val="24"/>
          <w:szCs w:val="24"/>
        </w:rPr>
        <w:t>BMC Med. Res. Methodol.</w:t>
      </w:r>
      <w:r w:rsidRPr="000855E1">
        <w:rPr>
          <w:rFonts w:ascii="Calibri" w:hAnsi="Calibri" w:cs="Calibri"/>
          <w:noProof/>
          <w:sz w:val="24"/>
          <w:szCs w:val="24"/>
        </w:rPr>
        <w:t xml:space="preserve"> </w:t>
      </w:r>
      <w:r w:rsidRPr="000855E1">
        <w:rPr>
          <w:rFonts w:ascii="Calibri" w:hAnsi="Calibri" w:cs="Calibri"/>
          <w:b/>
          <w:bCs/>
          <w:noProof/>
          <w:sz w:val="24"/>
          <w:szCs w:val="24"/>
        </w:rPr>
        <w:t>14</w:t>
      </w:r>
      <w:r w:rsidRPr="000855E1">
        <w:rPr>
          <w:rFonts w:ascii="Calibri" w:hAnsi="Calibri" w:cs="Calibri"/>
          <w:noProof/>
          <w:sz w:val="24"/>
          <w:szCs w:val="24"/>
        </w:rPr>
        <w:t>, 1–29 (2014).</w:t>
      </w:r>
    </w:p>
    <w:p w14:paraId="3DCC2DAC"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35.</w:t>
      </w:r>
      <w:r w:rsidRPr="000855E1">
        <w:rPr>
          <w:rFonts w:ascii="Calibri" w:hAnsi="Calibri" w:cs="Calibri"/>
          <w:noProof/>
          <w:sz w:val="24"/>
          <w:szCs w:val="24"/>
        </w:rPr>
        <w:tab/>
        <w:t xml:space="preserve">Leung, G. M. </w:t>
      </w:r>
      <w:r w:rsidRPr="000855E1">
        <w:rPr>
          <w:rFonts w:ascii="Calibri" w:hAnsi="Calibri" w:cs="Calibri"/>
          <w:i/>
          <w:iCs/>
          <w:noProof/>
          <w:sz w:val="24"/>
          <w:szCs w:val="24"/>
        </w:rPr>
        <w:t>et al.</w:t>
      </w:r>
      <w:r w:rsidRPr="000855E1">
        <w:rPr>
          <w:rFonts w:ascii="Calibri" w:hAnsi="Calibri" w:cs="Calibri"/>
          <w:noProof/>
          <w:sz w:val="24"/>
          <w:szCs w:val="24"/>
        </w:rPr>
        <w:t xml:space="preserve"> Cohort profile: Family cohort. </w:t>
      </w:r>
      <w:r w:rsidRPr="000855E1">
        <w:rPr>
          <w:rFonts w:ascii="Calibri" w:hAnsi="Calibri" w:cs="Calibri"/>
          <w:i/>
          <w:iCs/>
          <w:noProof/>
          <w:sz w:val="24"/>
          <w:szCs w:val="24"/>
        </w:rPr>
        <w:t>Int. J. Epidemiol.</w:t>
      </w:r>
      <w:r w:rsidRPr="000855E1">
        <w:rPr>
          <w:rFonts w:ascii="Calibri" w:hAnsi="Calibri" w:cs="Calibri"/>
          <w:noProof/>
          <w:sz w:val="24"/>
          <w:szCs w:val="24"/>
        </w:rPr>
        <w:t xml:space="preserve"> </w:t>
      </w:r>
      <w:r w:rsidRPr="000855E1">
        <w:rPr>
          <w:rFonts w:ascii="Calibri" w:hAnsi="Calibri" w:cs="Calibri"/>
          <w:b/>
          <w:bCs/>
          <w:noProof/>
          <w:sz w:val="24"/>
          <w:szCs w:val="24"/>
        </w:rPr>
        <w:t>46</w:t>
      </w:r>
      <w:r w:rsidRPr="000855E1">
        <w:rPr>
          <w:rFonts w:ascii="Calibri" w:hAnsi="Calibri" w:cs="Calibri"/>
          <w:noProof/>
          <w:sz w:val="24"/>
          <w:szCs w:val="24"/>
        </w:rPr>
        <w:t>, 1–13 (2017).</w:t>
      </w:r>
    </w:p>
    <w:p w14:paraId="5D00E41E"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36.</w:t>
      </w:r>
      <w:r w:rsidRPr="000855E1">
        <w:rPr>
          <w:rFonts w:ascii="Calibri" w:hAnsi="Calibri" w:cs="Calibri"/>
          <w:noProof/>
          <w:sz w:val="24"/>
          <w:szCs w:val="24"/>
        </w:rPr>
        <w:tab/>
        <w:t xml:space="preserve">Krieger, N., Waterman, P. D., Chen, J. T., Soobader, M.-J. &amp; Subramanian, S. Monitoring Socioeconomic Inequalities in Sexually Transmitted Infections, Tuberculosis, and Violence: Geocoding and Choice of Area-Based Socioeconomic Measures—The Public Health Disparities Geocoding Project (US). </w:t>
      </w:r>
      <w:r w:rsidRPr="000855E1">
        <w:rPr>
          <w:rFonts w:ascii="Calibri" w:hAnsi="Calibri" w:cs="Calibri"/>
          <w:i/>
          <w:iCs/>
          <w:noProof/>
          <w:sz w:val="24"/>
          <w:szCs w:val="24"/>
        </w:rPr>
        <w:t>Public Health Rep.</w:t>
      </w:r>
      <w:r w:rsidRPr="000855E1">
        <w:rPr>
          <w:rFonts w:ascii="Calibri" w:hAnsi="Calibri" w:cs="Calibri"/>
          <w:noProof/>
          <w:sz w:val="24"/>
          <w:szCs w:val="24"/>
        </w:rPr>
        <w:t xml:space="preserve"> </w:t>
      </w:r>
      <w:r w:rsidRPr="000855E1">
        <w:rPr>
          <w:rFonts w:ascii="Calibri" w:hAnsi="Calibri" w:cs="Calibri"/>
          <w:b/>
          <w:bCs/>
          <w:noProof/>
          <w:sz w:val="24"/>
          <w:szCs w:val="24"/>
        </w:rPr>
        <w:lastRenderedPageBreak/>
        <w:t>118</w:t>
      </w:r>
      <w:r w:rsidRPr="000855E1">
        <w:rPr>
          <w:rFonts w:ascii="Calibri" w:hAnsi="Calibri" w:cs="Calibri"/>
          <w:noProof/>
          <w:sz w:val="24"/>
          <w:szCs w:val="24"/>
        </w:rPr>
        <w:t>, 240–260 (2003).</w:t>
      </w:r>
    </w:p>
    <w:p w14:paraId="063C3B6D"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37.</w:t>
      </w:r>
      <w:r w:rsidRPr="000855E1">
        <w:rPr>
          <w:rFonts w:ascii="Calibri" w:hAnsi="Calibri" w:cs="Calibri"/>
          <w:noProof/>
          <w:sz w:val="24"/>
          <w:szCs w:val="24"/>
        </w:rPr>
        <w:tab/>
        <w:t xml:space="preserve">Report, M. W. Guidelines for the investigation of contacts of persons with infectious tuberculosis. Recommendations from the National Tuberculosis Controllers Association and CDC. </w:t>
      </w:r>
      <w:r w:rsidRPr="000855E1">
        <w:rPr>
          <w:rFonts w:ascii="Calibri" w:hAnsi="Calibri" w:cs="Calibri"/>
          <w:i/>
          <w:iCs/>
          <w:noProof/>
          <w:sz w:val="24"/>
          <w:szCs w:val="24"/>
        </w:rPr>
        <w:t>MMWR. Recomm. Rep.</w:t>
      </w:r>
      <w:r w:rsidRPr="000855E1">
        <w:rPr>
          <w:rFonts w:ascii="Calibri" w:hAnsi="Calibri" w:cs="Calibri"/>
          <w:noProof/>
          <w:sz w:val="24"/>
          <w:szCs w:val="24"/>
        </w:rPr>
        <w:t xml:space="preserve"> </w:t>
      </w:r>
      <w:r w:rsidRPr="000855E1">
        <w:rPr>
          <w:rFonts w:ascii="Calibri" w:hAnsi="Calibri" w:cs="Calibri"/>
          <w:b/>
          <w:bCs/>
          <w:noProof/>
          <w:sz w:val="24"/>
          <w:szCs w:val="24"/>
        </w:rPr>
        <w:t>54</w:t>
      </w:r>
      <w:r w:rsidRPr="000855E1">
        <w:rPr>
          <w:rFonts w:ascii="Calibri" w:hAnsi="Calibri" w:cs="Calibri"/>
          <w:noProof/>
          <w:sz w:val="24"/>
          <w:szCs w:val="24"/>
        </w:rPr>
        <w:t>, 1–47 (2005).</w:t>
      </w:r>
    </w:p>
    <w:p w14:paraId="4FC086FC"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38.</w:t>
      </w:r>
      <w:r w:rsidRPr="000855E1">
        <w:rPr>
          <w:rFonts w:ascii="Calibri" w:hAnsi="Calibri" w:cs="Calibri"/>
          <w:noProof/>
          <w:sz w:val="24"/>
          <w:szCs w:val="24"/>
        </w:rPr>
        <w:tab/>
        <w:t xml:space="preserve">World Health Organization (WHO). </w:t>
      </w:r>
      <w:r w:rsidRPr="000855E1">
        <w:rPr>
          <w:rFonts w:ascii="Calibri" w:hAnsi="Calibri" w:cs="Calibri"/>
          <w:i/>
          <w:iCs/>
          <w:noProof/>
          <w:sz w:val="24"/>
          <w:szCs w:val="24"/>
        </w:rPr>
        <w:t>Tuberculosis patient cost survey: a handbook</w:t>
      </w:r>
      <w:r w:rsidRPr="000855E1">
        <w:rPr>
          <w:rFonts w:ascii="Calibri" w:hAnsi="Calibri" w:cs="Calibri"/>
          <w:noProof/>
          <w:sz w:val="24"/>
          <w:szCs w:val="24"/>
        </w:rPr>
        <w:t>. (2017).</w:t>
      </w:r>
    </w:p>
    <w:p w14:paraId="280748D7"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39.</w:t>
      </w:r>
      <w:r w:rsidRPr="000855E1">
        <w:rPr>
          <w:rFonts w:ascii="Calibri" w:hAnsi="Calibri" w:cs="Calibri"/>
          <w:noProof/>
          <w:sz w:val="24"/>
          <w:szCs w:val="24"/>
        </w:rPr>
        <w:tab/>
        <w:t xml:space="preserve">Rai, B. </w:t>
      </w:r>
      <w:r w:rsidRPr="000855E1">
        <w:rPr>
          <w:rFonts w:ascii="Calibri" w:hAnsi="Calibri" w:cs="Calibri"/>
          <w:i/>
          <w:iCs/>
          <w:noProof/>
          <w:sz w:val="24"/>
          <w:szCs w:val="24"/>
        </w:rPr>
        <w:t>et al.</w:t>
      </w:r>
      <w:r w:rsidRPr="000855E1">
        <w:rPr>
          <w:rFonts w:ascii="Calibri" w:hAnsi="Calibri" w:cs="Calibri"/>
          <w:noProof/>
          <w:sz w:val="24"/>
          <w:szCs w:val="24"/>
        </w:rPr>
        <w:t xml:space="preserve"> Supplementary File: Developing feasible, locally appropriate socioeconomic support for TB-affected households in Nepal. </w:t>
      </w:r>
      <w:r w:rsidRPr="000855E1">
        <w:rPr>
          <w:rFonts w:ascii="Calibri" w:hAnsi="Calibri" w:cs="Calibri"/>
          <w:i/>
          <w:iCs/>
          <w:noProof/>
          <w:sz w:val="24"/>
          <w:szCs w:val="24"/>
        </w:rPr>
        <w:t>Trop. Med. Infect. Dis.</w:t>
      </w:r>
      <w:r w:rsidRPr="000855E1">
        <w:rPr>
          <w:rFonts w:ascii="Calibri" w:hAnsi="Calibri" w:cs="Calibri"/>
          <w:noProof/>
          <w:sz w:val="24"/>
          <w:szCs w:val="24"/>
        </w:rPr>
        <w:t xml:space="preserve"> </w:t>
      </w:r>
      <w:r w:rsidRPr="000855E1">
        <w:rPr>
          <w:rFonts w:ascii="Calibri" w:hAnsi="Calibri" w:cs="Calibri"/>
          <w:b/>
          <w:bCs/>
          <w:noProof/>
          <w:sz w:val="24"/>
          <w:szCs w:val="24"/>
        </w:rPr>
        <w:t>5</w:t>
      </w:r>
      <w:r w:rsidRPr="000855E1">
        <w:rPr>
          <w:rFonts w:ascii="Calibri" w:hAnsi="Calibri" w:cs="Calibri"/>
          <w:noProof/>
          <w:sz w:val="24"/>
          <w:szCs w:val="24"/>
        </w:rPr>
        <w:t>, 1–15 (2020).</w:t>
      </w:r>
    </w:p>
    <w:p w14:paraId="3A822B09"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40.</w:t>
      </w:r>
      <w:r w:rsidRPr="000855E1">
        <w:rPr>
          <w:rFonts w:ascii="Calibri" w:hAnsi="Calibri" w:cs="Calibri"/>
          <w:noProof/>
          <w:sz w:val="24"/>
          <w:szCs w:val="24"/>
        </w:rPr>
        <w:tab/>
        <w:t xml:space="preserve">Dixit, K. </w:t>
      </w:r>
      <w:r w:rsidRPr="000855E1">
        <w:rPr>
          <w:rFonts w:ascii="Calibri" w:hAnsi="Calibri" w:cs="Calibri"/>
          <w:i/>
          <w:iCs/>
          <w:noProof/>
          <w:sz w:val="24"/>
          <w:szCs w:val="24"/>
        </w:rPr>
        <w:t>et al.</w:t>
      </w:r>
      <w:r w:rsidRPr="000855E1">
        <w:rPr>
          <w:rFonts w:ascii="Calibri" w:hAnsi="Calibri" w:cs="Calibri"/>
          <w:noProof/>
          <w:sz w:val="24"/>
          <w:szCs w:val="24"/>
        </w:rPr>
        <w:t xml:space="preserve"> Research protocol for a mixed-methods study to characterise and address the socioeconomic impact of accessing TB diagnosis and care in Nepal [ version 1 ; peer review : awaiting peer review ]. </w:t>
      </w:r>
      <w:r w:rsidRPr="000855E1">
        <w:rPr>
          <w:rFonts w:ascii="Calibri" w:hAnsi="Calibri" w:cs="Calibri"/>
          <w:i/>
          <w:iCs/>
          <w:noProof/>
          <w:sz w:val="24"/>
          <w:szCs w:val="24"/>
        </w:rPr>
        <w:t>Wellcome Open Res.</w:t>
      </w:r>
      <w:r w:rsidRPr="000855E1">
        <w:rPr>
          <w:rFonts w:ascii="Calibri" w:hAnsi="Calibri" w:cs="Calibri"/>
          <w:noProof/>
          <w:sz w:val="24"/>
          <w:szCs w:val="24"/>
        </w:rPr>
        <w:t xml:space="preserve"> </w:t>
      </w:r>
      <w:r w:rsidRPr="000855E1">
        <w:rPr>
          <w:rFonts w:ascii="Calibri" w:hAnsi="Calibri" w:cs="Calibri"/>
          <w:b/>
          <w:bCs/>
          <w:noProof/>
          <w:sz w:val="24"/>
          <w:szCs w:val="24"/>
        </w:rPr>
        <w:t>5</w:t>
      </w:r>
      <w:r w:rsidRPr="000855E1">
        <w:rPr>
          <w:rFonts w:ascii="Calibri" w:hAnsi="Calibri" w:cs="Calibri"/>
          <w:noProof/>
          <w:sz w:val="24"/>
          <w:szCs w:val="24"/>
        </w:rPr>
        <w:t>, 1–10 (2020).</w:t>
      </w:r>
    </w:p>
    <w:p w14:paraId="2EB9C45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41.</w:t>
      </w:r>
      <w:r w:rsidRPr="000855E1">
        <w:rPr>
          <w:rFonts w:ascii="Calibri" w:hAnsi="Calibri" w:cs="Calibri"/>
          <w:noProof/>
          <w:sz w:val="24"/>
          <w:szCs w:val="24"/>
        </w:rPr>
        <w:tab/>
        <w:t xml:space="preserve">Sharma, S., Pathak, A., Abbott, J. H. &amp; Jensen, M. P. Measurement properties of the Nepali version of the Connor Davidson resilience scales in individuals with chronic pain. </w:t>
      </w:r>
      <w:r w:rsidRPr="000855E1">
        <w:rPr>
          <w:rFonts w:ascii="Calibri" w:hAnsi="Calibri" w:cs="Calibri"/>
          <w:i/>
          <w:iCs/>
          <w:noProof/>
          <w:sz w:val="24"/>
          <w:szCs w:val="24"/>
        </w:rPr>
        <w:t>Heal. Qual. Life Outcomes 2018 161</w:t>
      </w:r>
      <w:r w:rsidRPr="000855E1">
        <w:rPr>
          <w:rFonts w:ascii="Calibri" w:hAnsi="Calibri" w:cs="Calibri"/>
          <w:noProof/>
          <w:sz w:val="24"/>
          <w:szCs w:val="24"/>
        </w:rPr>
        <w:t xml:space="preserve"> </w:t>
      </w:r>
      <w:r w:rsidRPr="000855E1">
        <w:rPr>
          <w:rFonts w:ascii="Calibri" w:hAnsi="Calibri" w:cs="Calibri"/>
          <w:b/>
          <w:bCs/>
          <w:noProof/>
          <w:sz w:val="24"/>
          <w:szCs w:val="24"/>
        </w:rPr>
        <w:t>16</w:t>
      </w:r>
      <w:r w:rsidRPr="000855E1">
        <w:rPr>
          <w:rFonts w:ascii="Calibri" w:hAnsi="Calibri" w:cs="Calibri"/>
          <w:noProof/>
          <w:sz w:val="24"/>
          <w:szCs w:val="24"/>
        </w:rPr>
        <w:t>, 1–11 (2018).</w:t>
      </w:r>
    </w:p>
    <w:p w14:paraId="27AD65A4"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42.</w:t>
      </w:r>
      <w:r w:rsidRPr="000855E1">
        <w:rPr>
          <w:rFonts w:ascii="Calibri" w:hAnsi="Calibri" w:cs="Calibri"/>
          <w:noProof/>
          <w:sz w:val="24"/>
          <w:szCs w:val="24"/>
        </w:rPr>
        <w:tab/>
        <w:t xml:space="preserve">Stop TB Partnership &amp; UNOPS. </w:t>
      </w:r>
      <w:r w:rsidRPr="000855E1">
        <w:rPr>
          <w:rFonts w:ascii="Calibri" w:hAnsi="Calibri" w:cs="Calibri"/>
          <w:i/>
          <w:iCs/>
          <w:noProof/>
          <w:sz w:val="24"/>
          <w:szCs w:val="24"/>
        </w:rPr>
        <w:t>TB Stigma Assessment: Implementation Handbook</w:t>
      </w:r>
      <w:r w:rsidRPr="000855E1">
        <w:rPr>
          <w:rFonts w:ascii="Calibri" w:hAnsi="Calibri" w:cs="Calibri"/>
          <w:noProof/>
          <w:sz w:val="24"/>
          <w:szCs w:val="24"/>
        </w:rPr>
        <w:t>. (2019) doi:10.1017/CBO9781107415324.004.</w:t>
      </w:r>
    </w:p>
    <w:p w14:paraId="422114F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43.</w:t>
      </w:r>
      <w:r w:rsidRPr="000855E1">
        <w:rPr>
          <w:rFonts w:ascii="Calibri" w:hAnsi="Calibri" w:cs="Calibri"/>
          <w:noProof/>
          <w:sz w:val="24"/>
          <w:szCs w:val="24"/>
        </w:rPr>
        <w:tab/>
        <w:t xml:space="preserve">Stop TB Partnership &amp; UNOPS. </w:t>
      </w:r>
      <w:r w:rsidRPr="000855E1">
        <w:rPr>
          <w:rFonts w:ascii="Calibri" w:hAnsi="Calibri" w:cs="Calibri"/>
          <w:i/>
          <w:iCs/>
          <w:noProof/>
          <w:sz w:val="24"/>
          <w:szCs w:val="24"/>
        </w:rPr>
        <w:t>TB Stigma Assessment: Data Collection Instruments</w:t>
      </w:r>
      <w:r w:rsidRPr="000855E1">
        <w:rPr>
          <w:rFonts w:ascii="Calibri" w:hAnsi="Calibri" w:cs="Calibri"/>
          <w:noProof/>
          <w:sz w:val="24"/>
          <w:szCs w:val="24"/>
        </w:rPr>
        <w:t>. (2019).</w:t>
      </w:r>
    </w:p>
    <w:p w14:paraId="0A2E90D7"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44.</w:t>
      </w:r>
      <w:r w:rsidRPr="000855E1">
        <w:rPr>
          <w:rFonts w:ascii="Calibri" w:hAnsi="Calibri" w:cs="Calibri"/>
          <w:noProof/>
          <w:sz w:val="24"/>
          <w:szCs w:val="24"/>
        </w:rPr>
        <w:tab/>
        <w:t xml:space="preserve">Wingfield, T. </w:t>
      </w:r>
      <w:r w:rsidRPr="000855E1">
        <w:rPr>
          <w:rFonts w:ascii="Calibri" w:hAnsi="Calibri" w:cs="Calibri"/>
          <w:i/>
          <w:iCs/>
          <w:noProof/>
          <w:sz w:val="24"/>
          <w:szCs w:val="24"/>
        </w:rPr>
        <w:t>et al.</w:t>
      </w:r>
      <w:r w:rsidRPr="000855E1">
        <w:rPr>
          <w:rFonts w:ascii="Calibri" w:hAnsi="Calibri" w:cs="Calibri"/>
          <w:noProof/>
          <w:sz w:val="24"/>
          <w:szCs w:val="24"/>
        </w:rPr>
        <w:t xml:space="preserve"> The CRESIPT project: community feedback and practical challenges of conditional cash transfers for TB-affected households in Peru. Invited oral abstract presentation. </w:t>
      </w:r>
      <w:r w:rsidRPr="000855E1">
        <w:rPr>
          <w:rFonts w:ascii="Calibri" w:hAnsi="Calibri" w:cs="Calibri"/>
          <w:i/>
          <w:iCs/>
          <w:noProof/>
          <w:sz w:val="24"/>
          <w:szCs w:val="24"/>
        </w:rPr>
        <w:t>Int. J. Tuberc. Lung Dis.</w:t>
      </w:r>
      <w:r w:rsidRPr="000855E1">
        <w:rPr>
          <w:rFonts w:ascii="Calibri" w:hAnsi="Calibri" w:cs="Calibri"/>
          <w:noProof/>
          <w:sz w:val="24"/>
          <w:szCs w:val="24"/>
        </w:rPr>
        <w:t xml:space="preserve"> </w:t>
      </w:r>
      <w:r w:rsidRPr="000855E1">
        <w:rPr>
          <w:rFonts w:ascii="Calibri" w:hAnsi="Calibri" w:cs="Calibri"/>
          <w:b/>
          <w:bCs/>
          <w:noProof/>
          <w:sz w:val="24"/>
          <w:szCs w:val="24"/>
        </w:rPr>
        <w:t>Supplement</w:t>
      </w:r>
      <w:r w:rsidRPr="000855E1">
        <w:rPr>
          <w:rFonts w:ascii="Calibri" w:hAnsi="Calibri" w:cs="Calibri"/>
          <w:noProof/>
          <w:sz w:val="24"/>
          <w:szCs w:val="24"/>
        </w:rPr>
        <w:t>, (2014).</w:t>
      </w:r>
    </w:p>
    <w:p w14:paraId="37774FA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45.</w:t>
      </w:r>
      <w:r w:rsidRPr="000855E1">
        <w:rPr>
          <w:rFonts w:ascii="Calibri" w:hAnsi="Calibri" w:cs="Calibri"/>
          <w:noProof/>
          <w:sz w:val="24"/>
          <w:szCs w:val="24"/>
        </w:rPr>
        <w:tab/>
        <w:t xml:space="preserve">Williamson, J., Ramirez, R. &amp; Wingfield, T. Health, Healthcare Access, and Use of Traditional Versus Modern Medicine in Remote Peruvian Amazon Communities: A Descriptive Study of Knowledge, Attitudes, and Practices. </w:t>
      </w:r>
      <w:r w:rsidRPr="000855E1">
        <w:rPr>
          <w:rFonts w:ascii="Calibri" w:hAnsi="Calibri" w:cs="Calibri"/>
          <w:i/>
          <w:iCs/>
          <w:noProof/>
          <w:sz w:val="24"/>
          <w:szCs w:val="24"/>
        </w:rPr>
        <w:t>Am. J. Trop. Med. Hyg.</w:t>
      </w:r>
      <w:r w:rsidRPr="000855E1">
        <w:rPr>
          <w:rFonts w:ascii="Calibri" w:hAnsi="Calibri" w:cs="Calibri"/>
          <w:noProof/>
          <w:sz w:val="24"/>
          <w:szCs w:val="24"/>
        </w:rPr>
        <w:t xml:space="preserve"> (2015) doi:10.4269/ajtmh.14-0536.</w:t>
      </w:r>
    </w:p>
    <w:p w14:paraId="7737F22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46.</w:t>
      </w:r>
      <w:r w:rsidRPr="000855E1">
        <w:rPr>
          <w:rFonts w:ascii="Calibri" w:hAnsi="Calibri" w:cs="Calibri"/>
          <w:noProof/>
          <w:sz w:val="24"/>
          <w:szCs w:val="24"/>
        </w:rPr>
        <w:tab/>
        <w:t xml:space="preserve">Peters, D. H., Adam, T., Alonge, O., Agyepong, I. A. &amp; Tran, N. Republished research: Implementation research: What it is and how to do it. </w:t>
      </w:r>
      <w:r w:rsidRPr="000855E1">
        <w:rPr>
          <w:rFonts w:ascii="Calibri" w:hAnsi="Calibri" w:cs="Calibri"/>
          <w:i/>
          <w:iCs/>
          <w:noProof/>
          <w:sz w:val="24"/>
          <w:szCs w:val="24"/>
        </w:rPr>
        <w:t>Br. J. Sports Med.</w:t>
      </w:r>
      <w:r w:rsidRPr="000855E1">
        <w:rPr>
          <w:rFonts w:ascii="Calibri" w:hAnsi="Calibri" w:cs="Calibri"/>
          <w:noProof/>
          <w:sz w:val="24"/>
          <w:szCs w:val="24"/>
        </w:rPr>
        <w:t xml:space="preserve"> </w:t>
      </w:r>
      <w:r w:rsidRPr="000855E1">
        <w:rPr>
          <w:rFonts w:ascii="Calibri" w:hAnsi="Calibri" w:cs="Calibri"/>
          <w:b/>
          <w:bCs/>
          <w:noProof/>
          <w:sz w:val="24"/>
          <w:szCs w:val="24"/>
        </w:rPr>
        <w:t>48</w:t>
      </w:r>
      <w:r w:rsidRPr="000855E1">
        <w:rPr>
          <w:rFonts w:ascii="Calibri" w:hAnsi="Calibri" w:cs="Calibri"/>
          <w:noProof/>
          <w:sz w:val="24"/>
          <w:szCs w:val="24"/>
        </w:rPr>
        <w:t>, 731–736 (2014).</w:t>
      </w:r>
    </w:p>
    <w:p w14:paraId="38513090"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47.</w:t>
      </w:r>
      <w:r w:rsidRPr="000855E1">
        <w:rPr>
          <w:rFonts w:ascii="Calibri" w:hAnsi="Calibri" w:cs="Calibri"/>
          <w:noProof/>
          <w:sz w:val="24"/>
          <w:szCs w:val="24"/>
        </w:rPr>
        <w:tab/>
        <w:t xml:space="preserve">Proctor, E. K., Powell, B. J. &amp; McMillen, J. C. Implementation strategies: Recommendations for specifying and reporting. </w:t>
      </w:r>
      <w:r w:rsidRPr="000855E1">
        <w:rPr>
          <w:rFonts w:ascii="Calibri" w:hAnsi="Calibri" w:cs="Calibri"/>
          <w:i/>
          <w:iCs/>
          <w:noProof/>
          <w:sz w:val="24"/>
          <w:szCs w:val="24"/>
        </w:rPr>
        <w:t>Implement. Sci.</w:t>
      </w:r>
      <w:r w:rsidRPr="000855E1">
        <w:rPr>
          <w:rFonts w:ascii="Calibri" w:hAnsi="Calibri" w:cs="Calibri"/>
          <w:noProof/>
          <w:sz w:val="24"/>
          <w:szCs w:val="24"/>
        </w:rPr>
        <w:t xml:space="preserve"> </w:t>
      </w:r>
      <w:r w:rsidRPr="000855E1">
        <w:rPr>
          <w:rFonts w:ascii="Calibri" w:hAnsi="Calibri" w:cs="Calibri"/>
          <w:b/>
          <w:bCs/>
          <w:noProof/>
          <w:sz w:val="24"/>
          <w:szCs w:val="24"/>
        </w:rPr>
        <w:t>8</w:t>
      </w:r>
      <w:r w:rsidRPr="000855E1">
        <w:rPr>
          <w:rFonts w:ascii="Calibri" w:hAnsi="Calibri" w:cs="Calibri"/>
          <w:noProof/>
          <w:sz w:val="24"/>
          <w:szCs w:val="24"/>
        </w:rPr>
        <w:t>, 1–11 (2013).</w:t>
      </w:r>
    </w:p>
    <w:p w14:paraId="1DC0C3EE"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48.</w:t>
      </w:r>
      <w:r w:rsidRPr="000855E1">
        <w:rPr>
          <w:rFonts w:ascii="Calibri" w:hAnsi="Calibri" w:cs="Calibri"/>
          <w:noProof/>
          <w:sz w:val="24"/>
          <w:szCs w:val="24"/>
        </w:rPr>
        <w:tab/>
        <w:t xml:space="preserve">Pinnock, H. </w:t>
      </w:r>
      <w:r w:rsidRPr="000855E1">
        <w:rPr>
          <w:rFonts w:ascii="Calibri" w:hAnsi="Calibri" w:cs="Calibri"/>
          <w:i/>
          <w:iCs/>
          <w:noProof/>
          <w:sz w:val="24"/>
          <w:szCs w:val="24"/>
        </w:rPr>
        <w:t>et al.</w:t>
      </w:r>
      <w:r w:rsidRPr="000855E1">
        <w:rPr>
          <w:rFonts w:ascii="Calibri" w:hAnsi="Calibri" w:cs="Calibri"/>
          <w:noProof/>
          <w:sz w:val="24"/>
          <w:szCs w:val="24"/>
        </w:rPr>
        <w:t xml:space="preserve"> Standards for Reporting Implementation Studies (StaRI) Statement. </w:t>
      </w:r>
      <w:r w:rsidRPr="000855E1">
        <w:rPr>
          <w:rFonts w:ascii="Calibri" w:hAnsi="Calibri" w:cs="Calibri"/>
          <w:i/>
          <w:iCs/>
          <w:noProof/>
          <w:sz w:val="24"/>
          <w:szCs w:val="24"/>
        </w:rPr>
        <w:t>BMJ</w:t>
      </w:r>
      <w:r w:rsidRPr="000855E1">
        <w:rPr>
          <w:rFonts w:ascii="Calibri" w:hAnsi="Calibri" w:cs="Calibri"/>
          <w:noProof/>
          <w:sz w:val="24"/>
          <w:szCs w:val="24"/>
        </w:rPr>
        <w:t xml:space="preserve"> </w:t>
      </w:r>
      <w:r w:rsidRPr="000855E1">
        <w:rPr>
          <w:rFonts w:ascii="Calibri" w:hAnsi="Calibri" w:cs="Calibri"/>
          <w:b/>
          <w:bCs/>
          <w:noProof/>
          <w:sz w:val="24"/>
          <w:szCs w:val="24"/>
        </w:rPr>
        <w:t>356</w:t>
      </w:r>
      <w:r w:rsidRPr="000855E1">
        <w:rPr>
          <w:rFonts w:ascii="Calibri" w:hAnsi="Calibri" w:cs="Calibri"/>
          <w:noProof/>
          <w:sz w:val="24"/>
          <w:szCs w:val="24"/>
        </w:rPr>
        <w:t>, 1–9 (2017).</w:t>
      </w:r>
    </w:p>
    <w:p w14:paraId="07293D1C"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49.</w:t>
      </w:r>
      <w:r w:rsidRPr="000855E1">
        <w:rPr>
          <w:rFonts w:ascii="Calibri" w:hAnsi="Calibri" w:cs="Calibri"/>
          <w:noProof/>
          <w:sz w:val="24"/>
          <w:szCs w:val="24"/>
        </w:rPr>
        <w:tab/>
        <w:t xml:space="preserve">Murray, E. </w:t>
      </w:r>
      <w:r w:rsidRPr="000855E1">
        <w:rPr>
          <w:rFonts w:ascii="Calibri" w:hAnsi="Calibri" w:cs="Calibri"/>
          <w:i/>
          <w:iCs/>
          <w:noProof/>
          <w:sz w:val="24"/>
          <w:szCs w:val="24"/>
        </w:rPr>
        <w:t>et al.</w:t>
      </w:r>
      <w:r w:rsidRPr="000855E1">
        <w:rPr>
          <w:rFonts w:ascii="Calibri" w:hAnsi="Calibri" w:cs="Calibri"/>
          <w:noProof/>
          <w:sz w:val="24"/>
          <w:szCs w:val="24"/>
        </w:rPr>
        <w:t xml:space="preserve"> Normalisation process theory: A framework for developing, evaluating and implementing complex interventions. </w:t>
      </w:r>
      <w:r w:rsidRPr="000855E1">
        <w:rPr>
          <w:rFonts w:ascii="Calibri" w:hAnsi="Calibri" w:cs="Calibri"/>
          <w:i/>
          <w:iCs/>
          <w:noProof/>
          <w:sz w:val="24"/>
          <w:szCs w:val="24"/>
        </w:rPr>
        <w:t>BMC Med.</w:t>
      </w:r>
      <w:r w:rsidRPr="000855E1">
        <w:rPr>
          <w:rFonts w:ascii="Calibri" w:hAnsi="Calibri" w:cs="Calibri"/>
          <w:noProof/>
          <w:sz w:val="24"/>
          <w:szCs w:val="24"/>
        </w:rPr>
        <w:t xml:space="preserve"> </w:t>
      </w:r>
      <w:r w:rsidRPr="000855E1">
        <w:rPr>
          <w:rFonts w:ascii="Calibri" w:hAnsi="Calibri" w:cs="Calibri"/>
          <w:b/>
          <w:bCs/>
          <w:noProof/>
          <w:sz w:val="24"/>
          <w:szCs w:val="24"/>
        </w:rPr>
        <w:t>8</w:t>
      </w:r>
      <w:r w:rsidRPr="000855E1">
        <w:rPr>
          <w:rFonts w:ascii="Calibri" w:hAnsi="Calibri" w:cs="Calibri"/>
          <w:noProof/>
          <w:sz w:val="24"/>
          <w:szCs w:val="24"/>
        </w:rPr>
        <w:t>, (2010).</w:t>
      </w:r>
    </w:p>
    <w:p w14:paraId="5419FEC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50.</w:t>
      </w:r>
      <w:r w:rsidRPr="000855E1">
        <w:rPr>
          <w:rFonts w:ascii="Calibri" w:hAnsi="Calibri" w:cs="Calibri"/>
          <w:noProof/>
          <w:sz w:val="24"/>
          <w:szCs w:val="24"/>
        </w:rPr>
        <w:tab/>
        <w:t xml:space="preserve">Rapley, T. </w:t>
      </w:r>
      <w:r w:rsidRPr="000855E1">
        <w:rPr>
          <w:rFonts w:ascii="Calibri" w:hAnsi="Calibri" w:cs="Calibri"/>
          <w:i/>
          <w:iCs/>
          <w:noProof/>
          <w:sz w:val="24"/>
          <w:szCs w:val="24"/>
        </w:rPr>
        <w:t>et al.</w:t>
      </w:r>
      <w:r w:rsidRPr="000855E1">
        <w:rPr>
          <w:rFonts w:ascii="Calibri" w:hAnsi="Calibri" w:cs="Calibri"/>
          <w:noProof/>
          <w:sz w:val="24"/>
          <w:szCs w:val="24"/>
        </w:rPr>
        <w:t xml:space="preserve"> Improving the normalization of complex interventions: Part 1 - Development of the NoMAD instrument for assessing implementation work based on normalization process theory (NPT) 17 Psychology and Cognitive Sciences 1701 Psychology. </w:t>
      </w:r>
      <w:r w:rsidRPr="000855E1">
        <w:rPr>
          <w:rFonts w:ascii="Calibri" w:hAnsi="Calibri" w:cs="Calibri"/>
          <w:i/>
          <w:iCs/>
          <w:noProof/>
          <w:sz w:val="24"/>
          <w:szCs w:val="24"/>
        </w:rPr>
        <w:t>BMC Med. Res. Methodol.</w:t>
      </w:r>
      <w:r w:rsidRPr="000855E1">
        <w:rPr>
          <w:rFonts w:ascii="Calibri" w:hAnsi="Calibri" w:cs="Calibri"/>
          <w:noProof/>
          <w:sz w:val="24"/>
          <w:szCs w:val="24"/>
        </w:rPr>
        <w:t xml:space="preserve"> </w:t>
      </w:r>
      <w:r w:rsidRPr="000855E1">
        <w:rPr>
          <w:rFonts w:ascii="Calibri" w:hAnsi="Calibri" w:cs="Calibri"/>
          <w:b/>
          <w:bCs/>
          <w:noProof/>
          <w:sz w:val="24"/>
          <w:szCs w:val="24"/>
        </w:rPr>
        <w:t>18</w:t>
      </w:r>
      <w:r w:rsidRPr="000855E1">
        <w:rPr>
          <w:rFonts w:ascii="Calibri" w:hAnsi="Calibri" w:cs="Calibri"/>
          <w:noProof/>
          <w:sz w:val="24"/>
          <w:szCs w:val="24"/>
        </w:rPr>
        <w:t>, 1–13 (2018).</w:t>
      </w:r>
    </w:p>
    <w:p w14:paraId="044F6366"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51.</w:t>
      </w:r>
      <w:r w:rsidRPr="000855E1">
        <w:rPr>
          <w:rFonts w:ascii="Calibri" w:hAnsi="Calibri" w:cs="Calibri"/>
          <w:noProof/>
          <w:sz w:val="24"/>
          <w:szCs w:val="24"/>
        </w:rPr>
        <w:tab/>
        <w:t xml:space="preserve">Palmcrantz, S. </w:t>
      </w:r>
      <w:r w:rsidRPr="000855E1">
        <w:rPr>
          <w:rFonts w:ascii="Calibri" w:hAnsi="Calibri" w:cs="Calibri"/>
          <w:i/>
          <w:iCs/>
          <w:noProof/>
          <w:sz w:val="24"/>
          <w:szCs w:val="24"/>
        </w:rPr>
        <w:t>et al.</w:t>
      </w:r>
      <w:r w:rsidRPr="000855E1">
        <w:rPr>
          <w:rFonts w:ascii="Calibri" w:hAnsi="Calibri" w:cs="Calibri"/>
          <w:noProof/>
          <w:sz w:val="24"/>
          <w:szCs w:val="24"/>
        </w:rPr>
        <w:t xml:space="preserve"> Assessing feasibility and acceptability of study procedures: Getting ready for implementation of national stroke guidelines in out-patient health care. </w:t>
      </w:r>
      <w:r w:rsidRPr="000855E1">
        <w:rPr>
          <w:rFonts w:ascii="Calibri" w:hAnsi="Calibri" w:cs="Calibri"/>
          <w:i/>
          <w:iCs/>
          <w:noProof/>
          <w:sz w:val="24"/>
          <w:szCs w:val="24"/>
        </w:rPr>
        <w:t>BMC Health Serv. Res.</w:t>
      </w:r>
      <w:r w:rsidRPr="000855E1">
        <w:rPr>
          <w:rFonts w:ascii="Calibri" w:hAnsi="Calibri" w:cs="Calibri"/>
          <w:noProof/>
          <w:sz w:val="24"/>
          <w:szCs w:val="24"/>
        </w:rPr>
        <w:t xml:space="preserve"> </w:t>
      </w:r>
      <w:r w:rsidRPr="000855E1">
        <w:rPr>
          <w:rFonts w:ascii="Calibri" w:hAnsi="Calibri" w:cs="Calibri"/>
          <w:b/>
          <w:bCs/>
          <w:noProof/>
          <w:sz w:val="24"/>
          <w:szCs w:val="24"/>
        </w:rPr>
        <w:t>15</w:t>
      </w:r>
      <w:r w:rsidRPr="000855E1">
        <w:rPr>
          <w:rFonts w:ascii="Calibri" w:hAnsi="Calibri" w:cs="Calibri"/>
          <w:noProof/>
          <w:sz w:val="24"/>
          <w:szCs w:val="24"/>
        </w:rPr>
        <w:t>, 1–11 (2015).</w:t>
      </w:r>
    </w:p>
    <w:p w14:paraId="74A4EA63"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52.</w:t>
      </w:r>
      <w:r w:rsidRPr="000855E1">
        <w:rPr>
          <w:rFonts w:ascii="Calibri" w:hAnsi="Calibri" w:cs="Calibri"/>
          <w:noProof/>
          <w:sz w:val="24"/>
          <w:szCs w:val="24"/>
        </w:rPr>
        <w:tab/>
        <w:t xml:space="preserve">Sekhon, M., Cartwright, M. &amp; Francis, J. J. Acceptability of healthcare interventions: An overview of reviews and development of a theoretical framework. </w:t>
      </w:r>
      <w:r w:rsidRPr="000855E1">
        <w:rPr>
          <w:rFonts w:ascii="Calibri" w:hAnsi="Calibri" w:cs="Calibri"/>
          <w:i/>
          <w:iCs/>
          <w:noProof/>
          <w:sz w:val="24"/>
          <w:szCs w:val="24"/>
        </w:rPr>
        <w:t>BMC Health Serv. Res.</w:t>
      </w:r>
      <w:r w:rsidRPr="000855E1">
        <w:rPr>
          <w:rFonts w:ascii="Calibri" w:hAnsi="Calibri" w:cs="Calibri"/>
          <w:noProof/>
          <w:sz w:val="24"/>
          <w:szCs w:val="24"/>
        </w:rPr>
        <w:t xml:space="preserve"> </w:t>
      </w:r>
      <w:r w:rsidRPr="000855E1">
        <w:rPr>
          <w:rFonts w:ascii="Calibri" w:hAnsi="Calibri" w:cs="Calibri"/>
          <w:b/>
          <w:bCs/>
          <w:noProof/>
          <w:sz w:val="24"/>
          <w:szCs w:val="24"/>
        </w:rPr>
        <w:t>17</w:t>
      </w:r>
      <w:r w:rsidRPr="000855E1">
        <w:rPr>
          <w:rFonts w:ascii="Calibri" w:hAnsi="Calibri" w:cs="Calibri"/>
          <w:noProof/>
          <w:sz w:val="24"/>
          <w:szCs w:val="24"/>
        </w:rPr>
        <w:t>, 1–13 (2017).</w:t>
      </w:r>
    </w:p>
    <w:p w14:paraId="75C0C9DA"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t>53.</w:t>
      </w:r>
      <w:r w:rsidRPr="000855E1">
        <w:rPr>
          <w:rFonts w:ascii="Calibri" w:hAnsi="Calibri" w:cs="Calibri"/>
          <w:noProof/>
          <w:sz w:val="24"/>
          <w:szCs w:val="24"/>
        </w:rPr>
        <w:tab/>
        <w:t xml:space="preserve">Barber, J. A. &amp; Thompson, S. G. Analysis and interpretation of cost data in randomised controlled trials: review of published studies. </w:t>
      </w:r>
      <w:r w:rsidRPr="000855E1">
        <w:rPr>
          <w:rFonts w:ascii="Calibri" w:hAnsi="Calibri" w:cs="Calibri"/>
          <w:i/>
          <w:iCs/>
          <w:noProof/>
          <w:sz w:val="24"/>
          <w:szCs w:val="24"/>
        </w:rPr>
        <w:t>Bmj</w:t>
      </w:r>
      <w:r w:rsidRPr="000855E1">
        <w:rPr>
          <w:rFonts w:ascii="Calibri" w:hAnsi="Calibri" w:cs="Calibri"/>
          <w:noProof/>
          <w:sz w:val="24"/>
          <w:szCs w:val="24"/>
        </w:rPr>
        <w:t xml:space="preserve"> </w:t>
      </w:r>
      <w:r w:rsidRPr="000855E1">
        <w:rPr>
          <w:rFonts w:ascii="Calibri" w:hAnsi="Calibri" w:cs="Calibri"/>
          <w:b/>
          <w:bCs/>
          <w:noProof/>
          <w:sz w:val="24"/>
          <w:szCs w:val="24"/>
        </w:rPr>
        <w:t>317</w:t>
      </w:r>
      <w:r w:rsidRPr="000855E1">
        <w:rPr>
          <w:rFonts w:ascii="Calibri" w:hAnsi="Calibri" w:cs="Calibri"/>
          <w:noProof/>
          <w:sz w:val="24"/>
          <w:szCs w:val="24"/>
        </w:rPr>
        <w:t>, 1195–1200 (1998).</w:t>
      </w:r>
    </w:p>
    <w:p w14:paraId="000CB400"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szCs w:val="24"/>
        </w:rPr>
      </w:pPr>
      <w:r w:rsidRPr="000855E1">
        <w:rPr>
          <w:rFonts w:ascii="Calibri" w:hAnsi="Calibri" w:cs="Calibri"/>
          <w:noProof/>
          <w:sz w:val="24"/>
          <w:szCs w:val="24"/>
        </w:rPr>
        <w:lastRenderedPageBreak/>
        <w:t>54.</w:t>
      </w:r>
      <w:r w:rsidRPr="000855E1">
        <w:rPr>
          <w:rFonts w:ascii="Calibri" w:hAnsi="Calibri" w:cs="Calibri"/>
          <w:noProof/>
          <w:sz w:val="24"/>
          <w:szCs w:val="24"/>
        </w:rPr>
        <w:tab/>
        <w:t xml:space="preserve">Braun, V. &amp; Clarke, V. Using thematic analysis in psychology. </w:t>
      </w:r>
      <w:r w:rsidRPr="000855E1">
        <w:rPr>
          <w:rFonts w:ascii="Calibri" w:hAnsi="Calibri" w:cs="Calibri"/>
          <w:i/>
          <w:iCs/>
          <w:noProof/>
          <w:sz w:val="24"/>
          <w:szCs w:val="24"/>
        </w:rPr>
        <w:t>Qual. Res. Psychol.</w:t>
      </w:r>
      <w:r w:rsidRPr="000855E1">
        <w:rPr>
          <w:rFonts w:ascii="Calibri" w:hAnsi="Calibri" w:cs="Calibri"/>
          <w:noProof/>
          <w:sz w:val="24"/>
          <w:szCs w:val="24"/>
        </w:rPr>
        <w:t xml:space="preserve"> </w:t>
      </w:r>
      <w:r w:rsidRPr="000855E1">
        <w:rPr>
          <w:rFonts w:ascii="Calibri" w:hAnsi="Calibri" w:cs="Calibri"/>
          <w:b/>
          <w:bCs/>
          <w:noProof/>
          <w:sz w:val="24"/>
          <w:szCs w:val="24"/>
        </w:rPr>
        <w:t>3</w:t>
      </w:r>
      <w:r w:rsidRPr="000855E1">
        <w:rPr>
          <w:rFonts w:ascii="Calibri" w:hAnsi="Calibri" w:cs="Calibri"/>
          <w:noProof/>
          <w:sz w:val="24"/>
          <w:szCs w:val="24"/>
        </w:rPr>
        <w:t>, 77–101 (2006).</w:t>
      </w:r>
    </w:p>
    <w:p w14:paraId="02620499" w14:textId="77777777" w:rsidR="000855E1" w:rsidRPr="000855E1" w:rsidRDefault="000855E1" w:rsidP="000855E1">
      <w:pPr>
        <w:widowControl w:val="0"/>
        <w:autoSpaceDE w:val="0"/>
        <w:autoSpaceDN w:val="0"/>
        <w:adjustRightInd w:val="0"/>
        <w:spacing w:after="0" w:line="240" w:lineRule="auto"/>
        <w:ind w:left="640" w:hanging="640"/>
        <w:rPr>
          <w:rFonts w:ascii="Calibri" w:hAnsi="Calibri" w:cs="Calibri"/>
          <w:noProof/>
          <w:sz w:val="24"/>
        </w:rPr>
      </w:pPr>
      <w:r w:rsidRPr="000855E1">
        <w:rPr>
          <w:rFonts w:ascii="Calibri" w:hAnsi="Calibri" w:cs="Calibri"/>
          <w:noProof/>
          <w:sz w:val="24"/>
          <w:szCs w:val="24"/>
        </w:rPr>
        <w:t>55.</w:t>
      </w:r>
      <w:r w:rsidRPr="000855E1">
        <w:rPr>
          <w:rFonts w:ascii="Calibri" w:hAnsi="Calibri" w:cs="Calibri"/>
          <w:noProof/>
          <w:sz w:val="24"/>
          <w:szCs w:val="24"/>
        </w:rPr>
        <w:tab/>
        <w:t xml:space="preserve">Holloway Immy &amp; Galvin Kathleen. </w:t>
      </w:r>
      <w:r w:rsidRPr="000855E1">
        <w:rPr>
          <w:rFonts w:ascii="Calibri" w:hAnsi="Calibri" w:cs="Calibri"/>
          <w:i/>
          <w:iCs/>
          <w:noProof/>
          <w:sz w:val="24"/>
          <w:szCs w:val="24"/>
        </w:rPr>
        <w:t>Qualitative research in nursing and healthcare.</w:t>
      </w:r>
      <w:r w:rsidRPr="000855E1">
        <w:rPr>
          <w:rFonts w:ascii="Calibri" w:hAnsi="Calibri" w:cs="Calibri"/>
          <w:noProof/>
          <w:sz w:val="24"/>
          <w:szCs w:val="24"/>
        </w:rPr>
        <w:t xml:space="preserve"> (John Wiley &amp; Sons, 2016).</w:t>
      </w:r>
    </w:p>
    <w:p w14:paraId="79753EC9" w14:textId="661DC719" w:rsidR="00657D0D" w:rsidRPr="00657D0D" w:rsidRDefault="00223855" w:rsidP="00223855">
      <w:pPr>
        <w:pStyle w:val="ListParagraph"/>
        <w:spacing w:after="0" w:line="276" w:lineRule="auto"/>
        <w:ind w:left="0"/>
        <w:rPr>
          <w:sz w:val="24"/>
          <w:szCs w:val="24"/>
        </w:rPr>
      </w:pPr>
      <w:r w:rsidRPr="00223855">
        <w:rPr>
          <w:rFonts w:cstheme="minorHAnsi"/>
          <w:sz w:val="24"/>
          <w:szCs w:val="24"/>
        </w:rPr>
        <w:fldChar w:fldCharType="end"/>
      </w:r>
    </w:p>
    <w:sectPr w:rsidR="00657D0D" w:rsidRPr="00657D0D" w:rsidSect="00F164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B36D0" w14:textId="77777777" w:rsidR="007D258B" w:rsidRDefault="007D258B" w:rsidP="00FD3BAD">
      <w:pPr>
        <w:spacing w:after="0" w:line="240" w:lineRule="auto"/>
      </w:pPr>
      <w:r>
        <w:separator/>
      </w:r>
    </w:p>
  </w:endnote>
  <w:endnote w:type="continuationSeparator" w:id="0">
    <w:p w14:paraId="5A1EC7CF" w14:textId="77777777" w:rsidR="007D258B" w:rsidRDefault="007D258B" w:rsidP="00FD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FBCD4" w14:textId="77777777" w:rsidR="007D258B" w:rsidRDefault="007D258B" w:rsidP="00FD3BAD">
      <w:pPr>
        <w:spacing w:after="0" w:line="240" w:lineRule="auto"/>
      </w:pPr>
      <w:r>
        <w:separator/>
      </w:r>
    </w:p>
  </w:footnote>
  <w:footnote w:type="continuationSeparator" w:id="0">
    <w:p w14:paraId="7A3D60A9" w14:textId="77777777" w:rsidR="007D258B" w:rsidRDefault="007D258B" w:rsidP="00FD3B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DF7"/>
    <w:multiLevelType w:val="hybridMultilevel"/>
    <w:tmpl w:val="A80E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81520"/>
    <w:multiLevelType w:val="hybridMultilevel"/>
    <w:tmpl w:val="070460B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 w15:restartNumberingAfterBreak="0">
    <w:nsid w:val="05D20063"/>
    <w:multiLevelType w:val="hybridMultilevel"/>
    <w:tmpl w:val="3AE4B254"/>
    <w:lvl w:ilvl="0" w:tplc="07FE08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83511"/>
    <w:multiLevelType w:val="hybridMultilevel"/>
    <w:tmpl w:val="0EB6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8663B"/>
    <w:multiLevelType w:val="multilevel"/>
    <w:tmpl w:val="5F3A8AFC"/>
    <w:lvl w:ilvl="0">
      <w:start w:val="1"/>
      <w:numFmt w:val="decimal"/>
      <w:lvlText w:val="%1."/>
      <w:lvlJc w:val="left"/>
      <w:pPr>
        <w:ind w:left="450" w:hanging="450"/>
      </w:pPr>
      <w:rPr>
        <w:rFonts w:hint="default"/>
      </w:rPr>
    </w:lvl>
    <w:lvl w:ilvl="1">
      <w:start w:val="1"/>
      <w:numFmt w:val="decimal"/>
      <w:lvlText w:val="%1.%2."/>
      <w:lvlJc w:val="left"/>
      <w:pPr>
        <w:ind w:left="9651"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15:restartNumberingAfterBreak="0">
    <w:nsid w:val="0D9D68C3"/>
    <w:multiLevelType w:val="hybridMultilevel"/>
    <w:tmpl w:val="89C2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30F1F"/>
    <w:multiLevelType w:val="hybridMultilevel"/>
    <w:tmpl w:val="F89C11A6"/>
    <w:lvl w:ilvl="0" w:tplc="1C3CA6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14E06C1"/>
    <w:multiLevelType w:val="hybridMultilevel"/>
    <w:tmpl w:val="9016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340B9"/>
    <w:multiLevelType w:val="hybridMultilevel"/>
    <w:tmpl w:val="742E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E2324"/>
    <w:multiLevelType w:val="hybridMultilevel"/>
    <w:tmpl w:val="A310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6254B"/>
    <w:multiLevelType w:val="hybridMultilevel"/>
    <w:tmpl w:val="EAE88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E550C"/>
    <w:multiLevelType w:val="hybridMultilevel"/>
    <w:tmpl w:val="E62A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91E49"/>
    <w:multiLevelType w:val="hybridMultilevel"/>
    <w:tmpl w:val="025CDB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89702F"/>
    <w:multiLevelType w:val="hybridMultilevel"/>
    <w:tmpl w:val="FF94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320A1"/>
    <w:multiLevelType w:val="hybridMultilevel"/>
    <w:tmpl w:val="131A1AC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765245"/>
    <w:multiLevelType w:val="hybridMultilevel"/>
    <w:tmpl w:val="E9C0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818CC"/>
    <w:multiLevelType w:val="hybridMultilevel"/>
    <w:tmpl w:val="2D76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A065ED"/>
    <w:multiLevelType w:val="hybridMultilevel"/>
    <w:tmpl w:val="E25E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94BB4"/>
    <w:multiLevelType w:val="hybridMultilevel"/>
    <w:tmpl w:val="7A70BC70"/>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9976B1DC">
      <w:start w:val="1"/>
      <w:numFmt w:val="lowerRoman"/>
      <w:lvlText w:val="%3)"/>
      <w:lvlJc w:val="left"/>
      <w:pPr>
        <w:ind w:left="2520" w:hanging="72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775B5"/>
    <w:multiLevelType w:val="multilevel"/>
    <w:tmpl w:val="F49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C2CB1"/>
    <w:multiLevelType w:val="hybridMultilevel"/>
    <w:tmpl w:val="8976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9338E9"/>
    <w:multiLevelType w:val="hybridMultilevel"/>
    <w:tmpl w:val="096EFE4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4277DC5"/>
    <w:multiLevelType w:val="hybridMultilevel"/>
    <w:tmpl w:val="A93C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6297E"/>
    <w:multiLevelType w:val="multilevel"/>
    <w:tmpl w:val="F6F00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4226A"/>
    <w:multiLevelType w:val="hybridMultilevel"/>
    <w:tmpl w:val="0E68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06B47"/>
    <w:multiLevelType w:val="hybridMultilevel"/>
    <w:tmpl w:val="3B905204"/>
    <w:lvl w:ilvl="0" w:tplc="1F10F7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CC37C1"/>
    <w:multiLevelType w:val="hybridMultilevel"/>
    <w:tmpl w:val="90907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EC75CE"/>
    <w:multiLevelType w:val="hybridMultilevel"/>
    <w:tmpl w:val="D4FA3ACC"/>
    <w:lvl w:ilvl="0" w:tplc="A6E2A6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050D01"/>
    <w:multiLevelType w:val="hybridMultilevel"/>
    <w:tmpl w:val="076AD758"/>
    <w:lvl w:ilvl="0" w:tplc="6EBCC452">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9744D"/>
    <w:multiLevelType w:val="hybridMultilevel"/>
    <w:tmpl w:val="1EBA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843D1"/>
    <w:multiLevelType w:val="hybridMultilevel"/>
    <w:tmpl w:val="E828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A49"/>
    <w:multiLevelType w:val="hybridMultilevel"/>
    <w:tmpl w:val="47E6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5E749C"/>
    <w:multiLevelType w:val="hybridMultilevel"/>
    <w:tmpl w:val="A1D4AC4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47AE293D"/>
    <w:multiLevelType w:val="hybridMultilevel"/>
    <w:tmpl w:val="676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41A"/>
    <w:multiLevelType w:val="multilevel"/>
    <w:tmpl w:val="71E4B67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5" w15:restartNumberingAfterBreak="0">
    <w:nsid w:val="47DB7192"/>
    <w:multiLevelType w:val="multilevel"/>
    <w:tmpl w:val="11CC20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922B5F"/>
    <w:multiLevelType w:val="hybridMultilevel"/>
    <w:tmpl w:val="E22077CC"/>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51F978BF"/>
    <w:multiLevelType w:val="hybridMultilevel"/>
    <w:tmpl w:val="B3067568"/>
    <w:lvl w:ilvl="0" w:tplc="95AC9576">
      <w:start w:val="1"/>
      <w:numFmt w:val="upperLetter"/>
      <w:lvlText w:val="%1."/>
      <w:lvlJc w:val="left"/>
      <w:pPr>
        <w:tabs>
          <w:tab w:val="num" w:pos="540"/>
        </w:tabs>
        <w:ind w:left="540" w:hanging="360"/>
      </w:pPr>
      <w:rPr>
        <w:rFonts w:ascii="Arial" w:eastAsiaTheme="minorHAnsi" w:hAnsi="Arial" w:cs="Arial"/>
        <w:b/>
        <w:bCs/>
        <w:sz w:val="22"/>
        <w:szCs w:val="22"/>
      </w:rPr>
    </w:lvl>
    <w:lvl w:ilvl="1" w:tplc="4DD8B570">
      <w:start w:val="6277"/>
      <w:numFmt w:val="bullet"/>
      <w:lvlText w:val="•"/>
      <w:lvlJc w:val="left"/>
      <w:pPr>
        <w:tabs>
          <w:tab w:val="num" w:pos="360"/>
        </w:tabs>
        <w:ind w:left="360" w:hanging="360"/>
      </w:pPr>
      <w:rPr>
        <w:rFonts w:ascii="Arial" w:hAnsi="Arial" w:hint="default"/>
      </w:rPr>
    </w:lvl>
    <w:lvl w:ilvl="2" w:tplc="131A3150" w:tentative="1">
      <w:start w:val="1"/>
      <w:numFmt w:val="upperLetter"/>
      <w:lvlText w:val="%3."/>
      <w:lvlJc w:val="left"/>
      <w:pPr>
        <w:tabs>
          <w:tab w:val="num" w:pos="1980"/>
        </w:tabs>
        <w:ind w:left="1980" w:hanging="360"/>
      </w:pPr>
    </w:lvl>
    <w:lvl w:ilvl="3" w:tplc="16EE11CA" w:tentative="1">
      <w:start w:val="1"/>
      <w:numFmt w:val="upperLetter"/>
      <w:lvlText w:val="%4."/>
      <w:lvlJc w:val="left"/>
      <w:pPr>
        <w:tabs>
          <w:tab w:val="num" w:pos="2700"/>
        </w:tabs>
        <w:ind w:left="2700" w:hanging="360"/>
      </w:pPr>
    </w:lvl>
    <w:lvl w:ilvl="4" w:tplc="C7F0F916" w:tentative="1">
      <w:start w:val="1"/>
      <w:numFmt w:val="upperLetter"/>
      <w:lvlText w:val="%5."/>
      <w:lvlJc w:val="left"/>
      <w:pPr>
        <w:tabs>
          <w:tab w:val="num" w:pos="3420"/>
        </w:tabs>
        <w:ind w:left="3420" w:hanging="360"/>
      </w:pPr>
    </w:lvl>
    <w:lvl w:ilvl="5" w:tplc="4C1E8FA0" w:tentative="1">
      <w:start w:val="1"/>
      <w:numFmt w:val="upperLetter"/>
      <w:lvlText w:val="%6."/>
      <w:lvlJc w:val="left"/>
      <w:pPr>
        <w:tabs>
          <w:tab w:val="num" w:pos="4140"/>
        </w:tabs>
        <w:ind w:left="4140" w:hanging="360"/>
      </w:pPr>
    </w:lvl>
    <w:lvl w:ilvl="6" w:tplc="7F127C46" w:tentative="1">
      <w:start w:val="1"/>
      <w:numFmt w:val="upperLetter"/>
      <w:lvlText w:val="%7."/>
      <w:lvlJc w:val="left"/>
      <w:pPr>
        <w:tabs>
          <w:tab w:val="num" w:pos="4860"/>
        </w:tabs>
        <w:ind w:left="4860" w:hanging="360"/>
      </w:pPr>
    </w:lvl>
    <w:lvl w:ilvl="7" w:tplc="2B2CA7EA" w:tentative="1">
      <w:start w:val="1"/>
      <w:numFmt w:val="upperLetter"/>
      <w:lvlText w:val="%8."/>
      <w:lvlJc w:val="left"/>
      <w:pPr>
        <w:tabs>
          <w:tab w:val="num" w:pos="5580"/>
        </w:tabs>
        <w:ind w:left="5580" w:hanging="360"/>
      </w:pPr>
    </w:lvl>
    <w:lvl w:ilvl="8" w:tplc="5D969C24" w:tentative="1">
      <w:start w:val="1"/>
      <w:numFmt w:val="upperLetter"/>
      <w:lvlText w:val="%9."/>
      <w:lvlJc w:val="left"/>
      <w:pPr>
        <w:tabs>
          <w:tab w:val="num" w:pos="6300"/>
        </w:tabs>
        <w:ind w:left="6300" w:hanging="360"/>
      </w:pPr>
    </w:lvl>
  </w:abstractNum>
  <w:abstractNum w:abstractNumId="38" w15:restartNumberingAfterBreak="0">
    <w:nsid w:val="55ED2A0D"/>
    <w:multiLevelType w:val="multilevel"/>
    <w:tmpl w:val="C4220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967366"/>
    <w:multiLevelType w:val="hybridMultilevel"/>
    <w:tmpl w:val="DD08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E46AA9"/>
    <w:multiLevelType w:val="hybridMultilevel"/>
    <w:tmpl w:val="6C5A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C323A"/>
    <w:multiLevelType w:val="hybridMultilevel"/>
    <w:tmpl w:val="0FC4595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51A2F1A"/>
    <w:multiLevelType w:val="hybridMultilevel"/>
    <w:tmpl w:val="8E3C06EA"/>
    <w:lvl w:ilvl="0" w:tplc="856277C8">
      <w:start w:val="1"/>
      <w:numFmt w:val="bullet"/>
      <w:lvlText w:val="•"/>
      <w:lvlJc w:val="left"/>
      <w:pPr>
        <w:tabs>
          <w:tab w:val="num" w:pos="720"/>
        </w:tabs>
        <w:ind w:left="720" w:hanging="360"/>
      </w:pPr>
      <w:rPr>
        <w:rFonts w:ascii="Arial" w:hAnsi="Arial" w:hint="default"/>
      </w:rPr>
    </w:lvl>
    <w:lvl w:ilvl="1" w:tplc="9BAA6470">
      <w:start w:val="1"/>
      <w:numFmt w:val="bullet"/>
      <w:lvlText w:val="•"/>
      <w:lvlJc w:val="left"/>
      <w:pPr>
        <w:tabs>
          <w:tab w:val="num" w:pos="450"/>
        </w:tabs>
        <w:ind w:left="450" w:hanging="360"/>
      </w:pPr>
      <w:rPr>
        <w:rFonts w:ascii="Arial" w:hAnsi="Arial" w:hint="default"/>
      </w:rPr>
    </w:lvl>
    <w:lvl w:ilvl="2" w:tplc="AC84DFF2" w:tentative="1">
      <w:start w:val="1"/>
      <w:numFmt w:val="bullet"/>
      <w:lvlText w:val="•"/>
      <w:lvlJc w:val="left"/>
      <w:pPr>
        <w:tabs>
          <w:tab w:val="num" w:pos="2160"/>
        </w:tabs>
        <w:ind w:left="2160" w:hanging="360"/>
      </w:pPr>
      <w:rPr>
        <w:rFonts w:ascii="Arial" w:hAnsi="Arial" w:hint="default"/>
      </w:rPr>
    </w:lvl>
    <w:lvl w:ilvl="3" w:tplc="F132AFFE" w:tentative="1">
      <w:start w:val="1"/>
      <w:numFmt w:val="bullet"/>
      <w:lvlText w:val="•"/>
      <w:lvlJc w:val="left"/>
      <w:pPr>
        <w:tabs>
          <w:tab w:val="num" w:pos="2880"/>
        </w:tabs>
        <w:ind w:left="2880" w:hanging="360"/>
      </w:pPr>
      <w:rPr>
        <w:rFonts w:ascii="Arial" w:hAnsi="Arial" w:hint="default"/>
      </w:rPr>
    </w:lvl>
    <w:lvl w:ilvl="4" w:tplc="1A462EDC" w:tentative="1">
      <w:start w:val="1"/>
      <w:numFmt w:val="bullet"/>
      <w:lvlText w:val="•"/>
      <w:lvlJc w:val="left"/>
      <w:pPr>
        <w:tabs>
          <w:tab w:val="num" w:pos="3600"/>
        </w:tabs>
        <w:ind w:left="3600" w:hanging="360"/>
      </w:pPr>
      <w:rPr>
        <w:rFonts w:ascii="Arial" w:hAnsi="Arial" w:hint="default"/>
      </w:rPr>
    </w:lvl>
    <w:lvl w:ilvl="5" w:tplc="0EFAE426" w:tentative="1">
      <w:start w:val="1"/>
      <w:numFmt w:val="bullet"/>
      <w:lvlText w:val="•"/>
      <w:lvlJc w:val="left"/>
      <w:pPr>
        <w:tabs>
          <w:tab w:val="num" w:pos="4320"/>
        </w:tabs>
        <w:ind w:left="4320" w:hanging="360"/>
      </w:pPr>
      <w:rPr>
        <w:rFonts w:ascii="Arial" w:hAnsi="Arial" w:hint="default"/>
      </w:rPr>
    </w:lvl>
    <w:lvl w:ilvl="6" w:tplc="0FC42A50" w:tentative="1">
      <w:start w:val="1"/>
      <w:numFmt w:val="bullet"/>
      <w:lvlText w:val="•"/>
      <w:lvlJc w:val="left"/>
      <w:pPr>
        <w:tabs>
          <w:tab w:val="num" w:pos="5040"/>
        </w:tabs>
        <w:ind w:left="5040" w:hanging="360"/>
      </w:pPr>
      <w:rPr>
        <w:rFonts w:ascii="Arial" w:hAnsi="Arial" w:hint="default"/>
      </w:rPr>
    </w:lvl>
    <w:lvl w:ilvl="7" w:tplc="9C9E0018" w:tentative="1">
      <w:start w:val="1"/>
      <w:numFmt w:val="bullet"/>
      <w:lvlText w:val="•"/>
      <w:lvlJc w:val="left"/>
      <w:pPr>
        <w:tabs>
          <w:tab w:val="num" w:pos="5760"/>
        </w:tabs>
        <w:ind w:left="5760" w:hanging="360"/>
      </w:pPr>
      <w:rPr>
        <w:rFonts w:ascii="Arial" w:hAnsi="Arial" w:hint="default"/>
      </w:rPr>
    </w:lvl>
    <w:lvl w:ilvl="8" w:tplc="EFB22EE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20611D"/>
    <w:multiLevelType w:val="hybridMultilevel"/>
    <w:tmpl w:val="C07E3BFA"/>
    <w:lvl w:ilvl="0" w:tplc="CF0C86B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9604B5"/>
    <w:multiLevelType w:val="hybridMultilevel"/>
    <w:tmpl w:val="A10258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D16080A"/>
    <w:multiLevelType w:val="hybridMultilevel"/>
    <w:tmpl w:val="3322F1C4"/>
    <w:lvl w:ilvl="0" w:tplc="A05ED742">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0295879">
    <w:abstractNumId w:val="22"/>
  </w:num>
  <w:num w:numId="2" w16cid:durableId="18236631">
    <w:abstractNumId w:val="39"/>
  </w:num>
  <w:num w:numId="3" w16cid:durableId="1703509479">
    <w:abstractNumId w:val="1"/>
  </w:num>
  <w:num w:numId="4" w16cid:durableId="72558297">
    <w:abstractNumId w:val="10"/>
  </w:num>
  <w:num w:numId="5" w16cid:durableId="1699042963">
    <w:abstractNumId w:val="45"/>
  </w:num>
  <w:num w:numId="6" w16cid:durableId="450395222">
    <w:abstractNumId w:val="26"/>
  </w:num>
  <w:num w:numId="7" w16cid:durableId="1103719114">
    <w:abstractNumId w:val="34"/>
  </w:num>
  <w:num w:numId="8" w16cid:durableId="1072898283">
    <w:abstractNumId w:val="4"/>
  </w:num>
  <w:num w:numId="9" w16cid:durableId="364254709">
    <w:abstractNumId w:val="35"/>
  </w:num>
  <w:num w:numId="10" w16cid:durableId="1466508439">
    <w:abstractNumId w:val="16"/>
  </w:num>
  <w:num w:numId="11" w16cid:durableId="739866289">
    <w:abstractNumId w:val="18"/>
  </w:num>
  <w:num w:numId="12" w16cid:durableId="136847926">
    <w:abstractNumId w:val="32"/>
  </w:num>
  <w:num w:numId="13" w16cid:durableId="1717117090">
    <w:abstractNumId w:val="41"/>
  </w:num>
  <w:num w:numId="14" w16cid:durableId="523177454">
    <w:abstractNumId w:val="11"/>
  </w:num>
  <w:num w:numId="15" w16cid:durableId="1313753269">
    <w:abstractNumId w:val="30"/>
  </w:num>
  <w:num w:numId="16" w16cid:durableId="387728539">
    <w:abstractNumId w:val="13"/>
  </w:num>
  <w:num w:numId="17" w16cid:durableId="763576577">
    <w:abstractNumId w:val="24"/>
  </w:num>
  <w:num w:numId="18" w16cid:durableId="1834762576">
    <w:abstractNumId w:val="14"/>
  </w:num>
  <w:num w:numId="19" w16cid:durableId="283393135">
    <w:abstractNumId w:val="7"/>
  </w:num>
  <w:num w:numId="20" w16cid:durableId="153372905">
    <w:abstractNumId w:val="33"/>
  </w:num>
  <w:num w:numId="21" w16cid:durableId="1965110530">
    <w:abstractNumId w:val="12"/>
  </w:num>
  <w:num w:numId="22" w16cid:durableId="1506018015">
    <w:abstractNumId w:val="21"/>
  </w:num>
  <w:num w:numId="23" w16cid:durableId="133766099">
    <w:abstractNumId w:val="42"/>
  </w:num>
  <w:num w:numId="24" w16cid:durableId="805587038">
    <w:abstractNumId w:val="37"/>
  </w:num>
  <w:num w:numId="25" w16cid:durableId="434636982">
    <w:abstractNumId w:val="44"/>
  </w:num>
  <w:num w:numId="26" w16cid:durableId="419103465">
    <w:abstractNumId w:val="40"/>
  </w:num>
  <w:num w:numId="27" w16cid:durableId="1526823696">
    <w:abstractNumId w:val="15"/>
  </w:num>
  <w:num w:numId="28" w16cid:durableId="100415873">
    <w:abstractNumId w:val="20"/>
  </w:num>
  <w:num w:numId="29" w16cid:durableId="571936551">
    <w:abstractNumId w:val="29"/>
  </w:num>
  <w:num w:numId="30" w16cid:durableId="1734505461">
    <w:abstractNumId w:val="6"/>
  </w:num>
  <w:num w:numId="31" w16cid:durableId="243533571">
    <w:abstractNumId w:val="43"/>
  </w:num>
  <w:num w:numId="32" w16cid:durableId="662045678">
    <w:abstractNumId w:val="36"/>
  </w:num>
  <w:num w:numId="33" w16cid:durableId="366443544">
    <w:abstractNumId w:val="5"/>
  </w:num>
  <w:num w:numId="34" w16cid:durableId="340284586">
    <w:abstractNumId w:val="17"/>
  </w:num>
  <w:num w:numId="35" w16cid:durableId="796488265">
    <w:abstractNumId w:val="8"/>
  </w:num>
  <w:num w:numId="36" w16cid:durableId="1094399201">
    <w:abstractNumId w:val="23"/>
  </w:num>
  <w:num w:numId="37" w16cid:durableId="1833372187">
    <w:abstractNumId w:val="23"/>
  </w:num>
  <w:num w:numId="38" w16cid:durableId="1162431576">
    <w:abstractNumId w:val="38"/>
  </w:num>
  <w:num w:numId="39" w16cid:durableId="1345090705">
    <w:abstractNumId w:val="38"/>
  </w:num>
  <w:num w:numId="40" w16cid:durableId="305163765">
    <w:abstractNumId w:val="25"/>
  </w:num>
  <w:num w:numId="41" w16cid:durableId="536628165">
    <w:abstractNumId w:val="2"/>
  </w:num>
  <w:num w:numId="42" w16cid:durableId="799804144">
    <w:abstractNumId w:val="31"/>
  </w:num>
  <w:num w:numId="43" w16cid:durableId="1766069933">
    <w:abstractNumId w:val="0"/>
  </w:num>
  <w:num w:numId="44" w16cid:durableId="1516841821">
    <w:abstractNumId w:val="19"/>
  </w:num>
  <w:num w:numId="45" w16cid:durableId="1633251238">
    <w:abstractNumId w:val="3"/>
  </w:num>
  <w:num w:numId="46" w16cid:durableId="358823712">
    <w:abstractNumId w:val="27"/>
  </w:num>
  <w:num w:numId="47" w16cid:durableId="1400203464">
    <w:abstractNumId w:val="28"/>
  </w:num>
  <w:num w:numId="48" w16cid:durableId="8460933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S3NDczsTA3MTe0sDBR0lEKTi0uzszPAykwMq0FAFZV91UtAAAA"/>
  </w:docVars>
  <w:rsids>
    <w:rsidRoot w:val="00130B90"/>
    <w:rsid w:val="00003D9E"/>
    <w:rsid w:val="000046B6"/>
    <w:rsid w:val="000155A9"/>
    <w:rsid w:val="00020C62"/>
    <w:rsid w:val="00026107"/>
    <w:rsid w:val="00033DCC"/>
    <w:rsid w:val="00036699"/>
    <w:rsid w:val="000369D2"/>
    <w:rsid w:val="00046D82"/>
    <w:rsid w:val="000473E3"/>
    <w:rsid w:val="0005056A"/>
    <w:rsid w:val="000505DE"/>
    <w:rsid w:val="000512B5"/>
    <w:rsid w:val="00052DEE"/>
    <w:rsid w:val="00053585"/>
    <w:rsid w:val="0005657D"/>
    <w:rsid w:val="0006281F"/>
    <w:rsid w:val="00064B21"/>
    <w:rsid w:val="00067A85"/>
    <w:rsid w:val="0007121A"/>
    <w:rsid w:val="000715EF"/>
    <w:rsid w:val="00080A52"/>
    <w:rsid w:val="000855E1"/>
    <w:rsid w:val="0009179A"/>
    <w:rsid w:val="00097393"/>
    <w:rsid w:val="000974C9"/>
    <w:rsid w:val="000A1689"/>
    <w:rsid w:val="000A17ED"/>
    <w:rsid w:val="000B615A"/>
    <w:rsid w:val="000C1FC4"/>
    <w:rsid w:val="000C47D8"/>
    <w:rsid w:val="000D772E"/>
    <w:rsid w:val="000E288D"/>
    <w:rsid w:val="000F061B"/>
    <w:rsid w:val="000F5EC9"/>
    <w:rsid w:val="000F69D1"/>
    <w:rsid w:val="000F7333"/>
    <w:rsid w:val="001010F0"/>
    <w:rsid w:val="001041FD"/>
    <w:rsid w:val="001062B8"/>
    <w:rsid w:val="00107F16"/>
    <w:rsid w:val="00113C0F"/>
    <w:rsid w:val="001205C3"/>
    <w:rsid w:val="00120BF5"/>
    <w:rsid w:val="001215E2"/>
    <w:rsid w:val="00122957"/>
    <w:rsid w:val="001234FA"/>
    <w:rsid w:val="0012356E"/>
    <w:rsid w:val="00130B90"/>
    <w:rsid w:val="0013300A"/>
    <w:rsid w:val="00134AE2"/>
    <w:rsid w:val="001371CC"/>
    <w:rsid w:val="00145C29"/>
    <w:rsid w:val="0014685A"/>
    <w:rsid w:val="001537D1"/>
    <w:rsid w:val="00162874"/>
    <w:rsid w:val="00163AE9"/>
    <w:rsid w:val="00164C9C"/>
    <w:rsid w:val="00165AA1"/>
    <w:rsid w:val="00166EB4"/>
    <w:rsid w:val="00170C9B"/>
    <w:rsid w:val="00172AC6"/>
    <w:rsid w:val="00175623"/>
    <w:rsid w:val="0017665F"/>
    <w:rsid w:val="00177A0C"/>
    <w:rsid w:val="00180980"/>
    <w:rsid w:val="00184A64"/>
    <w:rsid w:val="00187BD4"/>
    <w:rsid w:val="001901E7"/>
    <w:rsid w:val="00192136"/>
    <w:rsid w:val="0019344E"/>
    <w:rsid w:val="00193F38"/>
    <w:rsid w:val="001A1E56"/>
    <w:rsid w:val="001A3195"/>
    <w:rsid w:val="001A676A"/>
    <w:rsid w:val="001A6A88"/>
    <w:rsid w:val="001B308B"/>
    <w:rsid w:val="001B316E"/>
    <w:rsid w:val="001B4B5D"/>
    <w:rsid w:val="001B4B67"/>
    <w:rsid w:val="001C1E55"/>
    <w:rsid w:val="001D028C"/>
    <w:rsid w:val="001D62C0"/>
    <w:rsid w:val="001D73BC"/>
    <w:rsid w:val="001E38AC"/>
    <w:rsid w:val="001F05B3"/>
    <w:rsid w:val="001F1085"/>
    <w:rsid w:val="001F3EE9"/>
    <w:rsid w:val="001F67E1"/>
    <w:rsid w:val="00200415"/>
    <w:rsid w:val="00201517"/>
    <w:rsid w:val="0020681B"/>
    <w:rsid w:val="00207240"/>
    <w:rsid w:val="00211140"/>
    <w:rsid w:val="002121F7"/>
    <w:rsid w:val="002132EA"/>
    <w:rsid w:val="00213D44"/>
    <w:rsid w:val="00215B5D"/>
    <w:rsid w:val="0022093D"/>
    <w:rsid w:val="00222504"/>
    <w:rsid w:val="00223855"/>
    <w:rsid w:val="002262FB"/>
    <w:rsid w:val="00226767"/>
    <w:rsid w:val="0022711C"/>
    <w:rsid w:val="00231095"/>
    <w:rsid w:val="002349DD"/>
    <w:rsid w:val="002407D9"/>
    <w:rsid w:val="00243BA4"/>
    <w:rsid w:val="00252ABC"/>
    <w:rsid w:val="0025403B"/>
    <w:rsid w:val="00266F2B"/>
    <w:rsid w:val="0027251A"/>
    <w:rsid w:val="00277CF3"/>
    <w:rsid w:val="00277F5B"/>
    <w:rsid w:val="00285760"/>
    <w:rsid w:val="002879B3"/>
    <w:rsid w:val="00290970"/>
    <w:rsid w:val="00294C55"/>
    <w:rsid w:val="002A02A6"/>
    <w:rsid w:val="002A2EFA"/>
    <w:rsid w:val="002A365E"/>
    <w:rsid w:val="002A53C5"/>
    <w:rsid w:val="002A577F"/>
    <w:rsid w:val="002B0EDC"/>
    <w:rsid w:val="002B18AA"/>
    <w:rsid w:val="002B4B2F"/>
    <w:rsid w:val="002C1FB5"/>
    <w:rsid w:val="002C200D"/>
    <w:rsid w:val="002C33DF"/>
    <w:rsid w:val="002D4465"/>
    <w:rsid w:val="002F3E43"/>
    <w:rsid w:val="002F5958"/>
    <w:rsid w:val="00304484"/>
    <w:rsid w:val="00304BFF"/>
    <w:rsid w:val="00305B96"/>
    <w:rsid w:val="00306E5C"/>
    <w:rsid w:val="003116AE"/>
    <w:rsid w:val="0031196C"/>
    <w:rsid w:val="00311CD5"/>
    <w:rsid w:val="00315CB8"/>
    <w:rsid w:val="00317B57"/>
    <w:rsid w:val="003234B3"/>
    <w:rsid w:val="00324D6B"/>
    <w:rsid w:val="00324F9A"/>
    <w:rsid w:val="00330487"/>
    <w:rsid w:val="00343C25"/>
    <w:rsid w:val="0035098F"/>
    <w:rsid w:val="00351ABA"/>
    <w:rsid w:val="00353B99"/>
    <w:rsid w:val="00357103"/>
    <w:rsid w:val="00357612"/>
    <w:rsid w:val="0035799C"/>
    <w:rsid w:val="003648AC"/>
    <w:rsid w:val="003664F4"/>
    <w:rsid w:val="00366848"/>
    <w:rsid w:val="00367814"/>
    <w:rsid w:val="00371634"/>
    <w:rsid w:val="0037278D"/>
    <w:rsid w:val="0037365B"/>
    <w:rsid w:val="003849B0"/>
    <w:rsid w:val="00384FBB"/>
    <w:rsid w:val="00393F79"/>
    <w:rsid w:val="003942F0"/>
    <w:rsid w:val="00396FF8"/>
    <w:rsid w:val="003A3A9E"/>
    <w:rsid w:val="003B08DB"/>
    <w:rsid w:val="003B10CB"/>
    <w:rsid w:val="003B2F99"/>
    <w:rsid w:val="003B65A0"/>
    <w:rsid w:val="003C482E"/>
    <w:rsid w:val="003D1D52"/>
    <w:rsid w:val="003E2689"/>
    <w:rsid w:val="003E5CAE"/>
    <w:rsid w:val="003E7C25"/>
    <w:rsid w:val="003F1A73"/>
    <w:rsid w:val="003F43D1"/>
    <w:rsid w:val="003F7D1F"/>
    <w:rsid w:val="00403262"/>
    <w:rsid w:val="00405099"/>
    <w:rsid w:val="00411C9C"/>
    <w:rsid w:val="00411F9C"/>
    <w:rsid w:val="00413308"/>
    <w:rsid w:val="00416519"/>
    <w:rsid w:val="00416B29"/>
    <w:rsid w:val="00427DA6"/>
    <w:rsid w:val="00430530"/>
    <w:rsid w:val="0043060F"/>
    <w:rsid w:val="004314F6"/>
    <w:rsid w:val="0043419C"/>
    <w:rsid w:val="00445C9E"/>
    <w:rsid w:val="00450A36"/>
    <w:rsid w:val="00461CAB"/>
    <w:rsid w:val="00463954"/>
    <w:rsid w:val="0046456A"/>
    <w:rsid w:val="00472ABA"/>
    <w:rsid w:val="00472E3D"/>
    <w:rsid w:val="004748D0"/>
    <w:rsid w:val="0047517D"/>
    <w:rsid w:val="004759F3"/>
    <w:rsid w:val="00476FD5"/>
    <w:rsid w:val="00490CF8"/>
    <w:rsid w:val="004919F1"/>
    <w:rsid w:val="004A00C4"/>
    <w:rsid w:val="004A31A9"/>
    <w:rsid w:val="004B053B"/>
    <w:rsid w:val="004B14EF"/>
    <w:rsid w:val="004B2365"/>
    <w:rsid w:val="004B38A8"/>
    <w:rsid w:val="004B666E"/>
    <w:rsid w:val="004B7E4F"/>
    <w:rsid w:val="004C4D9F"/>
    <w:rsid w:val="004C5B5E"/>
    <w:rsid w:val="004C6D60"/>
    <w:rsid w:val="004C750E"/>
    <w:rsid w:val="004D46D9"/>
    <w:rsid w:val="004D5452"/>
    <w:rsid w:val="004E21C9"/>
    <w:rsid w:val="004E7F65"/>
    <w:rsid w:val="004F5BEB"/>
    <w:rsid w:val="00501420"/>
    <w:rsid w:val="0050169F"/>
    <w:rsid w:val="00506301"/>
    <w:rsid w:val="005105CF"/>
    <w:rsid w:val="005155E6"/>
    <w:rsid w:val="00520426"/>
    <w:rsid w:val="00520491"/>
    <w:rsid w:val="00522CC2"/>
    <w:rsid w:val="0052658D"/>
    <w:rsid w:val="005269E5"/>
    <w:rsid w:val="00526BDE"/>
    <w:rsid w:val="0052708D"/>
    <w:rsid w:val="00533227"/>
    <w:rsid w:val="0053406A"/>
    <w:rsid w:val="00535081"/>
    <w:rsid w:val="005367EA"/>
    <w:rsid w:val="00540B2F"/>
    <w:rsid w:val="005427F1"/>
    <w:rsid w:val="00542DEE"/>
    <w:rsid w:val="0055208A"/>
    <w:rsid w:val="005536A2"/>
    <w:rsid w:val="00555D3C"/>
    <w:rsid w:val="00562EC8"/>
    <w:rsid w:val="00565962"/>
    <w:rsid w:val="00580861"/>
    <w:rsid w:val="005810B2"/>
    <w:rsid w:val="005844E1"/>
    <w:rsid w:val="00585829"/>
    <w:rsid w:val="0059685B"/>
    <w:rsid w:val="005A0A9D"/>
    <w:rsid w:val="005A7E13"/>
    <w:rsid w:val="005B1685"/>
    <w:rsid w:val="005B3DE4"/>
    <w:rsid w:val="005B67A2"/>
    <w:rsid w:val="005B6BC9"/>
    <w:rsid w:val="005C04FD"/>
    <w:rsid w:val="005C3635"/>
    <w:rsid w:val="005C7096"/>
    <w:rsid w:val="005D5E46"/>
    <w:rsid w:val="005E0F9F"/>
    <w:rsid w:val="005E38DF"/>
    <w:rsid w:val="005E407F"/>
    <w:rsid w:val="005E458D"/>
    <w:rsid w:val="005E4B63"/>
    <w:rsid w:val="005E4C15"/>
    <w:rsid w:val="005E4FE3"/>
    <w:rsid w:val="005E78FD"/>
    <w:rsid w:val="005F0E95"/>
    <w:rsid w:val="005F2314"/>
    <w:rsid w:val="005F266E"/>
    <w:rsid w:val="005F32F4"/>
    <w:rsid w:val="00600AB7"/>
    <w:rsid w:val="006018C2"/>
    <w:rsid w:val="00604ABE"/>
    <w:rsid w:val="0061146F"/>
    <w:rsid w:val="00613313"/>
    <w:rsid w:val="006133EF"/>
    <w:rsid w:val="006136D2"/>
    <w:rsid w:val="006150EC"/>
    <w:rsid w:val="00617A69"/>
    <w:rsid w:val="00617DF7"/>
    <w:rsid w:val="006201AA"/>
    <w:rsid w:val="0062085F"/>
    <w:rsid w:val="006257E3"/>
    <w:rsid w:val="00625B5E"/>
    <w:rsid w:val="00630CCC"/>
    <w:rsid w:val="006353F4"/>
    <w:rsid w:val="006409D0"/>
    <w:rsid w:val="006410EC"/>
    <w:rsid w:val="0064196E"/>
    <w:rsid w:val="00646540"/>
    <w:rsid w:val="0064753C"/>
    <w:rsid w:val="00656C9D"/>
    <w:rsid w:val="0065768E"/>
    <w:rsid w:val="00657D0D"/>
    <w:rsid w:val="006615B6"/>
    <w:rsid w:val="006626AD"/>
    <w:rsid w:val="00664E9F"/>
    <w:rsid w:val="006722E4"/>
    <w:rsid w:val="006730FF"/>
    <w:rsid w:val="00674C0E"/>
    <w:rsid w:val="0067595D"/>
    <w:rsid w:val="00683202"/>
    <w:rsid w:val="0068378B"/>
    <w:rsid w:val="006853FD"/>
    <w:rsid w:val="00691972"/>
    <w:rsid w:val="00694AF9"/>
    <w:rsid w:val="00697805"/>
    <w:rsid w:val="00697EE6"/>
    <w:rsid w:val="006A17EF"/>
    <w:rsid w:val="006A1B27"/>
    <w:rsid w:val="006A1FE6"/>
    <w:rsid w:val="006A420F"/>
    <w:rsid w:val="006B5908"/>
    <w:rsid w:val="006C0541"/>
    <w:rsid w:val="006C5D6B"/>
    <w:rsid w:val="006D0237"/>
    <w:rsid w:val="006D04AD"/>
    <w:rsid w:val="006D7146"/>
    <w:rsid w:val="006E56CA"/>
    <w:rsid w:val="006E749A"/>
    <w:rsid w:val="006F2D5B"/>
    <w:rsid w:val="006F3445"/>
    <w:rsid w:val="007007A8"/>
    <w:rsid w:val="0070245E"/>
    <w:rsid w:val="007033F5"/>
    <w:rsid w:val="00704C19"/>
    <w:rsid w:val="007155B2"/>
    <w:rsid w:val="00716C7C"/>
    <w:rsid w:val="0071735F"/>
    <w:rsid w:val="0072090E"/>
    <w:rsid w:val="0072771F"/>
    <w:rsid w:val="00727FEC"/>
    <w:rsid w:val="007300CB"/>
    <w:rsid w:val="00732E15"/>
    <w:rsid w:val="00735B3E"/>
    <w:rsid w:val="007371A4"/>
    <w:rsid w:val="007455A5"/>
    <w:rsid w:val="00751A63"/>
    <w:rsid w:val="0075347E"/>
    <w:rsid w:val="007551A1"/>
    <w:rsid w:val="00760833"/>
    <w:rsid w:val="007716A3"/>
    <w:rsid w:val="007718A1"/>
    <w:rsid w:val="007728B1"/>
    <w:rsid w:val="00772EA1"/>
    <w:rsid w:val="00774ABD"/>
    <w:rsid w:val="00780F0F"/>
    <w:rsid w:val="00784A0C"/>
    <w:rsid w:val="00790199"/>
    <w:rsid w:val="0079093E"/>
    <w:rsid w:val="007923F0"/>
    <w:rsid w:val="00793F88"/>
    <w:rsid w:val="0079445F"/>
    <w:rsid w:val="00794EC1"/>
    <w:rsid w:val="00795051"/>
    <w:rsid w:val="0079544A"/>
    <w:rsid w:val="00797A52"/>
    <w:rsid w:val="00797DEC"/>
    <w:rsid w:val="007A27B0"/>
    <w:rsid w:val="007A2BBF"/>
    <w:rsid w:val="007A42B9"/>
    <w:rsid w:val="007A5C6F"/>
    <w:rsid w:val="007A6D6B"/>
    <w:rsid w:val="007B3AE8"/>
    <w:rsid w:val="007B4C4E"/>
    <w:rsid w:val="007B60A7"/>
    <w:rsid w:val="007C0F7D"/>
    <w:rsid w:val="007C4BF0"/>
    <w:rsid w:val="007C6A80"/>
    <w:rsid w:val="007D258B"/>
    <w:rsid w:val="007D457E"/>
    <w:rsid w:val="007D6C99"/>
    <w:rsid w:val="007D6DAF"/>
    <w:rsid w:val="007E06FE"/>
    <w:rsid w:val="007E46EE"/>
    <w:rsid w:val="007E6C24"/>
    <w:rsid w:val="007E7A75"/>
    <w:rsid w:val="007F007C"/>
    <w:rsid w:val="007F593D"/>
    <w:rsid w:val="007F713A"/>
    <w:rsid w:val="0080220E"/>
    <w:rsid w:val="00802BEF"/>
    <w:rsid w:val="00807080"/>
    <w:rsid w:val="0081142F"/>
    <w:rsid w:val="00815FC0"/>
    <w:rsid w:val="00821F42"/>
    <w:rsid w:val="0082274E"/>
    <w:rsid w:val="00825AA3"/>
    <w:rsid w:val="008269AA"/>
    <w:rsid w:val="008320C2"/>
    <w:rsid w:val="00834E58"/>
    <w:rsid w:val="00834FDA"/>
    <w:rsid w:val="008365D6"/>
    <w:rsid w:val="00840026"/>
    <w:rsid w:val="00840F66"/>
    <w:rsid w:val="00842100"/>
    <w:rsid w:val="008442CE"/>
    <w:rsid w:val="008454CE"/>
    <w:rsid w:val="0085223B"/>
    <w:rsid w:val="008551D5"/>
    <w:rsid w:val="00857C21"/>
    <w:rsid w:val="00861404"/>
    <w:rsid w:val="00863E4D"/>
    <w:rsid w:val="00872840"/>
    <w:rsid w:val="00875790"/>
    <w:rsid w:val="00891D6F"/>
    <w:rsid w:val="00892F57"/>
    <w:rsid w:val="008930C0"/>
    <w:rsid w:val="00893E19"/>
    <w:rsid w:val="008942BB"/>
    <w:rsid w:val="008971D6"/>
    <w:rsid w:val="008A30E9"/>
    <w:rsid w:val="008A457B"/>
    <w:rsid w:val="008A4953"/>
    <w:rsid w:val="008B06AF"/>
    <w:rsid w:val="008B26D8"/>
    <w:rsid w:val="008B493D"/>
    <w:rsid w:val="008B6996"/>
    <w:rsid w:val="008C0979"/>
    <w:rsid w:val="008C325C"/>
    <w:rsid w:val="008C61CB"/>
    <w:rsid w:val="008D025D"/>
    <w:rsid w:val="008D4E49"/>
    <w:rsid w:val="008E15E3"/>
    <w:rsid w:val="008E3E1F"/>
    <w:rsid w:val="008E7712"/>
    <w:rsid w:val="008F2EE1"/>
    <w:rsid w:val="008F6E73"/>
    <w:rsid w:val="008F7921"/>
    <w:rsid w:val="0090201C"/>
    <w:rsid w:val="009028BC"/>
    <w:rsid w:val="00907975"/>
    <w:rsid w:val="0091274D"/>
    <w:rsid w:val="00916727"/>
    <w:rsid w:val="009364BA"/>
    <w:rsid w:val="00937425"/>
    <w:rsid w:val="0094003F"/>
    <w:rsid w:val="009458BF"/>
    <w:rsid w:val="00954CEE"/>
    <w:rsid w:val="009608D8"/>
    <w:rsid w:val="00963CB8"/>
    <w:rsid w:val="00977F60"/>
    <w:rsid w:val="00977FD2"/>
    <w:rsid w:val="009816C6"/>
    <w:rsid w:val="009817E0"/>
    <w:rsid w:val="00982296"/>
    <w:rsid w:val="0099056B"/>
    <w:rsid w:val="00997902"/>
    <w:rsid w:val="00997DEA"/>
    <w:rsid w:val="009A152E"/>
    <w:rsid w:val="009B0002"/>
    <w:rsid w:val="009B1743"/>
    <w:rsid w:val="009B3947"/>
    <w:rsid w:val="009C1212"/>
    <w:rsid w:val="009C33F7"/>
    <w:rsid w:val="009D5423"/>
    <w:rsid w:val="009D7EA7"/>
    <w:rsid w:val="009F0694"/>
    <w:rsid w:val="009F0A64"/>
    <w:rsid w:val="009F3FD0"/>
    <w:rsid w:val="009F57A1"/>
    <w:rsid w:val="009F5D83"/>
    <w:rsid w:val="009F6116"/>
    <w:rsid w:val="009F7663"/>
    <w:rsid w:val="009F78EE"/>
    <w:rsid w:val="00A074F6"/>
    <w:rsid w:val="00A131F2"/>
    <w:rsid w:val="00A146D2"/>
    <w:rsid w:val="00A14CB1"/>
    <w:rsid w:val="00A15289"/>
    <w:rsid w:val="00A16218"/>
    <w:rsid w:val="00A23150"/>
    <w:rsid w:val="00A2356F"/>
    <w:rsid w:val="00A24F0D"/>
    <w:rsid w:val="00A41267"/>
    <w:rsid w:val="00A4200E"/>
    <w:rsid w:val="00A422D0"/>
    <w:rsid w:val="00A43C88"/>
    <w:rsid w:val="00A45B83"/>
    <w:rsid w:val="00A469AA"/>
    <w:rsid w:val="00A4739C"/>
    <w:rsid w:val="00A474C5"/>
    <w:rsid w:val="00A476D7"/>
    <w:rsid w:val="00A67323"/>
    <w:rsid w:val="00A7099C"/>
    <w:rsid w:val="00A74AC2"/>
    <w:rsid w:val="00A927A7"/>
    <w:rsid w:val="00A927E7"/>
    <w:rsid w:val="00A933C9"/>
    <w:rsid w:val="00A93A4A"/>
    <w:rsid w:val="00AA003C"/>
    <w:rsid w:val="00AA09C4"/>
    <w:rsid w:val="00AA7D62"/>
    <w:rsid w:val="00AB338A"/>
    <w:rsid w:val="00AB4C5A"/>
    <w:rsid w:val="00AC1AD9"/>
    <w:rsid w:val="00AC7139"/>
    <w:rsid w:val="00AD06F5"/>
    <w:rsid w:val="00AD26E4"/>
    <w:rsid w:val="00AD2886"/>
    <w:rsid w:val="00AD3632"/>
    <w:rsid w:val="00AD4CEB"/>
    <w:rsid w:val="00AD567D"/>
    <w:rsid w:val="00AD620A"/>
    <w:rsid w:val="00AD6AF5"/>
    <w:rsid w:val="00AD6D31"/>
    <w:rsid w:val="00AD74C0"/>
    <w:rsid w:val="00AE1847"/>
    <w:rsid w:val="00AE3CFD"/>
    <w:rsid w:val="00AE3E33"/>
    <w:rsid w:val="00AE6C7D"/>
    <w:rsid w:val="00AF125A"/>
    <w:rsid w:val="00AF7968"/>
    <w:rsid w:val="00B021F6"/>
    <w:rsid w:val="00B04116"/>
    <w:rsid w:val="00B046AF"/>
    <w:rsid w:val="00B0537C"/>
    <w:rsid w:val="00B06827"/>
    <w:rsid w:val="00B10997"/>
    <w:rsid w:val="00B11E8C"/>
    <w:rsid w:val="00B123A4"/>
    <w:rsid w:val="00B123A7"/>
    <w:rsid w:val="00B140F2"/>
    <w:rsid w:val="00B1505A"/>
    <w:rsid w:val="00B15A7F"/>
    <w:rsid w:val="00B171C5"/>
    <w:rsid w:val="00B2592E"/>
    <w:rsid w:val="00B31CC9"/>
    <w:rsid w:val="00B372E5"/>
    <w:rsid w:val="00B407FE"/>
    <w:rsid w:val="00B410AD"/>
    <w:rsid w:val="00B41599"/>
    <w:rsid w:val="00B465E6"/>
    <w:rsid w:val="00B46B94"/>
    <w:rsid w:val="00B515BD"/>
    <w:rsid w:val="00B51BA5"/>
    <w:rsid w:val="00B5764C"/>
    <w:rsid w:val="00B62FE9"/>
    <w:rsid w:val="00B6573F"/>
    <w:rsid w:val="00B6578B"/>
    <w:rsid w:val="00B700BA"/>
    <w:rsid w:val="00B7512F"/>
    <w:rsid w:val="00B754CD"/>
    <w:rsid w:val="00B8267A"/>
    <w:rsid w:val="00B84266"/>
    <w:rsid w:val="00B87D64"/>
    <w:rsid w:val="00B9273B"/>
    <w:rsid w:val="00B934E3"/>
    <w:rsid w:val="00BA01C9"/>
    <w:rsid w:val="00BB0956"/>
    <w:rsid w:val="00BB283D"/>
    <w:rsid w:val="00BB2FEC"/>
    <w:rsid w:val="00BB3C55"/>
    <w:rsid w:val="00BB43EB"/>
    <w:rsid w:val="00BB7E02"/>
    <w:rsid w:val="00BC4266"/>
    <w:rsid w:val="00BC4453"/>
    <w:rsid w:val="00BC49D1"/>
    <w:rsid w:val="00BC575F"/>
    <w:rsid w:val="00BC7075"/>
    <w:rsid w:val="00BD015A"/>
    <w:rsid w:val="00BD2599"/>
    <w:rsid w:val="00BD3930"/>
    <w:rsid w:val="00BD6CDA"/>
    <w:rsid w:val="00BD735D"/>
    <w:rsid w:val="00BE00CF"/>
    <w:rsid w:val="00BE3B08"/>
    <w:rsid w:val="00BE43B1"/>
    <w:rsid w:val="00BE62E9"/>
    <w:rsid w:val="00BE63D9"/>
    <w:rsid w:val="00BE6891"/>
    <w:rsid w:val="00BF1892"/>
    <w:rsid w:val="00BF1CDE"/>
    <w:rsid w:val="00BF2C09"/>
    <w:rsid w:val="00C02EF0"/>
    <w:rsid w:val="00C04A6C"/>
    <w:rsid w:val="00C151E6"/>
    <w:rsid w:val="00C17873"/>
    <w:rsid w:val="00C17986"/>
    <w:rsid w:val="00C17B7C"/>
    <w:rsid w:val="00C20104"/>
    <w:rsid w:val="00C218CB"/>
    <w:rsid w:val="00C22AF1"/>
    <w:rsid w:val="00C22F0C"/>
    <w:rsid w:val="00C2391E"/>
    <w:rsid w:val="00C241F2"/>
    <w:rsid w:val="00C255DA"/>
    <w:rsid w:val="00C2697D"/>
    <w:rsid w:val="00C26D0F"/>
    <w:rsid w:val="00C27AA5"/>
    <w:rsid w:val="00C311E2"/>
    <w:rsid w:val="00C3365E"/>
    <w:rsid w:val="00C36E62"/>
    <w:rsid w:val="00C545A5"/>
    <w:rsid w:val="00C57BED"/>
    <w:rsid w:val="00C61113"/>
    <w:rsid w:val="00C65F80"/>
    <w:rsid w:val="00C8104F"/>
    <w:rsid w:val="00C84617"/>
    <w:rsid w:val="00C873D7"/>
    <w:rsid w:val="00C87B7C"/>
    <w:rsid w:val="00C916F2"/>
    <w:rsid w:val="00C95C29"/>
    <w:rsid w:val="00CA013E"/>
    <w:rsid w:val="00CA01D2"/>
    <w:rsid w:val="00CA1CA2"/>
    <w:rsid w:val="00CA5594"/>
    <w:rsid w:val="00CB0EC3"/>
    <w:rsid w:val="00CB63F3"/>
    <w:rsid w:val="00CC08D0"/>
    <w:rsid w:val="00CC191D"/>
    <w:rsid w:val="00CC7ED0"/>
    <w:rsid w:val="00CD1705"/>
    <w:rsid w:val="00CD2776"/>
    <w:rsid w:val="00CE10BC"/>
    <w:rsid w:val="00CE1E19"/>
    <w:rsid w:val="00CE2AE9"/>
    <w:rsid w:val="00CE4610"/>
    <w:rsid w:val="00CE472E"/>
    <w:rsid w:val="00CE6D2C"/>
    <w:rsid w:val="00CF0F1E"/>
    <w:rsid w:val="00CF492E"/>
    <w:rsid w:val="00CF7A0A"/>
    <w:rsid w:val="00D07DA5"/>
    <w:rsid w:val="00D11DA5"/>
    <w:rsid w:val="00D1213D"/>
    <w:rsid w:val="00D139DD"/>
    <w:rsid w:val="00D15637"/>
    <w:rsid w:val="00D15AE6"/>
    <w:rsid w:val="00D30081"/>
    <w:rsid w:val="00D40B45"/>
    <w:rsid w:val="00D44EEE"/>
    <w:rsid w:val="00D468DF"/>
    <w:rsid w:val="00D6377B"/>
    <w:rsid w:val="00D64566"/>
    <w:rsid w:val="00D655D7"/>
    <w:rsid w:val="00D70BDE"/>
    <w:rsid w:val="00D71438"/>
    <w:rsid w:val="00D71EE3"/>
    <w:rsid w:val="00D742FD"/>
    <w:rsid w:val="00D76D73"/>
    <w:rsid w:val="00D85533"/>
    <w:rsid w:val="00D85973"/>
    <w:rsid w:val="00D91FBA"/>
    <w:rsid w:val="00D94BF1"/>
    <w:rsid w:val="00DA39E2"/>
    <w:rsid w:val="00DA78AB"/>
    <w:rsid w:val="00DC07FF"/>
    <w:rsid w:val="00DC489C"/>
    <w:rsid w:val="00DC5820"/>
    <w:rsid w:val="00DC6878"/>
    <w:rsid w:val="00DD48B0"/>
    <w:rsid w:val="00DD5FD3"/>
    <w:rsid w:val="00DD61A6"/>
    <w:rsid w:val="00DD76EE"/>
    <w:rsid w:val="00DD7EA9"/>
    <w:rsid w:val="00DE14D5"/>
    <w:rsid w:val="00DE199B"/>
    <w:rsid w:val="00DE47F2"/>
    <w:rsid w:val="00DE67E5"/>
    <w:rsid w:val="00DF26D1"/>
    <w:rsid w:val="00DF2C1E"/>
    <w:rsid w:val="00DF38FF"/>
    <w:rsid w:val="00DF4016"/>
    <w:rsid w:val="00DF6CB3"/>
    <w:rsid w:val="00DF6D38"/>
    <w:rsid w:val="00DF7D2D"/>
    <w:rsid w:val="00E004A2"/>
    <w:rsid w:val="00E0055E"/>
    <w:rsid w:val="00E054A7"/>
    <w:rsid w:val="00E05D78"/>
    <w:rsid w:val="00E166D3"/>
    <w:rsid w:val="00E21D39"/>
    <w:rsid w:val="00E22679"/>
    <w:rsid w:val="00E231A6"/>
    <w:rsid w:val="00E34B3B"/>
    <w:rsid w:val="00E36A21"/>
    <w:rsid w:val="00E3745B"/>
    <w:rsid w:val="00E4208E"/>
    <w:rsid w:val="00E424CC"/>
    <w:rsid w:val="00E42920"/>
    <w:rsid w:val="00E433ED"/>
    <w:rsid w:val="00E4747D"/>
    <w:rsid w:val="00E47A0D"/>
    <w:rsid w:val="00E5664E"/>
    <w:rsid w:val="00E56CBF"/>
    <w:rsid w:val="00E5793F"/>
    <w:rsid w:val="00E57A43"/>
    <w:rsid w:val="00E71895"/>
    <w:rsid w:val="00E71D35"/>
    <w:rsid w:val="00E72E32"/>
    <w:rsid w:val="00E73D0A"/>
    <w:rsid w:val="00E759B4"/>
    <w:rsid w:val="00E8183A"/>
    <w:rsid w:val="00E81C56"/>
    <w:rsid w:val="00E91BF4"/>
    <w:rsid w:val="00E973C4"/>
    <w:rsid w:val="00EA1BD5"/>
    <w:rsid w:val="00EA3941"/>
    <w:rsid w:val="00EA4683"/>
    <w:rsid w:val="00EA6F4C"/>
    <w:rsid w:val="00EA7BA7"/>
    <w:rsid w:val="00EB0A3D"/>
    <w:rsid w:val="00EB0F73"/>
    <w:rsid w:val="00EB1020"/>
    <w:rsid w:val="00EB2F54"/>
    <w:rsid w:val="00EB3ECC"/>
    <w:rsid w:val="00EB685D"/>
    <w:rsid w:val="00EC0333"/>
    <w:rsid w:val="00EC4F93"/>
    <w:rsid w:val="00ED1DED"/>
    <w:rsid w:val="00ED2C5C"/>
    <w:rsid w:val="00ED2E4F"/>
    <w:rsid w:val="00ED409B"/>
    <w:rsid w:val="00ED55D8"/>
    <w:rsid w:val="00ED766E"/>
    <w:rsid w:val="00ED7E2E"/>
    <w:rsid w:val="00EE1713"/>
    <w:rsid w:val="00EE4FC7"/>
    <w:rsid w:val="00EE52D9"/>
    <w:rsid w:val="00EE55AA"/>
    <w:rsid w:val="00EE66B0"/>
    <w:rsid w:val="00EE6DBE"/>
    <w:rsid w:val="00EF18EA"/>
    <w:rsid w:val="00F02F8D"/>
    <w:rsid w:val="00F03001"/>
    <w:rsid w:val="00F0375F"/>
    <w:rsid w:val="00F130B6"/>
    <w:rsid w:val="00F136B7"/>
    <w:rsid w:val="00F15C91"/>
    <w:rsid w:val="00F164BD"/>
    <w:rsid w:val="00F224AE"/>
    <w:rsid w:val="00F233A6"/>
    <w:rsid w:val="00F24E35"/>
    <w:rsid w:val="00F255D4"/>
    <w:rsid w:val="00F32DD6"/>
    <w:rsid w:val="00F33ABE"/>
    <w:rsid w:val="00F365A5"/>
    <w:rsid w:val="00F40CFF"/>
    <w:rsid w:val="00F4114D"/>
    <w:rsid w:val="00F44E20"/>
    <w:rsid w:val="00F4554B"/>
    <w:rsid w:val="00F51858"/>
    <w:rsid w:val="00F5268B"/>
    <w:rsid w:val="00F543D6"/>
    <w:rsid w:val="00F61BDA"/>
    <w:rsid w:val="00F64E86"/>
    <w:rsid w:val="00F654D8"/>
    <w:rsid w:val="00F70839"/>
    <w:rsid w:val="00F763E4"/>
    <w:rsid w:val="00F82502"/>
    <w:rsid w:val="00F9125A"/>
    <w:rsid w:val="00F91F8A"/>
    <w:rsid w:val="00F91FF9"/>
    <w:rsid w:val="00F92040"/>
    <w:rsid w:val="00F957AF"/>
    <w:rsid w:val="00FA076A"/>
    <w:rsid w:val="00FA2A91"/>
    <w:rsid w:val="00FA537D"/>
    <w:rsid w:val="00FB023B"/>
    <w:rsid w:val="00FB1397"/>
    <w:rsid w:val="00FB2AB7"/>
    <w:rsid w:val="00FB2CAC"/>
    <w:rsid w:val="00FB6D31"/>
    <w:rsid w:val="00FC5B89"/>
    <w:rsid w:val="00FC68C8"/>
    <w:rsid w:val="00FD121A"/>
    <w:rsid w:val="00FD3BAD"/>
    <w:rsid w:val="00FD7A58"/>
    <w:rsid w:val="00FD7FCA"/>
    <w:rsid w:val="00FE0D76"/>
    <w:rsid w:val="00FE7AE4"/>
    <w:rsid w:val="00FE7F4A"/>
    <w:rsid w:val="00FF0B4F"/>
    <w:rsid w:val="00FF0E0E"/>
    <w:rsid w:val="00FF1018"/>
    <w:rsid w:val="00FF1DDF"/>
    <w:rsid w:val="00FF1EC9"/>
    <w:rsid w:val="00FF39FE"/>
    <w:rsid w:val="00FF4909"/>
    <w:rsid w:val="00FF49C0"/>
    <w:rsid w:val="00FF6717"/>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DD674"/>
  <w15:chartTrackingRefBased/>
  <w15:docId w15:val="{38882888-3468-4641-AD18-43E5B855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0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4E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93F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BAD"/>
  </w:style>
  <w:style w:type="paragraph" w:styleId="Footer">
    <w:name w:val="footer"/>
    <w:basedOn w:val="Normal"/>
    <w:link w:val="FooterChar"/>
    <w:uiPriority w:val="99"/>
    <w:unhideWhenUsed/>
    <w:rsid w:val="00FD3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BAD"/>
  </w:style>
  <w:style w:type="paragraph" w:styleId="Title">
    <w:name w:val="Title"/>
    <w:basedOn w:val="Normal"/>
    <w:next w:val="Normal"/>
    <w:link w:val="TitleChar"/>
    <w:uiPriority w:val="10"/>
    <w:qFormat/>
    <w:rsid w:val="00FD3B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B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F108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1085"/>
    <w:pPr>
      <w:outlineLvl w:val="9"/>
    </w:pPr>
    <w:rPr>
      <w:lang w:val="en-US"/>
    </w:rPr>
  </w:style>
  <w:style w:type="paragraph" w:styleId="TOC2">
    <w:name w:val="toc 2"/>
    <w:basedOn w:val="Normal"/>
    <w:next w:val="Normal"/>
    <w:autoRedefine/>
    <w:uiPriority w:val="39"/>
    <w:unhideWhenUsed/>
    <w:rsid w:val="001F108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F1085"/>
    <w:pPr>
      <w:spacing w:after="100"/>
    </w:pPr>
    <w:rPr>
      <w:rFonts w:eastAsiaTheme="minorEastAsia" w:cs="Times New Roman"/>
      <w:lang w:val="en-US"/>
    </w:rPr>
  </w:style>
  <w:style w:type="paragraph" w:styleId="TOC3">
    <w:name w:val="toc 3"/>
    <w:basedOn w:val="Normal"/>
    <w:next w:val="Normal"/>
    <w:autoRedefine/>
    <w:uiPriority w:val="39"/>
    <w:unhideWhenUsed/>
    <w:rsid w:val="001F1085"/>
    <w:pPr>
      <w:spacing w:after="100"/>
      <w:ind w:left="440"/>
    </w:pPr>
    <w:rPr>
      <w:rFonts w:eastAsiaTheme="minorEastAsia" w:cs="Times New Roman"/>
      <w:lang w:val="en-US"/>
    </w:rPr>
  </w:style>
  <w:style w:type="character" w:styleId="Hyperlink">
    <w:name w:val="Hyperlink"/>
    <w:basedOn w:val="DefaultParagraphFont"/>
    <w:uiPriority w:val="99"/>
    <w:unhideWhenUsed/>
    <w:rsid w:val="001F1085"/>
    <w:rPr>
      <w:color w:val="0563C1" w:themeColor="hyperlink"/>
      <w:u w:val="single"/>
    </w:rPr>
  </w:style>
  <w:style w:type="paragraph" w:customStyle="1" w:styleId="Default">
    <w:name w:val="Default"/>
    <w:rsid w:val="007728B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26BDE"/>
    <w:pPr>
      <w:ind w:left="720"/>
      <w:contextualSpacing/>
    </w:pPr>
  </w:style>
  <w:style w:type="character" w:customStyle="1" w:styleId="Heading2Char">
    <w:name w:val="Heading 2 Char"/>
    <w:basedOn w:val="DefaultParagraphFont"/>
    <w:link w:val="Heading2"/>
    <w:uiPriority w:val="9"/>
    <w:rsid w:val="00F44E2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B236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81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5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9"/>
    <w:rPr>
      <w:rFonts w:ascii="Segoe UI" w:hAnsi="Segoe UI" w:cs="Segoe UI"/>
      <w:sz w:val="18"/>
      <w:szCs w:val="18"/>
    </w:rPr>
  </w:style>
  <w:style w:type="character" w:customStyle="1" w:styleId="UnresolvedMention1">
    <w:name w:val="Unresolved Mention1"/>
    <w:basedOn w:val="DefaultParagraphFont"/>
    <w:uiPriority w:val="99"/>
    <w:semiHidden/>
    <w:unhideWhenUsed/>
    <w:rsid w:val="008A30E9"/>
    <w:rPr>
      <w:color w:val="605E5C"/>
      <w:shd w:val="clear" w:color="auto" w:fill="E1DFDD"/>
    </w:rPr>
  </w:style>
  <w:style w:type="character" w:styleId="CommentReference">
    <w:name w:val="annotation reference"/>
    <w:basedOn w:val="DefaultParagraphFont"/>
    <w:uiPriority w:val="99"/>
    <w:semiHidden/>
    <w:unhideWhenUsed/>
    <w:rsid w:val="00266F2B"/>
    <w:rPr>
      <w:sz w:val="16"/>
      <w:szCs w:val="16"/>
    </w:rPr>
  </w:style>
  <w:style w:type="paragraph" w:styleId="CommentText">
    <w:name w:val="annotation text"/>
    <w:basedOn w:val="Normal"/>
    <w:link w:val="CommentTextChar"/>
    <w:uiPriority w:val="99"/>
    <w:unhideWhenUsed/>
    <w:rsid w:val="00266F2B"/>
    <w:pPr>
      <w:spacing w:line="240" w:lineRule="auto"/>
    </w:pPr>
    <w:rPr>
      <w:sz w:val="20"/>
      <w:szCs w:val="20"/>
    </w:rPr>
  </w:style>
  <w:style w:type="character" w:customStyle="1" w:styleId="CommentTextChar">
    <w:name w:val="Comment Text Char"/>
    <w:basedOn w:val="DefaultParagraphFont"/>
    <w:link w:val="CommentText"/>
    <w:uiPriority w:val="99"/>
    <w:rsid w:val="00266F2B"/>
    <w:rPr>
      <w:sz w:val="20"/>
      <w:szCs w:val="20"/>
    </w:rPr>
  </w:style>
  <w:style w:type="paragraph" w:styleId="CommentSubject">
    <w:name w:val="annotation subject"/>
    <w:basedOn w:val="CommentText"/>
    <w:next w:val="CommentText"/>
    <w:link w:val="CommentSubjectChar"/>
    <w:uiPriority w:val="99"/>
    <w:semiHidden/>
    <w:unhideWhenUsed/>
    <w:rsid w:val="00790199"/>
    <w:rPr>
      <w:b/>
      <w:bCs/>
    </w:rPr>
  </w:style>
  <w:style w:type="character" w:customStyle="1" w:styleId="CommentSubjectChar">
    <w:name w:val="Comment Subject Char"/>
    <w:basedOn w:val="CommentTextChar"/>
    <w:link w:val="CommentSubject"/>
    <w:uiPriority w:val="99"/>
    <w:semiHidden/>
    <w:rsid w:val="00790199"/>
    <w:rPr>
      <w:b/>
      <w:bCs/>
      <w:sz w:val="20"/>
      <w:szCs w:val="20"/>
    </w:rPr>
  </w:style>
  <w:style w:type="character" w:customStyle="1" w:styleId="Heading4Char">
    <w:name w:val="Heading 4 Char"/>
    <w:basedOn w:val="DefaultParagraphFont"/>
    <w:link w:val="Heading4"/>
    <w:uiPriority w:val="9"/>
    <w:rsid w:val="00793F88"/>
    <w:rPr>
      <w:rFonts w:asciiTheme="majorHAnsi" w:eastAsiaTheme="majorEastAsia" w:hAnsiTheme="majorHAnsi" w:cstheme="majorBidi"/>
      <w:i/>
      <w:iCs/>
      <w:color w:val="2E74B5" w:themeColor="accent1" w:themeShade="BF"/>
    </w:rPr>
  </w:style>
  <w:style w:type="character" w:customStyle="1" w:styleId="UnresolvedMention2">
    <w:name w:val="Unresolved Mention2"/>
    <w:basedOn w:val="DefaultParagraphFont"/>
    <w:uiPriority w:val="99"/>
    <w:semiHidden/>
    <w:unhideWhenUsed/>
    <w:rsid w:val="00BD015A"/>
    <w:rPr>
      <w:color w:val="605E5C"/>
      <w:shd w:val="clear" w:color="auto" w:fill="E1DFDD"/>
    </w:rPr>
  </w:style>
  <w:style w:type="character" w:styleId="UnresolvedMention">
    <w:name w:val="Unresolved Mention"/>
    <w:basedOn w:val="DefaultParagraphFont"/>
    <w:uiPriority w:val="99"/>
    <w:semiHidden/>
    <w:unhideWhenUsed/>
    <w:rsid w:val="00840F66"/>
    <w:rPr>
      <w:color w:val="605E5C"/>
      <w:shd w:val="clear" w:color="auto" w:fill="E1DFDD"/>
    </w:rPr>
  </w:style>
  <w:style w:type="character" w:styleId="FollowedHyperlink">
    <w:name w:val="FollowedHyperlink"/>
    <w:basedOn w:val="DefaultParagraphFont"/>
    <w:uiPriority w:val="99"/>
    <w:semiHidden/>
    <w:unhideWhenUsed/>
    <w:rsid w:val="007A5C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88518">
      <w:bodyDiv w:val="1"/>
      <w:marLeft w:val="0"/>
      <w:marRight w:val="0"/>
      <w:marTop w:val="0"/>
      <w:marBottom w:val="0"/>
      <w:divBdr>
        <w:top w:val="none" w:sz="0" w:space="0" w:color="auto"/>
        <w:left w:val="none" w:sz="0" w:space="0" w:color="auto"/>
        <w:bottom w:val="none" w:sz="0" w:space="0" w:color="auto"/>
        <w:right w:val="none" w:sz="0" w:space="0" w:color="auto"/>
      </w:divBdr>
      <w:divsChild>
        <w:div w:id="1087851061">
          <w:marLeft w:val="0"/>
          <w:marRight w:val="0"/>
          <w:marTop w:val="0"/>
          <w:marBottom w:val="60"/>
          <w:divBdr>
            <w:top w:val="none" w:sz="0" w:space="0" w:color="auto"/>
            <w:left w:val="none" w:sz="0" w:space="0" w:color="auto"/>
            <w:bottom w:val="none" w:sz="0" w:space="0" w:color="auto"/>
            <w:right w:val="none" w:sz="0" w:space="0" w:color="auto"/>
          </w:divBdr>
          <w:divsChild>
            <w:div w:id="828132542">
              <w:marLeft w:val="600"/>
              <w:marRight w:val="0"/>
              <w:marTop w:val="0"/>
              <w:marBottom w:val="0"/>
              <w:divBdr>
                <w:top w:val="none" w:sz="0" w:space="0" w:color="auto"/>
                <w:left w:val="none" w:sz="0" w:space="0" w:color="auto"/>
                <w:bottom w:val="none" w:sz="0" w:space="0" w:color="auto"/>
                <w:right w:val="none" w:sz="0" w:space="0" w:color="auto"/>
              </w:divBdr>
              <w:divsChild>
                <w:div w:id="1230922800">
                  <w:marLeft w:val="0"/>
                  <w:marRight w:val="0"/>
                  <w:marTop w:val="0"/>
                  <w:marBottom w:val="0"/>
                  <w:divBdr>
                    <w:top w:val="none" w:sz="0" w:space="0" w:color="auto"/>
                    <w:left w:val="none" w:sz="0" w:space="0" w:color="auto"/>
                    <w:bottom w:val="none" w:sz="0" w:space="0" w:color="auto"/>
                    <w:right w:val="none" w:sz="0" w:space="0" w:color="auto"/>
                  </w:divBdr>
                  <w:divsChild>
                    <w:div w:id="880165815">
                      <w:marLeft w:val="120"/>
                      <w:marRight w:val="0"/>
                      <w:marTop w:val="0"/>
                      <w:marBottom w:val="0"/>
                      <w:divBdr>
                        <w:top w:val="none" w:sz="0" w:space="0" w:color="auto"/>
                        <w:left w:val="none" w:sz="0" w:space="0" w:color="auto"/>
                        <w:bottom w:val="none" w:sz="0" w:space="0" w:color="auto"/>
                        <w:right w:val="none" w:sz="0" w:space="0" w:color="auto"/>
                      </w:divBdr>
                    </w:div>
                    <w:div w:id="13370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6946">
          <w:marLeft w:val="0"/>
          <w:marRight w:val="0"/>
          <w:marTop w:val="0"/>
          <w:marBottom w:val="60"/>
          <w:divBdr>
            <w:top w:val="none" w:sz="0" w:space="0" w:color="auto"/>
            <w:left w:val="none" w:sz="0" w:space="0" w:color="auto"/>
            <w:bottom w:val="none" w:sz="0" w:space="0" w:color="auto"/>
            <w:right w:val="none" w:sz="0" w:space="0" w:color="auto"/>
          </w:divBdr>
          <w:divsChild>
            <w:div w:id="1309286890">
              <w:marLeft w:val="600"/>
              <w:marRight w:val="0"/>
              <w:marTop w:val="0"/>
              <w:marBottom w:val="0"/>
              <w:divBdr>
                <w:top w:val="none" w:sz="0" w:space="0" w:color="auto"/>
                <w:left w:val="none" w:sz="0" w:space="0" w:color="auto"/>
                <w:bottom w:val="none" w:sz="0" w:space="0" w:color="auto"/>
                <w:right w:val="none" w:sz="0" w:space="0" w:color="auto"/>
              </w:divBdr>
              <w:divsChild>
                <w:div w:id="284434990">
                  <w:marLeft w:val="0"/>
                  <w:marRight w:val="0"/>
                  <w:marTop w:val="0"/>
                  <w:marBottom w:val="0"/>
                  <w:divBdr>
                    <w:top w:val="none" w:sz="0" w:space="0" w:color="auto"/>
                    <w:left w:val="none" w:sz="0" w:space="0" w:color="auto"/>
                    <w:bottom w:val="none" w:sz="0" w:space="0" w:color="auto"/>
                    <w:right w:val="none" w:sz="0" w:space="0" w:color="auto"/>
                  </w:divBdr>
                  <w:divsChild>
                    <w:div w:id="50082974">
                      <w:marLeft w:val="120"/>
                      <w:marRight w:val="0"/>
                      <w:marTop w:val="0"/>
                      <w:marBottom w:val="0"/>
                      <w:divBdr>
                        <w:top w:val="none" w:sz="0" w:space="0" w:color="auto"/>
                        <w:left w:val="none" w:sz="0" w:space="0" w:color="auto"/>
                        <w:bottom w:val="none" w:sz="0" w:space="0" w:color="auto"/>
                        <w:right w:val="none" w:sz="0" w:space="0" w:color="auto"/>
                      </w:divBdr>
                    </w:div>
                    <w:div w:id="7830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6642">
          <w:marLeft w:val="0"/>
          <w:marRight w:val="0"/>
          <w:marTop w:val="0"/>
          <w:marBottom w:val="60"/>
          <w:divBdr>
            <w:top w:val="none" w:sz="0" w:space="0" w:color="auto"/>
            <w:left w:val="none" w:sz="0" w:space="0" w:color="auto"/>
            <w:bottom w:val="none" w:sz="0" w:space="0" w:color="auto"/>
            <w:right w:val="none" w:sz="0" w:space="0" w:color="auto"/>
          </w:divBdr>
          <w:divsChild>
            <w:div w:id="1982684276">
              <w:marLeft w:val="600"/>
              <w:marRight w:val="0"/>
              <w:marTop w:val="0"/>
              <w:marBottom w:val="0"/>
              <w:divBdr>
                <w:top w:val="none" w:sz="0" w:space="0" w:color="auto"/>
                <w:left w:val="none" w:sz="0" w:space="0" w:color="auto"/>
                <w:bottom w:val="none" w:sz="0" w:space="0" w:color="auto"/>
                <w:right w:val="none" w:sz="0" w:space="0" w:color="auto"/>
              </w:divBdr>
              <w:divsChild>
                <w:div w:id="530074602">
                  <w:marLeft w:val="0"/>
                  <w:marRight w:val="0"/>
                  <w:marTop w:val="0"/>
                  <w:marBottom w:val="0"/>
                  <w:divBdr>
                    <w:top w:val="none" w:sz="0" w:space="0" w:color="auto"/>
                    <w:left w:val="none" w:sz="0" w:space="0" w:color="auto"/>
                    <w:bottom w:val="none" w:sz="0" w:space="0" w:color="auto"/>
                    <w:right w:val="none" w:sz="0" w:space="0" w:color="auto"/>
                  </w:divBdr>
                  <w:divsChild>
                    <w:div w:id="589972130">
                      <w:marLeft w:val="120"/>
                      <w:marRight w:val="0"/>
                      <w:marTop w:val="0"/>
                      <w:marBottom w:val="0"/>
                      <w:divBdr>
                        <w:top w:val="none" w:sz="0" w:space="0" w:color="auto"/>
                        <w:left w:val="none" w:sz="0" w:space="0" w:color="auto"/>
                        <w:bottom w:val="none" w:sz="0" w:space="0" w:color="auto"/>
                        <w:right w:val="none" w:sz="0" w:space="0" w:color="auto"/>
                      </w:divBdr>
                    </w:div>
                    <w:div w:id="17899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2591">
          <w:marLeft w:val="0"/>
          <w:marRight w:val="0"/>
          <w:marTop w:val="0"/>
          <w:marBottom w:val="60"/>
          <w:divBdr>
            <w:top w:val="none" w:sz="0" w:space="0" w:color="auto"/>
            <w:left w:val="none" w:sz="0" w:space="0" w:color="auto"/>
            <w:bottom w:val="none" w:sz="0" w:space="0" w:color="auto"/>
            <w:right w:val="none" w:sz="0" w:space="0" w:color="auto"/>
          </w:divBdr>
          <w:divsChild>
            <w:div w:id="931014820">
              <w:marLeft w:val="600"/>
              <w:marRight w:val="0"/>
              <w:marTop w:val="0"/>
              <w:marBottom w:val="0"/>
              <w:divBdr>
                <w:top w:val="none" w:sz="0" w:space="0" w:color="auto"/>
                <w:left w:val="none" w:sz="0" w:space="0" w:color="auto"/>
                <w:bottom w:val="none" w:sz="0" w:space="0" w:color="auto"/>
                <w:right w:val="none" w:sz="0" w:space="0" w:color="auto"/>
              </w:divBdr>
              <w:divsChild>
                <w:div w:id="392775483">
                  <w:marLeft w:val="0"/>
                  <w:marRight w:val="0"/>
                  <w:marTop w:val="0"/>
                  <w:marBottom w:val="0"/>
                  <w:divBdr>
                    <w:top w:val="none" w:sz="0" w:space="0" w:color="auto"/>
                    <w:left w:val="none" w:sz="0" w:space="0" w:color="auto"/>
                    <w:bottom w:val="none" w:sz="0" w:space="0" w:color="auto"/>
                    <w:right w:val="none" w:sz="0" w:space="0" w:color="auto"/>
                  </w:divBdr>
                  <w:divsChild>
                    <w:div w:id="222562954">
                      <w:marLeft w:val="120"/>
                      <w:marRight w:val="0"/>
                      <w:marTop w:val="0"/>
                      <w:marBottom w:val="0"/>
                      <w:divBdr>
                        <w:top w:val="none" w:sz="0" w:space="0" w:color="auto"/>
                        <w:left w:val="none" w:sz="0" w:space="0" w:color="auto"/>
                        <w:bottom w:val="none" w:sz="0" w:space="0" w:color="auto"/>
                        <w:right w:val="none" w:sz="0" w:space="0" w:color="auto"/>
                      </w:divBdr>
                    </w:div>
                    <w:div w:id="1520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3007">
          <w:marLeft w:val="0"/>
          <w:marRight w:val="0"/>
          <w:marTop w:val="0"/>
          <w:marBottom w:val="60"/>
          <w:divBdr>
            <w:top w:val="none" w:sz="0" w:space="0" w:color="auto"/>
            <w:left w:val="none" w:sz="0" w:space="0" w:color="auto"/>
            <w:bottom w:val="none" w:sz="0" w:space="0" w:color="auto"/>
            <w:right w:val="none" w:sz="0" w:space="0" w:color="auto"/>
          </w:divBdr>
          <w:divsChild>
            <w:div w:id="111172774">
              <w:marLeft w:val="600"/>
              <w:marRight w:val="0"/>
              <w:marTop w:val="0"/>
              <w:marBottom w:val="0"/>
              <w:divBdr>
                <w:top w:val="none" w:sz="0" w:space="0" w:color="auto"/>
                <w:left w:val="none" w:sz="0" w:space="0" w:color="auto"/>
                <w:bottom w:val="none" w:sz="0" w:space="0" w:color="auto"/>
                <w:right w:val="none" w:sz="0" w:space="0" w:color="auto"/>
              </w:divBdr>
              <w:divsChild>
                <w:div w:id="46924774">
                  <w:marLeft w:val="0"/>
                  <w:marRight w:val="0"/>
                  <w:marTop w:val="0"/>
                  <w:marBottom w:val="0"/>
                  <w:divBdr>
                    <w:top w:val="none" w:sz="0" w:space="0" w:color="auto"/>
                    <w:left w:val="none" w:sz="0" w:space="0" w:color="auto"/>
                    <w:bottom w:val="none" w:sz="0" w:space="0" w:color="auto"/>
                    <w:right w:val="none" w:sz="0" w:space="0" w:color="auto"/>
                  </w:divBdr>
                  <w:divsChild>
                    <w:div w:id="1742562508">
                      <w:marLeft w:val="120"/>
                      <w:marRight w:val="0"/>
                      <w:marTop w:val="0"/>
                      <w:marBottom w:val="0"/>
                      <w:divBdr>
                        <w:top w:val="none" w:sz="0" w:space="0" w:color="auto"/>
                        <w:left w:val="none" w:sz="0" w:space="0" w:color="auto"/>
                        <w:bottom w:val="none" w:sz="0" w:space="0" w:color="auto"/>
                        <w:right w:val="none" w:sz="0" w:space="0" w:color="auto"/>
                      </w:divBdr>
                    </w:div>
                    <w:div w:id="2527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542">
          <w:marLeft w:val="0"/>
          <w:marRight w:val="0"/>
          <w:marTop w:val="0"/>
          <w:marBottom w:val="60"/>
          <w:divBdr>
            <w:top w:val="none" w:sz="0" w:space="0" w:color="auto"/>
            <w:left w:val="none" w:sz="0" w:space="0" w:color="auto"/>
            <w:bottom w:val="none" w:sz="0" w:space="0" w:color="auto"/>
            <w:right w:val="none" w:sz="0" w:space="0" w:color="auto"/>
          </w:divBdr>
          <w:divsChild>
            <w:div w:id="372072467">
              <w:marLeft w:val="600"/>
              <w:marRight w:val="0"/>
              <w:marTop w:val="0"/>
              <w:marBottom w:val="0"/>
              <w:divBdr>
                <w:top w:val="none" w:sz="0" w:space="0" w:color="auto"/>
                <w:left w:val="none" w:sz="0" w:space="0" w:color="auto"/>
                <w:bottom w:val="none" w:sz="0" w:space="0" w:color="auto"/>
                <w:right w:val="none" w:sz="0" w:space="0" w:color="auto"/>
              </w:divBdr>
              <w:divsChild>
                <w:div w:id="1424758779">
                  <w:marLeft w:val="0"/>
                  <w:marRight w:val="0"/>
                  <w:marTop w:val="0"/>
                  <w:marBottom w:val="0"/>
                  <w:divBdr>
                    <w:top w:val="none" w:sz="0" w:space="0" w:color="auto"/>
                    <w:left w:val="none" w:sz="0" w:space="0" w:color="auto"/>
                    <w:bottom w:val="none" w:sz="0" w:space="0" w:color="auto"/>
                    <w:right w:val="none" w:sz="0" w:space="0" w:color="auto"/>
                  </w:divBdr>
                  <w:divsChild>
                    <w:div w:id="1722436153">
                      <w:marLeft w:val="120"/>
                      <w:marRight w:val="0"/>
                      <w:marTop w:val="0"/>
                      <w:marBottom w:val="0"/>
                      <w:divBdr>
                        <w:top w:val="none" w:sz="0" w:space="0" w:color="auto"/>
                        <w:left w:val="none" w:sz="0" w:space="0" w:color="auto"/>
                        <w:bottom w:val="none" w:sz="0" w:space="0" w:color="auto"/>
                        <w:right w:val="none" w:sz="0" w:space="0" w:color="auto"/>
                      </w:divBdr>
                    </w:div>
                    <w:div w:id="3585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4173">
          <w:marLeft w:val="0"/>
          <w:marRight w:val="0"/>
          <w:marTop w:val="0"/>
          <w:marBottom w:val="60"/>
          <w:divBdr>
            <w:top w:val="none" w:sz="0" w:space="0" w:color="auto"/>
            <w:left w:val="none" w:sz="0" w:space="0" w:color="auto"/>
            <w:bottom w:val="none" w:sz="0" w:space="0" w:color="auto"/>
            <w:right w:val="none" w:sz="0" w:space="0" w:color="auto"/>
          </w:divBdr>
          <w:divsChild>
            <w:div w:id="1675765257">
              <w:marLeft w:val="600"/>
              <w:marRight w:val="0"/>
              <w:marTop w:val="0"/>
              <w:marBottom w:val="0"/>
              <w:divBdr>
                <w:top w:val="none" w:sz="0" w:space="0" w:color="auto"/>
                <w:left w:val="none" w:sz="0" w:space="0" w:color="auto"/>
                <w:bottom w:val="none" w:sz="0" w:space="0" w:color="auto"/>
                <w:right w:val="none" w:sz="0" w:space="0" w:color="auto"/>
              </w:divBdr>
              <w:divsChild>
                <w:div w:id="1032002121">
                  <w:marLeft w:val="0"/>
                  <w:marRight w:val="0"/>
                  <w:marTop w:val="0"/>
                  <w:marBottom w:val="0"/>
                  <w:divBdr>
                    <w:top w:val="none" w:sz="0" w:space="0" w:color="auto"/>
                    <w:left w:val="none" w:sz="0" w:space="0" w:color="auto"/>
                    <w:bottom w:val="none" w:sz="0" w:space="0" w:color="auto"/>
                    <w:right w:val="none" w:sz="0" w:space="0" w:color="auto"/>
                  </w:divBdr>
                  <w:divsChild>
                    <w:div w:id="415440291">
                      <w:marLeft w:val="120"/>
                      <w:marRight w:val="0"/>
                      <w:marTop w:val="0"/>
                      <w:marBottom w:val="0"/>
                      <w:divBdr>
                        <w:top w:val="none" w:sz="0" w:space="0" w:color="auto"/>
                        <w:left w:val="none" w:sz="0" w:space="0" w:color="auto"/>
                        <w:bottom w:val="none" w:sz="0" w:space="0" w:color="auto"/>
                        <w:right w:val="none" w:sz="0" w:space="0" w:color="auto"/>
                      </w:divBdr>
                    </w:div>
                    <w:div w:id="3982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4920">
          <w:marLeft w:val="0"/>
          <w:marRight w:val="0"/>
          <w:marTop w:val="0"/>
          <w:marBottom w:val="60"/>
          <w:divBdr>
            <w:top w:val="none" w:sz="0" w:space="0" w:color="auto"/>
            <w:left w:val="none" w:sz="0" w:space="0" w:color="auto"/>
            <w:bottom w:val="none" w:sz="0" w:space="0" w:color="auto"/>
            <w:right w:val="none" w:sz="0" w:space="0" w:color="auto"/>
          </w:divBdr>
          <w:divsChild>
            <w:div w:id="1187062051">
              <w:marLeft w:val="600"/>
              <w:marRight w:val="0"/>
              <w:marTop w:val="0"/>
              <w:marBottom w:val="0"/>
              <w:divBdr>
                <w:top w:val="none" w:sz="0" w:space="0" w:color="auto"/>
                <w:left w:val="none" w:sz="0" w:space="0" w:color="auto"/>
                <w:bottom w:val="none" w:sz="0" w:space="0" w:color="auto"/>
                <w:right w:val="none" w:sz="0" w:space="0" w:color="auto"/>
              </w:divBdr>
              <w:divsChild>
                <w:div w:id="1536578254">
                  <w:marLeft w:val="0"/>
                  <w:marRight w:val="0"/>
                  <w:marTop w:val="0"/>
                  <w:marBottom w:val="0"/>
                  <w:divBdr>
                    <w:top w:val="none" w:sz="0" w:space="0" w:color="auto"/>
                    <w:left w:val="none" w:sz="0" w:space="0" w:color="auto"/>
                    <w:bottom w:val="none" w:sz="0" w:space="0" w:color="auto"/>
                    <w:right w:val="none" w:sz="0" w:space="0" w:color="auto"/>
                  </w:divBdr>
                  <w:divsChild>
                    <w:div w:id="711073638">
                      <w:marLeft w:val="120"/>
                      <w:marRight w:val="0"/>
                      <w:marTop w:val="0"/>
                      <w:marBottom w:val="0"/>
                      <w:divBdr>
                        <w:top w:val="none" w:sz="0" w:space="0" w:color="auto"/>
                        <w:left w:val="none" w:sz="0" w:space="0" w:color="auto"/>
                        <w:bottom w:val="none" w:sz="0" w:space="0" w:color="auto"/>
                        <w:right w:val="none" w:sz="0" w:space="0" w:color="auto"/>
                      </w:divBdr>
                    </w:div>
                    <w:div w:id="7496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37140">
      <w:bodyDiv w:val="1"/>
      <w:marLeft w:val="0"/>
      <w:marRight w:val="0"/>
      <w:marTop w:val="0"/>
      <w:marBottom w:val="0"/>
      <w:divBdr>
        <w:top w:val="none" w:sz="0" w:space="0" w:color="auto"/>
        <w:left w:val="none" w:sz="0" w:space="0" w:color="auto"/>
        <w:bottom w:val="none" w:sz="0" w:space="0" w:color="auto"/>
        <w:right w:val="none" w:sz="0" w:space="0" w:color="auto"/>
      </w:divBdr>
    </w:div>
    <w:div w:id="873078946">
      <w:bodyDiv w:val="1"/>
      <w:marLeft w:val="0"/>
      <w:marRight w:val="0"/>
      <w:marTop w:val="0"/>
      <w:marBottom w:val="0"/>
      <w:divBdr>
        <w:top w:val="none" w:sz="0" w:space="0" w:color="auto"/>
        <w:left w:val="none" w:sz="0" w:space="0" w:color="auto"/>
        <w:bottom w:val="none" w:sz="0" w:space="0" w:color="auto"/>
        <w:right w:val="none" w:sz="0" w:space="0" w:color="auto"/>
      </w:divBdr>
      <w:divsChild>
        <w:div w:id="1811894949">
          <w:marLeft w:val="0"/>
          <w:marRight w:val="0"/>
          <w:marTop w:val="0"/>
          <w:marBottom w:val="0"/>
          <w:divBdr>
            <w:top w:val="none" w:sz="0" w:space="0" w:color="auto"/>
            <w:left w:val="none" w:sz="0" w:space="0" w:color="auto"/>
            <w:bottom w:val="single" w:sz="6" w:space="0" w:color="F5F5F5"/>
            <w:right w:val="none" w:sz="0" w:space="0" w:color="auto"/>
          </w:divBdr>
          <w:divsChild>
            <w:div w:id="2130853521">
              <w:marLeft w:val="0"/>
              <w:marRight w:val="0"/>
              <w:marTop w:val="0"/>
              <w:marBottom w:val="0"/>
              <w:divBdr>
                <w:top w:val="none" w:sz="0" w:space="0" w:color="auto"/>
                <w:left w:val="none" w:sz="0" w:space="0" w:color="auto"/>
                <w:bottom w:val="none" w:sz="0" w:space="0" w:color="auto"/>
                <w:right w:val="none" w:sz="0" w:space="0" w:color="auto"/>
              </w:divBdr>
            </w:div>
          </w:divsChild>
        </w:div>
        <w:div w:id="2083867693">
          <w:marLeft w:val="0"/>
          <w:marRight w:val="0"/>
          <w:marTop w:val="0"/>
          <w:marBottom w:val="0"/>
          <w:divBdr>
            <w:top w:val="none" w:sz="0" w:space="0" w:color="auto"/>
            <w:left w:val="none" w:sz="0" w:space="0" w:color="auto"/>
            <w:bottom w:val="single" w:sz="6" w:space="0" w:color="F5F5F5"/>
            <w:right w:val="none" w:sz="0" w:space="0" w:color="auto"/>
          </w:divBdr>
          <w:divsChild>
            <w:div w:id="561525325">
              <w:marLeft w:val="0"/>
              <w:marRight w:val="0"/>
              <w:marTop w:val="0"/>
              <w:marBottom w:val="0"/>
              <w:divBdr>
                <w:top w:val="none" w:sz="0" w:space="0" w:color="auto"/>
                <w:left w:val="none" w:sz="0" w:space="0" w:color="auto"/>
                <w:bottom w:val="none" w:sz="0" w:space="0" w:color="auto"/>
                <w:right w:val="none" w:sz="0" w:space="0" w:color="auto"/>
              </w:divBdr>
            </w:div>
            <w:div w:id="973487188">
              <w:marLeft w:val="0"/>
              <w:marRight w:val="0"/>
              <w:marTop w:val="0"/>
              <w:marBottom w:val="0"/>
              <w:divBdr>
                <w:top w:val="none" w:sz="0" w:space="0" w:color="auto"/>
                <w:left w:val="none" w:sz="0" w:space="0" w:color="auto"/>
                <w:bottom w:val="none" w:sz="0" w:space="0" w:color="auto"/>
                <w:right w:val="none" w:sz="0" w:space="0" w:color="auto"/>
              </w:divBdr>
            </w:div>
          </w:divsChild>
        </w:div>
        <w:div w:id="993995302">
          <w:marLeft w:val="0"/>
          <w:marRight w:val="0"/>
          <w:marTop w:val="0"/>
          <w:marBottom w:val="0"/>
          <w:divBdr>
            <w:top w:val="none" w:sz="0" w:space="0" w:color="auto"/>
            <w:left w:val="none" w:sz="0" w:space="0" w:color="auto"/>
            <w:bottom w:val="single" w:sz="6" w:space="0" w:color="F5F5F5"/>
            <w:right w:val="none" w:sz="0" w:space="0" w:color="auto"/>
          </w:divBdr>
          <w:divsChild>
            <w:div w:id="1921602754">
              <w:marLeft w:val="0"/>
              <w:marRight w:val="0"/>
              <w:marTop w:val="0"/>
              <w:marBottom w:val="0"/>
              <w:divBdr>
                <w:top w:val="none" w:sz="0" w:space="0" w:color="auto"/>
                <w:left w:val="none" w:sz="0" w:space="0" w:color="auto"/>
                <w:bottom w:val="none" w:sz="0" w:space="0" w:color="auto"/>
                <w:right w:val="none" w:sz="0" w:space="0" w:color="auto"/>
              </w:divBdr>
            </w:div>
            <w:div w:id="850798630">
              <w:marLeft w:val="0"/>
              <w:marRight w:val="0"/>
              <w:marTop w:val="0"/>
              <w:marBottom w:val="0"/>
              <w:divBdr>
                <w:top w:val="none" w:sz="0" w:space="0" w:color="auto"/>
                <w:left w:val="none" w:sz="0" w:space="0" w:color="auto"/>
                <w:bottom w:val="none" w:sz="0" w:space="0" w:color="auto"/>
                <w:right w:val="none" w:sz="0" w:space="0" w:color="auto"/>
              </w:divBdr>
            </w:div>
          </w:divsChild>
        </w:div>
        <w:div w:id="1936866487">
          <w:marLeft w:val="0"/>
          <w:marRight w:val="0"/>
          <w:marTop w:val="0"/>
          <w:marBottom w:val="0"/>
          <w:divBdr>
            <w:top w:val="none" w:sz="0" w:space="0" w:color="auto"/>
            <w:left w:val="none" w:sz="0" w:space="0" w:color="auto"/>
            <w:bottom w:val="single" w:sz="6" w:space="0" w:color="F5F5F5"/>
            <w:right w:val="none" w:sz="0" w:space="0" w:color="auto"/>
          </w:divBdr>
          <w:divsChild>
            <w:div w:id="161747960">
              <w:marLeft w:val="0"/>
              <w:marRight w:val="0"/>
              <w:marTop w:val="0"/>
              <w:marBottom w:val="0"/>
              <w:divBdr>
                <w:top w:val="none" w:sz="0" w:space="0" w:color="auto"/>
                <w:left w:val="none" w:sz="0" w:space="0" w:color="auto"/>
                <w:bottom w:val="none" w:sz="0" w:space="0" w:color="auto"/>
                <w:right w:val="none" w:sz="0" w:space="0" w:color="auto"/>
              </w:divBdr>
            </w:div>
            <w:div w:id="651562111">
              <w:marLeft w:val="0"/>
              <w:marRight w:val="0"/>
              <w:marTop w:val="0"/>
              <w:marBottom w:val="0"/>
              <w:divBdr>
                <w:top w:val="none" w:sz="0" w:space="0" w:color="auto"/>
                <w:left w:val="none" w:sz="0" w:space="0" w:color="auto"/>
                <w:bottom w:val="none" w:sz="0" w:space="0" w:color="auto"/>
                <w:right w:val="none" w:sz="0" w:space="0" w:color="auto"/>
              </w:divBdr>
            </w:div>
          </w:divsChild>
        </w:div>
        <w:div w:id="728460953">
          <w:marLeft w:val="0"/>
          <w:marRight w:val="0"/>
          <w:marTop w:val="0"/>
          <w:marBottom w:val="0"/>
          <w:divBdr>
            <w:top w:val="none" w:sz="0" w:space="0" w:color="auto"/>
            <w:left w:val="none" w:sz="0" w:space="0" w:color="auto"/>
            <w:bottom w:val="single" w:sz="6" w:space="0" w:color="F5F5F5"/>
            <w:right w:val="none" w:sz="0" w:space="0" w:color="auto"/>
          </w:divBdr>
          <w:divsChild>
            <w:div w:id="1297876624">
              <w:marLeft w:val="0"/>
              <w:marRight w:val="0"/>
              <w:marTop w:val="0"/>
              <w:marBottom w:val="0"/>
              <w:divBdr>
                <w:top w:val="none" w:sz="0" w:space="0" w:color="auto"/>
                <w:left w:val="none" w:sz="0" w:space="0" w:color="auto"/>
                <w:bottom w:val="none" w:sz="0" w:space="0" w:color="auto"/>
                <w:right w:val="none" w:sz="0" w:space="0" w:color="auto"/>
              </w:divBdr>
            </w:div>
            <w:div w:id="1139571565">
              <w:marLeft w:val="0"/>
              <w:marRight w:val="0"/>
              <w:marTop w:val="0"/>
              <w:marBottom w:val="0"/>
              <w:divBdr>
                <w:top w:val="none" w:sz="0" w:space="0" w:color="auto"/>
                <w:left w:val="none" w:sz="0" w:space="0" w:color="auto"/>
                <w:bottom w:val="none" w:sz="0" w:space="0" w:color="auto"/>
                <w:right w:val="none" w:sz="0" w:space="0" w:color="auto"/>
              </w:divBdr>
            </w:div>
          </w:divsChild>
        </w:div>
        <w:div w:id="1393851400">
          <w:marLeft w:val="0"/>
          <w:marRight w:val="0"/>
          <w:marTop w:val="0"/>
          <w:marBottom w:val="0"/>
          <w:divBdr>
            <w:top w:val="none" w:sz="0" w:space="0" w:color="auto"/>
            <w:left w:val="none" w:sz="0" w:space="0" w:color="auto"/>
            <w:bottom w:val="single" w:sz="6" w:space="0" w:color="F5F5F5"/>
            <w:right w:val="none" w:sz="0" w:space="0" w:color="auto"/>
          </w:divBdr>
          <w:divsChild>
            <w:div w:id="121385505">
              <w:marLeft w:val="0"/>
              <w:marRight w:val="0"/>
              <w:marTop w:val="0"/>
              <w:marBottom w:val="0"/>
              <w:divBdr>
                <w:top w:val="none" w:sz="0" w:space="0" w:color="auto"/>
                <w:left w:val="none" w:sz="0" w:space="0" w:color="auto"/>
                <w:bottom w:val="none" w:sz="0" w:space="0" w:color="auto"/>
                <w:right w:val="none" w:sz="0" w:space="0" w:color="auto"/>
              </w:divBdr>
            </w:div>
            <w:div w:id="572198138">
              <w:marLeft w:val="0"/>
              <w:marRight w:val="0"/>
              <w:marTop w:val="0"/>
              <w:marBottom w:val="0"/>
              <w:divBdr>
                <w:top w:val="none" w:sz="0" w:space="0" w:color="auto"/>
                <w:left w:val="none" w:sz="0" w:space="0" w:color="auto"/>
                <w:bottom w:val="none" w:sz="0" w:space="0" w:color="auto"/>
                <w:right w:val="none" w:sz="0" w:space="0" w:color="auto"/>
              </w:divBdr>
            </w:div>
          </w:divsChild>
        </w:div>
        <w:div w:id="1964800204">
          <w:marLeft w:val="0"/>
          <w:marRight w:val="0"/>
          <w:marTop w:val="0"/>
          <w:marBottom w:val="0"/>
          <w:divBdr>
            <w:top w:val="none" w:sz="0" w:space="0" w:color="auto"/>
            <w:left w:val="none" w:sz="0" w:space="0" w:color="auto"/>
            <w:bottom w:val="single" w:sz="6" w:space="0" w:color="F5F5F5"/>
            <w:right w:val="none" w:sz="0" w:space="0" w:color="auto"/>
          </w:divBdr>
          <w:divsChild>
            <w:div w:id="2119324360">
              <w:marLeft w:val="0"/>
              <w:marRight w:val="0"/>
              <w:marTop w:val="0"/>
              <w:marBottom w:val="0"/>
              <w:divBdr>
                <w:top w:val="none" w:sz="0" w:space="0" w:color="auto"/>
                <w:left w:val="none" w:sz="0" w:space="0" w:color="auto"/>
                <w:bottom w:val="none" w:sz="0" w:space="0" w:color="auto"/>
                <w:right w:val="none" w:sz="0" w:space="0" w:color="auto"/>
              </w:divBdr>
            </w:div>
            <w:div w:id="1347557344">
              <w:marLeft w:val="0"/>
              <w:marRight w:val="0"/>
              <w:marTop w:val="0"/>
              <w:marBottom w:val="0"/>
              <w:divBdr>
                <w:top w:val="none" w:sz="0" w:space="0" w:color="auto"/>
                <w:left w:val="none" w:sz="0" w:space="0" w:color="auto"/>
                <w:bottom w:val="none" w:sz="0" w:space="0" w:color="auto"/>
                <w:right w:val="none" w:sz="0" w:space="0" w:color="auto"/>
              </w:divBdr>
            </w:div>
          </w:divsChild>
        </w:div>
        <w:div w:id="1604460160">
          <w:marLeft w:val="0"/>
          <w:marRight w:val="0"/>
          <w:marTop w:val="0"/>
          <w:marBottom w:val="0"/>
          <w:divBdr>
            <w:top w:val="none" w:sz="0" w:space="0" w:color="auto"/>
            <w:left w:val="none" w:sz="0" w:space="0" w:color="auto"/>
            <w:bottom w:val="single" w:sz="6" w:space="0" w:color="F5F5F5"/>
            <w:right w:val="none" w:sz="0" w:space="0" w:color="auto"/>
          </w:divBdr>
          <w:divsChild>
            <w:div w:id="1250037818">
              <w:marLeft w:val="0"/>
              <w:marRight w:val="0"/>
              <w:marTop w:val="0"/>
              <w:marBottom w:val="0"/>
              <w:divBdr>
                <w:top w:val="none" w:sz="0" w:space="0" w:color="auto"/>
                <w:left w:val="none" w:sz="0" w:space="0" w:color="auto"/>
                <w:bottom w:val="none" w:sz="0" w:space="0" w:color="auto"/>
                <w:right w:val="none" w:sz="0" w:space="0" w:color="auto"/>
              </w:divBdr>
            </w:div>
            <w:div w:id="245308794">
              <w:marLeft w:val="0"/>
              <w:marRight w:val="0"/>
              <w:marTop w:val="0"/>
              <w:marBottom w:val="0"/>
              <w:divBdr>
                <w:top w:val="none" w:sz="0" w:space="0" w:color="auto"/>
                <w:left w:val="none" w:sz="0" w:space="0" w:color="auto"/>
                <w:bottom w:val="none" w:sz="0" w:space="0" w:color="auto"/>
                <w:right w:val="none" w:sz="0" w:space="0" w:color="auto"/>
              </w:divBdr>
            </w:div>
          </w:divsChild>
        </w:div>
        <w:div w:id="1393232757">
          <w:marLeft w:val="0"/>
          <w:marRight w:val="0"/>
          <w:marTop w:val="0"/>
          <w:marBottom w:val="0"/>
          <w:divBdr>
            <w:top w:val="none" w:sz="0" w:space="0" w:color="auto"/>
            <w:left w:val="none" w:sz="0" w:space="0" w:color="auto"/>
            <w:bottom w:val="single" w:sz="6" w:space="0" w:color="F5F5F5"/>
            <w:right w:val="none" w:sz="0" w:space="0" w:color="auto"/>
          </w:divBdr>
          <w:divsChild>
            <w:div w:id="390544517">
              <w:marLeft w:val="0"/>
              <w:marRight w:val="0"/>
              <w:marTop w:val="0"/>
              <w:marBottom w:val="0"/>
              <w:divBdr>
                <w:top w:val="none" w:sz="0" w:space="0" w:color="auto"/>
                <w:left w:val="none" w:sz="0" w:space="0" w:color="auto"/>
                <w:bottom w:val="none" w:sz="0" w:space="0" w:color="auto"/>
                <w:right w:val="none" w:sz="0" w:space="0" w:color="auto"/>
              </w:divBdr>
            </w:div>
            <w:div w:id="1440366939">
              <w:marLeft w:val="0"/>
              <w:marRight w:val="0"/>
              <w:marTop w:val="0"/>
              <w:marBottom w:val="0"/>
              <w:divBdr>
                <w:top w:val="none" w:sz="0" w:space="0" w:color="auto"/>
                <w:left w:val="none" w:sz="0" w:space="0" w:color="auto"/>
                <w:bottom w:val="none" w:sz="0" w:space="0" w:color="auto"/>
                <w:right w:val="none" w:sz="0" w:space="0" w:color="auto"/>
              </w:divBdr>
            </w:div>
          </w:divsChild>
        </w:div>
        <w:div w:id="1493184483">
          <w:marLeft w:val="0"/>
          <w:marRight w:val="0"/>
          <w:marTop w:val="0"/>
          <w:marBottom w:val="0"/>
          <w:divBdr>
            <w:top w:val="none" w:sz="0" w:space="0" w:color="auto"/>
            <w:left w:val="none" w:sz="0" w:space="0" w:color="auto"/>
            <w:bottom w:val="single" w:sz="6" w:space="0" w:color="F5F5F5"/>
            <w:right w:val="none" w:sz="0" w:space="0" w:color="auto"/>
          </w:divBdr>
          <w:divsChild>
            <w:div w:id="145366674">
              <w:marLeft w:val="0"/>
              <w:marRight w:val="0"/>
              <w:marTop w:val="0"/>
              <w:marBottom w:val="0"/>
              <w:divBdr>
                <w:top w:val="none" w:sz="0" w:space="0" w:color="auto"/>
                <w:left w:val="none" w:sz="0" w:space="0" w:color="auto"/>
                <w:bottom w:val="none" w:sz="0" w:space="0" w:color="auto"/>
                <w:right w:val="none" w:sz="0" w:space="0" w:color="auto"/>
              </w:divBdr>
            </w:div>
            <w:div w:id="1559317895">
              <w:marLeft w:val="0"/>
              <w:marRight w:val="0"/>
              <w:marTop w:val="0"/>
              <w:marBottom w:val="0"/>
              <w:divBdr>
                <w:top w:val="none" w:sz="0" w:space="0" w:color="auto"/>
                <w:left w:val="none" w:sz="0" w:space="0" w:color="auto"/>
                <w:bottom w:val="none" w:sz="0" w:space="0" w:color="auto"/>
                <w:right w:val="none" w:sz="0" w:space="0" w:color="auto"/>
              </w:divBdr>
            </w:div>
          </w:divsChild>
        </w:div>
        <w:div w:id="848761732">
          <w:marLeft w:val="0"/>
          <w:marRight w:val="0"/>
          <w:marTop w:val="0"/>
          <w:marBottom w:val="0"/>
          <w:divBdr>
            <w:top w:val="none" w:sz="0" w:space="0" w:color="auto"/>
            <w:left w:val="none" w:sz="0" w:space="0" w:color="auto"/>
            <w:bottom w:val="single" w:sz="6" w:space="0" w:color="F5F5F5"/>
            <w:right w:val="none" w:sz="0" w:space="0" w:color="auto"/>
          </w:divBdr>
          <w:divsChild>
            <w:div w:id="842163760">
              <w:marLeft w:val="0"/>
              <w:marRight w:val="0"/>
              <w:marTop w:val="0"/>
              <w:marBottom w:val="0"/>
              <w:divBdr>
                <w:top w:val="none" w:sz="0" w:space="0" w:color="auto"/>
                <w:left w:val="none" w:sz="0" w:space="0" w:color="auto"/>
                <w:bottom w:val="none" w:sz="0" w:space="0" w:color="auto"/>
                <w:right w:val="none" w:sz="0" w:space="0" w:color="auto"/>
              </w:divBdr>
            </w:div>
            <w:div w:id="1965967053">
              <w:marLeft w:val="0"/>
              <w:marRight w:val="0"/>
              <w:marTop w:val="0"/>
              <w:marBottom w:val="0"/>
              <w:divBdr>
                <w:top w:val="none" w:sz="0" w:space="0" w:color="auto"/>
                <w:left w:val="none" w:sz="0" w:space="0" w:color="auto"/>
                <w:bottom w:val="none" w:sz="0" w:space="0" w:color="auto"/>
                <w:right w:val="none" w:sz="0" w:space="0" w:color="auto"/>
              </w:divBdr>
            </w:div>
          </w:divsChild>
        </w:div>
        <w:div w:id="1716345408">
          <w:marLeft w:val="0"/>
          <w:marRight w:val="0"/>
          <w:marTop w:val="0"/>
          <w:marBottom w:val="0"/>
          <w:divBdr>
            <w:top w:val="none" w:sz="0" w:space="0" w:color="auto"/>
            <w:left w:val="none" w:sz="0" w:space="0" w:color="auto"/>
            <w:bottom w:val="single" w:sz="6" w:space="0" w:color="F5F5F5"/>
            <w:right w:val="none" w:sz="0" w:space="0" w:color="auto"/>
          </w:divBdr>
          <w:divsChild>
            <w:div w:id="946156740">
              <w:marLeft w:val="0"/>
              <w:marRight w:val="0"/>
              <w:marTop w:val="0"/>
              <w:marBottom w:val="0"/>
              <w:divBdr>
                <w:top w:val="none" w:sz="0" w:space="0" w:color="auto"/>
                <w:left w:val="none" w:sz="0" w:space="0" w:color="auto"/>
                <w:bottom w:val="none" w:sz="0" w:space="0" w:color="auto"/>
                <w:right w:val="none" w:sz="0" w:space="0" w:color="auto"/>
              </w:divBdr>
            </w:div>
            <w:div w:id="1744716841">
              <w:marLeft w:val="0"/>
              <w:marRight w:val="0"/>
              <w:marTop w:val="0"/>
              <w:marBottom w:val="0"/>
              <w:divBdr>
                <w:top w:val="none" w:sz="0" w:space="0" w:color="auto"/>
                <w:left w:val="none" w:sz="0" w:space="0" w:color="auto"/>
                <w:bottom w:val="none" w:sz="0" w:space="0" w:color="auto"/>
                <w:right w:val="none" w:sz="0" w:space="0" w:color="auto"/>
              </w:divBdr>
            </w:div>
          </w:divsChild>
        </w:div>
        <w:div w:id="1231310093">
          <w:marLeft w:val="0"/>
          <w:marRight w:val="0"/>
          <w:marTop w:val="0"/>
          <w:marBottom w:val="0"/>
          <w:divBdr>
            <w:top w:val="none" w:sz="0" w:space="0" w:color="auto"/>
            <w:left w:val="none" w:sz="0" w:space="0" w:color="auto"/>
            <w:bottom w:val="single" w:sz="6" w:space="0" w:color="F5F5F5"/>
            <w:right w:val="none" w:sz="0" w:space="0" w:color="auto"/>
          </w:divBdr>
          <w:divsChild>
            <w:div w:id="2004239716">
              <w:marLeft w:val="0"/>
              <w:marRight w:val="0"/>
              <w:marTop w:val="0"/>
              <w:marBottom w:val="0"/>
              <w:divBdr>
                <w:top w:val="none" w:sz="0" w:space="0" w:color="auto"/>
                <w:left w:val="none" w:sz="0" w:space="0" w:color="auto"/>
                <w:bottom w:val="none" w:sz="0" w:space="0" w:color="auto"/>
                <w:right w:val="none" w:sz="0" w:space="0" w:color="auto"/>
              </w:divBdr>
            </w:div>
            <w:div w:id="809442264">
              <w:marLeft w:val="0"/>
              <w:marRight w:val="0"/>
              <w:marTop w:val="0"/>
              <w:marBottom w:val="0"/>
              <w:divBdr>
                <w:top w:val="none" w:sz="0" w:space="0" w:color="auto"/>
                <w:left w:val="none" w:sz="0" w:space="0" w:color="auto"/>
                <w:bottom w:val="none" w:sz="0" w:space="0" w:color="auto"/>
                <w:right w:val="none" w:sz="0" w:space="0" w:color="auto"/>
              </w:divBdr>
            </w:div>
          </w:divsChild>
        </w:div>
        <w:div w:id="1990666808">
          <w:marLeft w:val="0"/>
          <w:marRight w:val="0"/>
          <w:marTop w:val="0"/>
          <w:marBottom w:val="0"/>
          <w:divBdr>
            <w:top w:val="none" w:sz="0" w:space="0" w:color="auto"/>
            <w:left w:val="none" w:sz="0" w:space="0" w:color="auto"/>
            <w:bottom w:val="single" w:sz="6" w:space="0" w:color="F5F5F5"/>
            <w:right w:val="none" w:sz="0" w:space="0" w:color="auto"/>
          </w:divBdr>
          <w:divsChild>
            <w:div w:id="291327802">
              <w:marLeft w:val="0"/>
              <w:marRight w:val="0"/>
              <w:marTop w:val="0"/>
              <w:marBottom w:val="0"/>
              <w:divBdr>
                <w:top w:val="none" w:sz="0" w:space="0" w:color="auto"/>
                <w:left w:val="none" w:sz="0" w:space="0" w:color="auto"/>
                <w:bottom w:val="none" w:sz="0" w:space="0" w:color="auto"/>
                <w:right w:val="none" w:sz="0" w:space="0" w:color="auto"/>
              </w:divBdr>
            </w:div>
            <w:div w:id="20600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4253">
      <w:bodyDiv w:val="1"/>
      <w:marLeft w:val="0"/>
      <w:marRight w:val="0"/>
      <w:marTop w:val="0"/>
      <w:marBottom w:val="0"/>
      <w:divBdr>
        <w:top w:val="none" w:sz="0" w:space="0" w:color="auto"/>
        <w:left w:val="none" w:sz="0" w:space="0" w:color="auto"/>
        <w:bottom w:val="none" w:sz="0" w:space="0" w:color="auto"/>
        <w:right w:val="none" w:sz="0" w:space="0" w:color="auto"/>
      </w:divBdr>
    </w:div>
    <w:div w:id="1857184467">
      <w:bodyDiv w:val="1"/>
      <w:marLeft w:val="0"/>
      <w:marRight w:val="0"/>
      <w:marTop w:val="0"/>
      <w:marBottom w:val="0"/>
      <w:divBdr>
        <w:top w:val="none" w:sz="0" w:space="0" w:color="auto"/>
        <w:left w:val="none" w:sz="0" w:space="0" w:color="auto"/>
        <w:bottom w:val="none" w:sz="0" w:space="0" w:color="auto"/>
        <w:right w:val="none" w:sz="0" w:space="0" w:color="auto"/>
      </w:divBdr>
      <w:divsChild>
        <w:div w:id="762410807">
          <w:marLeft w:val="0"/>
          <w:marRight w:val="0"/>
          <w:marTop w:val="0"/>
          <w:marBottom w:val="0"/>
          <w:divBdr>
            <w:top w:val="none" w:sz="0" w:space="0" w:color="auto"/>
            <w:left w:val="none" w:sz="0" w:space="0" w:color="auto"/>
            <w:bottom w:val="none" w:sz="0" w:space="0" w:color="auto"/>
            <w:right w:val="none" w:sz="0" w:space="0" w:color="auto"/>
          </w:divBdr>
        </w:div>
        <w:div w:id="174077208">
          <w:marLeft w:val="0"/>
          <w:marRight w:val="0"/>
          <w:marTop w:val="0"/>
          <w:marBottom w:val="0"/>
          <w:divBdr>
            <w:top w:val="none" w:sz="0" w:space="0" w:color="auto"/>
            <w:left w:val="none" w:sz="0" w:space="0" w:color="auto"/>
            <w:bottom w:val="none" w:sz="0" w:space="0" w:color="auto"/>
            <w:right w:val="none" w:sz="0" w:space="0" w:color="auto"/>
          </w:divBdr>
          <w:divsChild>
            <w:div w:id="2718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nmt.org.np"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impacttbproject.org/)." TargetMode="External"/><Relationship Id="rId17" Type="http://schemas.openxmlformats.org/officeDocument/2006/relationships/image" Target="media/image3.png"/><Relationship Id="rId25" Type="http://schemas.openxmlformats.org/officeDocument/2006/relationships/hyperlink" Target="http://www.spirit-statement.org/wp-content/uploads/2013/01/SPIRIT-Checklist-download-8Jan13.pdf" TargetMode="External"/><Relationship Id="rId2" Type="http://schemas.openxmlformats.org/officeDocument/2006/relationships/customXml" Target="../customXml/item2.xml"/><Relationship Id="rId16" Type="http://schemas.openxmlformats.org/officeDocument/2006/relationships/hyperlink" Target="https://doi.org/10.1186/ISRCTN17025974"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86/ISRCTN17025974" TargetMode="External"/><Relationship Id="rId24" Type="http://schemas.openxmlformats.org/officeDocument/2006/relationships/hyperlink" Target="http://creativecommons.org/publicdomain/zero/1.0/"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ihr.ac.uk/documents/good-practice-guidelines-on-the-recruitment-and-involvement-of-public-members-on-trial-steering-committees-tscs-study-steering-committees-sscs/27348"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oanda.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94CAEC-C398-431F-ACC9-2EDD68888899}">
  <we:reference id="wa104382081" version="1.35.0.0" store="en-US" storeType="OMEX"/>
  <we:alternateReferences>
    <we:reference id="wa104382081" version="1.35.0.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adf92d-590d-47b3-899c-a94193f76be6" xsi:nil="true"/>
    <lcf76f155ced4ddcb4097134ff3c332f xmlns="060746cc-8fac-4e17-b270-99c2388b12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11FE34DE4B3B499E0E61DCF488FF70" ma:contentTypeVersion="15" ma:contentTypeDescription="Create a new document." ma:contentTypeScope="" ma:versionID="255c13d30f3a8bb7a8f033ed42ce9482">
  <xsd:schema xmlns:xsd="http://www.w3.org/2001/XMLSchema" xmlns:xs="http://www.w3.org/2001/XMLSchema" xmlns:p="http://schemas.microsoft.com/office/2006/metadata/properties" xmlns:ns2="060746cc-8fac-4e17-b270-99c2388b1254" xmlns:ns3="5cadf92d-590d-47b3-899c-a94193f76be6" targetNamespace="http://schemas.microsoft.com/office/2006/metadata/properties" ma:root="true" ma:fieldsID="785014498f4706c98fbeb4528efe0fb0" ns2:_="" ns3:_="">
    <xsd:import namespace="060746cc-8fac-4e17-b270-99c2388b1254"/>
    <xsd:import namespace="5cadf92d-590d-47b3-899c-a94193f76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746cc-8fac-4e17-b270-99c2388b1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df92d-590d-47b3-899c-a94193f76be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943e603-db29-40a5-a919-b438a1c800e2}" ma:internalName="TaxCatchAll" ma:showField="CatchAllData" ma:web="5cadf92d-590d-47b3-899c-a94193f76be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CF123-3074-4185-B016-FEB8B202B85A}">
  <ds:schemaRefs>
    <ds:schemaRef ds:uri="http://schemas.openxmlformats.org/officeDocument/2006/bibliography"/>
  </ds:schemaRefs>
</ds:datastoreItem>
</file>

<file path=customXml/itemProps2.xml><?xml version="1.0" encoding="utf-8"?>
<ds:datastoreItem xmlns:ds="http://schemas.openxmlformats.org/officeDocument/2006/customXml" ds:itemID="{2303FD81-CB7F-4C33-873B-DB17830FF2A9}">
  <ds:schemaRefs>
    <ds:schemaRef ds:uri="http://schemas.microsoft.com/office/2006/metadata/properties"/>
    <ds:schemaRef ds:uri="http://schemas.microsoft.com/office/infopath/2007/PartnerControls"/>
    <ds:schemaRef ds:uri="5cadf92d-590d-47b3-899c-a94193f76be6"/>
    <ds:schemaRef ds:uri="060746cc-8fac-4e17-b270-99c2388b1254"/>
  </ds:schemaRefs>
</ds:datastoreItem>
</file>

<file path=customXml/itemProps3.xml><?xml version="1.0" encoding="utf-8"?>
<ds:datastoreItem xmlns:ds="http://schemas.openxmlformats.org/officeDocument/2006/customXml" ds:itemID="{EDFAF84D-06A1-4BA1-846B-B880A66EFFCD}">
  <ds:schemaRefs>
    <ds:schemaRef ds:uri="http://schemas.microsoft.com/sharepoint/v3/contenttype/forms"/>
  </ds:schemaRefs>
</ds:datastoreItem>
</file>

<file path=customXml/itemProps4.xml><?xml version="1.0" encoding="utf-8"?>
<ds:datastoreItem xmlns:ds="http://schemas.openxmlformats.org/officeDocument/2006/customXml" ds:itemID="{B339EEA8-B39F-4814-978B-0878DB9FC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746cc-8fac-4e17-b270-99c2388b1254"/>
    <ds:schemaRef ds:uri="5cadf92d-590d-47b3-899c-a94193f76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44641</Words>
  <Characters>254455</Characters>
  <Application>Microsoft Office Word</Application>
  <DocSecurity>0</DocSecurity>
  <Lines>2120</Lines>
  <Paragraphs>596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298500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Wingfield, Thomas</dc:creator>
  <cp:keywords/>
  <dc:description/>
  <cp:lastModifiedBy>Tom Wingfield</cp:lastModifiedBy>
  <cp:revision>2</cp:revision>
  <cp:lastPrinted>2021-11-29T22:42:00Z</cp:lastPrinted>
  <dcterms:created xsi:type="dcterms:W3CDTF">2022-04-14T16:00:00Z</dcterms:created>
  <dcterms:modified xsi:type="dcterms:W3CDTF">2022-04-14T16:00:00Z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http://csl.mendeley.com/styles/509345071/apa</vt:lpwstr>
  </property>
  <property fmtid="{D5CDD505-2E9C-101B-9397-08002B2CF9AE}" pid="9" name="Mendeley Recent Style Name 3_1">
    <vt:lpwstr>American Psychological Association 7th edition - Tom Wingfield</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http://csl.mendeley.com/styles/509345071/nature</vt:lpwstr>
  </property>
  <property fmtid="{D5CDD505-2E9C-101B-9397-08002B2CF9AE}" pid="17" name="Mendeley Recent Style Name 7_1">
    <vt:lpwstr>Nature - Tom Wingfield</vt:lpwstr>
  </property>
  <property fmtid="{D5CDD505-2E9C-101B-9397-08002B2CF9AE}" pid="18" name="Mendeley Recent Style Id 8_1">
    <vt:lpwstr>http://www.zotero.org/styles/vancouver-superscript</vt:lpwstr>
  </property>
  <property fmtid="{D5CDD505-2E9C-101B-9397-08002B2CF9AE}" pid="19" name="Mendeley Recent Style Name 8_1">
    <vt:lpwstr>Vancouver (superscript)</vt:lpwstr>
  </property>
  <property fmtid="{D5CDD505-2E9C-101B-9397-08002B2CF9AE}" pid="20" name="Mendeley Recent Style Id 9_1">
    <vt:lpwstr>http://www.zotero.org/styles/zotero-to-endnote-title</vt:lpwstr>
  </property>
  <property fmtid="{D5CDD505-2E9C-101B-9397-08002B2CF9AE}" pid="21" name="Mendeley Recent Style Name 9_1">
    <vt:lpwstr>Zotero to EndNote Title </vt:lpwstr>
  </property>
  <property fmtid="{D5CDD505-2E9C-101B-9397-08002B2CF9AE}" pid="22" name="Mendeley Document_1">
    <vt:lpwstr>True</vt:lpwstr>
  </property>
  <property fmtid="{D5CDD505-2E9C-101B-9397-08002B2CF9AE}" pid="23" name="Mendeley Unique User Id_1">
    <vt:lpwstr>b301ea32-4ab6-3567-b3aa-f8e763e3736e</vt:lpwstr>
  </property>
  <property fmtid="{D5CDD505-2E9C-101B-9397-08002B2CF9AE}" pid="24" name="Mendeley Citation Style_1">
    <vt:lpwstr>http://www.zotero.org/styles/nature</vt:lpwstr>
  </property>
  <property fmtid="{D5CDD505-2E9C-101B-9397-08002B2CF9AE}" pid="25" name="ContentTypeId">
    <vt:lpwstr>0x0101003D11FE34DE4B3B499E0E61DCF488FF70</vt:lpwstr>
  </property>
  <property fmtid="{D5CDD505-2E9C-101B-9397-08002B2CF9AE}" pid="26" name="MSIP_Label_2bbab825-a111-45e4-86a1-18cee0005896_Enabled">
    <vt:lpwstr>true</vt:lpwstr>
  </property>
  <property fmtid="{D5CDD505-2E9C-101B-9397-08002B2CF9AE}" pid="27" name="MSIP_Label_2bbab825-a111-45e4-86a1-18cee0005896_SetDate">
    <vt:lpwstr>2022-04-05T11:19:13Z</vt:lpwstr>
  </property>
  <property fmtid="{D5CDD505-2E9C-101B-9397-08002B2CF9AE}" pid="28" name="MSIP_Label_2bbab825-a111-45e4-86a1-18cee0005896_Method">
    <vt:lpwstr>Standard</vt:lpwstr>
  </property>
  <property fmtid="{D5CDD505-2E9C-101B-9397-08002B2CF9AE}" pid="29" name="MSIP_Label_2bbab825-a111-45e4-86a1-18cee0005896_Name">
    <vt:lpwstr>2bbab825-a111-45e4-86a1-18cee0005896</vt:lpwstr>
  </property>
  <property fmtid="{D5CDD505-2E9C-101B-9397-08002B2CF9AE}" pid="30" name="MSIP_Label_2bbab825-a111-45e4-86a1-18cee0005896_SiteId">
    <vt:lpwstr>2567d566-604c-408a-8a60-55d0dc9d9d6b</vt:lpwstr>
  </property>
  <property fmtid="{D5CDD505-2E9C-101B-9397-08002B2CF9AE}" pid="31" name="MSIP_Label_2bbab825-a111-45e4-86a1-18cee0005896_ActionId">
    <vt:lpwstr>49db773b-cbb9-45b9-a613-f577f9abbd93</vt:lpwstr>
  </property>
  <property fmtid="{D5CDD505-2E9C-101B-9397-08002B2CF9AE}" pid="32" name="MSIP_Label_2bbab825-a111-45e4-86a1-18cee0005896_ContentBits">
    <vt:lpwstr>2</vt:lpwstr>
  </property>
</Properties>
</file>