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CE5E" w14:textId="453C7D8B" w:rsidR="00F30924" w:rsidRDefault="00F30924" w:rsidP="00F30924">
      <w:pPr>
        <w:spacing w:after="0"/>
        <w:rPr>
          <w:rFonts w:ascii="Gill Sans MT" w:hAnsi="Gill Sans MT"/>
          <w:b/>
          <w:bCs/>
        </w:rPr>
      </w:pPr>
      <w:r w:rsidRPr="00851D7B">
        <w:rPr>
          <w:rFonts w:ascii="Gill Sans MT" w:hAnsi="Gill Sans MT"/>
          <w:b/>
          <w:bCs/>
          <w:i/>
          <w:iCs/>
        </w:rPr>
        <w:t>FDA</w:t>
      </w:r>
      <w:r w:rsidRPr="00681335">
        <w:rPr>
          <w:rFonts w:ascii="Gill Sans MT" w:hAnsi="Gill Sans MT"/>
          <w:b/>
          <w:bCs/>
        </w:rPr>
        <w:t xml:space="preserve"> v </w:t>
      </w:r>
      <w:r w:rsidRPr="00851D7B">
        <w:rPr>
          <w:rFonts w:ascii="Gill Sans MT" w:hAnsi="Gill Sans MT"/>
          <w:b/>
          <w:bCs/>
          <w:i/>
          <w:iCs/>
        </w:rPr>
        <w:t>Prime Minister</w:t>
      </w:r>
      <w:r w:rsidR="00985B78" w:rsidRPr="00681335">
        <w:rPr>
          <w:rFonts w:ascii="Gill Sans MT" w:hAnsi="Gill Sans MT"/>
          <w:b/>
          <w:bCs/>
        </w:rPr>
        <w:t>: the</w:t>
      </w:r>
      <w:r w:rsidR="001A3B98">
        <w:rPr>
          <w:rFonts w:ascii="Gill Sans MT" w:hAnsi="Gill Sans MT"/>
          <w:b/>
          <w:bCs/>
        </w:rPr>
        <w:t xml:space="preserve"> Ministerial Code, justiciability, and the limits of judicial review</w:t>
      </w:r>
    </w:p>
    <w:p w14:paraId="7456BC39" w14:textId="51D2CC14" w:rsidR="008935C9" w:rsidRDefault="008935C9" w:rsidP="00F30924">
      <w:pPr>
        <w:spacing w:after="0"/>
        <w:rPr>
          <w:rFonts w:ascii="Gill Sans MT" w:hAnsi="Gill Sans MT"/>
          <w:b/>
          <w:bCs/>
        </w:rPr>
      </w:pPr>
    </w:p>
    <w:p w14:paraId="0AB6A700" w14:textId="63F5D0D0" w:rsidR="00985B78" w:rsidRPr="00AE5FAD" w:rsidRDefault="008935C9" w:rsidP="00F30924">
      <w:pPr>
        <w:spacing w:after="0"/>
        <w:rPr>
          <w:rFonts w:ascii="Gill Sans MT" w:hAnsi="Gill Sans MT"/>
          <w:b/>
          <w:bCs/>
        </w:rPr>
      </w:pPr>
      <w:r>
        <w:rPr>
          <w:rFonts w:ascii="Gill Sans MT" w:hAnsi="Gill Sans MT"/>
          <w:b/>
          <w:bCs/>
        </w:rPr>
        <w:t>Michael Gordon*</w:t>
      </w:r>
    </w:p>
    <w:p w14:paraId="5D583C3C" w14:textId="77777777" w:rsidR="00AE5FAD" w:rsidRDefault="00AE5FAD" w:rsidP="00F30924">
      <w:pPr>
        <w:spacing w:after="0"/>
        <w:rPr>
          <w:rFonts w:ascii="Gill Sans MT" w:hAnsi="Gill Sans MT"/>
        </w:rPr>
      </w:pPr>
    </w:p>
    <w:p w14:paraId="159E1997" w14:textId="21F488F4" w:rsidR="007A1CBB" w:rsidRDefault="00985B78" w:rsidP="00FC772D">
      <w:pPr>
        <w:spacing w:after="0"/>
        <w:jc w:val="both"/>
        <w:rPr>
          <w:rFonts w:ascii="Gill Sans MT" w:hAnsi="Gill Sans MT"/>
        </w:rPr>
      </w:pPr>
      <w:r>
        <w:rPr>
          <w:rFonts w:ascii="Gill Sans MT" w:hAnsi="Gill Sans MT"/>
        </w:rPr>
        <w:t xml:space="preserve">The High Court’s decision in </w:t>
      </w:r>
      <w:r w:rsidRPr="00851D7B">
        <w:rPr>
          <w:rFonts w:ascii="Gill Sans MT" w:hAnsi="Gill Sans MT"/>
          <w:i/>
          <w:iCs/>
        </w:rPr>
        <w:t>FDA</w:t>
      </w:r>
      <w:r>
        <w:rPr>
          <w:rFonts w:ascii="Gill Sans MT" w:hAnsi="Gill Sans MT"/>
        </w:rPr>
        <w:t xml:space="preserve"> v </w:t>
      </w:r>
      <w:r w:rsidRPr="00851D7B">
        <w:rPr>
          <w:rFonts w:ascii="Gill Sans MT" w:hAnsi="Gill Sans MT"/>
          <w:i/>
          <w:iCs/>
        </w:rPr>
        <w:t>Prime Minister</w:t>
      </w:r>
      <w:r>
        <w:rPr>
          <w:rFonts w:ascii="Gill Sans MT" w:hAnsi="Gill Sans MT"/>
        </w:rPr>
        <w:t xml:space="preserve"> provides a significant opportunity to reflect on the position of courts in the UK’s matri</w:t>
      </w:r>
      <w:r w:rsidR="003A690B">
        <w:rPr>
          <w:rFonts w:ascii="Gill Sans MT" w:hAnsi="Gill Sans MT"/>
        </w:rPr>
        <w:t>x</w:t>
      </w:r>
      <w:r>
        <w:rPr>
          <w:rFonts w:ascii="Gill Sans MT" w:hAnsi="Gill Sans MT"/>
        </w:rPr>
        <w:t xml:space="preserve"> of constitutional accountability.</w:t>
      </w:r>
      <w:r w:rsidR="00963117">
        <w:rPr>
          <w:rStyle w:val="FootnoteReference"/>
          <w:rFonts w:ascii="Gill Sans MT" w:hAnsi="Gill Sans MT"/>
        </w:rPr>
        <w:footnoteReference w:id="1"/>
      </w:r>
      <w:r>
        <w:rPr>
          <w:rFonts w:ascii="Gill Sans MT" w:hAnsi="Gill Sans MT"/>
        </w:rPr>
        <w:t xml:space="preserve">  </w:t>
      </w:r>
      <w:r w:rsidR="007A1CBB">
        <w:rPr>
          <w:rFonts w:ascii="Gill Sans MT" w:hAnsi="Gill Sans MT"/>
        </w:rPr>
        <w:t xml:space="preserve">In this case, while the High Court dismissed a challenge to the Prime Minister’s decision-making under the Ministerial Code, </w:t>
      </w:r>
      <w:r w:rsidR="002476DF">
        <w:rPr>
          <w:rFonts w:ascii="Gill Sans MT" w:hAnsi="Gill Sans MT"/>
        </w:rPr>
        <w:t xml:space="preserve">which </w:t>
      </w:r>
      <w:r w:rsidR="007A1CBB">
        <w:rPr>
          <w:rFonts w:ascii="Gill Sans MT" w:hAnsi="Gill Sans MT"/>
        </w:rPr>
        <w:t>concern</w:t>
      </w:r>
      <w:r w:rsidR="002476DF">
        <w:rPr>
          <w:rFonts w:ascii="Gill Sans MT" w:hAnsi="Gill Sans MT"/>
        </w:rPr>
        <w:t>ed his response to</w:t>
      </w:r>
      <w:r w:rsidR="007A1CBB">
        <w:rPr>
          <w:rFonts w:ascii="Gill Sans MT" w:hAnsi="Gill Sans MT"/>
        </w:rPr>
        <w:t xml:space="preserve"> allegations of bullying against the Home Secretary, it also held that certain questions relating to the </w:t>
      </w:r>
      <w:r w:rsidR="00F71EBA">
        <w:rPr>
          <w:rFonts w:ascii="Gill Sans MT" w:hAnsi="Gill Sans MT"/>
        </w:rPr>
        <w:t xml:space="preserve">meaning of the </w:t>
      </w:r>
      <w:r w:rsidR="007A1CBB">
        <w:rPr>
          <w:rFonts w:ascii="Gill Sans MT" w:hAnsi="Gill Sans MT"/>
        </w:rPr>
        <w:t>Code could be justiciable.</w:t>
      </w:r>
    </w:p>
    <w:p w14:paraId="3455963C" w14:textId="11D152B2" w:rsidR="00985B78" w:rsidRDefault="00985B78" w:rsidP="007A1CBB">
      <w:pPr>
        <w:spacing w:after="0"/>
        <w:ind w:firstLine="720"/>
        <w:jc w:val="both"/>
        <w:rPr>
          <w:rFonts w:ascii="Gill Sans MT" w:hAnsi="Gill Sans MT"/>
        </w:rPr>
      </w:pPr>
      <w:r>
        <w:rPr>
          <w:rFonts w:ascii="Gill Sans MT" w:hAnsi="Gill Sans MT"/>
        </w:rPr>
        <w:t xml:space="preserve">In this article, I want to challenge the reasoning in </w:t>
      </w:r>
      <w:r w:rsidR="004133F3">
        <w:rPr>
          <w:rFonts w:ascii="Gill Sans MT" w:hAnsi="Gill Sans MT"/>
        </w:rPr>
        <w:t xml:space="preserve">the </w:t>
      </w:r>
      <w:r>
        <w:rPr>
          <w:rFonts w:ascii="Gill Sans MT" w:hAnsi="Gill Sans MT"/>
        </w:rPr>
        <w:t xml:space="preserve">judgment in </w:t>
      </w:r>
      <w:r w:rsidRPr="00851D7B">
        <w:rPr>
          <w:rFonts w:ascii="Gill Sans MT" w:hAnsi="Gill Sans MT"/>
          <w:i/>
          <w:iCs/>
        </w:rPr>
        <w:t>FDA</w:t>
      </w:r>
      <w:r>
        <w:rPr>
          <w:rFonts w:ascii="Gill Sans MT" w:hAnsi="Gill Sans MT"/>
        </w:rPr>
        <w:t>, and then reflect on the wider consequences of the decision.  As we will see, in practical terms the consequences of this case are limited, but</w:t>
      </w:r>
      <w:r w:rsidR="00DF48A6">
        <w:rPr>
          <w:rFonts w:ascii="Gill Sans MT" w:hAnsi="Gill Sans MT"/>
        </w:rPr>
        <w:t xml:space="preserve"> (in part because of </w:t>
      </w:r>
      <w:r w:rsidR="00CC78CC">
        <w:rPr>
          <w:rFonts w:ascii="Gill Sans MT" w:hAnsi="Gill Sans MT"/>
        </w:rPr>
        <w:t xml:space="preserve">those </w:t>
      </w:r>
      <w:r w:rsidR="00DF48A6">
        <w:rPr>
          <w:rFonts w:ascii="Gill Sans MT" w:hAnsi="Gill Sans MT"/>
        </w:rPr>
        <w:t xml:space="preserve">limited practical consequences) </w:t>
      </w:r>
      <w:r w:rsidR="00B32E6A">
        <w:rPr>
          <w:rFonts w:ascii="Gill Sans MT" w:hAnsi="Gill Sans MT"/>
        </w:rPr>
        <w:t xml:space="preserve">it nevertheless raises some </w:t>
      </w:r>
      <w:r w:rsidR="004133F3">
        <w:rPr>
          <w:rFonts w:ascii="Gill Sans MT" w:hAnsi="Gill Sans MT"/>
        </w:rPr>
        <w:t>significant</w:t>
      </w:r>
      <w:r w:rsidR="00B32E6A">
        <w:rPr>
          <w:rFonts w:ascii="Gill Sans MT" w:hAnsi="Gill Sans MT"/>
        </w:rPr>
        <w:t xml:space="preserve"> questions about the nature of constitutional accountability</w:t>
      </w:r>
      <w:r w:rsidR="00DF48A6">
        <w:rPr>
          <w:rFonts w:ascii="Gill Sans MT" w:hAnsi="Gill Sans MT"/>
        </w:rPr>
        <w:t xml:space="preserve">.  In particular, I will argue that </w:t>
      </w:r>
      <w:r w:rsidR="007A1CBB">
        <w:rPr>
          <w:rFonts w:ascii="Gill Sans MT" w:hAnsi="Gill Sans MT"/>
        </w:rPr>
        <w:t xml:space="preserve">the </w:t>
      </w:r>
      <w:r w:rsidR="00DF48A6" w:rsidRPr="00F71EBA">
        <w:rPr>
          <w:rFonts w:ascii="Gill Sans MT" w:hAnsi="Gill Sans MT"/>
          <w:i/>
          <w:iCs/>
        </w:rPr>
        <w:t>FDA</w:t>
      </w:r>
      <w:r w:rsidR="00DF48A6">
        <w:rPr>
          <w:rFonts w:ascii="Gill Sans MT" w:hAnsi="Gill Sans MT"/>
        </w:rPr>
        <w:t xml:space="preserve"> case </w:t>
      </w:r>
      <w:r w:rsidR="00B32E6A">
        <w:rPr>
          <w:rFonts w:ascii="Gill Sans MT" w:hAnsi="Gill Sans MT"/>
        </w:rPr>
        <w:t>shows that the courts cannot and should not take on the role of</w:t>
      </w:r>
      <w:r w:rsidR="005433BB">
        <w:rPr>
          <w:rFonts w:ascii="Gill Sans MT" w:hAnsi="Gill Sans MT"/>
        </w:rPr>
        <w:t xml:space="preserve"> </w:t>
      </w:r>
      <w:r w:rsidR="00F71EBA">
        <w:rPr>
          <w:rFonts w:ascii="Gill Sans MT" w:hAnsi="Gill Sans MT"/>
        </w:rPr>
        <w:t xml:space="preserve">an </w:t>
      </w:r>
      <w:r w:rsidR="005433BB">
        <w:rPr>
          <w:rFonts w:ascii="Gill Sans MT" w:hAnsi="Gill Sans MT"/>
        </w:rPr>
        <w:t>all-purpose accountability forum</w:t>
      </w:r>
      <w:r w:rsidR="00B32E6A">
        <w:rPr>
          <w:rFonts w:ascii="Gill Sans MT" w:hAnsi="Gill Sans MT"/>
        </w:rPr>
        <w:t xml:space="preserve"> in the constitution</w:t>
      </w:r>
      <w:r w:rsidR="005433BB">
        <w:rPr>
          <w:rFonts w:ascii="Gill Sans MT" w:hAnsi="Gill Sans MT"/>
        </w:rPr>
        <w:t xml:space="preserve">.  </w:t>
      </w:r>
      <w:r w:rsidR="00B32E6A">
        <w:rPr>
          <w:rFonts w:ascii="Gill Sans MT" w:hAnsi="Gill Sans MT"/>
        </w:rPr>
        <w:t xml:space="preserve">There were good </w:t>
      </w:r>
      <w:r w:rsidR="00476644">
        <w:rPr>
          <w:rFonts w:ascii="Gill Sans MT" w:hAnsi="Gill Sans MT"/>
        </w:rPr>
        <w:t>doctrinal and practical</w:t>
      </w:r>
      <w:r w:rsidR="00B32E6A">
        <w:rPr>
          <w:rFonts w:ascii="Gill Sans MT" w:hAnsi="Gill Sans MT"/>
        </w:rPr>
        <w:t xml:space="preserve"> reasons for the High Court to </w:t>
      </w:r>
      <w:r w:rsidR="006A60E8">
        <w:rPr>
          <w:rFonts w:ascii="Gill Sans MT" w:hAnsi="Gill Sans MT"/>
        </w:rPr>
        <w:t xml:space="preserve">avoid intervening in this case, and its judgment instead serves to highlight </w:t>
      </w:r>
      <w:r w:rsidR="00FC772D">
        <w:rPr>
          <w:rFonts w:ascii="Gill Sans MT" w:hAnsi="Gill Sans MT"/>
        </w:rPr>
        <w:t xml:space="preserve">the </w:t>
      </w:r>
      <w:r w:rsidR="006A60E8">
        <w:rPr>
          <w:rFonts w:ascii="Gill Sans MT" w:hAnsi="Gill Sans MT"/>
        </w:rPr>
        <w:t>tensions</w:t>
      </w:r>
      <w:r w:rsidR="00FC772D">
        <w:rPr>
          <w:rFonts w:ascii="Gill Sans MT" w:hAnsi="Gill Sans MT"/>
        </w:rPr>
        <w:t xml:space="preserve"> between legal reasoning and political modes of </w:t>
      </w:r>
      <w:r w:rsidR="003A690B">
        <w:rPr>
          <w:rFonts w:ascii="Gill Sans MT" w:hAnsi="Gill Sans MT"/>
        </w:rPr>
        <w:t>holding the government to account</w:t>
      </w:r>
      <w:r w:rsidR="00FC772D">
        <w:rPr>
          <w:rFonts w:ascii="Gill Sans MT" w:hAnsi="Gill Sans MT"/>
        </w:rPr>
        <w:t>.</w:t>
      </w:r>
    </w:p>
    <w:p w14:paraId="5DF41AAB" w14:textId="78AFFA45" w:rsidR="00E417CC" w:rsidRDefault="00E417CC" w:rsidP="00FC772D">
      <w:pPr>
        <w:spacing w:after="0"/>
        <w:jc w:val="both"/>
        <w:rPr>
          <w:rFonts w:ascii="Gill Sans MT" w:hAnsi="Gill Sans MT"/>
        </w:rPr>
      </w:pPr>
    </w:p>
    <w:p w14:paraId="12211557" w14:textId="34165D12" w:rsidR="00E417CC" w:rsidRPr="00E417CC" w:rsidRDefault="00E417CC" w:rsidP="00FC772D">
      <w:pPr>
        <w:spacing w:after="0"/>
        <w:jc w:val="both"/>
        <w:rPr>
          <w:rFonts w:ascii="Gill Sans MT" w:hAnsi="Gill Sans MT"/>
          <w:b/>
          <w:bCs/>
        </w:rPr>
      </w:pPr>
      <w:r w:rsidRPr="00E417CC">
        <w:rPr>
          <w:rFonts w:ascii="Gill Sans MT" w:hAnsi="Gill Sans MT"/>
          <w:b/>
          <w:bCs/>
        </w:rPr>
        <w:t>The Judgment</w:t>
      </w:r>
    </w:p>
    <w:p w14:paraId="7E153F3A" w14:textId="56F5B4A7" w:rsidR="00FC772D" w:rsidRDefault="00FC772D" w:rsidP="00F30924">
      <w:pPr>
        <w:spacing w:after="0"/>
        <w:rPr>
          <w:rFonts w:ascii="Gill Sans MT" w:hAnsi="Gill Sans MT"/>
          <w:b/>
          <w:bCs/>
        </w:rPr>
      </w:pPr>
    </w:p>
    <w:p w14:paraId="2B203D8A" w14:textId="04CE2BCA" w:rsidR="00544E2D" w:rsidRDefault="00544E2D" w:rsidP="005F721D">
      <w:pPr>
        <w:spacing w:after="0"/>
        <w:jc w:val="both"/>
        <w:rPr>
          <w:rFonts w:ascii="Gill Sans MT" w:hAnsi="Gill Sans MT"/>
        </w:rPr>
      </w:pPr>
      <w:r>
        <w:rPr>
          <w:rFonts w:ascii="Gill Sans MT" w:hAnsi="Gill Sans MT"/>
        </w:rPr>
        <w:t>The case concerned the decisio</w:t>
      </w:r>
      <w:r w:rsidR="00DA4803">
        <w:rPr>
          <w:rFonts w:ascii="Gill Sans MT" w:hAnsi="Gill Sans MT"/>
        </w:rPr>
        <w:t>n</w:t>
      </w:r>
      <w:r>
        <w:rPr>
          <w:rFonts w:ascii="Gill Sans MT" w:hAnsi="Gill Sans MT"/>
        </w:rPr>
        <w:t xml:space="preserve"> </w:t>
      </w:r>
      <w:r w:rsidR="001817AE">
        <w:rPr>
          <w:rFonts w:ascii="Gill Sans MT" w:hAnsi="Gill Sans MT"/>
        </w:rPr>
        <w:t>of Prime Minister Boris Johnson</w:t>
      </w:r>
      <w:r w:rsidR="00E879EE">
        <w:rPr>
          <w:rFonts w:ascii="Gill Sans MT" w:hAnsi="Gill Sans MT"/>
        </w:rPr>
        <w:t xml:space="preserve"> in November 2020</w:t>
      </w:r>
      <w:r w:rsidR="001817AE">
        <w:rPr>
          <w:rFonts w:ascii="Gill Sans MT" w:hAnsi="Gill Sans MT"/>
        </w:rPr>
        <w:t xml:space="preserve"> </w:t>
      </w:r>
      <w:r>
        <w:rPr>
          <w:rFonts w:ascii="Gill Sans MT" w:hAnsi="Gill Sans MT"/>
        </w:rPr>
        <w:t xml:space="preserve">that the Home Secretary, </w:t>
      </w:r>
      <w:proofErr w:type="spellStart"/>
      <w:r>
        <w:rPr>
          <w:rFonts w:ascii="Gill Sans MT" w:hAnsi="Gill Sans MT"/>
        </w:rPr>
        <w:t>Priti</w:t>
      </w:r>
      <w:proofErr w:type="spellEnd"/>
      <w:r>
        <w:rPr>
          <w:rFonts w:ascii="Gill Sans MT" w:hAnsi="Gill Sans MT"/>
        </w:rPr>
        <w:t xml:space="preserve"> Patel, had </w:t>
      </w:r>
      <w:r w:rsidRPr="007353F0">
        <w:rPr>
          <w:rFonts w:ascii="Gill Sans MT" w:hAnsi="Gill Sans MT"/>
        </w:rPr>
        <w:t>not</w:t>
      </w:r>
      <w:r>
        <w:rPr>
          <w:rFonts w:ascii="Gill Sans MT" w:hAnsi="Gill Sans MT"/>
        </w:rPr>
        <w:t xml:space="preserve"> engaged in conduct which amounted to bullying of civil servants in her department</w:t>
      </w:r>
      <w:r w:rsidR="00FA7316">
        <w:rPr>
          <w:rFonts w:ascii="Gill Sans MT" w:hAnsi="Gill Sans MT"/>
        </w:rPr>
        <w:t>.  Bullying</w:t>
      </w:r>
      <w:r>
        <w:rPr>
          <w:rFonts w:ascii="Gill Sans MT" w:hAnsi="Gill Sans MT"/>
        </w:rPr>
        <w:t xml:space="preserve"> </w:t>
      </w:r>
      <w:r w:rsidR="00E2233E">
        <w:rPr>
          <w:rFonts w:ascii="Gill Sans MT" w:hAnsi="Gill Sans MT"/>
        </w:rPr>
        <w:t>was</w:t>
      </w:r>
      <w:r w:rsidR="00C962B0">
        <w:rPr>
          <w:rFonts w:ascii="Gill Sans MT" w:hAnsi="Gill Sans MT"/>
        </w:rPr>
        <w:t xml:space="preserve"> explicitly </w:t>
      </w:r>
      <w:r>
        <w:rPr>
          <w:rFonts w:ascii="Gill Sans MT" w:hAnsi="Gill Sans MT"/>
        </w:rPr>
        <w:t>contrary to</w:t>
      </w:r>
      <w:r w:rsidR="00C962B0">
        <w:rPr>
          <w:rFonts w:ascii="Gill Sans MT" w:hAnsi="Gill Sans MT"/>
        </w:rPr>
        <w:t xml:space="preserve"> the Ministerial Code: ‘</w:t>
      </w:r>
      <w:r w:rsidR="00C962B0" w:rsidRPr="00C962B0">
        <w:rPr>
          <w:rFonts w:ascii="Gill Sans MT" w:hAnsi="Gill Sans MT"/>
          <w:color w:val="171617"/>
          <w:shd w:val="clear" w:color="auto" w:fill="FFFFFF"/>
        </w:rPr>
        <w:t>Harassing, bullying or other inappropriate or discriminating behaviour wherever it takes place is not consistent with the Ministerial Code and will not be tolerated</w:t>
      </w:r>
      <w:r w:rsidR="00C962B0">
        <w:rPr>
          <w:rFonts w:ascii="Gill Sans MT" w:hAnsi="Gill Sans MT"/>
          <w:color w:val="171617"/>
          <w:shd w:val="clear" w:color="auto" w:fill="FFFFFF"/>
        </w:rPr>
        <w:t>’.</w:t>
      </w:r>
      <w:r w:rsidR="00C962B0">
        <w:rPr>
          <w:rStyle w:val="FootnoteReference"/>
          <w:rFonts w:ascii="Gill Sans MT" w:hAnsi="Gill Sans MT"/>
          <w:color w:val="171617"/>
          <w:shd w:val="clear" w:color="auto" w:fill="FFFFFF"/>
        </w:rPr>
        <w:footnoteReference w:id="2"/>
      </w:r>
      <w:r w:rsidRPr="00C962B0">
        <w:rPr>
          <w:rFonts w:ascii="Gill Sans MT" w:hAnsi="Gill Sans MT"/>
        </w:rPr>
        <w:t xml:space="preserve">  Sir Alex Allan, </w:t>
      </w:r>
      <w:r w:rsidR="007353F0">
        <w:rPr>
          <w:rFonts w:ascii="Gill Sans MT" w:hAnsi="Gill Sans MT"/>
        </w:rPr>
        <w:t xml:space="preserve">the Prime Minister’s Independent Adviser on Ministers’ Interests, </w:t>
      </w:r>
      <w:r w:rsidRPr="00C962B0">
        <w:rPr>
          <w:rFonts w:ascii="Gill Sans MT" w:hAnsi="Gill Sans MT"/>
        </w:rPr>
        <w:t xml:space="preserve">concluded that </w:t>
      </w:r>
      <w:r w:rsidR="00C962B0" w:rsidRPr="00C962B0">
        <w:rPr>
          <w:rFonts w:ascii="Gill Sans MT" w:hAnsi="Gill Sans MT"/>
        </w:rPr>
        <w:t xml:space="preserve">Patel’s behaviour was ‘in breach of the Ministerial Code, even if unintentionally’ because </w:t>
      </w:r>
      <w:r w:rsidRPr="00C962B0">
        <w:rPr>
          <w:rFonts w:ascii="Gill Sans MT" w:hAnsi="Gill Sans MT"/>
        </w:rPr>
        <w:t>‘</w:t>
      </w:r>
      <w:r w:rsidR="00C962B0" w:rsidRPr="00C962B0">
        <w:rPr>
          <w:rFonts w:ascii="Gill Sans MT" w:hAnsi="Gill Sans MT"/>
        </w:rPr>
        <w:t>[h]er approach on occasions has amounted to behaviour that can be described as bullying in terms of the impact felt by individuals’.</w:t>
      </w:r>
      <w:r w:rsidR="00C95D9A">
        <w:rPr>
          <w:rStyle w:val="FootnoteReference"/>
          <w:rFonts w:ascii="Gill Sans MT" w:hAnsi="Gill Sans MT"/>
        </w:rPr>
        <w:footnoteReference w:id="3"/>
      </w:r>
      <w:r w:rsidR="00C962B0" w:rsidRPr="00C962B0">
        <w:rPr>
          <w:rFonts w:ascii="Gill Sans MT" w:hAnsi="Gill Sans MT"/>
        </w:rPr>
        <w:t xml:space="preserve">  </w:t>
      </w:r>
      <w:r w:rsidR="00E879EE">
        <w:rPr>
          <w:rFonts w:ascii="Gill Sans MT" w:hAnsi="Gill Sans MT"/>
        </w:rPr>
        <w:t>T</w:t>
      </w:r>
      <w:r w:rsidR="00C962B0" w:rsidRPr="00C962B0">
        <w:rPr>
          <w:rFonts w:ascii="Gill Sans MT" w:hAnsi="Gill Sans MT"/>
        </w:rPr>
        <w:t xml:space="preserve">he </w:t>
      </w:r>
      <w:r w:rsidRPr="00C962B0">
        <w:rPr>
          <w:rFonts w:ascii="Gill Sans MT" w:hAnsi="Gill Sans MT"/>
        </w:rPr>
        <w:t xml:space="preserve">Prime Minister, in contrast, </w:t>
      </w:r>
      <w:r w:rsidR="00C95D9A">
        <w:rPr>
          <w:rFonts w:ascii="Gill Sans MT" w:hAnsi="Gill Sans MT"/>
        </w:rPr>
        <w:t xml:space="preserve">‘having considered Sir Alex’s advice and weighing up all the factors’, </w:t>
      </w:r>
      <w:r w:rsidRPr="00C962B0">
        <w:rPr>
          <w:rFonts w:ascii="Gill Sans MT" w:hAnsi="Gill Sans MT"/>
        </w:rPr>
        <w:t>decided that</w:t>
      </w:r>
      <w:r w:rsidR="00E879EE">
        <w:rPr>
          <w:rFonts w:ascii="Gill Sans MT" w:hAnsi="Gill Sans MT"/>
        </w:rPr>
        <w:t xml:space="preserve"> </w:t>
      </w:r>
      <w:r w:rsidR="00C95D9A">
        <w:rPr>
          <w:rFonts w:ascii="Gill Sans MT" w:hAnsi="Gill Sans MT"/>
        </w:rPr>
        <w:t>the Ministerial Code had not been breached</w:t>
      </w:r>
      <w:r w:rsidR="00C2324D">
        <w:rPr>
          <w:rFonts w:ascii="Gill Sans MT" w:hAnsi="Gill Sans MT"/>
        </w:rPr>
        <w:t xml:space="preserve">, and </w:t>
      </w:r>
      <w:r w:rsidR="00F71EBA">
        <w:rPr>
          <w:rFonts w:ascii="Gill Sans MT" w:hAnsi="Gill Sans MT"/>
        </w:rPr>
        <w:t>Patel</w:t>
      </w:r>
      <w:r w:rsidR="00C2324D">
        <w:rPr>
          <w:rFonts w:ascii="Gill Sans MT" w:hAnsi="Gill Sans MT"/>
        </w:rPr>
        <w:t xml:space="preserve"> would not be sacked or otherwise sanctioned</w:t>
      </w:r>
      <w:r w:rsidR="00C95D9A">
        <w:rPr>
          <w:rFonts w:ascii="Gill Sans MT" w:hAnsi="Gill Sans MT"/>
        </w:rPr>
        <w:t>.</w:t>
      </w:r>
      <w:r w:rsidR="00F91E18">
        <w:rPr>
          <w:rStyle w:val="FootnoteReference"/>
          <w:rFonts w:ascii="Gill Sans MT" w:hAnsi="Gill Sans MT"/>
        </w:rPr>
        <w:footnoteReference w:id="4"/>
      </w:r>
      <w:r w:rsidR="00C95D9A">
        <w:rPr>
          <w:rFonts w:ascii="Gill Sans MT" w:hAnsi="Gill Sans MT"/>
        </w:rPr>
        <w:t xml:space="preserve">  Four reasons were given for this: concerns had not been raised with the Home Secretary at the time; she was unaware of the impact her behaviour had; she was sorry for causing inadvertent upset; and relationships in the Home Office were now much improved.  </w:t>
      </w:r>
      <w:r w:rsidR="007353F0">
        <w:rPr>
          <w:rFonts w:ascii="Gill Sans MT" w:hAnsi="Gill Sans MT"/>
        </w:rPr>
        <w:t xml:space="preserve">His </w:t>
      </w:r>
      <w:r w:rsidR="00321C17">
        <w:rPr>
          <w:rFonts w:ascii="Gill Sans MT" w:hAnsi="Gill Sans MT"/>
        </w:rPr>
        <w:t>findings</w:t>
      </w:r>
      <w:r w:rsidR="007353F0">
        <w:rPr>
          <w:rFonts w:ascii="Gill Sans MT" w:hAnsi="Gill Sans MT"/>
        </w:rPr>
        <w:t xml:space="preserve"> having been overruled</w:t>
      </w:r>
      <w:r w:rsidR="00C95D9A">
        <w:rPr>
          <w:rFonts w:ascii="Gill Sans MT" w:hAnsi="Gill Sans MT"/>
        </w:rPr>
        <w:t xml:space="preserve">, Sir Alex Allan resigned as </w:t>
      </w:r>
      <w:r w:rsidR="00C2324D">
        <w:rPr>
          <w:rFonts w:ascii="Gill Sans MT" w:hAnsi="Gill Sans MT"/>
        </w:rPr>
        <w:t>Independent</w:t>
      </w:r>
      <w:r w:rsidR="00C95D9A">
        <w:rPr>
          <w:rFonts w:ascii="Gill Sans MT" w:hAnsi="Gill Sans MT"/>
        </w:rPr>
        <w:t xml:space="preserve"> Adviser.</w:t>
      </w:r>
    </w:p>
    <w:p w14:paraId="38EE9495" w14:textId="535BFED6" w:rsidR="003E5D11" w:rsidRDefault="005F721D" w:rsidP="005F721D">
      <w:pPr>
        <w:spacing w:after="0"/>
        <w:jc w:val="both"/>
        <w:rPr>
          <w:rFonts w:ascii="Gill Sans MT" w:hAnsi="Gill Sans MT"/>
        </w:rPr>
      </w:pPr>
      <w:r>
        <w:rPr>
          <w:rFonts w:ascii="Gill Sans MT" w:hAnsi="Gill Sans MT"/>
        </w:rPr>
        <w:tab/>
      </w:r>
      <w:r w:rsidR="000C1049">
        <w:rPr>
          <w:rFonts w:ascii="Gill Sans MT" w:hAnsi="Gill Sans MT"/>
        </w:rPr>
        <w:t>The FDA, a trade union representing civil servants, sought judicial review of the Prime Minister's decision.</w:t>
      </w:r>
      <w:r w:rsidR="001817AE">
        <w:rPr>
          <w:rFonts w:ascii="Gill Sans MT" w:hAnsi="Gill Sans MT"/>
        </w:rPr>
        <w:t xml:space="preserve">  In particular, the FDA argued that the Prime Minister had ‘misinterpreted’ para 1.2 of the Ministerial Code</w:t>
      </w:r>
      <w:r w:rsidR="00136ACE">
        <w:rPr>
          <w:rFonts w:ascii="Gill Sans MT" w:hAnsi="Gill Sans MT"/>
        </w:rPr>
        <w:t xml:space="preserve"> in so far as he took the meaning of ‘bullying’ to require the accused person to be aware of the upsetting or intimidating impact of their conduct on others.  Permission for this claim was granted by Linden J, who refused a second claim concerning the </w:t>
      </w:r>
      <w:r w:rsidR="008D7D9E">
        <w:rPr>
          <w:rFonts w:ascii="Gill Sans MT" w:hAnsi="Gill Sans MT"/>
        </w:rPr>
        <w:t>Prime Minister’s refusal</w:t>
      </w:r>
      <w:r w:rsidR="00136ACE">
        <w:rPr>
          <w:rFonts w:ascii="Gill Sans MT" w:hAnsi="Gill Sans MT"/>
        </w:rPr>
        <w:t xml:space="preserve"> to </w:t>
      </w:r>
      <w:r w:rsidR="008D421B">
        <w:rPr>
          <w:rFonts w:ascii="Gill Sans MT" w:hAnsi="Gill Sans MT"/>
        </w:rPr>
        <w:t>update the</w:t>
      </w:r>
      <w:r w:rsidR="008D7D9E">
        <w:rPr>
          <w:rFonts w:ascii="Gill Sans MT" w:hAnsi="Gill Sans MT"/>
        </w:rPr>
        <w:t xml:space="preserve"> relevant definitions in the</w:t>
      </w:r>
      <w:r w:rsidR="008D421B">
        <w:rPr>
          <w:rFonts w:ascii="Gill Sans MT" w:hAnsi="Gill Sans MT"/>
        </w:rPr>
        <w:t xml:space="preserve"> Ministerial Code</w:t>
      </w:r>
      <w:r w:rsidR="008D7D9E">
        <w:rPr>
          <w:rFonts w:ascii="Gill Sans MT" w:hAnsi="Gill Sans MT"/>
        </w:rPr>
        <w:t>, as had been proposed by the FDA in pre-action correspondence</w:t>
      </w:r>
      <w:r w:rsidR="008D421B">
        <w:rPr>
          <w:rFonts w:ascii="Gill Sans MT" w:hAnsi="Gill Sans MT"/>
        </w:rPr>
        <w:t>.</w:t>
      </w:r>
      <w:r w:rsidR="008D421B">
        <w:rPr>
          <w:rStyle w:val="FootnoteReference"/>
          <w:rFonts w:ascii="Gill Sans MT" w:hAnsi="Gill Sans MT"/>
        </w:rPr>
        <w:footnoteReference w:id="5"/>
      </w:r>
      <w:r w:rsidR="003E5D11">
        <w:rPr>
          <w:rFonts w:ascii="Gill Sans MT" w:hAnsi="Gill Sans MT"/>
        </w:rPr>
        <w:t xml:space="preserve">  In </w:t>
      </w:r>
      <w:r w:rsidR="00E2233E">
        <w:rPr>
          <w:rFonts w:ascii="Gill Sans MT" w:hAnsi="Gill Sans MT"/>
        </w:rPr>
        <w:t xml:space="preserve">the </w:t>
      </w:r>
      <w:r w:rsidR="003E5D11">
        <w:rPr>
          <w:rFonts w:ascii="Gill Sans MT" w:hAnsi="Gill Sans MT"/>
        </w:rPr>
        <w:t xml:space="preserve">substantive claim before the Divisional Court (Lewis LJ and Steyn J), there were two distinct issues: first, whether the claim was justiciable; and second, if so, did the Prime </w:t>
      </w:r>
      <w:r w:rsidR="003E5D11">
        <w:rPr>
          <w:rFonts w:ascii="Gill Sans MT" w:hAnsi="Gill Sans MT"/>
        </w:rPr>
        <w:lastRenderedPageBreak/>
        <w:t>Minister misinterpret the Code.</w:t>
      </w:r>
      <w:r w:rsidR="007A1CBB">
        <w:rPr>
          <w:rFonts w:ascii="Gill Sans MT" w:hAnsi="Gill Sans MT"/>
        </w:rPr>
        <w:t xml:space="preserve">  </w:t>
      </w:r>
      <w:r w:rsidR="00651B98">
        <w:rPr>
          <w:rFonts w:ascii="Gill Sans MT" w:hAnsi="Gill Sans MT"/>
        </w:rPr>
        <w:t xml:space="preserve">While on the second point the court held that the Prime Minister had not misinterpreted the Code when making his decision regarding </w:t>
      </w:r>
      <w:proofErr w:type="spellStart"/>
      <w:r w:rsidR="00651B98">
        <w:rPr>
          <w:rFonts w:ascii="Gill Sans MT" w:hAnsi="Gill Sans MT"/>
        </w:rPr>
        <w:t>Priti</w:t>
      </w:r>
      <w:proofErr w:type="spellEnd"/>
      <w:r w:rsidR="00651B98">
        <w:rPr>
          <w:rFonts w:ascii="Gill Sans MT" w:hAnsi="Gill Sans MT"/>
        </w:rPr>
        <w:t xml:space="preserve"> Patel, on the first point it held that in principle aspects of the Ministerial Code were justiciable.</w:t>
      </w:r>
    </w:p>
    <w:p w14:paraId="78D09521" w14:textId="74F609F9" w:rsidR="00F56EB7" w:rsidRDefault="00F56EB7" w:rsidP="005F721D">
      <w:pPr>
        <w:spacing w:after="0"/>
        <w:jc w:val="both"/>
        <w:rPr>
          <w:rFonts w:ascii="Gill Sans MT" w:hAnsi="Gill Sans MT"/>
        </w:rPr>
      </w:pPr>
    </w:p>
    <w:p w14:paraId="1DE98062" w14:textId="5941E758" w:rsidR="00F56EB7" w:rsidRPr="00F56EB7" w:rsidRDefault="00F56EB7" w:rsidP="005F721D">
      <w:pPr>
        <w:spacing w:after="0"/>
        <w:jc w:val="both"/>
        <w:rPr>
          <w:rFonts w:ascii="Gill Sans MT" w:hAnsi="Gill Sans MT"/>
          <w:b/>
          <w:bCs/>
        </w:rPr>
      </w:pPr>
      <w:r w:rsidRPr="00F56EB7">
        <w:rPr>
          <w:rFonts w:ascii="Gill Sans MT" w:hAnsi="Gill Sans MT"/>
          <w:b/>
          <w:bCs/>
        </w:rPr>
        <w:t>Justiciability</w:t>
      </w:r>
    </w:p>
    <w:p w14:paraId="7491A034" w14:textId="77777777" w:rsidR="00F56EB7" w:rsidRDefault="00F56EB7" w:rsidP="005F721D">
      <w:pPr>
        <w:spacing w:after="0"/>
        <w:jc w:val="both"/>
        <w:rPr>
          <w:rFonts w:ascii="Gill Sans MT" w:hAnsi="Gill Sans MT"/>
        </w:rPr>
      </w:pPr>
    </w:p>
    <w:p w14:paraId="14541F7B" w14:textId="530C60C0" w:rsidR="003776AB" w:rsidRDefault="00651B98" w:rsidP="00CC1419">
      <w:pPr>
        <w:spacing w:after="0"/>
        <w:jc w:val="both"/>
        <w:rPr>
          <w:rFonts w:ascii="Gill Sans MT" w:hAnsi="Gill Sans MT"/>
        </w:rPr>
      </w:pPr>
      <w:r w:rsidRPr="00CB0611">
        <w:rPr>
          <w:rFonts w:ascii="Gill Sans MT" w:hAnsi="Gill Sans MT"/>
        </w:rPr>
        <w:t xml:space="preserve">This first conclusion regarding justiciability is </w:t>
      </w:r>
      <w:r w:rsidR="00CB1CEB">
        <w:rPr>
          <w:rFonts w:ascii="Gill Sans MT" w:hAnsi="Gill Sans MT"/>
        </w:rPr>
        <w:t>open to question in a number of respects</w:t>
      </w:r>
      <w:r w:rsidRPr="00CB0611">
        <w:rPr>
          <w:rFonts w:ascii="Gill Sans MT" w:hAnsi="Gill Sans MT"/>
        </w:rPr>
        <w:t>.</w:t>
      </w:r>
      <w:r w:rsidR="00E2233E">
        <w:rPr>
          <w:rFonts w:ascii="Gill Sans MT" w:hAnsi="Gill Sans MT"/>
        </w:rPr>
        <w:t xml:space="preserve"> </w:t>
      </w:r>
      <w:r w:rsidR="00CC1419">
        <w:rPr>
          <w:rFonts w:ascii="Gill Sans MT" w:hAnsi="Gill Sans MT"/>
        </w:rPr>
        <w:t xml:space="preserve"> Non-j</w:t>
      </w:r>
      <w:r w:rsidR="00E2233E">
        <w:rPr>
          <w:rFonts w:ascii="Gill Sans MT" w:hAnsi="Gill Sans MT"/>
        </w:rPr>
        <w:t xml:space="preserve">usticiability is inevitably a controversial matter, given it amounts to the courts effectively disclaiming the possibility of judicial oversight in relation to particular issues or in particular areas.  In </w:t>
      </w:r>
      <w:r w:rsidR="00E2233E" w:rsidRPr="00E2233E">
        <w:rPr>
          <w:rFonts w:ascii="Gill Sans MT" w:hAnsi="Gill Sans MT"/>
          <w:i/>
          <w:iCs/>
        </w:rPr>
        <w:t>FDA</w:t>
      </w:r>
      <w:r w:rsidR="00E2233E">
        <w:rPr>
          <w:rFonts w:ascii="Gill Sans MT" w:hAnsi="Gill Sans MT"/>
        </w:rPr>
        <w:t xml:space="preserve">, the High Court </w:t>
      </w:r>
      <w:r w:rsidR="00CC1419">
        <w:rPr>
          <w:rFonts w:ascii="Gill Sans MT" w:hAnsi="Gill Sans MT"/>
        </w:rPr>
        <w:t xml:space="preserve">cited (at length) the speech of Lords Neuberger, Hodge and Sumption </w:t>
      </w:r>
      <w:r w:rsidR="00CC1419" w:rsidRPr="00AA2929">
        <w:rPr>
          <w:rFonts w:ascii="Gill Sans MT" w:hAnsi="Gill Sans MT"/>
        </w:rPr>
        <w:t xml:space="preserve">from </w:t>
      </w:r>
      <w:proofErr w:type="spellStart"/>
      <w:r w:rsidR="00CC1419">
        <w:rPr>
          <w:rFonts w:ascii="Gill Sans MT" w:hAnsi="Gill Sans MT"/>
          <w:i/>
          <w:iCs/>
        </w:rPr>
        <w:t>Shergill</w:t>
      </w:r>
      <w:proofErr w:type="spellEnd"/>
      <w:r w:rsidR="00CC1419">
        <w:rPr>
          <w:rFonts w:ascii="Gill Sans MT" w:hAnsi="Gill Sans MT"/>
          <w:i/>
          <w:iCs/>
        </w:rPr>
        <w:t xml:space="preserve"> v </w:t>
      </w:r>
      <w:proofErr w:type="spellStart"/>
      <w:r w:rsidR="00CC1419">
        <w:rPr>
          <w:rFonts w:ascii="Gill Sans MT" w:hAnsi="Gill Sans MT"/>
          <w:i/>
          <w:iCs/>
        </w:rPr>
        <w:t>Khaira</w:t>
      </w:r>
      <w:proofErr w:type="spellEnd"/>
      <w:r w:rsidR="00CC1419">
        <w:rPr>
          <w:rFonts w:ascii="Gill Sans MT" w:hAnsi="Gill Sans MT"/>
        </w:rPr>
        <w:t>,</w:t>
      </w:r>
      <w:r w:rsidR="00CC1419">
        <w:rPr>
          <w:rStyle w:val="FootnoteReference"/>
          <w:rFonts w:ascii="Gill Sans MT" w:hAnsi="Gill Sans MT"/>
        </w:rPr>
        <w:footnoteReference w:id="6"/>
      </w:r>
      <w:r w:rsidR="00CC1419">
        <w:rPr>
          <w:rFonts w:ascii="Gill Sans MT" w:hAnsi="Gill Sans MT"/>
        </w:rPr>
        <w:t xml:space="preserve"> which identified t</w:t>
      </w:r>
      <w:r w:rsidR="00CC1419" w:rsidRPr="00AA2929">
        <w:rPr>
          <w:rFonts w:ascii="Gill Sans MT" w:hAnsi="Gill Sans MT"/>
        </w:rPr>
        <w:t xml:space="preserve">wo </w:t>
      </w:r>
      <w:r w:rsidR="00CC1419">
        <w:rPr>
          <w:rFonts w:ascii="Gill Sans MT" w:hAnsi="Gill Sans MT"/>
        </w:rPr>
        <w:t xml:space="preserve">main </w:t>
      </w:r>
      <w:r w:rsidR="00CC1419" w:rsidRPr="00AA2929">
        <w:rPr>
          <w:rFonts w:ascii="Gill Sans MT" w:hAnsi="Gill Sans MT"/>
        </w:rPr>
        <w:t>categories of non-justiciability</w:t>
      </w:r>
      <w:r w:rsidR="00CC1419">
        <w:rPr>
          <w:rFonts w:ascii="Gill Sans MT" w:hAnsi="Gill Sans MT"/>
        </w:rPr>
        <w:t xml:space="preserve">: first, where an issue is beyond the constitutional competence of the courts, and second, where no legal right of the citizen </w:t>
      </w:r>
      <w:r w:rsidR="00DA4803">
        <w:rPr>
          <w:rFonts w:ascii="Gill Sans MT" w:hAnsi="Gill Sans MT"/>
        </w:rPr>
        <w:t xml:space="preserve">is </w:t>
      </w:r>
      <w:r w:rsidR="00CC1419">
        <w:rPr>
          <w:rFonts w:ascii="Gill Sans MT" w:hAnsi="Gill Sans MT"/>
        </w:rPr>
        <w:t xml:space="preserve">engaged in private or public law.  </w:t>
      </w:r>
      <w:r w:rsidR="00C826C8">
        <w:rPr>
          <w:rFonts w:ascii="Gill Sans MT" w:hAnsi="Gill Sans MT"/>
        </w:rPr>
        <w:t>In</w:t>
      </w:r>
      <w:r w:rsidR="00CC1419">
        <w:rPr>
          <w:rFonts w:ascii="Gill Sans MT" w:hAnsi="Gill Sans MT"/>
        </w:rPr>
        <w:t xml:space="preserve"> </w:t>
      </w:r>
      <w:r w:rsidR="00CC1419" w:rsidRPr="00CC1419">
        <w:rPr>
          <w:rFonts w:ascii="Gill Sans MT" w:hAnsi="Gill Sans MT"/>
          <w:i/>
          <w:iCs/>
        </w:rPr>
        <w:t>FDA</w:t>
      </w:r>
      <w:r w:rsidR="00CC1419">
        <w:rPr>
          <w:rFonts w:ascii="Gill Sans MT" w:hAnsi="Gill Sans MT"/>
        </w:rPr>
        <w:t xml:space="preserve">, Lewis LJ and Steyn J then </w:t>
      </w:r>
      <w:r w:rsidR="00FB273A">
        <w:rPr>
          <w:rFonts w:ascii="Gill Sans MT" w:hAnsi="Gill Sans MT"/>
        </w:rPr>
        <w:t>took the ‘starting point’ that ‘the words “harassment”, “bullying”, and “discriminating behaviour</w:t>
      </w:r>
      <w:r w:rsidR="00C826C8">
        <w:rPr>
          <w:rFonts w:ascii="Gill Sans MT" w:hAnsi="Gill Sans MT"/>
        </w:rPr>
        <w:t>”</w:t>
      </w:r>
      <w:r w:rsidR="00FB273A">
        <w:rPr>
          <w:rFonts w:ascii="Gill Sans MT" w:hAnsi="Gill Sans MT"/>
        </w:rPr>
        <w:t xml:space="preserve"> are capable of being interpreted by a court</w:t>
      </w:r>
      <w:r w:rsidR="00F71EBA">
        <w:rPr>
          <w:rFonts w:ascii="Gill Sans MT" w:hAnsi="Gill Sans MT"/>
        </w:rPr>
        <w:t>’</w:t>
      </w:r>
      <w:r w:rsidR="00FB273A">
        <w:rPr>
          <w:rFonts w:ascii="Gill Sans MT" w:hAnsi="Gill Sans MT"/>
        </w:rPr>
        <w:t>.</w:t>
      </w:r>
      <w:r w:rsidR="00FB273A">
        <w:rPr>
          <w:rStyle w:val="FootnoteReference"/>
          <w:rFonts w:ascii="Gill Sans MT" w:hAnsi="Gill Sans MT"/>
        </w:rPr>
        <w:footnoteReference w:id="7"/>
      </w:r>
      <w:r w:rsidR="00C826C8">
        <w:rPr>
          <w:rFonts w:ascii="Gill Sans MT" w:hAnsi="Gill Sans MT"/>
        </w:rPr>
        <w:t xml:space="preserve">  They relied on an approach </w:t>
      </w:r>
      <w:r w:rsidR="00C826C8" w:rsidRPr="00CB0611">
        <w:rPr>
          <w:rFonts w:ascii="Gill Sans MT" w:hAnsi="Gill Sans MT"/>
        </w:rPr>
        <w:t>based on ‘subject-matter’ rather than ‘source’</w:t>
      </w:r>
      <w:r w:rsidR="00C826C8">
        <w:rPr>
          <w:rFonts w:ascii="Gill Sans MT" w:hAnsi="Gill Sans MT"/>
        </w:rPr>
        <w:t>,</w:t>
      </w:r>
      <w:r w:rsidR="00C826C8" w:rsidRPr="00CB0611">
        <w:rPr>
          <w:rStyle w:val="FootnoteReference"/>
          <w:rFonts w:ascii="Gill Sans MT" w:hAnsi="Gill Sans MT"/>
        </w:rPr>
        <w:footnoteReference w:id="8"/>
      </w:r>
      <w:r w:rsidR="00C826C8">
        <w:rPr>
          <w:rFonts w:ascii="Gill Sans MT" w:hAnsi="Gill Sans MT"/>
        </w:rPr>
        <w:t xml:space="preserve"> and </w:t>
      </w:r>
      <w:r w:rsidR="003776AB">
        <w:rPr>
          <w:rFonts w:ascii="Gill Sans MT" w:hAnsi="Gill Sans MT"/>
        </w:rPr>
        <w:t xml:space="preserve">on this basis </w:t>
      </w:r>
      <w:r w:rsidR="00C826C8">
        <w:rPr>
          <w:rFonts w:ascii="Gill Sans MT" w:hAnsi="Gill Sans MT"/>
        </w:rPr>
        <w:t xml:space="preserve">held that while many parts of the Ministerial Code would not be justiciable because they ‘involve political matters’ </w:t>
      </w:r>
      <w:r w:rsidR="003776AB">
        <w:rPr>
          <w:rFonts w:ascii="Gill Sans MT" w:hAnsi="Gill Sans MT"/>
        </w:rPr>
        <w:t xml:space="preserve">(giving the examples of </w:t>
      </w:r>
      <w:r w:rsidR="00C826C8">
        <w:rPr>
          <w:rFonts w:ascii="Gill Sans MT" w:hAnsi="Gill Sans MT"/>
        </w:rPr>
        <w:t>collective responsibility or relations with Parliament</w:t>
      </w:r>
      <w:r w:rsidR="003776AB">
        <w:rPr>
          <w:rFonts w:ascii="Gill Sans MT" w:hAnsi="Gill Sans MT"/>
        </w:rPr>
        <w:t>)</w:t>
      </w:r>
      <w:r w:rsidR="00C826C8">
        <w:rPr>
          <w:rFonts w:ascii="Gill Sans MT" w:hAnsi="Gill Sans MT"/>
        </w:rPr>
        <w:t>, it did not follow from this that all the provisions of the Code were non-justiciable.</w:t>
      </w:r>
      <w:r w:rsidR="003776AB">
        <w:rPr>
          <w:rFonts w:ascii="Gill Sans MT" w:hAnsi="Gill Sans MT"/>
        </w:rPr>
        <w:t xml:space="preserve">  And in the view of the High Court, para 1.2 concerning bullying was not a provision </w:t>
      </w:r>
      <w:r w:rsidR="00DA4803">
        <w:rPr>
          <w:rFonts w:ascii="Gill Sans MT" w:hAnsi="Gill Sans MT"/>
        </w:rPr>
        <w:t>unfit for</w:t>
      </w:r>
      <w:r w:rsidR="003776AB">
        <w:rPr>
          <w:rFonts w:ascii="Gill Sans MT" w:hAnsi="Gill Sans MT"/>
        </w:rPr>
        <w:t xml:space="preserve"> judicial analysis.</w:t>
      </w:r>
    </w:p>
    <w:p w14:paraId="3D154A3D" w14:textId="5E5033B5" w:rsidR="003776AB" w:rsidRDefault="003776AB" w:rsidP="00CC1419">
      <w:pPr>
        <w:spacing w:after="0"/>
        <w:jc w:val="both"/>
        <w:rPr>
          <w:rFonts w:ascii="Gill Sans MT" w:hAnsi="Gill Sans MT"/>
        </w:rPr>
      </w:pPr>
      <w:r>
        <w:rPr>
          <w:rFonts w:ascii="Gill Sans MT" w:hAnsi="Gill Sans MT"/>
        </w:rPr>
        <w:tab/>
      </w:r>
      <w:r w:rsidR="00E11796">
        <w:rPr>
          <w:rFonts w:ascii="Gill Sans MT" w:hAnsi="Gill Sans MT"/>
        </w:rPr>
        <w:t>This</w:t>
      </w:r>
      <w:r>
        <w:rPr>
          <w:rFonts w:ascii="Gill Sans MT" w:hAnsi="Gill Sans MT"/>
        </w:rPr>
        <w:t xml:space="preserve"> argument is framed in negative terms</w:t>
      </w:r>
      <w:r w:rsidR="00721642">
        <w:rPr>
          <w:rFonts w:ascii="Gill Sans MT" w:hAnsi="Gill Sans MT"/>
        </w:rPr>
        <w:t>:</w:t>
      </w:r>
      <w:r>
        <w:rPr>
          <w:rFonts w:ascii="Gill Sans MT" w:hAnsi="Gill Sans MT"/>
        </w:rPr>
        <w:t xml:space="preserve"> </w:t>
      </w:r>
      <w:r w:rsidR="00721642">
        <w:rPr>
          <w:rFonts w:ascii="Gill Sans MT" w:hAnsi="Gill Sans MT"/>
        </w:rPr>
        <w:t xml:space="preserve">essentially, that </w:t>
      </w:r>
      <w:r>
        <w:rPr>
          <w:rFonts w:ascii="Gill Sans MT" w:hAnsi="Gill Sans MT"/>
        </w:rPr>
        <w:t xml:space="preserve">some provisions </w:t>
      </w:r>
      <w:r w:rsidR="00E11796">
        <w:rPr>
          <w:rFonts w:ascii="Gill Sans MT" w:hAnsi="Gill Sans MT"/>
        </w:rPr>
        <w:t xml:space="preserve">of the Code </w:t>
      </w:r>
      <w:r>
        <w:rPr>
          <w:rFonts w:ascii="Gill Sans MT" w:hAnsi="Gill Sans MT"/>
        </w:rPr>
        <w:t>are not justiciable</w:t>
      </w:r>
      <w:r w:rsidR="00E11796">
        <w:rPr>
          <w:rFonts w:ascii="Gill Sans MT" w:hAnsi="Gill Sans MT"/>
        </w:rPr>
        <w:t xml:space="preserve"> because they are political, but para 1.2 is not such a provision.  </w:t>
      </w:r>
      <w:r w:rsidR="00721642">
        <w:rPr>
          <w:rFonts w:ascii="Gill Sans MT" w:hAnsi="Gill Sans MT"/>
        </w:rPr>
        <w:t>T</w:t>
      </w:r>
      <w:r w:rsidR="00E11796">
        <w:rPr>
          <w:rFonts w:ascii="Gill Sans MT" w:hAnsi="Gill Sans MT"/>
        </w:rPr>
        <w:t xml:space="preserve">his makes the positive case for the justiciability of </w:t>
      </w:r>
      <w:r w:rsidR="005B69ED">
        <w:rPr>
          <w:rFonts w:ascii="Gill Sans MT" w:hAnsi="Gill Sans MT"/>
        </w:rPr>
        <w:t>para 1.2</w:t>
      </w:r>
      <w:r w:rsidR="00E11796">
        <w:rPr>
          <w:rFonts w:ascii="Gill Sans MT" w:hAnsi="Gill Sans MT"/>
        </w:rPr>
        <w:t xml:space="preserve"> difficult to precisely discern.  The High Court’s core reasoning appears to be that </w:t>
      </w:r>
      <w:r w:rsidR="00E8390F">
        <w:rPr>
          <w:rFonts w:ascii="Gill Sans MT" w:hAnsi="Gill Sans MT"/>
        </w:rPr>
        <w:t>these provisions d</w:t>
      </w:r>
      <w:r w:rsidR="00666EC5">
        <w:rPr>
          <w:rFonts w:ascii="Gill Sans MT" w:hAnsi="Gill Sans MT"/>
        </w:rPr>
        <w:t>id</w:t>
      </w:r>
      <w:r w:rsidR="00E8390F">
        <w:rPr>
          <w:rFonts w:ascii="Gill Sans MT" w:hAnsi="Gill Sans MT"/>
        </w:rPr>
        <w:t xml:space="preserve"> not simply exist to frame the exercise of the Prime Minister’s discretion in selecting or removing members of the government, but also to set ‘standards’ and provide ‘guidance’ to ministers.</w:t>
      </w:r>
      <w:r w:rsidR="00E8390F">
        <w:rPr>
          <w:rStyle w:val="FootnoteReference"/>
          <w:rFonts w:ascii="Gill Sans MT" w:hAnsi="Gill Sans MT"/>
        </w:rPr>
        <w:footnoteReference w:id="9"/>
      </w:r>
      <w:r w:rsidR="005B69ED">
        <w:rPr>
          <w:rFonts w:ascii="Gill Sans MT" w:hAnsi="Gill Sans MT"/>
        </w:rPr>
        <w:t xml:space="preserve">  And the</w:t>
      </w:r>
      <w:r w:rsidR="005A7C71">
        <w:rPr>
          <w:rFonts w:ascii="Gill Sans MT" w:hAnsi="Gill Sans MT"/>
        </w:rPr>
        <w:t>se standards relating to</w:t>
      </w:r>
      <w:r w:rsidR="005B69ED">
        <w:rPr>
          <w:rFonts w:ascii="Gill Sans MT" w:hAnsi="Gill Sans MT"/>
        </w:rPr>
        <w:t xml:space="preserve"> bullying in particular </w:t>
      </w:r>
      <w:r w:rsidR="00666EC5">
        <w:rPr>
          <w:rFonts w:ascii="Gill Sans MT" w:hAnsi="Gill Sans MT"/>
        </w:rPr>
        <w:t>were</w:t>
      </w:r>
      <w:r w:rsidR="005B69ED">
        <w:rPr>
          <w:rFonts w:ascii="Gill Sans MT" w:hAnsi="Gill Sans MT"/>
        </w:rPr>
        <w:t xml:space="preserve"> viewed</w:t>
      </w:r>
      <w:r w:rsidR="005A7C71">
        <w:rPr>
          <w:rFonts w:ascii="Gill Sans MT" w:hAnsi="Gill Sans MT"/>
        </w:rPr>
        <w:t xml:space="preserve"> by the judges</w:t>
      </w:r>
      <w:r w:rsidR="005B69ED">
        <w:rPr>
          <w:rFonts w:ascii="Gill Sans MT" w:hAnsi="Gill Sans MT"/>
        </w:rPr>
        <w:t xml:space="preserve"> </w:t>
      </w:r>
      <w:r w:rsidR="00D2330A">
        <w:rPr>
          <w:rFonts w:ascii="Gill Sans MT" w:hAnsi="Gill Sans MT"/>
        </w:rPr>
        <w:t xml:space="preserve">as </w:t>
      </w:r>
      <w:r w:rsidR="00666EC5">
        <w:rPr>
          <w:rFonts w:ascii="Gill Sans MT" w:hAnsi="Gill Sans MT"/>
        </w:rPr>
        <w:t xml:space="preserve">constituting </w:t>
      </w:r>
      <w:r w:rsidR="00D2330A">
        <w:rPr>
          <w:rFonts w:ascii="Gill Sans MT" w:hAnsi="Gill Sans MT"/>
        </w:rPr>
        <w:t xml:space="preserve">part of the governance of </w:t>
      </w:r>
      <w:r w:rsidR="005A7C71">
        <w:rPr>
          <w:rFonts w:ascii="Gill Sans MT" w:hAnsi="Gill Sans MT"/>
        </w:rPr>
        <w:t>the workplace</w:t>
      </w:r>
      <w:r w:rsidR="00C5023D">
        <w:rPr>
          <w:rFonts w:ascii="Gill Sans MT" w:hAnsi="Gill Sans MT"/>
        </w:rPr>
        <w:t>, from which they d</w:t>
      </w:r>
      <w:r w:rsidR="00666EC5">
        <w:rPr>
          <w:rFonts w:ascii="Gill Sans MT" w:hAnsi="Gill Sans MT"/>
        </w:rPr>
        <w:t>re</w:t>
      </w:r>
      <w:r w:rsidR="00C5023D">
        <w:rPr>
          <w:rFonts w:ascii="Gill Sans MT" w:hAnsi="Gill Sans MT"/>
        </w:rPr>
        <w:t xml:space="preserve">w the </w:t>
      </w:r>
      <w:r w:rsidR="00365F7A">
        <w:rPr>
          <w:rFonts w:ascii="Gill Sans MT" w:hAnsi="Gill Sans MT"/>
        </w:rPr>
        <w:t>inference</w:t>
      </w:r>
      <w:r w:rsidR="00C5023D">
        <w:rPr>
          <w:rFonts w:ascii="Gill Sans MT" w:hAnsi="Gill Sans MT"/>
        </w:rPr>
        <w:t xml:space="preserve"> that they appl</w:t>
      </w:r>
      <w:r w:rsidR="00666EC5">
        <w:rPr>
          <w:rFonts w:ascii="Gill Sans MT" w:hAnsi="Gill Sans MT"/>
        </w:rPr>
        <w:t>ied</w:t>
      </w:r>
      <w:r w:rsidR="00C5023D">
        <w:rPr>
          <w:rFonts w:ascii="Gill Sans MT" w:hAnsi="Gill Sans MT"/>
        </w:rPr>
        <w:t xml:space="preserve"> in the same way within government as in any other </w:t>
      </w:r>
      <w:r w:rsidR="00721642">
        <w:rPr>
          <w:rFonts w:ascii="Gill Sans MT" w:hAnsi="Gill Sans MT"/>
        </w:rPr>
        <w:t xml:space="preserve">regular </w:t>
      </w:r>
      <w:r w:rsidR="00C5023D">
        <w:rPr>
          <w:rFonts w:ascii="Gill Sans MT" w:hAnsi="Gill Sans MT"/>
        </w:rPr>
        <w:t>workplace.</w:t>
      </w:r>
      <w:r w:rsidR="00391387">
        <w:rPr>
          <w:rFonts w:ascii="Gill Sans MT" w:hAnsi="Gill Sans MT"/>
        </w:rPr>
        <w:t xml:space="preserve">  This reading of the Code is based on a quote from the foreword to the 2018 Ministerial Code issued by the former Prime Minister Theresa May</w:t>
      </w:r>
      <w:r w:rsidR="00822A53">
        <w:rPr>
          <w:rFonts w:ascii="Gill Sans MT" w:hAnsi="Gill Sans MT"/>
        </w:rPr>
        <w:t>, suggesting that the same standards should govern Parliament and Whitehall as ‘any other workplace’.  This idea is not repeated anywhere in the substantive provisions of May’s 2018 Code, nor was it</w:t>
      </w:r>
      <w:r w:rsidR="00391387">
        <w:rPr>
          <w:rFonts w:ascii="Gill Sans MT" w:hAnsi="Gill Sans MT"/>
        </w:rPr>
        <w:t xml:space="preserve"> </w:t>
      </w:r>
      <w:r w:rsidR="00483519">
        <w:rPr>
          <w:rFonts w:ascii="Gill Sans MT" w:hAnsi="Gill Sans MT"/>
        </w:rPr>
        <w:t>retained</w:t>
      </w:r>
      <w:r w:rsidR="00391387">
        <w:rPr>
          <w:rFonts w:ascii="Gill Sans MT" w:hAnsi="Gill Sans MT"/>
        </w:rPr>
        <w:t xml:space="preserve"> in the 2019 </w:t>
      </w:r>
      <w:r w:rsidR="00822A53">
        <w:rPr>
          <w:rFonts w:ascii="Gill Sans MT" w:hAnsi="Gill Sans MT"/>
        </w:rPr>
        <w:t>Code issued by Johnson.</w:t>
      </w:r>
    </w:p>
    <w:p w14:paraId="568C43E3" w14:textId="1EEC20C5" w:rsidR="00774D66" w:rsidRDefault="00774D66" w:rsidP="00CC1419">
      <w:pPr>
        <w:spacing w:after="0"/>
        <w:jc w:val="both"/>
        <w:rPr>
          <w:rFonts w:ascii="Gill Sans MT" w:hAnsi="Gill Sans MT"/>
        </w:rPr>
      </w:pPr>
      <w:r>
        <w:rPr>
          <w:rFonts w:ascii="Gill Sans MT" w:hAnsi="Gill Sans MT"/>
        </w:rPr>
        <w:tab/>
        <w:t xml:space="preserve">There are a number of difficulties with the High Court’s </w:t>
      </w:r>
      <w:r w:rsidR="006C02AA">
        <w:rPr>
          <w:rFonts w:ascii="Gill Sans MT" w:hAnsi="Gill Sans MT"/>
        </w:rPr>
        <w:t>reasoning in relation</w:t>
      </w:r>
      <w:r>
        <w:rPr>
          <w:rFonts w:ascii="Gill Sans MT" w:hAnsi="Gill Sans MT"/>
        </w:rPr>
        <w:t xml:space="preserve"> to justiciability.</w:t>
      </w:r>
      <w:r w:rsidR="008F5669">
        <w:rPr>
          <w:rFonts w:ascii="Gill Sans MT" w:hAnsi="Gill Sans MT"/>
        </w:rPr>
        <w:t xml:space="preserve">  First, </w:t>
      </w:r>
      <w:r w:rsidR="00721642">
        <w:rPr>
          <w:rFonts w:ascii="Gill Sans MT" w:hAnsi="Gill Sans MT"/>
        </w:rPr>
        <w:t>it starts by collapsing the question of justiciability into that of capability.  It is unsurprising that words like ‘bullying’ and ‘harassment’ are capable of being interpreted by judges, because surely all words are capable of being interpreted by judges</w:t>
      </w:r>
      <w:r w:rsidR="005B1F60">
        <w:rPr>
          <w:rFonts w:ascii="Gill Sans MT" w:hAnsi="Gill Sans MT"/>
        </w:rPr>
        <w:t xml:space="preserve">.  While the first test in </w:t>
      </w:r>
      <w:proofErr w:type="spellStart"/>
      <w:r w:rsidR="005B1F60">
        <w:rPr>
          <w:rFonts w:ascii="Gill Sans MT" w:hAnsi="Gill Sans MT"/>
          <w:i/>
          <w:iCs/>
        </w:rPr>
        <w:t>Shergill</w:t>
      </w:r>
      <w:proofErr w:type="spellEnd"/>
      <w:r w:rsidR="005B1F60">
        <w:rPr>
          <w:rFonts w:ascii="Gill Sans MT" w:hAnsi="Gill Sans MT"/>
          <w:i/>
          <w:iCs/>
        </w:rPr>
        <w:t xml:space="preserve"> v </w:t>
      </w:r>
      <w:proofErr w:type="spellStart"/>
      <w:r w:rsidR="005B1F60">
        <w:rPr>
          <w:rFonts w:ascii="Gill Sans MT" w:hAnsi="Gill Sans MT"/>
          <w:i/>
          <w:iCs/>
        </w:rPr>
        <w:t>Khaira</w:t>
      </w:r>
      <w:proofErr w:type="spellEnd"/>
      <w:r w:rsidR="005B1F60">
        <w:rPr>
          <w:rFonts w:ascii="Gill Sans MT" w:hAnsi="Gill Sans MT"/>
          <w:i/>
          <w:iCs/>
        </w:rPr>
        <w:t xml:space="preserve"> </w:t>
      </w:r>
      <w:r w:rsidR="005B1F60">
        <w:rPr>
          <w:rFonts w:ascii="Gill Sans MT" w:hAnsi="Gill Sans MT"/>
        </w:rPr>
        <w:t xml:space="preserve">is focused on competence, it is explicitly concerned with the </w:t>
      </w:r>
      <w:r w:rsidR="005B1F60" w:rsidRPr="005B1F60">
        <w:rPr>
          <w:rFonts w:ascii="Gill Sans MT" w:hAnsi="Gill Sans MT"/>
          <w:i/>
          <w:iCs/>
        </w:rPr>
        <w:t>constitutional</w:t>
      </w:r>
      <w:r w:rsidR="005B1F60">
        <w:rPr>
          <w:rFonts w:ascii="Gill Sans MT" w:hAnsi="Gill Sans MT"/>
        </w:rPr>
        <w:t xml:space="preserve"> competence of the courts rather than functional competence</w:t>
      </w:r>
      <w:r w:rsidR="00CB632B">
        <w:rPr>
          <w:rFonts w:ascii="Gill Sans MT" w:hAnsi="Gill Sans MT"/>
        </w:rPr>
        <w:t xml:space="preserve"> in this sense</w:t>
      </w:r>
      <w:r w:rsidR="005B1F60">
        <w:rPr>
          <w:rFonts w:ascii="Gill Sans MT" w:hAnsi="Gill Sans MT"/>
        </w:rPr>
        <w:t>.  The question here is not whether the courts can interpret the words, but whether they should, in light of the wider institutional context</w:t>
      </w:r>
      <w:r w:rsidR="00CB632B">
        <w:rPr>
          <w:rFonts w:ascii="Gill Sans MT" w:hAnsi="Gill Sans MT"/>
        </w:rPr>
        <w:t xml:space="preserve">, with particular reference to the different roles and powers allocated to the legislature, the executive and the judiciary.  The High Court gestures at some of these considerations in passing, when giving examples of ‘political’ matters which should be left to others to decide, but never really explains </w:t>
      </w:r>
      <w:r w:rsidR="00203DB4">
        <w:rPr>
          <w:rFonts w:ascii="Gill Sans MT" w:hAnsi="Gill Sans MT"/>
        </w:rPr>
        <w:t xml:space="preserve">why the courts have the institutional or constitutional competence to offer definitive interpretations of </w:t>
      </w:r>
      <w:r w:rsidR="007B5577">
        <w:rPr>
          <w:rFonts w:ascii="Gill Sans MT" w:hAnsi="Gill Sans MT"/>
        </w:rPr>
        <w:t>any provisions</w:t>
      </w:r>
      <w:r w:rsidR="00203DB4">
        <w:rPr>
          <w:rFonts w:ascii="Gill Sans MT" w:hAnsi="Gill Sans MT"/>
        </w:rPr>
        <w:t xml:space="preserve"> used in the Ministerial Code.</w:t>
      </w:r>
    </w:p>
    <w:p w14:paraId="09D03365" w14:textId="49FA770A" w:rsidR="00203DB4" w:rsidRDefault="00203DB4" w:rsidP="00CC1419">
      <w:pPr>
        <w:spacing w:after="0"/>
        <w:jc w:val="both"/>
        <w:rPr>
          <w:rFonts w:ascii="Gill Sans MT" w:hAnsi="Gill Sans MT"/>
          <w:color w:val="000000"/>
        </w:rPr>
      </w:pPr>
      <w:r>
        <w:rPr>
          <w:rFonts w:ascii="Gill Sans MT" w:hAnsi="Gill Sans MT"/>
        </w:rPr>
        <w:tab/>
        <w:t xml:space="preserve">The second difficulty is that the approach of the High Court significantly underestimates the nature of the Ministerial Code as a political, and not a legal, document.  In part this flows from the judges’ adoption of an approach based on ‘subject-matter’ not ‘source’ – it allows the court to separate </w:t>
      </w:r>
      <w:r>
        <w:rPr>
          <w:rFonts w:ascii="Gill Sans MT" w:hAnsi="Gill Sans MT"/>
        </w:rPr>
        <w:lastRenderedPageBreak/>
        <w:t xml:space="preserve">specific provisions in the Code which are non-justiciable from those which are justiciable, based on assessment of the extent to which their substance is ‘political’.  Yet </w:t>
      </w:r>
      <w:r w:rsidR="00636111">
        <w:rPr>
          <w:rFonts w:ascii="Gill Sans MT" w:hAnsi="Gill Sans MT"/>
        </w:rPr>
        <w:t>this</w:t>
      </w:r>
      <w:r w:rsidR="00EA1DEA">
        <w:rPr>
          <w:rFonts w:ascii="Gill Sans MT" w:hAnsi="Gill Sans MT"/>
        </w:rPr>
        <w:t xml:space="preserve"> distinction between subject-</w:t>
      </w:r>
      <w:r w:rsidR="00EA1DEA" w:rsidRPr="00391EFA">
        <w:rPr>
          <w:rFonts w:ascii="Gill Sans MT" w:hAnsi="Gill Sans MT"/>
        </w:rPr>
        <w:t xml:space="preserve">matter and source </w:t>
      </w:r>
      <w:r w:rsidR="00636111" w:rsidRPr="00391EFA">
        <w:rPr>
          <w:rFonts w:ascii="Gill Sans MT" w:hAnsi="Gill Sans MT"/>
        </w:rPr>
        <w:t xml:space="preserve">originated in a very different context to the </w:t>
      </w:r>
      <w:r w:rsidR="00636111" w:rsidRPr="00EE1E12">
        <w:rPr>
          <w:rFonts w:ascii="Gill Sans MT" w:hAnsi="Gill Sans MT"/>
          <w:i/>
          <w:iCs/>
        </w:rPr>
        <w:t>FDA</w:t>
      </w:r>
      <w:r w:rsidR="00636111" w:rsidRPr="00391EFA">
        <w:rPr>
          <w:rFonts w:ascii="Gill Sans MT" w:hAnsi="Gill Sans MT"/>
        </w:rPr>
        <w:t xml:space="preserve"> case.  It is a distinction deployed in the judgment of Lord Scarman in </w:t>
      </w:r>
      <w:r w:rsidR="00BB1286" w:rsidRPr="00BB1286">
        <w:rPr>
          <w:rFonts w:ascii="Gill Sans MT" w:hAnsi="Gill Sans MT"/>
          <w:i/>
          <w:iCs/>
        </w:rPr>
        <w:t>GCHQ</w:t>
      </w:r>
      <w:r w:rsidR="00636111" w:rsidRPr="00391EFA">
        <w:rPr>
          <w:rFonts w:ascii="Gill Sans MT" w:hAnsi="Gill Sans MT"/>
        </w:rPr>
        <w:t>, a case which concerned a challenge to an exercise of royal prerogative power.</w:t>
      </w:r>
      <w:r w:rsidR="00636111" w:rsidRPr="00391EFA">
        <w:rPr>
          <w:rStyle w:val="FootnoteReference"/>
          <w:rFonts w:ascii="Gill Sans MT" w:hAnsi="Gill Sans MT"/>
        </w:rPr>
        <w:footnoteReference w:id="10"/>
      </w:r>
      <w:r w:rsidR="00636111" w:rsidRPr="00391EFA">
        <w:rPr>
          <w:rFonts w:ascii="Gill Sans MT" w:hAnsi="Gill Sans MT"/>
        </w:rPr>
        <w:t xml:space="preserve">  When Lord Scarman argued that ‘</w:t>
      </w:r>
      <w:r w:rsidR="00636111" w:rsidRPr="00391EFA">
        <w:rPr>
          <w:rFonts w:ascii="Gill Sans MT" w:hAnsi="Gill Sans MT"/>
          <w:color w:val="000000"/>
        </w:rPr>
        <w:t xml:space="preserve">the controlling factor in determining whether the exercise of prerogative power is subject to judicial review is not its source but its subject matter’, </w:t>
      </w:r>
      <w:r w:rsidR="00391EFA" w:rsidRPr="00391EFA">
        <w:rPr>
          <w:rFonts w:ascii="Gill Sans MT" w:hAnsi="Gill Sans MT"/>
          <w:color w:val="000000"/>
        </w:rPr>
        <w:t>this was in the context</w:t>
      </w:r>
      <w:r w:rsidR="00391EFA">
        <w:rPr>
          <w:rFonts w:ascii="Gill Sans MT" w:hAnsi="Gill Sans MT"/>
          <w:color w:val="000000"/>
        </w:rPr>
        <w:t xml:space="preserve"> of a dispute about </w:t>
      </w:r>
      <w:r w:rsidR="00FB5AEF">
        <w:rPr>
          <w:rFonts w:ascii="Gill Sans MT" w:hAnsi="Gill Sans MT"/>
          <w:color w:val="000000"/>
        </w:rPr>
        <w:t>which different kinds of</w:t>
      </w:r>
      <w:r w:rsidR="00391EFA">
        <w:rPr>
          <w:rFonts w:ascii="Gill Sans MT" w:hAnsi="Gill Sans MT"/>
          <w:color w:val="000000"/>
        </w:rPr>
        <w:t xml:space="preserve"> </w:t>
      </w:r>
      <w:r w:rsidR="00391EFA" w:rsidRPr="00EE1E12">
        <w:rPr>
          <w:rFonts w:ascii="Gill Sans MT" w:hAnsi="Gill Sans MT"/>
          <w:i/>
          <w:iCs/>
          <w:color w:val="000000"/>
        </w:rPr>
        <w:t>legal</w:t>
      </w:r>
      <w:r w:rsidR="00391EFA">
        <w:rPr>
          <w:rFonts w:ascii="Gill Sans MT" w:hAnsi="Gill Sans MT"/>
          <w:color w:val="000000"/>
        </w:rPr>
        <w:t xml:space="preserve"> powers could be subject to judicial review.  The shift from source to subject-matter was therefore justified in </w:t>
      </w:r>
      <w:r w:rsidR="00FB5AEF" w:rsidRPr="00AE5FAD">
        <w:rPr>
          <w:rFonts w:ascii="Gill Sans MT" w:hAnsi="Gill Sans MT"/>
          <w:i/>
          <w:iCs/>
          <w:color w:val="000000"/>
        </w:rPr>
        <w:t>GCHQ</w:t>
      </w:r>
      <w:r w:rsidR="00391EFA">
        <w:rPr>
          <w:rFonts w:ascii="Gill Sans MT" w:hAnsi="Gill Sans MT"/>
          <w:color w:val="000000"/>
        </w:rPr>
        <w:t xml:space="preserve">, because the legal </w:t>
      </w:r>
      <w:r w:rsidR="00FB5AEF">
        <w:rPr>
          <w:rFonts w:ascii="Gill Sans MT" w:hAnsi="Gill Sans MT"/>
          <w:color w:val="000000"/>
        </w:rPr>
        <w:t xml:space="preserve">character </w:t>
      </w:r>
      <w:r w:rsidR="00391EFA">
        <w:rPr>
          <w:rFonts w:ascii="Gill Sans MT" w:hAnsi="Gill Sans MT"/>
          <w:color w:val="000000"/>
        </w:rPr>
        <w:t xml:space="preserve">of the source of power was not in </w:t>
      </w:r>
      <w:r w:rsidR="00483519">
        <w:rPr>
          <w:rFonts w:ascii="Gill Sans MT" w:hAnsi="Gill Sans MT"/>
          <w:color w:val="000000"/>
        </w:rPr>
        <w:t>dispute</w:t>
      </w:r>
      <w:r w:rsidR="00391EFA">
        <w:rPr>
          <w:rFonts w:ascii="Gill Sans MT" w:hAnsi="Gill Sans MT"/>
          <w:color w:val="000000"/>
        </w:rPr>
        <w:t xml:space="preserve">.  However, in </w:t>
      </w:r>
      <w:r w:rsidR="00391EFA" w:rsidRPr="00EE1E12">
        <w:rPr>
          <w:rFonts w:ascii="Gill Sans MT" w:hAnsi="Gill Sans MT"/>
          <w:i/>
          <w:iCs/>
          <w:color w:val="000000"/>
        </w:rPr>
        <w:t>FDA</w:t>
      </w:r>
      <w:r w:rsidR="00391EFA">
        <w:rPr>
          <w:rFonts w:ascii="Gill Sans MT" w:hAnsi="Gill Sans MT"/>
          <w:color w:val="000000"/>
        </w:rPr>
        <w:t xml:space="preserve">, the rules contained in the Ministerial Code are not legal rules, nor is the Code issued in exercise of a legal power.  </w:t>
      </w:r>
      <w:r w:rsidR="00EA2F89">
        <w:rPr>
          <w:rFonts w:ascii="Gill Sans MT" w:hAnsi="Gill Sans MT"/>
          <w:color w:val="000000"/>
        </w:rPr>
        <w:t xml:space="preserve">It is also irrelevant that the Prime Minister’s discretion to appoint ministers is itself rooted in the prerogative, because the claimants in </w:t>
      </w:r>
      <w:r w:rsidR="00EA2F89" w:rsidRPr="00AE5FAD">
        <w:rPr>
          <w:rFonts w:ascii="Gill Sans MT" w:hAnsi="Gill Sans MT"/>
          <w:i/>
          <w:iCs/>
          <w:color w:val="000000"/>
        </w:rPr>
        <w:t>FDA</w:t>
      </w:r>
      <w:r w:rsidR="00EA2F89">
        <w:rPr>
          <w:rFonts w:ascii="Gill Sans MT" w:hAnsi="Gill Sans MT"/>
          <w:color w:val="000000"/>
        </w:rPr>
        <w:t xml:space="preserve"> were explicit that they made no challenge to the exercise of </w:t>
      </w:r>
      <w:r w:rsidR="00FB5AEF">
        <w:rPr>
          <w:rFonts w:ascii="Gill Sans MT" w:hAnsi="Gill Sans MT"/>
          <w:color w:val="000000"/>
        </w:rPr>
        <w:t>that</w:t>
      </w:r>
      <w:r w:rsidR="00EA2F89">
        <w:rPr>
          <w:rFonts w:ascii="Gill Sans MT" w:hAnsi="Gill Sans MT"/>
          <w:color w:val="000000"/>
        </w:rPr>
        <w:t xml:space="preserve"> legal power, but only contested the interpretation of the non-legal rules </w:t>
      </w:r>
      <w:r w:rsidR="00FB5AEF">
        <w:rPr>
          <w:rFonts w:ascii="Gill Sans MT" w:hAnsi="Gill Sans MT"/>
          <w:color w:val="000000"/>
        </w:rPr>
        <w:t xml:space="preserve">contained in the Code </w:t>
      </w:r>
      <w:r w:rsidR="00EA2F89">
        <w:rPr>
          <w:rFonts w:ascii="Gill Sans MT" w:hAnsi="Gill Sans MT"/>
          <w:color w:val="000000"/>
        </w:rPr>
        <w:t>associated with ministerial condu</w:t>
      </w:r>
      <w:r w:rsidR="00FB5AEF">
        <w:rPr>
          <w:rFonts w:ascii="Gill Sans MT" w:hAnsi="Gill Sans MT"/>
          <w:color w:val="000000"/>
        </w:rPr>
        <w:t>ct</w:t>
      </w:r>
      <w:r w:rsidR="00EA2F89">
        <w:rPr>
          <w:rFonts w:ascii="Gill Sans MT" w:hAnsi="Gill Sans MT"/>
          <w:color w:val="000000"/>
        </w:rPr>
        <w:t xml:space="preserve">.  </w:t>
      </w:r>
      <w:r w:rsidR="00CD35E5">
        <w:rPr>
          <w:rFonts w:ascii="Gill Sans MT" w:hAnsi="Gill Sans MT"/>
          <w:color w:val="000000"/>
        </w:rPr>
        <w:t>In this context, it is a misapplication of Lord Scarman’s distinction to focus on subject-matter to the exclusion of source</w:t>
      </w:r>
      <w:r w:rsidR="00D647D9">
        <w:rPr>
          <w:rFonts w:ascii="Gill Sans MT" w:hAnsi="Gill Sans MT"/>
          <w:color w:val="000000"/>
        </w:rPr>
        <w:t>.</w:t>
      </w:r>
    </w:p>
    <w:p w14:paraId="541878EB" w14:textId="4A661F08" w:rsidR="0065758E" w:rsidRPr="009E2B5A" w:rsidRDefault="00430993" w:rsidP="00CC1419">
      <w:pPr>
        <w:spacing w:after="0"/>
        <w:jc w:val="both"/>
        <w:rPr>
          <w:rFonts w:ascii="Gill Sans MT" w:hAnsi="Gill Sans MT"/>
          <w:color w:val="000000"/>
        </w:rPr>
      </w:pPr>
      <w:r>
        <w:rPr>
          <w:rFonts w:ascii="Gill Sans MT" w:hAnsi="Gill Sans MT"/>
          <w:color w:val="000000"/>
        </w:rPr>
        <w:tab/>
        <w:t xml:space="preserve">This is further evident when looking at the line of case law which deals with the justiciability in domestic courts of questions of international law.  </w:t>
      </w:r>
      <w:r w:rsidR="00C03500">
        <w:rPr>
          <w:rFonts w:ascii="Gill Sans MT" w:hAnsi="Gill Sans MT"/>
          <w:color w:val="000000"/>
        </w:rPr>
        <w:t xml:space="preserve">In cases like </w:t>
      </w:r>
      <w:r w:rsidR="00C03500" w:rsidRPr="00483519">
        <w:rPr>
          <w:rFonts w:ascii="Gill Sans MT" w:hAnsi="Gill Sans MT"/>
          <w:i/>
          <w:iCs/>
          <w:color w:val="000000"/>
        </w:rPr>
        <w:t>CND</w:t>
      </w:r>
      <w:r w:rsidR="00C03500">
        <w:rPr>
          <w:rStyle w:val="FootnoteReference"/>
          <w:rFonts w:ascii="Gill Sans MT" w:hAnsi="Gill Sans MT"/>
          <w:color w:val="000000"/>
        </w:rPr>
        <w:footnoteReference w:id="11"/>
      </w:r>
      <w:r w:rsidR="00C03500">
        <w:rPr>
          <w:rFonts w:ascii="Gill Sans MT" w:hAnsi="Gill Sans MT"/>
          <w:color w:val="000000"/>
        </w:rPr>
        <w:t xml:space="preserve"> (concerning the interpretation of UN Resolution 1441 prior to the 2003 war in Iraq) and </w:t>
      </w:r>
      <w:r w:rsidR="00C03500" w:rsidRPr="00483519">
        <w:rPr>
          <w:rFonts w:ascii="Gill Sans MT" w:hAnsi="Gill Sans MT"/>
          <w:i/>
          <w:iCs/>
          <w:color w:val="000000"/>
        </w:rPr>
        <w:t>Al-Haq</w:t>
      </w:r>
      <w:r w:rsidR="00C03500">
        <w:rPr>
          <w:rStyle w:val="FootnoteReference"/>
          <w:rFonts w:ascii="Gill Sans MT" w:hAnsi="Gill Sans MT"/>
          <w:color w:val="000000"/>
        </w:rPr>
        <w:footnoteReference w:id="12"/>
      </w:r>
      <w:r w:rsidR="00C03500">
        <w:rPr>
          <w:rFonts w:ascii="Gill Sans MT" w:hAnsi="Gill Sans MT"/>
          <w:color w:val="000000"/>
        </w:rPr>
        <w:t xml:space="preserve"> (concerning the UK government’s responsibilities under international law </w:t>
      </w:r>
      <w:r w:rsidR="00C03500" w:rsidRPr="00CB0611">
        <w:rPr>
          <w:rFonts w:ascii="Gill Sans MT" w:hAnsi="Gill Sans MT" w:cs="Segoe UI"/>
          <w:color w:val="0F1419"/>
        </w:rPr>
        <w:t>towards Israel following bombing of Gaza in the Occupied Palestinian Territories</w:t>
      </w:r>
      <w:r w:rsidR="00C03500">
        <w:rPr>
          <w:rFonts w:ascii="Gill Sans MT" w:hAnsi="Gill Sans MT" w:cs="Segoe UI"/>
          <w:color w:val="0F1419"/>
        </w:rPr>
        <w:t xml:space="preserve">), it </w:t>
      </w:r>
      <w:r w:rsidR="007B5577">
        <w:rPr>
          <w:rFonts w:ascii="Gill Sans MT" w:hAnsi="Gill Sans MT" w:cs="Segoe UI"/>
          <w:color w:val="0F1419"/>
        </w:rPr>
        <w:t>might make</w:t>
      </w:r>
      <w:r w:rsidR="00C03500">
        <w:rPr>
          <w:rFonts w:ascii="Gill Sans MT" w:hAnsi="Gill Sans MT" w:cs="Segoe UI"/>
          <w:color w:val="0F1419"/>
        </w:rPr>
        <w:t xml:space="preserve"> sense to </w:t>
      </w:r>
      <w:r>
        <w:rPr>
          <w:rFonts w:ascii="Gill Sans MT" w:hAnsi="Gill Sans MT"/>
          <w:color w:val="000000"/>
        </w:rPr>
        <w:t xml:space="preserve">focus on subject-matter </w:t>
      </w:r>
      <w:r w:rsidR="00C03500">
        <w:rPr>
          <w:rFonts w:ascii="Gill Sans MT" w:hAnsi="Gill Sans MT"/>
          <w:color w:val="000000"/>
        </w:rPr>
        <w:t>to delineate between claims about the law which are and are not suitable for determination in the domestic courts.  Yet where</w:t>
      </w:r>
      <w:r w:rsidR="00F23B4F">
        <w:rPr>
          <w:rFonts w:ascii="Gill Sans MT" w:hAnsi="Gill Sans MT"/>
          <w:color w:val="000000"/>
        </w:rPr>
        <w:t xml:space="preserve"> the source of the rules is not legal, it is wrong to bypass questions ab</w:t>
      </w:r>
      <w:r w:rsidR="000B6FC3">
        <w:rPr>
          <w:rFonts w:ascii="Gill Sans MT" w:hAnsi="Gill Sans MT"/>
          <w:color w:val="000000"/>
        </w:rPr>
        <w:t xml:space="preserve">out source-based justiciability </w:t>
      </w:r>
      <w:r w:rsidR="00BA4FB6">
        <w:rPr>
          <w:rFonts w:ascii="Gill Sans MT" w:hAnsi="Gill Sans MT"/>
          <w:color w:val="000000"/>
        </w:rPr>
        <w:t xml:space="preserve">entirely </w:t>
      </w:r>
      <w:r w:rsidR="008D3239">
        <w:rPr>
          <w:rFonts w:ascii="Gill Sans MT" w:hAnsi="Gill Sans MT"/>
          <w:color w:val="000000"/>
        </w:rPr>
        <w:t>by focusing on the subject-matter instead.</w:t>
      </w:r>
      <w:r w:rsidR="009E2B5A">
        <w:rPr>
          <w:rFonts w:ascii="Gill Sans MT" w:hAnsi="Gill Sans MT"/>
          <w:color w:val="000000"/>
        </w:rPr>
        <w:t xml:space="preserve">  This approach is also out of line with that taken unanimously by the Supreme Court in </w:t>
      </w:r>
      <w:r w:rsidR="009E2B5A">
        <w:rPr>
          <w:rFonts w:ascii="Gill Sans MT" w:hAnsi="Gill Sans MT"/>
          <w:i/>
          <w:iCs/>
          <w:color w:val="000000"/>
        </w:rPr>
        <w:t>Miller (No.1)</w:t>
      </w:r>
      <w:r w:rsidR="009E2B5A">
        <w:rPr>
          <w:rFonts w:ascii="Gill Sans MT" w:hAnsi="Gill Sans MT"/>
          <w:color w:val="000000"/>
        </w:rPr>
        <w:t xml:space="preserve"> where the court held that ‘judges are neither the parents nor the guardians of political conventions; they are merely observers’.</w:t>
      </w:r>
      <w:r w:rsidR="009E2B5A">
        <w:rPr>
          <w:rStyle w:val="FootnoteReference"/>
          <w:rFonts w:ascii="Gill Sans MT" w:hAnsi="Gill Sans MT"/>
          <w:color w:val="000000"/>
        </w:rPr>
        <w:footnoteReference w:id="13"/>
      </w:r>
      <w:r w:rsidR="004550A2">
        <w:rPr>
          <w:rFonts w:ascii="Gill Sans MT" w:hAnsi="Gill Sans MT"/>
          <w:color w:val="000000"/>
        </w:rPr>
        <w:t xml:space="preserve">  In declining to rule on the application of the Sewel convention to the decision to commence Brexit negotiations, the Supreme Court was here dealing with a convention which had been given a (relatively thin) statutory basis, and yet </w:t>
      </w:r>
      <w:r w:rsidR="00483519">
        <w:rPr>
          <w:rFonts w:ascii="Gill Sans MT" w:hAnsi="Gill Sans MT"/>
          <w:color w:val="000000"/>
        </w:rPr>
        <w:t>even then it</w:t>
      </w:r>
      <w:r w:rsidR="004550A2">
        <w:rPr>
          <w:rFonts w:ascii="Gill Sans MT" w:hAnsi="Gill Sans MT"/>
          <w:color w:val="000000"/>
        </w:rPr>
        <w:t xml:space="preserve"> held it was beyond the ‘constitutional remit of the judiciary’ to police its scope or operation.</w:t>
      </w:r>
      <w:r w:rsidR="004550A2">
        <w:rPr>
          <w:rStyle w:val="FootnoteReference"/>
          <w:rFonts w:ascii="Gill Sans MT" w:hAnsi="Gill Sans MT"/>
          <w:color w:val="000000"/>
        </w:rPr>
        <w:footnoteReference w:id="14"/>
      </w:r>
      <w:r w:rsidR="004550A2">
        <w:rPr>
          <w:rFonts w:ascii="Gill Sans MT" w:hAnsi="Gill Sans MT"/>
          <w:color w:val="000000"/>
        </w:rPr>
        <w:t xml:space="preserve">  Th</w:t>
      </w:r>
      <w:r w:rsidR="009B540C">
        <w:rPr>
          <w:rFonts w:ascii="Gill Sans MT" w:hAnsi="Gill Sans MT"/>
          <w:color w:val="000000"/>
        </w:rPr>
        <w:t>is</w:t>
      </w:r>
      <w:r w:rsidR="004550A2">
        <w:rPr>
          <w:rFonts w:ascii="Gill Sans MT" w:hAnsi="Gill Sans MT"/>
          <w:color w:val="000000"/>
        </w:rPr>
        <w:t xml:space="preserve"> aspect of </w:t>
      </w:r>
      <w:r w:rsidR="004550A2" w:rsidRPr="004550A2">
        <w:rPr>
          <w:rFonts w:ascii="Gill Sans MT" w:hAnsi="Gill Sans MT"/>
          <w:i/>
          <w:iCs/>
          <w:color w:val="000000"/>
        </w:rPr>
        <w:t>Miller (No.1)</w:t>
      </w:r>
      <w:r w:rsidR="004550A2">
        <w:rPr>
          <w:rFonts w:ascii="Gill Sans MT" w:hAnsi="Gill Sans MT"/>
          <w:color w:val="000000"/>
        </w:rPr>
        <w:t xml:space="preserve"> is not addressed at all in the judgment in </w:t>
      </w:r>
      <w:r w:rsidR="004550A2" w:rsidRPr="004550A2">
        <w:rPr>
          <w:rFonts w:ascii="Gill Sans MT" w:hAnsi="Gill Sans MT"/>
          <w:i/>
          <w:iCs/>
          <w:color w:val="000000"/>
        </w:rPr>
        <w:t>FDA</w:t>
      </w:r>
      <w:r w:rsidR="004550A2">
        <w:rPr>
          <w:rFonts w:ascii="Gill Sans MT" w:hAnsi="Gill Sans MT"/>
          <w:color w:val="000000"/>
        </w:rPr>
        <w:t>.</w:t>
      </w:r>
    </w:p>
    <w:p w14:paraId="26CF42DB" w14:textId="57C32680" w:rsidR="00D416A4" w:rsidRPr="00D416A4" w:rsidRDefault="00D416A4" w:rsidP="00CC1419">
      <w:pPr>
        <w:spacing w:after="0"/>
        <w:jc w:val="both"/>
        <w:rPr>
          <w:rFonts w:ascii="Gill Sans MT" w:hAnsi="Gill Sans MT"/>
          <w:color w:val="000000"/>
        </w:rPr>
      </w:pPr>
      <w:r>
        <w:rPr>
          <w:rFonts w:ascii="Gill Sans MT" w:hAnsi="Gill Sans MT"/>
          <w:color w:val="000000"/>
        </w:rPr>
        <w:tab/>
      </w:r>
      <w:r w:rsidR="009B540C">
        <w:rPr>
          <w:rFonts w:ascii="Gill Sans MT" w:hAnsi="Gill Sans MT"/>
          <w:color w:val="000000"/>
        </w:rPr>
        <w:t>In contrast, t</w:t>
      </w:r>
      <w:r>
        <w:rPr>
          <w:rFonts w:ascii="Gill Sans MT" w:hAnsi="Gill Sans MT"/>
          <w:color w:val="000000"/>
        </w:rPr>
        <w:t xml:space="preserve">he case of the </w:t>
      </w:r>
      <w:r w:rsidRPr="00D416A4">
        <w:rPr>
          <w:rFonts w:ascii="Gill Sans MT" w:hAnsi="Gill Sans MT"/>
          <w:i/>
          <w:iCs/>
          <w:color w:val="000000"/>
        </w:rPr>
        <w:t>Gulf Centre for Human Rights</w:t>
      </w:r>
      <w:r w:rsidRPr="00D416A4">
        <w:rPr>
          <w:rStyle w:val="FootnoteReference"/>
          <w:rFonts w:ascii="Gill Sans MT" w:hAnsi="Gill Sans MT"/>
          <w:color w:val="000000"/>
        </w:rPr>
        <w:footnoteReference w:id="15"/>
      </w:r>
      <w:r>
        <w:rPr>
          <w:rFonts w:ascii="Gill Sans MT" w:hAnsi="Gill Sans MT"/>
          <w:i/>
          <w:iCs/>
          <w:color w:val="000000"/>
        </w:rPr>
        <w:t xml:space="preserve"> </w:t>
      </w:r>
      <w:r>
        <w:rPr>
          <w:rFonts w:ascii="Gill Sans MT" w:hAnsi="Gill Sans MT"/>
          <w:color w:val="000000"/>
        </w:rPr>
        <w:t xml:space="preserve">may appear to provide an authority which indicates that questions concerning the Ministerial Code are potentially justiciable, despite its </w:t>
      </w:r>
      <w:r w:rsidRPr="00276F6E">
        <w:rPr>
          <w:rFonts w:ascii="Gill Sans MT" w:hAnsi="Gill Sans MT"/>
        </w:rPr>
        <w:t xml:space="preserve">political nature as a constitutional source.  Yet this case (which </w:t>
      </w:r>
      <w:r w:rsidR="005065C1" w:rsidRPr="00276F6E">
        <w:rPr>
          <w:rFonts w:ascii="Gill Sans MT" w:hAnsi="Gill Sans MT"/>
        </w:rPr>
        <w:t>again</w:t>
      </w:r>
      <w:r w:rsidRPr="00276F6E">
        <w:rPr>
          <w:rFonts w:ascii="Gill Sans MT" w:hAnsi="Gill Sans MT"/>
        </w:rPr>
        <w:t xml:space="preserve"> does not feature at all in the </w:t>
      </w:r>
      <w:r>
        <w:rPr>
          <w:rFonts w:ascii="Gill Sans MT" w:hAnsi="Gill Sans MT"/>
          <w:color w:val="000000"/>
        </w:rPr>
        <w:t xml:space="preserve">substantive reasoning of the High Court in </w:t>
      </w:r>
      <w:r w:rsidRPr="00D416A4">
        <w:rPr>
          <w:rFonts w:ascii="Gill Sans MT" w:hAnsi="Gill Sans MT"/>
          <w:i/>
          <w:iCs/>
          <w:color w:val="000000"/>
        </w:rPr>
        <w:t>FDA</w:t>
      </w:r>
      <w:r>
        <w:rPr>
          <w:rFonts w:ascii="Gill Sans MT" w:hAnsi="Gill Sans MT"/>
          <w:color w:val="000000"/>
        </w:rPr>
        <w:t xml:space="preserve">) was concerned with a clear question of law: whether changes to the Ministerial Code made by Prime Minister David Cameron </w:t>
      </w:r>
      <w:r w:rsidR="005065C1">
        <w:rPr>
          <w:rFonts w:ascii="Gill Sans MT" w:hAnsi="Gill Sans MT"/>
          <w:color w:val="000000"/>
        </w:rPr>
        <w:t>to</w:t>
      </w:r>
      <w:r>
        <w:rPr>
          <w:rFonts w:ascii="Gill Sans MT" w:hAnsi="Gill Sans MT"/>
          <w:color w:val="000000"/>
        </w:rPr>
        <w:t xml:space="preserve"> remove a specific reference to the </w:t>
      </w:r>
      <w:r w:rsidR="00A67E4B">
        <w:rPr>
          <w:rFonts w:ascii="Gill Sans MT" w:hAnsi="Gill Sans MT"/>
          <w:color w:val="000000"/>
        </w:rPr>
        <w:t>duty</w:t>
      </w:r>
      <w:r>
        <w:rPr>
          <w:rFonts w:ascii="Gill Sans MT" w:hAnsi="Gill Sans MT"/>
          <w:color w:val="000000"/>
        </w:rPr>
        <w:t xml:space="preserve"> for ministers to comply with international law, rather than the law in general, had any impact on their legal obligations.</w:t>
      </w:r>
      <w:r w:rsidR="00A67E4B">
        <w:rPr>
          <w:rFonts w:ascii="Gill Sans MT" w:hAnsi="Gill Sans MT"/>
          <w:color w:val="000000"/>
        </w:rPr>
        <w:t xml:space="preserve">  In concluding that it did not, the Court of Appeal was </w:t>
      </w:r>
      <w:r w:rsidR="005065C1">
        <w:rPr>
          <w:rFonts w:ascii="Gill Sans MT" w:hAnsi="Gill Sans MT"/>
          <w:color w:val="000000"/>
        </w:rPr>
        <w:t xml:space="preserve">actually </w:t>
      </w:r>
      <w:r w:rsidR="00A67E4B">
        <w:rPr>
          <w:rFonts w:ascii="Gill Sans MT" w:hAnsi="Gill Sans MT"/>
          <w:color w:val="000000"/>
        </w:rPr>
        <w:t>reinforcing the political nature of the Ministerial Code as a constitutional source, which did not</w:t>
      </w:r>
      <w:r w:rsidR="00424E04">
        <w:rPr>
          <w:rFonts w:ascii="Gill Sans MT" w:hAnsi="Gill Sans MT"/>
          <w:color w:val="000000"/>
        </w:rPr>
        <w:t xml:space="preserve"> create</w:t>
      </w:r>
      <w:r w:rsidR="00A67E4B">
        <w:rPr>
          <w:rFonts w:ascii="Gill Sans MT" w:hAnsi="Gill Sans MT"/>
          <w:color w:val="000000"/>
        </w:rPr>
        <w:t xml:space="preserve"> (and could not have</w:t>
      </w:r>
      <w:r w:rsidR="00424E04">
        <w:rPr>
          <w:rFonts w:ascii="Gill Sans MT" w:hAnsi="Gill Sans MT"/>
          <w:color w:val="000000"/>
        </w:rPr>
        <w:t xml:space="preserve"> created</w:t>
      </w:r>
      <w:r w:rsidR="00A67E4B">
        <w:rPr>
          <w:rFonts w:ascii="Gill Sans MT" w:hAnsi="Gill Sans MT"/>
          <w:color w:val="000000"/>
        </w:rPr>
        <w:t>) new legal duties, and instead ‘simply referenced existing duties outside the Code’.</w:t>
      </w:r>
      <w:r w:rsidR="00A67E4B">
        <w:rPr>
          <w:rStyle w:val="FootnoteReference"/>
          <w:rFonts w:ascii="Gill Sans MT" w:hAnsi="Gill Sans MT"/>
          <w:color w:val="000000"/>
        </w:rPr>
        <w:footnoteReference w:id="16"/>
      </w:r>
      <w:r w:rsidR="0037227A">
        <w:rPr>
          <w:rFonts w:ascii="Gill Sans MT" w:hAnsi="Gill Sans MT"/>
          <w:color w:val="000000"/>
        </w:rPr>
        <w:t xml:space="preserve">  Similarly, while cases in Northern Ireland have dealt with the ‘significant legal effects’ of the </w:t>
      </w:r>
      <w:r w:rsidR="00294D25">
        <w:rPr>
          <w:rFonts w:ascii="Gill Sans MT" w:hAnsi="Gill Sans MT"/>
          <w:color w:val="000000"/>
        </w:rPr>
        <w:t xml:space="preserve">Northern </w:t>
      </w:r>
      <w:r w:rsidR="00706C29">
        <w:rPr>
          <w:rFonts w:ascii="Gill Sans MT" w:hAnsi="Gill Sans MT"/>
          <w:color w:val="000000"/>
        </w:rPr>
        <w:t>Ireland Executive</w:t>
      </w:r>
      <w:r w:rsidR="00294D25">
        <w:rPr>
          <w:rFonts w:ascii="Gill Sans MT" w:hAnsi="Gill Sans MT"/>
          <w:color w:val="000000"/>
        </w:rPr>
        <w:t xml:space="preserve"> </w:t>
      </w:r>
      <w:r w:rsidR="0037227A">
        <w:rPr>
          <w:rFonts w:ascii="Gill Sans MT" w:hAnsi="Gill Sans MT"/>
          <w:color w:val="000000"/>
        </w:rPr>
        <w:t>Ministerial Code,</w:t>
      </w:r>
      <w:r w:rsidR="0018410B">
        <w:rPr>
          <w:rStyle w:val="FootnoteReference"/>
          <w:rFonts w:ascii="Gill Sans MT" w:hAnsi="Gill Sans MT"/>
          <w:color w:val="000000"/>
        </w:rPr>
        <w:footnoteReference w:id="17"/>
      </w:r>
      <w:r w:rsidR="0037227A">
        <w:rPr>
          <w:rFonts w:ascii="Gill Sans MT" w:hAnsi="Gill Sans MT"/>
          <w:color w:val="000000"/>
        </w:rPr>
        <w:t xml:space="preserve"> </w:t>
      </w:r>
      <w:r w:rsidR="0037227A">
        <w:rPr>
          <w:rFonts w:ascii="Gill Sans MT" w:hAnsi="Gill Sans MT"/>
        </w:rPr>
        <w:t>th</w:t>
      </w:r>
      <w:r w:rsidR="00294D25">
        <w:rPr>
          <w:rFonts w:ascii="Gill Sans MT" w:hAnsi="Gill Sans MT"/>
        </w:rPr>
        <w:t xml:space="preserve">is </w:t>
      </w:r>
      <w:r w:rsidR="0037227A">
        <w:rPr>
          <w:rFonts w:ascii="Gill Sans MT" w:hAnsi="Gill Sans MT"/>
        </w:rPr>
        <w:t xml:space="preserve">Code is crucially different </w:t>
      </w:r>
      <w:r w:rsidR="0047270B">
        <w:rPr>
          <w:rFonts w:ascii="Gill Sans MT" w:hAnsi="Gill Sans MT"/>
        </w:rPr>
        <w:t>to</w:t>
      </w:r>
      <w:r w:rsidR="0037227A">
        <w:rPr>
          <w:rFonts w:ascii="Gill Sans MT" w:hAnsi="Gill Sans MT"/>
        </w:rPr>
        <w:t xml:space="preserve"> that which applies to the UK government, since it has a</w:t>
      </w:r>
      <w:r w:rsidR="00BA4FB6">
        <w:rPr>
          <w:rFonts w:ascii="Gill Sans MT" w:hAnsi="Gill Sans MT"/>
        </w:rPr>
        <w:t xml:space="preserve"> substantial </w:t>
      </w:r>
      <w:r w:rsidR="0037227A">
        <w:rPr>
          <w:rFonts w:ascii="Gill Sans MT" w:hAnsi="Gill Sans MT"/>
        </w:rPr>
        <w:t xml:space="preserve">statutory basis </w:t>
      </w:r>
      <w:r w:rsidR="00BA4FB6">
        <w:rPr>
          <w:rFonts w:ascii="Gill Sans MT" w:hAnsi="Gill Sans MT"/>
        </w:rPr>
        <w:t xml:space="preserve">in </w:t>
      </w:r>
      <w:r w:rsidR="0037227A">
        <w:rPr>
          <w:rFonts w:ascii="Gill Sans MT" w:hAnsi="Gill Sans MT"/>
        </w:rPr>
        <w:t>the Northern Ireland Act 1998.</w:t>
      </w:r>
      <w:r w:rsidR="0037227A">
        <w:rPr>
          <w:rStyle w:val="FootnoteReference"/>
          <w:rFonts w:ascii="Gill Sans MT" w:hAnsi="Gill Sans MT"/>
        </w:rPr>
        <w:footnoteReference w:id="18"/>
      </w:r>
    </w:p>
    <w:p w14:paraId="319FDECC" w14:textId="388C13FE" w:rsidR="00306A50" w:rsidRPr="00A8254D" w:rsidRDefault="00077D06" w:rsidP="00227BAD">
      <w:pPr>
        <w:spacing w:after="0"/>
        <w:jc w:val="both"/>
        <w:rPr>
          <w:rFonts w:ascii="Gill Sans MT" w:hAnsi="Gill Sans MT"/>
        </w:rPr>
      </w:pPr>
      <w:r>
        <w:rPr>
          <w:rFonts w:ascii="Gill Sans MT" w:hAnsi="Gill Sans MT"/>
        </w:rPr>
        <w:lastRenderedPageBreak/>
        <w:tab/>
      </w:r>
      <w:r w:rsidR="0065758E">
        <w:rPr>
          <w:rFonts w:ascii="Gill Sans MT" w:hAnsi="Gill Sans MT"/>
        </w:rPr>
        <w:t>Finally</w:t>
      </w:r>
      <w:r>
        <w:rPr>
          <w:rFonts w:ascii="Gill Sans MT" w:hAnsi="Gill Sans MT"/>
        </w:rPr>
        <w:t xml:space="preserve">, the </w:t>
      </w:r>
      <w:r w:rsidR="005E401C">
        <w:rPr>
          <w:rFonts w:ascii="Gill Sans MT" w:hAnsi="Gill Sans MT"/>
        </w:rPr>
        <w:t>fact that</w:t>
      </w:r>
      <w:r>
        <w:rPr>
          <w:rFonts w:ascii="Gill Sans MT" w:hAnsi="Gill Sans MT"/>
        </w:rPr>
        <w:t xml:space="preserve"> the Ministerial Code </w:t>
      </w:r>
      <w:r w:rsidR="005E401C">
        <w:rPr>
          <w:rFonts w:ascii="Gill Sans MT" w:hAnsi="Gill Sans MT"/>
        </w:rPr>
        <w:t xml:space="preserve">is </w:t>
      </w:r>
      <w:r>
        <w:rPr>
          <w:rFonts w:ascii="Gill Sans MT" w:hAnsi="Gill Sans MT"/>
        </w:rPr>
        <w:t xml:space="preserve">a political rather than legal source of constitutional norms </w:t>
      </w:r>
      <w:r w:rsidR="008B35C4">
        <w:rPr>
          <w:rFonts w:ascii="Gill Sans MT" w:hAnsi="Gill Sans MT"/>
        </w:rPr>
        <w:t>highlights a number of</w:t>
      </w:r>
      <w:r>
        <w:rPr>
          <w:rFonts w:ascii="Gill Sans MT" w:hAnsi="Gill Sans MT"/>
        </w:rPr>
        <w:t xml:space="preserve"> problems with the reasoning of the High Court</w:t>
      </w:r>
      <w:r w:rsidR="008B35C4">
        <w:rPr>
          <w:rFonts w:ascii="Gill Sans MT" w:hAnsi="Gill Sans MT"/>
        </w:rPr>
        <w:t xml:space="preserve"> in relation to the subject-matter of the</w:t>
      </w:r>
      <w:r w:rsidR="006C02AA">
        <w:rPr>
          <w:rFonts w:ascii="Gill Sans MT" w:hAnsi="Gill Sans MT"/>
        </w:rPr>
        <w:t xml:space="preserve"> specific</w:t>
      </w:r>
      <w:r w:rsidR="008B35C4">
        <w:rPr>
          <w:rFonts w:ascii="Gill Sans MT" w:hAnsi="Gill Sans MT"/>
        </w:rPr>
        <w:t xml:space="preserve"> rules</w:t>
      </w:r>
      <w:r w:rsidR="006C02AA">
        <w:rPr>
          <w:rFonts w:ascii="Gill Sans MT" w:hAnsi="Gill Sans MT"/>
        </w:rPr>
        <w:t xml:space="preserve"> </w:t>
      </w:r>
      <w:r w:rsidR="005966A4">
        <w:rPr>
          <w:rFonts w:ascii="Gill Sans MT" w:hAnsi="Gill Sans MT"/>
        </w:rPr>
        <w:t>relevant</w:t>
      </w:r>
      <w:r w:rsidR="006C02AA">
        <w:rPr>
          <w:rFonts w:ascii="Gill Sans MT" w:hAnsi="Gill Sans MT"/>
        </w:rPr>
        <w:t xml:space="preserve"> in </w:t>
      </w:r>
      <w:r w:rsidR="006C02AA" w:rsidRPr="006C02AA">
        <w:rPr>
          <w:rFonts w:ascii="Gill Sans MT" w:hAnsi="Gill Sans MT"/>
          <w:i/>
          <w:iCs/>
        </w:rPr>
        <w:t>FDA</w:t>
      </w:r>
      <w:r>
        <w:rPr>
          <w:rFonts w:ascii="Gill Sans MT" w:hAnsi="Gill Sans MT"/>
        </w:rPr>
        <w:t>.</w:t>
      </w:r>
      <w:r w:rsidR="00227BAD">
        <w:rPr>
          <w:rFonts w:ascii="Gill Sans MT" w:hAnsi="Gill Sans MT"/>
        </w:rPr>
        <w:t xml:space="preserve">  For example, </w:t>
      </w:r>
      <w:r w:rsidR="005E401C">
        <w:rPr>
          <w:rFonts w:ascii="Gill Sans MT" w:hAnsi="Gill Sans MT"/>
        </w:rPr>
        <w:t>while it is uncontentious that</w:t>
      </w:r>
      <w:r w:rsidR="00227BAD">
        <w:rPr>
          <w:rFonts w:ascii="Gill Sans MT" w:hAnsi="Gill Sans MT"/>
        </w:rPr>
        <w:t xml:space="preserve"> the Code establishes </w:t>
      </w:r>
      <w:r w:rsidR="008B35C4" w:rsidRPr="00227BAD">
        <w:rPr>
          <w:rFonts w:ascii="Gill Sans MT" w:hAnsi="Gill Sans MT"/>
        </w:rPr>
        <w:t>standards</w:t>
      </w:r>
      <w:r w:rsidR="00227BAD">
        <w:rPr>
          <w:rFonts w:ascii="Gill Sans MT" w:hAnsi="Gill Sans MT"/>
        </w:rPr>
        <w:t xml:space="preserve"> or guidance</w:t>
      </w:r>
      <w:r w:rsidR="008B35C4" w:rsidRPr="00227BAD">
        <w:rPr>
          <w:rFonts w:ascii="Gill Sans MT" w:hAnsi="Gill Sans MT"/>
        </w:rPr>
        <w:t xml:space="preserve"> for ministers, if that is </w:t>
      </w:r>
      <w:r w:rsidR="00227BAD">
        <w:rPr>
          <w:rFonts w:ascii="Gill Sans MT" w:hAnsi="Gill Sans MT"/>
        </w:rPr>
        <w:t>the</w:t>
      </w:r>
      <w:r w:rsidR="008B35C4" w:rsidRPr="00227BAD">
        <w:rPr>
          <w:rFonts w:ascii="Gill Sans MT" w:hAnsi="Gill Sans MT"/>
        </w:rPr>
        <w:t xml:space="preserve"> core purpose</w:t>
      </w:r>
      <w:r w:rsidR="00227BAD">
        <w:rPr>
          <w:rFonts w:ascii="Gill Sans MT" w:hAnsi="Gill Sans MT"/>
        </w:rPr>
        <w:t xml:space="preserve"> of the provisions</w:t>
      </w:r>
      <w:r w:rsidR="008B35C4" w:rsidRPr="00227BAD">
        <w:rPr>
          <w:rFonts w:ascii="Gill Sans MT" w:hAnsi="Gill Sans MT"/>
        </w:rPr>
        <w:t xml:space="preserve">, </w:t>
      </w:r>
      <w:r w:rsidR="00227BAD">
        <w:rPr>
          <w:rFonts w:ascii="Gill Sans MT" w:hAnsi="Gill Sans MT"/>
        </w:rPr>
        <w:t xml:space="preserve">it is </w:t>
      </w:r>
      <w:r w:rsidR="008B35C4" w:rsidRPr="00227BAD">
        <w:rPr>
          <w:rFonts w:ascii="Gill Sans MT" w:hAnsi="Gill Sans MT"/>
        </w:rPr>
        <w:t xml:space="preserve">not clear </w:t>
      </w:r>
      <w:r w:rsidR="00412626">
        <w:rPr>
          <w:rFonts w:ascii="Gill Sans MT" w:hAnsi="Gill Sans MT"/>
        </w:rPr>
        <w:t>why</w:t>
      </w:r>
      <w:r w:rsidR="008B35C4" w:rsidRPr="00227BAD">
        <w:rPr>
          <w:rFonts w:ascii="Gill Sans MT" w:hAnsi="Gill Sans MT"/>
        </w:rPr>
        <w:t xml:space="preserve"> that </w:t>
      </w:r>
      <w:r w:rsidR="00227BAD">
        <w:rPr>
          <w:rFonts w:ascii="Gill Sans MT" w:hAnsi="Gill Sans MT"/>
        </w:rPr>
        <w:t>converts them in</w:t>
      </w:r>
      <w:r w:rsidR="00412626">
        <w:rPr>
          <w:rFonts w:ascii="Gill Sans MT" w:hAnsi="Gill Sans MT"/>
        </w:rPr>
        <w:t>to</w:t>
      </w:r>
      <w:r w:rsidR="00227BAD">
        <w:rPr>
          <w:rFonts w:ascii="Gill Sans MT" w:hAnsi="Gill Sans MT"/>
        </w:rPr>
        <w:t xml:space="preserve"> generally applicable </w:t>
      </w:r>
      <w:r w:rsidR="008B35C4" w:rsidRPr="00227BAD">
        <w:rPr>
          <w:rFonts w:ascii="Gill Sans MT" w:hAnsi="Gill Sans MT"/>
        </w:rPr>
        <w:t>workplace policies, which as the cour</w:t>
      </w:r>
      <w:r w:rsidR="00227BAD">
        <w:rPr>
          <w:rFonts w:ascii="Gill Sans MT" w:hAnsi="Gill Sans MT"/>
        </w:rPr>
        <w:t>t</w:t>
      </w:r>
      <w:r w:rsidR="008B35C4" w:rsidRPr="00227BAD">
        <w:rPr>
          <w:rFonts w:ascii="Gill Sans MT" w:hAnsi="Gill Sans MT"/>
        </w:rPr>
        <w:t xml:space="preserve"> notes,</w:t>
      </w:r>
      <w:r w:rsidR="00227BAD">
        <w:rPr>
          <w:rFonts w:ascii="Gill Sans MT" w:hAnsi="Gill Sans MT"/>
        </w:rPr>
        <w:t xml:space="preserve"> already</w:t>
      </w:r>
      <w:r w:rsidR="008B35C4" w:rsidRPr="00227BAD">
        <w:rPr>
          <w:rFonts w:ascii="Gill Sans MT" w:hAnsi="Gill Sans MT"/>
        </w:rPr>
        <w:t xml:space="preserve"> exist independently</w:t>
      </w:r>
      <w:r w:rsidR="00227BAD">
        <w:rPr>
          <w:rFonts w:ascii="Gill Sans MT" w:hAnsi="Gill Sans MT"/>
        </w:rPr>
        <w:t xml:space="preserve">.  </w:t>
      </w:r>
      <w:r w:rsidR="00306A50">
        <w:rPr>
          <w:rFonts w:ascii="Gill Sans MT" w:hAnsi="Gill Sans MT"/>
        </w:rPr>
        <w:t>T</w:t>
      </w:r>
      <w:r w:rsidR="00227BAD">
        <w:rPr>
          <w:rFonts w:ascii="Gill Sans MT" w:hAnsi="Gill Sans MT"/>
        </w:rPr>
        <w:t xml:space="preserve">o base the claim that parts of the </w:t>
      </w:r>
      <w:r w:rsidR="00E411B0">
        <w:rPr>
          <w:rFonts w:ascii="Gill Sans MT" w:hAnsi="Gill Sans MT"/>
        </w:rPr>
        <w:t xml:space="preserve">Ministerial </w:t>
      </w:r>
      <w:r w:rsidR="00227BAD">
        <w:rPr>
          <w:rFonts w:ascii="Gill Sans MT" w:hAnsi="Gill Sans MT"/>
        </w:rPr>
        <w:t xml:space="preserve">Code regulate workplaces rather than ministers </w:t>
      </w:r>
      <w:r w:rsidR="00E411B0">
        <w:rPr>
          <w:rFonts w:ascii="Gill Sans MT" w:hAnsi="Gill Sans MT"/>
        </w:rPr>
        <w:t xml:space="preserve">on </w:t>
      </w:r>
      <w:r w:rsidR="008B35C4" w:rsidRPr="00227BAD">
        <w:rPr>
          <w:rFonts w:ascii="Gill Sans MT" w:hAnsi="Gill Sans MT"/>
        </w:rPr>
        <w:t xml:space="preserve">an old </w:t>
      </w:r>
      <w:r w:rsidR="005966A4">
        <w:rPr>
          <w:rFonts w:ascii="Gill Sans MT" w:hAnsi="Gill Sans MT"/>
        </w:rPr>
        <w:t>assertion</w:t>
      </w:r>
      <w:r w:rsidR="008B35C4" w:rsidRPr="00227BAD">
        <w:rPr>
          <w:rFonts w:ascii="Gill Sans MT" w:hAnsi="Gill Sans MT"/>
        </w:rPr>
        <w:t xml:space="preserve"> in the foreword </w:t>
      </w:r>
      <w:r w:rsidR="00E411B0">
        <w:rPr>
          <w:rFonts w:ascii="Gill Sans MT" w:hAnsi="Gill Sans MT"/>
        </w:rPr>
        <w:t>to a past iteration of the document makes this reasoning seem even more tenuous</w:t>
      </w:r>
      <w:r w:rsidR="00F0518B">
        <w:rPr>
          <w:rFonts w:ascii="Gill Sans MT" w:hAnsi="Gill Sans MT"/>
        </w:rPr>
        <w:t xml:space="preserve">, </w:t>
      </w:r>
      <w:r w:rsidR="00306A50">
        <w:rPr>
          <w:rFonts w:ascii="Gill Sans MT" w:hAnsi="Gill Sans MT"/>
        </w:rPr>
        <w:t xml:space="preserve">especially </w:t>
      </w:r>
      <w:r w:rsidR="00F0518B">
        <w:rPr>
          <w:rFonts w:ascii="Gill Sans MT" w:hAnsi="Gill Sans MT"/>
        </w:rPr>
        <w:t>when the forewords tend to</w:t>
      </w:r>
      <w:r w:rsidR="00E411B0">
        <w:rPr>
          <w:rFonts w:ascii="Gill Sans MT" w:hAnsi="Gill Sans MT"/>
        </w:rPr>
        <w:t xml:space="preserve"> be the place for Prime Ministerial rhetoric rather than serious norms</w:t>
      </w:r>
      <w:r w:rsidR="00F0518B">
        <w:rPr>
          <w:rFonts w:ascii="Gill Sans MT" w:hAnsi="Gill Sans MT"/>
        </w:rPr>
        <w:t>.</w:t>
      </w:r>
      <w:r w:rsidR="00F0518B">
        <w:rPr>
          <w:rStyle w:val="FootnoteReference"/>
          <w:rFonts w:ascii="Gill Sans MT" w:hAnsi="Gill Sans MT"/>
        </w:rPr>
        <w:footnoteReference w:id="19"/>
      </w:r>
    </w:p>
    <w:p w14:paraId="1294AAD0" w14:textId="5E9A202F" w:rsidR="0065758E" w:rsidRPr="00227BAD" w:rsidRDefault="00306A50" w:rsidP="00533461">
      <w:pPr>
        <w:spacing w:after="0"/>
        <w:jc w:val="both"/>
        <w:rPr>
          <w:rFonts w:ascii="Gill Sans MT" w:hAnsi="Gill Sans MT"/>
        </w:rPr>
      </w:pPr>
      <w:r>
        <w:rPr>
          <w:rFonts w:ascii="Gill Sans MT" w:hAnsi="Gill Sans MT"/>
        </w:rPr>
        <w:tab/>
      </w:r>
      <w:r w:rsidR="00EF65E6">
        <w:rPr>
          <w:rFonts w:ascii="Gill Sans MT" w:hAnsi="Gill Sans MT"/>
        </w:rPr>
        <w:t>The judgment is</w:t>
      </w:r>
      <w:r w:rsidR="005E401C">
        <w:rPr>
          <w:rFonts w:ascii="Gill Sans MT" w:hAnsi="Gill Sans MT"/>
        </w:rPr>
        <w:t xml:space="preserve"> also</w:t>
      </w:r>
      <w:r w:rsidR="00EF65E6">
        <w:rPr>
          <w:rFonts w:ascii="Gill Sans MT" w:hAnsi="Gill Sans MT"/>
        </w:rPr>
        <w:t xml:space="preserve"> careful </w:t>
      </w:r>
      <w:r w:rsidR="00A53CA2">
        <w:rPr>
          <w:rFonts w:ascii="Gill Sans MT" w:hAnsi="Gill Sans MT"/>
        </w:rPr>
        <w:t>to</w:t>
      </w:r>
      <w:r w:rsidR="00EF65E6">
        <w:rPr>
          <w:rFonts w:ascii="Gill Sans MT" w:hAnsi="Gill Sans MT"/>
        </w:rPr>
        <w:t xml:space="preserve"> separat</w:t>
      </w:r>
      <w:r w:rsidR="00A53CA2">
        <w:rPr>
          <w:rFonts w:ascii="Gill Sans MT" w:hAnsi="Gill Sans MT"/>
        </w:rPr>
        <w:t>e</w:t>
      </w:r>
      <w:r w:rsidR="00EF65E6">
        <w:rPr>
          <w:rFonts w:ascii="Gill Sans MT" w:hAnsi="Gill Sans MT"/>
        </w:rPr>
        <w:t xml:space="preserve"> the question of interpretation from any decision to dismiss or retain a minister, which the High Court accept</w:t>
      </w:r>
      <w:r w:rsidR="005966A4">
        <w:rPr>
          <w:rFonts w:ascii="Gill Sans MT" w:hAnsi="Gill Sans MT"/>
        </w:rPr>
        <w:t>s</w:t>
      </w:r>
      <w:r w:rsidR="00EF65E6">
        <w:rPr>
          <w:rFonts w:ascii="Gill Sans MT" w:hAnsi="Gill Sans MT"/>
        </w:rPr>
        <w:t xml:space="preserve"> would be non-justiciable.</w:t>
      </w:r>
      <w:r w:rsidR="00EF65E6">
        <w:rPr>
          <w:rStyle w:val="FootnoteReference"/>
          <w:rFonts w:ascii="Gill Sans MT" w:hAnsi="Gill Sans MT"/>
        </w:rPr>
        <w:footnoteReference w:id="20"/>
      </w:r>
      <w:r w:rsidR="00EF65E6">
        <w:rPr>
          <w:rFonts w:ascii="Gill Sans MT" w:hAnsi="Gill Sans MT"/>
        </w:rPr>
        <w:t xml:space="preserve">  </w:t>
      </w:r>
      <w:r w:rsidR="00A53CA2">
        <w:rPr>
          <w:rFonts w:ascii="Gill Sans MT" w:hAnsi="Gill Sans MT"/>
        </w:rPr>
        <w:t>Yet</w:t>
      </w:r>
      <w:r w:rsidR="00EF65E6">
        <w:rPr>
          <w:rFonts w:ascii="Gill Sans MT" w:hAnsi="Gill Sans MT"/>
        </w:rPr>
        <w:t xml:space="preserve"> once we accept these provisions are to guide ministers in making decisions, it becomes harder to see why the court should step in when – in contrast with cases such as </w:t>
      </w:r>
      <w:r w:rsidR="00EF65E6">
        <w:rPr>
          <w:rFonts w:ascii="Gill Sans MT" w:hAnsi="Gill Sans MT"/>
          <w:i/>
          <w:iCs/>
        </w:rPr>
        <w:t>Wightman</w:t>
      </w:r>
      <w:r w:rsidR="00EF65E6" w:rsidRPr="00A8254D">
        <w:rPr>
          <w:rStyle w:val="FootnoteReference"/>
          <w:rFonts w:ascii="Gill Sans MT" w:hAnsi="Gill Sans MT"/>
        </w:rPr>
        <w:footnoteReference w:id="21"/>
      </w:r>
      <w:r w:rsidR="00EF65E6">
        <w:rPr>
          <w:rFonts w:ascii="Gill Sans MT" w:hAnsi="Gill Sans MT"/>
          <w:i/>
          <w:iCs/>
        </w:rPr>
        <w:t xml:space="preserve"> </w:t>
      </w:r>
      <w:r w:rsidR="00EF65E6">
        <w:rPr>
          <w:rFonts w:ascii="Gill Sans MT" w:hAnsi="Gill Sans MT"/>
        </w:rPr>
        <w:t xml:space="preserve">or </w:t>
      </w:r>
      <w:r w:rsidR="00EF65E6">
        <w:rPr>
          <w:rFonts w:ascii="Gill Sans MT" w:hAnsi="Gill Sans MT"/>
          <w:i/>
          <w:iCs/>
        </w:rPr>
        <w:t>Cherry / Miller (No.2)</w:t>
      </w:r>
      <w:r w:rsidR="00EF65E6" w:rsidRPr="00A8254D">
        <w:rPr>
          <w:rStyle w:val="FootnoteReference"/>
          <w:rFonts w:ascii="Gill Sans MT" w:hAnsi="Gill Sans MT"/>
        </w:rPr>
        <w:footnoteReference w:id="22"/>
      </w:r>
      <w:r w:rsidR="00EF65E6">
        <w:rPr>
          <w:rFonts w:ascii="Gill Sans MT" w:hAnsi="Gill Sans MT"/>
          <w:i/>
          <w:iCs/>
        </w:rPr>
        <w:t xml:space="preserve"> </w:t>
      </w:r>
      <w:r w:rsidR="00EF65E6">
        <w:rPr>
          <w:rFonts w:ascii="Gill Sans MT" w:hAnsi="Gill Sans MT"/>
        </w:rPr>
        <w:t>– the claimants are not the decision-makers seeking confirmation of the meaning or application of terms in the Code.</w:t>
      </w:r>
      <w:r w:rsidR="00A53CA2">
        <w:rPr>
          <w:rFonts w:ascii="Gill Sans MT" w:hAnsi="Gill Sans MT"/>
        </w:rPr>
        <w:t xml:space="preserve">  It is also hard to see how this question of interpretation can be addressed in isolation from the wider facts of this case – the High Court notes the risk that ‘a dispute about the interpretation of something in the Ministerial Code </w:t>
      </w:r>
      <w:r w:rsidR="007B06C8">
        <w:rPr>
          <w:rFonts w:ascii="Gill Sans MT" w:hAnsi="Gill Sans MT"/>
        </w:rPr>
        <w:t>may be so closely connected with a decision to dismiss or retain a minister that it may not be possible to separate out the issue of interpretation from the position of the minister’.</w:t>
      </w:r>
      <w:r w:rsidR="0054477A">
        <w:rPr>
          <w:rStyle w:val="FootnoteReference"/>
          <w:rFonts w:ascii="Gill Sans MT" w:hAnsi="Gill Sans MT"/>
        </w:rPr>
        <w:footnoteReference w:id="23"/>
      </w:r>
      <w:r w:rsidR="007B06C8">
        <w:rPr>
          <w:rFonts w:ascii="Gill Sans MT" w:hAnsi="Gill Sans MT"/>
        </w:rPr>
        <w:t xml:space="preserve">  Remarkably, however, it concludes that this is not such a case, despite the fact that th</w:t>
      </w:r>
      <w:r w:rsidR="0054477A">
        <w:rPr>
          <w:rFonts w:ascii="Gill Sans MT" w:hAnsi="Gill Sans MT"/>
        </w:rPr>
        <w:t>e</w:t>
      </w:r>
      <w:r w:rsidR="007B06C8">
        <w:rPr>
          <w:rFonts w:ascii="Gill Sans MT" w:hAnsi="Gill Sans MT"/>
        </w:rPr>
        <w:t xml:space="preserve"> issue is </w:t>
      </w:r>
      <w:r w:rsidR="00D95831">
        <w:rPr>
          <w:rFonts w:ascii="Gill Sans MT" w:hAnsi="Gill Sans MT"/>
        </w:rPr>
        <w:t xml:space="preserve">almost </w:t>
      </w:r>
      <w:r w:rsidR="007B06C8">
        <w:rPr>
          <w:rFonts w:ascii="Gill Sans MT" w:hAnsi="Gill Sans MT"/>
        </w:rPr>
        <w:t>exclusively</w:t>
      </w:r>
      <w:r w:rsidR="00D95831">
        <w:rPr>
          <w:rFonts w:ascii="Gill Sans MT" w:hAnsi="Gill Sans MT"/>
        </w:rPr>
        <w:t xml:space="preserve"> framed</w:t>
      </w:r>
      <w:r w:rsidR="007B06C8">
        <w:rPr>
          <w:rFonts w:ascii="Gill Sans MT" w:hAnsi="Gill Sans MT"/>
        </w:rPr>
        <w:t xml:space="preserve"> </w:t>
      </w:r>
      <w:r w:rsidR="00D95831">
        <w:rPr>
          <w:rFonts w:ascii="Gill Sans MT" w:hAnsi="Gill Sans MT"/>
        </w:rPr>
        <w:t xml:space="preserve">around </w:t>
      </w:r>
      <w:r w:rsidR="007B06C8">
        <w:rPr>
          <w:rFonts w:ascii="Gill Sans MT" w:hAnsi="Gill Sans MT"/>
        </w:rPr>
        <w:t xml:space="preserve">a single statement issued to </w:t>
      </w:r>
      <w:r w:rsidR="003D7A98">
        <w:rPr>
          <w:rFonts w:ascii="Gill Sans MT" w:hAnsi="Gill Sans MT"/>
        </w:rPr>
        <w:t>exonerate</w:t>
      </w:r>
      <w:r w:rsidR="007B06C8">
        <w:rPr>
          <w:rFonts w:ascii="Gill Sans MT" w:hAnsi="Gill Sans MT"/>
        </w:rPr>
        <w:t xml:space="preserve"> one minister from a specific set of bullying allegations</w:t>
      </w:r>
      <w:r w:rsidR="00D95831">
        <w:rPr>
          <w:rFonts w:ascii="Gill Sans MT" w:hAnsi="Gill Sans MT"/>
        </w:rPr>
        <w:t>, and which is analysed exhaustively in the ‘Discussion’ section of the judgment.</w:t>
      </w:r>
      <w:r w:rsidR="00D95831">
        <w:rPr>
          <w:rStyle w:val="FootnoteReference"/>
          <w:rFonts w:ascii="Gill Sans MT" w:hAnsi="Gill Sans MT"/>
        </w:rPr>
        <w:footnoteReference w:id="24"/>
      </w:r>
      <w:r w:rsidR="0065758E">
        <w:rPr>
          <w:rFonts w:ascii="Gill Sans MT" w:hAnsi="Gill Sans MT"/>
        </w:rPr>
        <w:t xml:space="preserve"> </w:t>
      </w:r>
    </w:p>
    <w:p w14:paraId="0D8FCE36" w14:textId="45C065A4" w:rsidR="008C012D" w:rsidRDefault="0080567A" w:rsidP="00533461">
      <w:pPr>
        <w:spacing w:after="0"/>
        <w:jc w:val="both"/>
        <w:rPr>
          <w:rFonts w:ascii="Gill Sans MT" w:hAnsi="Gill Sans MT"/>
        </w:rPr>
      </w:pPr>
      <w:r>
        <w:rPr>
          <w:rFonts w:ascii="Gill Sans MT" w:hAnsi="Gill Sans MT"/>
        </w:rPr>
        <w:tab/>
        <w:t xml:space="preserve">The analysis of justiciability in </w:t>
      </w:r>
      <w:r w:rsidRPr="0080567A">
        <w:rPr>
          <w:rFonts w:ascii="Gill Sans MT" w:hAnsi="Gill Sans MT"/>
          <w:i/>
          <w:iCs/>
        </w:rPr>
        <w:t>FDA</w:t>
      </w:r>
      <w:r>
        <w:rPr>
          <w:rFonts w:ascii="Gill Sans MT" w:hAnsi="Gill Sans MT"/>
        </w:rPr>
        <w:t xml:space="preserve"> is therefore, in my view, unconvincing.  And the failure of the court to recognise the political nature of the Ministerial Code as a constitutional source also raises questions about the second issue dealt with by the High Court: whether the concept of bullying had been misinterpreted.</w:t>
      </w:r>
    </w:p>
    <w:p w14:paraId="0BAA9CCA" w14:textId="77777777" w:rsidR="008C012D" w:rsidRDefault="008C012D" w:rsidP="00533461">
      <w:pPr>
        <w:spacing w:after="0"/>
        <w:jc w:val="both"/>
        <w:rPr>
          <w:rFonts w:ascii="Gill Sans MT" w:hAnsi="Gill Sans MT"/>
        </w:rPr>
      </w:pPr>
    </w:p>
    <w:p w14:paraId="0B3AE146" w14:textId="65F45CA2" w:rsidR="007A5A5D" w:rsidRPr="007A5A5D" w:rsidRDefault="007A5A5D" w:rsidP="00533461">
      <w:pPr>
        <w:spacing w:after="0"/>
        <w:jc w:val="both"/>
        <w:rPr>
          <w:rFonts w:ascii="Gill Sans MT" w:hAnsi="Gill Sans MT"/>
          <w:b/>
          <w:bCs/>
        </w:rPr>
      </w:pPr>
      <w:r w:rsidRPr="007A5A5D">
        <w:rPr>
          <w:rFonts w:ascii="Gill Sans MT" w:hAnsi="Gill Sans MT"/>
          <w:b/>
          <w:bCs/>
        </w:rPr>
        <w:t>Interpretation of the Code</w:t>
      </w:r>
    </w:p>
    <w:p w14:paraId="60137820" w14:textId="77777777" w:rsidR="007A5A5D" w:rsidRPr="004E28F3" w:rsidRDefault="007A5A5D" w:rsidP="00533461">
      <w:pPr>
        <w:spacing w:after="0"/>
        <w:jc w:val="both"/>
        <w:rPr>
          <w:rFonts w:ascii="Gill Sans MT" w:hAnsi="Gill Sans MT"/>
        </w:rPr>
      </w:pPr>
    </w:p>
    <w:p w14:paraId="0FFFAEE7" w14:textId="2EAE558F" w:rsidR="00071FCC" w:rsidRDefault="00F14750" w:rsidP="00533461">
      <w:pPr>
        <w:spacing w:after="0"/>
        <w:jc w:val="both"/>
        <w:rPr>
          <w:rFonts w:ascii="Gill Sans MT" w:hAnsi="Gill Sans MT" w:cs="Segoe UI"/>
          <w:color w:val="0F1419"/>
        </w:rPr>
      </w:pPr>
      <w:r>
        <w:rPr>
          <w:rFonts w:ascii="Gill Sans MT" w:hAnsi="Gill Sans MT" w:cs="Segoe UI"/>
          <w:color w:val="0F1419"/>
        </w:rPr>
        <w:t xml:space="preserve">The High Court’s analysis of the substantive </w:t>
      </w:r>
      <w:r w:rsidR="003D7A98">
        <w:rPr>
          <w:rFonts w:ascii="Gill Sans MT" w:hAnsi="Gill Sans MT" w:cs="Segoe UI"/>
          <w:color w:val="0F1419"/>
        </w:rPr>
        <w:t>issue</w:t>
      </w:r>
      <w:r>
        <w:rPr>
          <w:rFonts w:ascii="Gill Sans MT" w:hAnsi="Gill Sans MT" w:cs="Segoe UI"/>
          <w:color w:val="0F1419"/>
        </w:rPr>
        <w:t xml:space="preserve"> in this case is also problematic.  Having held that the question </w:t>
      </w:r>
      <w:r w:rsidR="00071FCC" w:rsidRPr="00227BAD">
        <w:rPr>
          <w:rFonts w:ascii="Gill Sans MT" w:hAnsi="Gill Sans MT" w:cs="Segoe UI"/>
          <w:color w:val="0F1419"/>
        </w:rPr>
        <w:t xml:space="preserve">of whether the </w:t>
      </w:r>
      <w:r>
        <w:rPr>
          <w:rFonts w:ascii="Gill Sans MT" w:hAnsi="Gill Sans MT" w:cs="Segoe UI"/>
          <w:color w:val="0F1419"/>
        </w:rPr>
        <w:t>Prime Minister</w:t>
      </w:r>
      <w:r w:rsidR="00071FCC" w:rsidRPr="00227BAD">
        <w:rPr>
          <w:rFonts w:ascii="Gill Sans MT" w:hAnsi="Gill Sans MT" w:cs="Segoe UI"/>
          <w:color w:val="0F1419"/>
        </w:rPr>
        <w:t xml:space="preserve"> misinterpreted the </w:t>
      </w:r>
      <w:r>
        <w:rPr>
          <w:rFonts w:ascii="Gill Sans MT" w:hAnsi="Gill Sans MT" w:cs="Segoe UI"/>
          <w:color w:val="0F1419"/>
        </w:rPr>
        <w:t xml:space="preserve">Ministerial Code is justiciable, the court </w:t>
      </w:r>
      <w:r w:rsidR="004340FF">
        <w:rPr>
          <w:rFonts w:ascii="Gill Sans MT" w:hAnsi="Gill Sans MT" w:cs="Segoe UI"/>
          <w:color w:val="0F1419"/>
        </w:rPr>
        <w:t xml:space="preserve">concluded that </w:t>
      </w:r>
      <w:r w:rsidR="00751C75">
        <w:rPr>
          <w:rFonts w:ascii="Gill Sans MT" w:hAnsi="Gill Sans MT" w:cs="Segoe UI"/>
          <w:color w:val="0F1419"/>
        </w:rPr>
        <w:t>behaviour</w:t>
      </w:r>
      <w:r w:rsidR="004340FF">
        <w:rPr>
          <w:rFonts w:ascii="Gill Sans MT" w:hAnsi="Gill Sans MT" w:cs="Segoe UI"/>
          <w:color w:val="0F1419"/>
        </w:rPr>
        <w:t xml:space="preserve"> of the kind </w:t>
      </w:r>
      <w:r w:rsidR="005611FE">
        <w:rPr>
          <w:rFonts w:ascii="Gill Sans MT" w:hAnsi="Gill Sans MT" w:cs="Segoe UI"/>
          <w:color w:val="0F1419"/>
        </w:rPr>
        <w:t>carried out by</w:t>
      </w:r>
      <w:r w:rsidR="004340FF">
        <w:rPr>
          <w:rFonts w:ascii="Gill Sans MT" w:hAnsi="Gill Sans MT" w:cs="Segoe UI"/>
          <w:color w:val="0F1419"/>
        </w:rPr>
        <w:t xml:space="preserve"> the Home Secretary ‘could constitute </w:t>
      </w:r>
      <w:r w:rsidR="00751C75">
        <w:rPr>
          <w:rFonts w:ascii="Gill Sans MT" w:hAnsi="Gill Sans MT" w:cs="Segoe UI"/>
          <w:color w:val="0F1419"/>
        </w:rPr>
        <w:t>bullying… whether or not the perpetrator is aware or intends, that the conduct is offensive, intimidating, malicious or insulting’.</w:t>
      </w:r>
      <w:r w:rsidR="00751C75">
        <w:rPr>
          <w:rStyle w:val="FootnoteReference"/>
          <w:rFonts w:ascii="Gill Sans MT" w:hAnsi="Gill Sans MT" w:cs="Segoe UI"/>
          <w:color w:val="0F1419"/>
        </w:rPr>
        <w:footnoteReference w:id="25"/>
      </w:r>
      <w:r w:rsidR="00554504">
        <w:rPr>
          <w:rFonts w:ascii="Gill Sans MT" w:hAnsi="Gill Sans MT" w:cs="Segoe UI"/>
          <w:color w:val="0F1419"/>
        </w:rPr>
        <w:t xml:space="preserve">  This definition of bullying was adopted by the court based on a ‘broad consensus’ discerned from a range of different departmental policies, even though neither the Ministerial Code nor the Civil Service Code (which has a statutory basis in the Constitutional Reform Act 2005) define bullying specifically or in this way.</w:t>
      </w:r>
      <w:r w:rsidR="003D7A98">
        <w:rPr>
          <w:rStyle w:val="FootnoteReference"/>
          <w:rFonts w:ascii="Gill Sans MT" w:hAnsi="Gill Sans MT" w:cs="Segoe UI"/>
          <w:color w:val="0F1419"/>
        </w:rPr>
        <w:footnoteReference w:id="26"/>
      </w:r>
      <w:r w:rsidR="003D06C7">
        <w:rPr>
          <w:rFonts w:ascii="Gill Sans MT" w:hAnsi="Gill Sans MT" w:cs="Segoe UI"/>
          <w:color w:val="0F1419"/>
        </w:rPr>
        <w:t xml:space="preserve">  Yet beyond concerns about the courts reading definitions into the </w:t>
      </w:r>
      <w:r w:rsidR="00710BB7">
        <w:rPr>
          <w:rFonts w:ascii="Gill Sans MT" w:hAnsi="Gill Sans MT" w:cs="Segoe UI"/>
          <w:color w:val="0F1419"/>
        </w:rPr>
        <w:t xml:space="preserve">Ministerial Code which are not present in the text, the more fundamental difficulty is the way in which this conception of bullying is put to work in relation to the decision to </w:t>
      </w:r>
      <w:r w:rsidR="003D7A98">
        <w:rPr>
          <w:rFonts w:ascii="Gill Sans MT" w:hAnsi="Gill Sans MT" w:cs="Segoe UI"/>
          <w:color w:val="0F1419"/>
        </w:rPr>
        <w:t>exonerate</w:t>
      </w:r>
      <w:r w:rsidR="00710BB7">
        <w:rPr>
          <w:rFonts w:ascii="Gill Sans MT" w:hAnsi="Gill Sans MT" w:cs="Segoe UI"/>
          <w:color w:val="0F1419"/>
        </w:rPr>
        <w:t xml:space="preserve"> </w:t>
      </w:r>
      <w:proofErr w:type="spellStart"/>
      <w:r w:rsidR="00710BB7">
        <w:rPr>
          <w:rFonts w:ascii="Gill Sans MT" w:hAnsi="Gill Sans MT" w:cs="Segoe UI"/>
          <w:color w:val="0F1419"/>
        </w:rPr>
        <w:t>Priti</w:t>
      </w:r>
      <w:proofErr w:type="spellEnd"/>
      <w:r w:rsidR="00710BB7">
        <w:rPr>
          <w:rFonts w:ascii="Gill Sans MT" w:hAnsi="Gill Sans MT" w:cs="Segoe UI"/>
          <w:color w:val="0F1419"/>
        </w:rPr>
        <w:t xml:space="preserve"> Patel.</w:t>
      </w:r>
    </w:p>
    <w:p w14:paraId="01BD72F6" w14:textId="5AEA6A9E" w:rsidR="00332DC5" w:rsidRPr="00227BAD" w:rsidRDefault="00710BB7" w:rsidP="00533461">
      <w:pPr>
        <w:spacing w:after="0"/>
        <w:jc w:val="both"/>
        <w:rPr>
          <w:rFonts w:ascii="Gill Sans MT" w:hAnsi="Gill Sans MT" w:cs="Segoe UI"/>
          <w:color w:val="0F1419"/>
        </w:rPr>
      </w:pPr>
      <w:r>
        <w:rPr>
          <w:rFonts w:ascii="Gill Sans MT" w:hAnsi="Gill Sans MT" w:cs="Segoe UI"/>
          <w:color w:val="0F1419"/>
        </w:rPr>
        <w:lastRenderedPageBreak/>
        <w:tab/>
        <w:t xml:space="preserve">In order to establish whether the Prime Minister failed to apply the definition of bullying established by the High Court, the case </w:t>
      </w:r>
      <w:r w:rsidR="00E872CA">
        <w:rPr>
          <w:rFonts w:ascii="Gill Sans MT" w:hAnsi="Gill Sans MT" w:cs="Segoe UI"/>
          <w:color w:val="0F1419"/>
        </w:rPr>
        <w:t>effectively turns on a detailed and</w:t>
      </w:r>
      <w:r>
        <w:rPr>
          <w:rFonts w:ascii="Gill Sans MT" w:hAnsi="Gill Sans MT" w:cs="Segoe UI"/>
          <w:color w:val="0F1419"/>
        </w:rPr>
        <w:t xml:space="preserve"> </w:t>
      </w:r>
      <w:r w:rsidR="00071FCC" w:rsidRPr="00227BAD">
        <w:rPr>
          <w:rFonts w:ascii="Gill Sans MT" w:hAnsi="Gill Sans MT" w:cs="Segoe UI"/>
          <w:color w:val="0F1419"/>
        </w:rPr>
        <w:t xml:space="preserve">highly legalistic analysis of the </w:t>
      </w:r>
      <w:r w:rsidR="00E872CA">
        <w:rPr>
          <w:rFonts w:ascii="Gill Sans MT" w:hAnsi="Gill Sans MT" w:cs="Segoe UI"/>
          <w:color w:val="0F1419"/>
        </w:rPr>
        <w:t>five</w:t>
      </w:r>
      <w:r w:rsidR="00071FCC" w:rsidRPr="00227BAD">
        <w:rPr>
          <w:rFonts w:ascii="Gill Sans MT" w:hAnsi="Gill Sans MT" w:cs="Segoe UI"/>
          <w:color w:val="0F1419"/>
        </w:rPr>
        <w:t xml:space="preserve"> para</w:t>
      </w:r>
      <w:r w:rsidR="00E872CA">
        <w:rPr>
          <w:rFonts w:ascii="Gill Sans MT" w:hAnsi="Gill Sans MT" w:cs="Segoe UI"/>
          <w:color w:val="0F1419"/>
        </w:rPr>
        <w:t>graph</w:t>
      </w:r>
      <w:r w:rsidR="00071FCC" w:rsidRPr="00227BAD">
        <w:rPr>
          <w:rFonts w:ascii="Gill Sans MT" w:hAnsi="Gill Sans MT" w:cs="Segoe UI"/>
          <w:color w:val="0F1419"/>
        </w:rPr>
        <w:t xml:space="preserve"> </w:t>
      </w:r>
      <w:r w:rsidR="00E872CA">
        <w:rPr>
          <w:rFonts w:ascii="Gill Sans MT" w:hAnsi="Gill Sans MT" w:cs="Segoe UI"/>
          <w:color w:val="0F1419"/>
        </w:rPr>
        <w:t>‘G</w:t>
      </w:r>
      <w:r w:rsidR="008866A8" w:rsidRPr="00227BAD">
        <w:rPr>
          <w:rFonts w:ascii="Gill Sans MT" w:hAnsi="Gill Sans MT" w:cs="Segoe UI"/>
          <w:color w:val="0F1419"/>
        </w:rPr>
        <w:t xml:space="preserve">overnment </w:t>
      </w:r>
      <w:r w:rsidR="00E872CA">
        <w:rPr>
          <w:rFonts w:ascii="Gill Sans MT" w:hAnsi="Gill Sans MT" w:cs="Segoe UI"/>
          <w:color w:val="0F1419"/>
        </w:rPr>
        <w:t>S</w:t>
      </w:r>
      <w:r w:rsidR="00071FCC" w:rsidRPr="00227BAD">
        <w:rPr>
          <w:rFonts w:ascii="Gill Sans MT" w:hAnsi="Gill Sans MT" w:cs="Segoe UI"/>
          <w:color w:val="0F1419"/>
        </w:rPr>
        <w:t>tatement</w:t>
      </w:r>
      <w:r w:rsidR="00E872CA">
        <w:rPr>
          <w:rFonts w:ascii="Gill Sans MT" w:hAnsi="Gill Sans MT" w:cs="Segoe UI"/>
          <w:color w:val="0F1419"/>
        </w:rPr>
        <w:t>’</w:t>
      </w:r>
      <w:r w:rsidR="00071FCC" w:rsidRPr="00227BAD">
        <w:rPr>
          <w:rFonts w:ascii="Gill Sans MT" w:hAnsi="Gill Sans MT" w:cs="Segoe UI"/>
          <w:color w:val="0F1419"/>
        </w:rPr>
        <w:t xml:space="preserve"> made by Johnson clearing Patel</w:t>
      </w:r>
      <w:r w:rsidR="00E872CA">
        <w:rPr>
          <w:rFonts w:ascii="Gill Sans MT" w:hAnsi="Gill Sans MT" w:cs="Segoe UI"/>
          <w:color w:val="0F1419"/>
        </w:rPr>
        <w:t xml:space="preserve"> of violating the Code.  Th</w:t>
      </w:r>
      <w:r w:rsidR="00887EF9">
        <w:rPr>
          <w:rFonts w:ascii="Gill Sans MT" w:hAnsi="Gill Sans MT" w:cs="Segoe UI"/>
          <w:color w:val="0F1419"/>
        </w:rPr>
        <w:t>is</w:t>
      </w:r>
      <w:r w:rsidR="00E872CA">
        <w:rPr>
          <w:rFonts w:ascii="Gill Sans MT" w:hAnsi="Gill Sans MT" w:cs="Segoe UI"/>
          <w:color w:val="0F1419"/>
        </w:rPr>
        <w:t xml:space="preserve"> statement </w:t>
      </w:r>
      <w:r w:rsidR="008866A8" w:rsidRPr="00227BAD">
        <w:rPr>
          <w:rFonts w:ascii="Gill Sans MT" w:hAnsi="Gill Sans MT" w:cs="Segoe UI"/>
          <w:color w:val="0F1419"/>
        </w:rPr>
        <w:t>becomes canonical as to the reasons for the Prime Minister's decision-making</w:t>
      </w:r>
      <w:r w:rsidR="00887EF9">
        <w:rPr>
          <w:rFonts w:ascii="Gill Sans MT" w:hAnsi="Gill Sans MT" w:cs="Segoe UI"/>
          <w:color w:val="0F1419"/>
        </w:rPr>
        <w:t xml:space="preserve">, </w:t>
      </w:r>
      <w:r w:rsidR="008866A8" w:rsidRPr="00227BAD">
        <w:rPr>
          <w:rFonts w:ascii="Gill Sans MT" w:hAnsi="Gill Sans MT" w:cs="Segoe UI"/>
          <w:color w:val="0F1419"/>
        </w:rPr>
        <w:t>rather than an announcement of what has been decided</w:t>
      </w:r>
      <w:r w:rsidR="00887EF9">
        <w:rPr>
          <w:rFonts w:ascii="Gill Sans MT" w:hAnsi="Gill Sans MT" w:cs="Segoe UI"/>
          <w:color w:val="0F1419"/>
        </w:rPr>
        <w:t xml:space="preserve">. </w:t>
      </w:r>
      <w:r w:rsidR="00E872CA">
        <w:rPr>
          <w:rFonts w:ascii="Gill Sans MT" w:hAnsi="Gill Sans MT" w:cs="Segoe UI"/>
          <w:color w:val="0F1419"/>
        </w:rPr>
        <w:t xml:space="preserve"> </w:t>
      </w:r>
      <w:r w:rsidR="003D7A98">
        <w:rPr>
          <w:rFonts w:ascii="Gill Sans MT" w:hAnsi="Gill Sans MT" w:cs="Segoe UI"/>
          <w:color w:val="0F1419"/>
        </w:rPr>
        <w:t>But</w:t>
      </w:r>
      <w:r w:rsidR="00E872CA">
        <w:rPr>
          <w:rFonts w:ascii="Gill Sans MT" w:hAnsi="Gill Sans MT" w:cs="Segoe UI"/>
          <w:color w:val="0F1419"/>
        </w:rPr>
        <w:t xml:space="preserve"> there is </w:t>
      </w:r>
      <w:r w:rsidR="00C01D0E">
        <w:rPr>
          <w:rFonts w:ascii="Gill Sans MT" w:hAnsi="Gill Sans MT" w:cs="Segoe UI"/>
          <w:color w:val="0F1419"/>
        </w:rPr>
        <w:t xml:space="preserve">a crucial </w:t>
      </w:r>
      <w:r w:rsidR="00E872CA">
        <w:rPr>
          <w:rFonts w:ascii="Gill Sans MT" w:hAnsi="Gill Sans MT" w:cs="Segoe UI"/>
          <w:color w:val="0F1419"/>
        </w:rPr>
        <w:t xml:space="preserve">disjunction between </w:t>
      </w:r>
      <w:r w:rsidR="003D7A98">
        <w:rPr>
          <w:rFonts w:ascii="Gill Sans MT" w:hAnsi="Gill Sans MT" w:cs="Segoe UI"/>
          <w:color w:val="0F1419"/>
        </w:rPr>
        <w:t xml:space="preserve">the </w:t>
      </w:r>
      <w:r w:rsidR="00E872CA">
        <w:rPr>
          <w:rFonts w:ascii="Gill Sans MT" w:hAnsi="Gill Sans MT" w:cs="Segoe UI"/>
          <w:color w:val="0F1419"/>
        </w:rPr>
        <w:t>question the court is asking and the approach taken by the Prime Minister</w:t>
      </w:r>
      <w:r w:rsidR="00887EF9">
        <w:rPr>
          <w:rFonts w:ascii="Gill Sans MT" w:hAnsi="Gill Sans MT" w:cs="Segoe UI"/>
          <w:color w:val="0F1419"/>
        </w:rPr>
        <w:t xml:space="preserve">, because </w:t>
      </w:r>
      <w:r w:rsidR="00E872CA">
        <w:rPr>
          <w:rFonts w:ascii="Gill Sans MT" w:hAnsi="Gill Sans MT" w:cs="Segoe UI"/>
          <w:color w:val="0F1419"/>
        </w:rPr>
        <w:t xml:space="preserve">the Johnson statement </w:t>
      </w:r>
      <w:r w:rsidR="00887EF9">
        <w:rPr>
          <w:rFonts w:ascii="Gill Sans MT" w:hAnsi="Gill Sans MT" w:cs="Segoe UI"/>
          <w:color w:val="0F1419"/>
        </w:rPr>
        <w:t>is short and vague, and o</w:t>
      </w:r>
      <w:r w:rsidR="00E872CA" w:rsidRPr="00227BAD">
        <w:rPr>
          <w:rFonts w:ascii="Gill Sans MT" w:hAnsi="Gill Sans MT" w:cs="Segoe UI"/>
          <w:color w:val="0F1419"/>
        </w:rPr>
        <w:t>ffer</w:t>
      </w:r>
      <w:r w:rsidR="00887EF9">
        <w:rPr>
          <w:rFonts w:ascii="Gill Sans MT" w:hAnsi="Gill Sans MT" w:cs="Segoe UI"/>
          <w:color w:val="0F1419"/>
        </w:rPr>
        <w:t>s</w:t>
      </w:r>
      <w:r w:rsidR="00E872CA" w:rsidRPr="00227BAD">
        <w:rPr>
          <w:rFonts w:ascii="Gill Sans MT" w:hAnsi="Gill Sans MT" w:cs="Segoe UI"/>
          <w:color w:val="0F1419"/>
        </w:rPr>
        <w:t xml:space="preserve"> no interpretation of the concept of bullying at all</w:t>
      </w:r>
      <w:r w:rsidR="00887EF9">
        <w:rPr>
          <w:rFonts w:ascii="Gill Sans MT" w:hAnsi="Gill Sans MT" w:cs="Segoe UI"/>
          <w:color w:val="0F1419"/>
        </w:rPr>
        <w:t>.  This leads to a bewildering, triple negative conclusion: ‘</w:t>
      </w:r>
      <w:r w:rsidR="00332DC5" w:rsidRPr="00227BAD">
        <w:rPr>
          <w:rFonts w:ascii="Gill Sans MT" w:hAnsi="Gill Sans MT" w:cs="Segoe UI"/>
          <w:color w:val="0F1419"/>
        </w:rPr>
        <w:t>In that context, the statement that the Prime Minister's judgement was that the Ministerial Code was not breached is not therefore a finding that the conduct could not be described as bullying.</w:t>
      </w:r>
      <w:r w:rsidR="00887EF9">
        <w:rPr>
          <w:rFonts w:ascii="Gill Sans MT" w:hAnsi="Gill Sans MT" w:cs="Segoe UI"/>
          <w:color w:val="0F1419"/>
        </w:rPr>
        <w:t>’</w:t>
      </w:r>
      <w:r w:rsidR="00887EF9">
        <w:rPr>
          <w:rStyle w:val="FootnoteReference"/>
          <w:rFonts w:ascii="Gill Sans MT" w:hAnsi="Gill Sans MT" w:cs="Segoe UI"/>
          <w:color w:val="0F1419"/>
        </w:rPr>
        <w:footnoteReference w:id="27"/>
      </w:r>
      <w:r w:rsidR="00DA4C3D">
        <w:rPr>
          <w:rFonts w:ascii="Gill Sans MT" w:hAnsi="Gill Sans MT" w:cs="Segoe UI"/>
          <w:color w:val="0F1419"/>
        </w:rPr>
        <w:t xml:space="preserve">  In essence, the Prime Minister had not misdirected himself</w:t>
      </w:r>
      <w:r w:rsidR="00C01D0E">
        <w:rPr>
          <w:rFonts w:ascii="Gill Sans MT" w:hAnsi="Gill Sans MT" w:cs="Segoe UI"/>
          <w:color w:val="0F1419"/>
        </w:rPr>
        <w:t xml:space="preserve"> as to the meaning of bullying</w:t>
      </w:r>
      <w:r w:rsidR="00DA4C3D">
        <w:rPr>
          <w:rFonts w:ascii="Gill Sans MT" w:hAnsi="Gill Sans MT" w:cs="Segoe UI"/>
          <w:color w:val="0F1419"/>
        </w:rPr>
        <w:t xml:space="preserve"> because his statement provided no evidence that he had even </w:t>
      </w:r>
      <w:r w:rsidR="000D7781">
        <w:rPr>
          <w:rFonts w:ascii="Gill Sans MT" w:hAnsi="Gill Sans MT" w:cs="Segoe UI"/>
          <w:color w:val="0F1419"/>
        </w:rPr>
        <w:t>directed himself to</w:t>
      </w:r>
      <w:r w:rsidR="00DA4C3D">
        <w:rPr>
          <w:rFonts w:ascii="Gill Sans MT" w:hAnsi="Gill Sans MT" w:cs="Segoe UI"/>
          <w:color w:val="0F1419"/>
        </w:rPr>
        <w:t xml:space="preserve"> the question </w:t>
      </w:r>
      <w:r w:rsidR="006C02AA">
        <w:rPr>
          <w:rFonts w:ascii="Gill Sans MT" w:hAnsi="Gill Sans MT" w:cs="Segoe UI"/>
          <w:color w:val="0F1419"/>
        </w:rPr>
        <w:t>being assessed</w:t>
      </w:r>
      <w:r w:rsidR="00DA4C3D">
        <w:rPr>
          <w:rFonts w:ascii="Gill Sans MT" w:hAnsi="Gill Sans MT" w:cs="Segoe UI"/>
          <w:color w:val="0F1419"/>
        </w:rPr>
        <w:t>.</w:t>
      </w:r>
    </w:p>
    <w:p w14:paraId="5963E411" w14:textId="56DE8DFA" w:rsidR="00E872CA" w:rsidRDefault="000D7781" w:rsidP="00F62A9E">
      <w:pPr>
        <w:spacing w:after="0"/>
        <w:jc w:val="both"/>
        <w:rPr>
          <w:rFonts w:ascii="Gill Sans MT" w:hAnsi="Gill Sans MT" w:cs="Segoe UI"/>
          <w:color w:val="0F1419"/>
        </w:rPr>
      </w:pPr>
      <w:r>
        <w:rPr>
          <w:rFonts w:ascii="Gill Sans MT" w:hAnsi="Gill Sans MT" w:cs="Segoe UI"/>
          <w:color w:val="0F1419"/>
        </w:rPr>
        <w:tab/>
        <w:t>In one sense this is unsurprising</w:t>
      </w:r>
      <w:r w:rsidR="00BA6350">
        <w:rPr>
          <w:rFonts w:ascii="Gill Sans MT" w:hAnsi="Gill Sans MT" w:cs="Segoe UI"/>
          <w:color w:val="0F1419"/>
        </w:rPr>
        <w:t xml:space="preserve">, because </w:t>
      </w:r>
      <w:r w:rsidR="00BA6350" w:rsidRPr="00227BAD">
        <w:rPr>
          <w:rFonts w:ascii="Gill Sans MT" w:hAnsi="Gill Sans MT" w:cs="Segoe UI"/>
          <w:color w:val="0F1419"/>
        </w:rPr>
        <w:t xml:space="preserve">the </w:t>
      </w:r>
      <w:r w:rsidR="00BA6350">
        <w:rPr>
          <w:rFonts w:ascii="Gill Sans MT" w:hAnsi="Gill Sans MT" w:cs="Segoe UI"/>
          <w:color w:val="0F1419"/>
        </w:rPr>
        <w:t>intention</w:t>
      </w:r>
      <w:r w:rsidR="00BA6350" w:rsidRPr="00227BAD">
        <w:rPr>
          <w:rFonts w:ascii="Gill Sans MT" w:hAnsi="Gill Sans MT" w:cs="Segoe UI"/>
          <w:color w:val="0F1419"/>
        </w:rPr>
        <w:t xml:space="preserve"> of the </w:t>
      </w:r>
      <w:r w:rsidR="00BA6350">
        <w:rPr>
          <w:rFonts w:ascii="Gill Sans MT" w:hAnsi="Gill Sans MT" w:cs="Segoe UI"/>
          <w:color w:val="0F1419"/>
        </w:rPr>
        <w:t>‘G</w:t>
      </w:r>
      <w:r w:rsidR="00BA6350" w:rsidRPr="00227BAD">
        <w:rPr>
          <w:rFonts w:ascii="Gill Sans MT" w:hAnsi="Gill Sans MT" w:cs="Segoe UI"/>
          <w:color w:val="0F1419"/>
        </w:rPr>
        <w:t xml:space="preserve">overnment </w:t>
      </w:r>
      <w:r w:rsidR="00BA6350">
        <w:rPr>
          <w:rFonts w:ascii="Gill Sans MT" w:hAnsi="Gill Sans MT" w:cs="Segoe UI"/>
          <w:color w:val="0F1419"/>
        </w:rPr>
        <w:t>S</w:t>
      </w:r>
      <w:r w:rsidR="00BA6350" w:rsidRPr="00227BAD">
        <w:rPr>
          <w:rFonts w:ascii="Gill Sans MT" w:hAnsi="Gill Sans MT" w:cs="Segoe UI"/>
          <w:color w:val="0F1419"/>
        </w:rPr>
        <w:t>tatement</w:t>
      </w:r>
      <w:r w:rsidR="00BA6350">
        <w:rPr>
          <w:rFonts w:ascii="Gill Sans MT" w:hAnsi="Gill Sans MT" w:cs="Segoe UI"/>
          <w:color w:val="0F1419"/>
        </w:rPr>
        <w:t>’</w:t>
      </w:r>
      <w:r w:rsidR="00BA6350" w:rsidRPr="00227BAD">
        <w:rPr>
          <w:rFonts w:ascii="Gill Sans MT" w:hAnsi="Gill Sans MT" w:cs="Segoe UI"/>
          <w:color w:val="0F1419"/>
        </w:rPr>
        <w:t xml:space="preserve"> was </w:t>
      </w:r>
      <w:r w:rsidR="00BA6350">
        <w:rPr>
          <w:rFonts w:ascii="Gill Sans MT" w:hAnsi="Gill Sans MT" w:cs="Segoe UI"/>
          <w:color w:val="0F1419"/>
        </w:rPr>
        <w:t>most likely</w:t>
      </w:r>
      <w:r w:rsidR="00BA6350" w:rsidRPr="00227BAD">
        <w:rPr>
          <w:rFonts w:ascii="Gill Sans MT" w:hAnsi="Gill Sans MT" w:cs="Segoe UI"/>
          <w:color w:val="0F1419"/>
        </w:rPr>
        <w:t xml:space="preserve"> to obscure, rather than </w:t>
      </w:r>
      <w:r w:rsidR="00BA6350">
        <w:rPr>
          <w:rFonts w:ascii="Gill Sans MT" w:hAnsi="Gill Sans MT" w:cs="Segoe UI"/>
          <w:color w:val="0F1419"/>
        </w:rPr>
        <w:t xml:space="preserve">to </w:t>
      </w:r>
      <w:r w:rsidR="00BA6350" w:rsidRPr="00227BAD">
        <w:rPr>
          <w:rFonts w:ascii="Gill Sans MT" w:hAnsi="Gill Sans MT" w:cs="Segoe UI"/>
          <w:color w:val="0F1419"/>
        </w:rPr>
        <w:t xml:space="preserve">clarify, the extent to which the </w:t>
      </w:r>
      <w:r w:rsidR="00BA6350">
        <w:rPr>
          <w:rFonts w:ascii="Gill Sans MT" w:hAnsi="Gill Sans MT" w:cs="Segoe UI"/>
          <w:color w:val="0F1419"/>
        </w:rPr>
        <w:t>Prime Minister</w:t>
      </w:r>
      <w:r w:rsidR="00BA6350" w:rsidRPr="00227BAD">
        <w:rPr>
          <w:rFonts w:ascii="Gill Sans MT" w:hAnsi="Gill Sans MT" w:cs="Segoe UI"/>
          <w:color w:val="0F1419"/>
        </w:rPr>
        <w:t xml:space="preserve"> was </w:t>
      </w:r>
      <w:r w:rsidR="00BA6350">
        <w:rPr>
          <w:rFonts w:ascii="Gill Sans MT" w:hAnsi="Gill Sans MT" w:cs="Segoe UI"/>
          <w:color w:val="0F1419"/>
        </w:rPr>
        <w:t xml:space="preserve">taking the controversial step of </w:t>
      </w:r>
      <w:r w:rsidR="00BA6350" w:rsidRPr="00227BAD">
        <w:rPr>
          <w:rFonts w:ascii="Gill Sans MT" w:hAnsi="Gill Sans MT" w:cs="Segoe UI"/>
          <w:color w:val="0F1419"/>
        </w:rPr>
        <w:t xml:space="preserve">overruling the findings of </w:t>
      </w:r>
      <w:r w:rsidR="00BA6350">
        <w:rPr>
          <w:rFonts w:ascii="Gill Sans MT" w:hAnsi="Gill Sans MT" w:cs="Segoe UI"/>
          <w:color w:val="0F1419"/>
        </w:rPr>
        <w:t>his</w:t>
      </w:r>
      <w:r w:rsidR="00BA6350" w:rsidRPr="00227BAD">
        <w:rPr>
          <w:rFonts w:ascii="Gill Sans MT" w:hAnsi="Gill Sans MT" w:cs="Segoe UI"/>
          <w:color w:val="0F1419"/>
        </w:rPr>
        <w:t xml:space="preserve"> Independent Adviser</w:t>
      </w:r>
      <w:r w:rsidR="00BA6350">
        <w:rPr>
          <w:rFonts w:ascii="Gill Sans MT" w:hAnsi="Gill Sans MT" w:cs="Segoe UI"/>
          <w:color w:val="0F1419"/>
        </w:rPr>
        <w:t xml:space="preserve">.  It </w:t>
      </w:r>
      <w:r w:rsidR="00BA6350" w:rsidRPr="00227BAD">
        <w:rPr>
          <w:rFonts w:ascii="Gill Sans MT" w:hAnsi="Gill Sans MT" w:cs="Segoe UI"/>
          <w:color w:val="0F1419"/>
        </w:rPr>
        <w:t xml:space="preserve">was </w:t>
      </w:r>
      <w:r w:rsidR="00BA6350">
        <w:rPr>
          <w:rFonts w:ascii="Gill Sans MT" w:hAnsi="Gill Sans MT" w:cs="Segoe UI"/>
          <w:color w:val="0F1419"/>
        </w:rPr>
        <w:t xml:space="preserve">also, inevitably, </w:t>
      </w:r>
      <w:r w:rsidR="00BA6350" w:rsidRPr="00227BAD">
        <w:rPr>
          <w:rFonts w:ascii="Gill Sans MT" w:hAnsi="Gill Sans MT" w:cs="Segoe UI"/>
          <w:color w:val="0F1419"/>
        </w:rPr>
        <w:t>based on a wider political assessment of whether the conduct ought to be described as bullying</w:t>
      </w:r>
      <w:r w:rsidR="00F62A9E">
        <w:rPr>
          <w:rFonts w:ascii="Gill Sans MT" w:hAnsi="Gill Sans MT" w:cs="Segoe UI"/>
          <w:color w:val="0F1419"/>
        </w:rPr>
        <w:t>, in the context of wider environmental and other mitigating factors</w:t>
      </w:r>
      <w:r w:rsidR="00BA6350" w:rsidRPr="00227BAD">
        <w:rPr>
          <w:rFonts w:ascii="Gill Sans MT" w:hAnsi="Gill Sans MT" w:cs="Segoe UI"/>
          <w:color w:val="0F1419"/>
        </w:rPr>
        <w:t xml:space="preserve">. </w:t>
      </w:r>
      <w:r w:rsidR="00BA6350">
        <w:rPr>
          <w:rFonts w:ascii="Gill Sans MT" w:hAnsi="Gill Sans MT" w:cs="Segoe UI"/>
          <w:color w:val="0F1419"/>
        </w:rPr>
        <w:t xml:space="preserve"> </w:t>
      </w:r>
      <w:r w:rsidR="00F62A9E">
        <w:rPr>
          <w:rFonts w:ascii="Gill Sans MT" w:hAnsi="Gill Sans MT" w:cs="Segoe UI"/>
          <w:color w:val="0F1419"/>
        </w:rPr>
        <w:t>The Prime Minister c</w:t>
      </w:r>
      <w:r w:rsidR="00BA6350">
        <w:rPr>
          <w:rFonts w:ascii="Gill Sans MT" w:hAnsi="Gill Sans MT" w:cs="Segoe UI"/>
          <w:color w:val="0F1419"/>
        </w:rPr>
        <w:t>learly</w:t>
      </w:r>
      <w:r w:rsidR="00BA6350" w:rsidRPr="00227BAD">
        <w:rPr>
          <w:rFonts w:ascii="Gill Sans MT" w:hAnsi="Gill Sans MT" w:cs="Segoe UI"/>
          <w:color w:val="0F1419"/>
        </w:rPr>
        <w:t xml:space="preserve"> wanted to retain the Home Sectary in</w:t>
      </w:r>
      <w:r w:rsidR="00BA6350">
        <w:rPr>
          <w:rFonts w:ascii="Gill Sans MT" w:hAnsi="Gill Sans MT" w:cs="Segoe UI"/>
          <w:color w:val="0F1419"/>
        </w:rPr>
        <w:t xml:space="preserve"> his</w:t>
      </w:r>
      <w:r w:rsidR="00BA6350" w:rsidRPr="00227BAD">
        <w:rPr>
          <w:rFonts w:ascii="Gill Sans MT" w:hAnsi="Gill Sans MT" w:cs="Segoe UI"/>
          <w:color w:val="0F1419"/>
        </w:rPr>
        <w:t xml:space="preserve"> government, </w:t>
      </w:r>
      <w:r w:rsidR="00F62A9E">
        <w:rPr>
          <w:rFonts w:ascii="Gill Sans MT" w:hAnsi="Gill Sans MT" w:cs="Segoe UI"/>
          <w:color w:val="0F1419"/>
        </w:rPr>
        <w:t xml:space="preserve">and took an approach which minimised (so far as possible, in light of the contrary findings of the Independent Adviser) the extent of her bullying.  </w:t>
      </w:r>
      <w:r w:rsidR="009D2180">
        <w:rPr>
          <w:rFonts w:ascii="Gill Sans MT" w:hAnsi="Gill Sans MT" w:cs="Segoe UI"/>
          <w:color w:val="0F1419"/>
        </w:rPr>
        <w:t xml:space="preserve">While this is hardly responsible government, it would be naïve to assume that political factors do not shape political </w:t>
      </w:r>
      <w:r w:rsidR="003E5A39">
        <w:rPr>
          <w:rFonts w:ascii="Gill Sans MT" w:hAnsi="Gill Sans MT" w:cs="Segoe UI"/>
          <w:color w:val="0F1419"/>
        </w:rPr>
        <w:t>decision-making</w:t>
      </w:r>
      <w:r w:rsidR="009D2180">
        <w:rPr>
          <w:rFonts w:ascii="Gill Sans MT" w:hAnsi="Gill Sans MT" w:cs="Segoe UI"/>
          <w:color w:val="0F1419"/>
        </w:rPr>
        <w:t>.</w:t>
      </w:r>
    </w:p>
    <w:p w14:paraId="4E44BDEF" w14:textId="1A366D6E" w:rsidR="00C01D0E" w:rsidRDefault="00C01D0E" w:rsidP="00E0098E">
      <w:pPr>
        <w:spacing w:after="0"/>
        <w:ind w:firstLine="720"/>
        <w:jc w:val="both"/>
        <w:rPr>
          <w:rFonts w:ascii="Gill Sans MT" w:hAnsi="Gill Sans MT" w:cs="Segoe UI"/>
          <w:color w:val="0F1419"/>
        </w:rPr>
      </w:pPr>
      <w:r>
        <w:rPr>
          <w:rFonts w:ascii="Gill Sans MT" w:hAnsi="Gill Sans MT" w:cs="Segoe UI"/>
          <w:color w:val="0F1419"/>
        </w:rPr>
        <w:t xml:space="preserve">This reveals the core problem with the decision in </w:t>
      </w:r>
      <w:r w:rsidRPr="00DF3B16">
        <w:rPr>
          <w:rFonts w:ascii="Gill Sans MT" w:hAnsi="Gill Sans MT" w:cs="Segoe UI"/>
          <w:i/>
          <w:iCs/>
          <w:color w:val="0F1419"/>
        </w:rPr>
        <w:t>FDA</w:t>
      </w:r>
      <w:r>
        <w:rPr>
          <w:rFonts w:ascii="Gill Sans MT" w:hAnsi="Gill Sans MT" w:cs="Segoe UI"/>
          <w:color w:val="0F1419"/>
        </w:rPr>
        <w:t>.  The court held that it had jurisdiction because the issue was one with which it was capable of dealing.  Yet the substantive reasoning demonstrates that this was not the case: the judgment is a perfect demonstration of the way in which questions of</w:t>
      </w:r>
      <w:r w:rsidRPr="00227BAD">
        <w:rPr>
          <w:rFonts w:ascii="Gill Sans MT" w:hAnsi="Gill Sans MT" w:cs="Segoe UI"/>
          <w:color w:val="0F1419"/>
        </w:rPr>
        <w:t xml:space="preserve"> political accountability </w:t>
      </w:r>
      <w:r>
        <w:rPr>
          <w:rFonts w:ascii="Gill Sans MT" w:hAnsi="Gill Sans MT" w:cs="Segoe UI"/>
          <w:color w:val="0F1419"/>
        </w:rPr>
        <w:t xml:space="preserve">can be reframed to the point of distortion </w:t>
      </w:r>
      <w:r w:rsidR="0011259B">
        <w:rPr>
          <w:rFonts w:ascii="Gill Sans MT" w:hAnsi="Gill Sans MT" w:cs="Segoe UI"/>
          <w:color w:val="0F1419"/>
        </w:rPr>
        <w:t xml:space="preserve">through the </w:t>
      </w:r>
      <w:r w:rsidRPr="00227BAD">
        <w:rPr>
          <w:rFonts w:ascii="Gill Sans MT" w:hAnsi="Gill Sans MT" w:cs="Segoe UI"/>
          <w:color w:val="0F1419"/>
        </w:rPr>
        <w:t>filte</w:t>
      </w:r>
      <w:r w:rsidR="0011259B">
        <w:rPr>
          <w:rFonts w:ascii="Gill Sans MT" w:hAnsi="Gill Sans MT" w:cs="Segoe UI"/>
          <w:color w:val="0F1419"/>
        </w:rPr>
        <w:t>r of</w:t>
      </w:r>
      <w:r w:rsidRPr="00227BAD">
        <w:rPr>
          <w:rFonts w:ascii="Gill Sans MT" w:hAnsi="Gill Sans MT" w:cs="Segoe UI"/>
          <w:color w:val="0F1419"/>
        </w:rPr>
        <w:t xml:space="preserve"> judicial review</w:t>
      </w:r>
      <w:r>
        <w:rPr>
          <w:rFonts w:ascii="Gill Sans MT" w:hAnsi="Gill Sans MT" w:cs="Segoe UI"/>
          <w:color w:val="0F1419"/>
        </w:rPr>
        <w:t xml:space="preserve">.  The courts may be capable of interpreting the </w:t>
      </w:r>
      <w:r w:rsidRPr="00227BAD">
        <w:rPr>
          <w:rFonts w:ascii="Gill Sans MT" w:hAnsi="Gill Sans MT" w:cs="Segoe UI"/>
          <w:color w:val="0F1419"/>
        </w:rPr>
        <w:t xml:space="preserve">words </w:t>
      </w:r>
      <w:r>
        <w:rPr>
          <w:rFonts w:ascii="Gill Sans MT" w:hAnsi="Gill Sans MT" w:cs="Segoe UI"/>
          <w:color w:val="0F1419"/>
        </w:rPr>
        <w:t xml:space="preserve">in the Code, but </w:t>
      </w:r>
      <w:r w:rsidRPr="00227BAD">
        <w:rPr>
          <w:rFonts w:ascii="Gill Sans MT" w:hAnsi="Gill Sans MT" w:cs="Segoe UI"/>
          <w:color w:val="0F1419"/>
        </w:rPr>
        <w:t xml:space="preserve">a legal analysis of the meaning of these concepts ultimately tells us little or nothing about how political accountability </w:t>
      </w:r>
      <w:r>
        <w:rPr>
          <w:rFonts w:ascii="Gill Sans MT" w:hAnsi="Gill Sans MT" w:cs="Segoe UI"/>
          <w:color w:val="0F1419"/>
        </w:rPr>
        <w:t>operated</w:t>
      </w:r>
      <w:r w:rsidR="00E0098E">
        <w:rPr>
          <w:rFonts w:ascii="Gill Sans MT" w:hAnsi="Gill Sans MT" w:cs="Segoe UI"/>
          <w:color w:val="0F1419"/>
        </w:rPr>
        <w:t>,</w:t>
      </w:r>
      <w:r w:rsidRPr="00227BAD">
        <w:rPr>
          <w:rFonts w:ascii="Gill Sans MT" w:hAnsi="Gill Sans MT" w:cs="Segoe UI"/>
          <w:color w:val="0F1419"/>
        </w:rPr>
        <w:t xml:space="preserve"> or ought to have operated</w:t>
      </w:r>
      <w:r w:rsidR="00E0098E">
        <w:rPr>
          <w:rFonts w:ascii="Gill Sans MT" w:hAnsi="Gill Sans MT" w:cs="Segoe UI"/>
          <w:color w:val="0F1419"/>
        </w:rPr>
        <w:t>,</w:t>
      </w:r>
      <w:r w:rsidRPr="00227BAD">
        <w:rPr>
          <w:rFonts w:ascii="Gill Sans MT" w:hAnsi="Gill Sans MT" w:cs="Segoe UI"/>
          <w:color w:val="0F1419"/>
        </w:rPr>
        <w:t xml:space="preserve"> in this scenario. </w:t>
      </w:r>
      <w:r w:rsidR="0011259B">
        <w:rPr>
          <w:rFonts w:ascii="Gill Sans MT" w:hAnsi="Gill Sans MT" w:cs="Segoe UI"/>
          <w:color w:val="0F1419"/>
        </w:rPr>
        <w:t xml:space="preserve"> </w:t>
      </w:r>
      <w:r w:rsidRPr="00227BAD">
        <w:rPr>
          <w:rFonts w:ascii="Gill Sans MT" w:hAnsi="Gill Sans MT" w:cs="Segoe UI"/>
          <w:color w:val="0F1419"/>
        </w:rPr>
        <w:t xml:space="preserve">In framing the matter to make it compatible with the process of judicial review, the questions become so far removed from the substantive issues that they </w:t>
      </w:r>
      <w:r w:rsidR="00E0098E">
        <w:rPr>
          <w:rFonts w:ascii="Gill Sans MT" w:hAnsi="Gill Sans MT" w:cs="Segoe UI"/>
          <w:color w:val="0F1419"/>
        </w:rPr>
        <w:t>are</w:t>
      </w:r>
      <w:r w:rsidRPr="00227BAD">
        <w:rPr>
          <w:rFonts w:ascii="Gill Sans MT" w:hAnsi="Gill Sans MT" w:cs="Segoe UI"/>
          <w:color w:val="0F1419"/>
        </w:rPr>
        <w:t xml:space="preserve"> emptied of any great significance – the </w:t>
      </w:r>
      <w:r w:rsidR="00385C4E">
        <w:rPr>
          <w:rFonts w:ascii="Gill Sans MT" w:hAnsi="Gill Sans MT" w:cs="Segoe UI"/>
          <w:color w:val="0F1419"/>
        </w:rPr>
        <w:t xml:space="preserve">precise </w:t>
      </w:r>
      <w:r w:rsidRPr="00227BAD">
        <w:rPr>
          <w:rFonts w:ascii="Gill Sans MT" w:hAnsi="Gill Sans MT" w:cs="Segoe UI"/>
          <w:color w:val="0F1419"/>
        </w:rPr>
        <w:t>conception of bullying adopted by the P</w:t>
      </w:r>
      <w:r w:rsidR="00DF3B16">
        <w:rPr>
          <w:rFonts w:ascii="Gill Sans MT" w:hAnsi="Gill Sans MT" w:cs="Segoe UI"/>
          <w:color w:val="0F1419"/>
        </w:rPr>
        <w:t xml:space="preserve">rime </w:t>
      </w:r>
      <w:r w:rsidRPr="00227BAD">
        <w:rPr>
          <w:rFonts w:ascii="Gill Sans MT" w:hAnsi="Gill Sans MT" w:cs="Segoe UI"/>
          <w:color w:val="0F1419"/>
        </w:rPr>
        <w:t>M</w:t>
      </w:r>
      <w:r w:rsidR="00DF3B16">
        <w:rPr>
          <w:rFonts w:ascii="Gill Sans MT" w:hAnsi="Gill Sans MT" w:cs="Segoe UI"/>
          <w:color w:val="0F1419"/>
        </w:rPr>
        <w:t>inister</w:t>
      </w:r>
      <w:r w:rsidR="00E73F62">
        <w:rPr>
          <w:rFonts w:ascii="Gill Sans MT" w:hAnsi="Gill Sans MT" w:cs="Segoe UI"/>
          <w:color w:val="0F1419"/>
        </w:rPr>
        <w:t xml:space="preserve"> is a sideshow</w:t>
      </w:r>
      <w:r w:rsidRPr="00227BAD">
        <w:rPr>
          <w:rFonts w:ascii="Gill Sans MT" w:hAnsi="Gill Sans MT" w:cs="Segoe UI"/>
          <w:color w:val="0F1419"/>
        </w:rPr>
        <w:t>, because the P</w:t>
      </w:r>
      <w:r w:rsidR="00DF3B16">
        <w:rPr>
          <w:rFonts w:ascii="Gill Sans MT" w:hAnsi="Gill Sans MT" w:cs="Segoe UI"/>
          <w:color w:val="0F1419"/>
        </w:rPr>
        <w:t xml:space="preserve">rime </w:t>
      </w:r>
      <w:r w:rsidRPr="00227BAD">
        <w:rPr>
          <w:rFonts w:ascii="Gill Sans MT" w:hAnsi="Gill Sans MT" w:cs="Segoe UI"/>
          <w:color w:val="0F1419"/>
        </w:rPr>
        <w:t>M</w:t>
      </w:r>
      <w:r w:rsidR="00DF3B16">
        <w:rPr>
          <w:rFonts w:ascii="Gill Sans MT" w:hAnsi="Gill Sans MT" w:cs="Segoe UI"/>
          <w:color w:val="0F1419"/>
        </w:rPr>
        <w:t>inister</w:t>
      </w:r>
      <w:r w:rsidRPr="00227BAD">
        <w:rPr>
          <w:rFonts w:ascii="Gill Sans MT" w:hAnsi="Gill Sans MT" w:cs="Segoe UI"/>
          <w:color w:val="0F1419"/>
        </w:rPr>
        <w:t xml:space="preserve"> adopted no conception of bullying, and </w:t>
      </w:r>
      <w:r w:rsidR="00E0098E">
        <w:rPr>
          <w:rFonts w:ascii="Gill Sans MT" w:hAnsi="Gill Sans MT" w:cs="Segoe UI"/>
          <w:color w:val="0F1419"/>
        </w:rPr>
        <w:t xml:space="preserve">given his willingness to overrule his Independent Adviser, </w:t>
      </w:r>
      <w:r w:rsidRPr="00227BAD">
        <w:rPr>
          <w:rFonts w:ascii="Gill Sans MT" w:hAnsi="Gill Sans MT" w:cs="Segoe UI"/>
          <w:color w:val="0F1419"/>
        </w:rPr>
        <w:t>was almost certainly taking whatever approach allowed him to get away with what he wanted.</w:t>
      </w:r>
    </w:p>
    <w:p w14:paraId="2384317F" w14:textId="489D6177" w:rsidR="0027272B" w:rsidRDefault="00CE6AB2" w:rsidP="005C6607">
      <w:pPr>
        <w:spacing w:after="0"/>
        <w:ind w:firstLine="720"/>
        <w:jc w:val="both"/>
        <w:rPr>
          <w:rFonts w:ascii="Gill Sans MT" w:hAnsi="Gill Sans MT" w:cs="Segoe UI"/>
          <w:color w:val="0F1419"/>
        </w:rPr>
      </w:pPr>
      <w:r>
        <w:rPr>
          <w:rFonts w:ascii="Gill Sans MT" w:hAnsi="Gill Sans MT" w:cs="Segoe UI"/>
          <w:color w:val="0F1419"/>
        </w:rPr>
        <w:t xml:space="preserve">In </w:t>
      </w:r>
      <w:r w:rsidR="00DF3B16">
        <w:rPr>
          <w:rFonts w:ascii="Gill Sans MT" w:hAnsi="Gill Sans MT" w:cs="Segoe UI"/>
          <w:color w:val="0F1419"/>
        </w:rPr>
        <w:t xml:space="preserve">such </w:t>
      </w:r>
      <w:r>
        <w:rPr>
          <w:rFonts w:ascii="Gill Sans MT" w:hAnsi="Gill Sans MT" w:cs="Segoe UI"/>
          <w:color w:val="0F1419"/>
        </w:rPr>
        <w:t xml:space="preserve">circumstances, the temptation for the </w:t>
      </w:r>
      <w:r w:rsidR="00E73F62">
        <w:rPr>
          <w:rFonts w:ascii="Gill Sans MT" w:hAnsi="Gill Sans MT" w:cs="Segoe UI"/>
          <w:color w:val="0F1419"/>
        </w:rPr>
        <w:t>High Court</w:t>
      </w:r>
      <w:r>
        <w:rPr>
          <w:rFonts w:ascii="Gill Sans MT" w:hAnsi="Gill Sans MT" w:cs="Segoe UI"/>
          <w:color w:val="0F1419"/>
        </w:rPr>
        <w:t xml:space="preserve"> to offer </w:t>
      </w:r>
      <w:r w:rsidR="0027272B">
        <w:rPr>
          <w:rFonts w:ascii="Gill Sans MT" w:hAnsi="Gill Sans MT" w:cs="Segoe UI"/>
          <w:color w:val="0F1419"/>
        </w:rPr>
        <w:t>some</w:t>
      </w:r>
      <w:r>
        <w:rPr>
          <w:rFonts w:ascii="Gill Sans MT" w:hAnsi="Gill Sans MT" w:cs="Segoe UI"/>
          <w:color w:val="0F1419"/>
        </w:rPr>
        <w:t xml:space="preserve"> avenue of accountability is understandable.  </w:t>
      </w:r>
      <w:r w:rsidR="00DF3B16">
        <w:rPr>
          <w:rFonts w:ascii="Gill Sans MT" w:hAnsi="Gill Sans MT" w:cs="Segoe UI"/>
          <w:color w:val="0F1419"/>
        </w:rPr>
        <w:t>However,</w:t>
      </w:r>
      <w:r>
        <w:rPr>
          <w:rFonts w:ascii="Gill Sans MT" w:hAnsi="Gill Sans MT" w:cs="Segoe UI"/>
          <w:color w:val="0F1419"/>
        </w:rPr>
        <w:t xml:space="preserve"> the court</w:t>
      </w:r>
      <w:r w:rsidR="00F84975">
        <w:rPr>
          <w:rFonts w:ascii="Gill Sans MT" w:hAnsi="Gill Sans MT" w:cs="Segoe UI"/>
          <w:color w:val="0F1419"/>
        </w:rPr>
        <w:t>s</w:t>
      </w:r>
      <w:r>
        <w:rPr>
          <w:rFonts w:ascii="Gill Sans MT" w:hAnsi="Gill Sans MT" w:cs="Segoe UI"/>
          <w:color w:val="0F1419"/>
        </w:rPr>
        <w:t xml:space="preserve"> should be slow to </w:t>
      </w:r>
      <w:r w:rsidR="001941E2">
        <w:rPr>
          <w:rFonts w:ascii="Gill Sans MT" w:hAnsi="Gill Sans MT" w:cs="Segoe UI"/>
          <w:color w:val="0F1419"/>
        </w:rPr>
        <w:t xml:space="preserve">extend the reach of judicial review to </w:t>
      </w:r>
      <w:r w:rsidR="00F84975">
        <w:rPr>
          <w:rFonts w:ascii="Gill Sans MT" w:hAnsi="Gill Sans MT" w:cs="Segoe UI"/>
          <w:color w:val="0F1419"/>
        </w:rPr>
        <w:t>take on the role of</w:t>
      </w:r>
      <w:r w:rsidR="001941E2">
        <w:rPr>
          <w:rFonts w:ascii="Gill Sans MT" w:hAnsi="Gill Sans MT" w:cs="Segoe UI"/>
          <w:color w:val="0F1419"/>
        </w:rPr>
        <w:t xml:space="preserve"> an all-purpose accountability forum.  In addition to the limited capacity of legal analysis to engage with questions of political accountability in a meaningful way, there is also the risk that the courts give an undeserved veneer of legitimacy to the Prime Minister’s decision </w:t>
      </w:r>
      <w:r w:rsidR="0027272B">
        <w:rPr>
          <w:rFonts w:ascii="Gill Sans MT" w:hAnsi="Gill Sans MT" w:cs="Segoe UI"/>
          <w:color w:val="0F1419"/>
        </w:rPr>
        <w:t>in</w:t>
      </w:r>
      <w:r w:rsidR="001941E2">
        <w:rPr>
          <w:rFonts w:ascii="Gill Sans MT" w:hAnsi="Gill Sans MT" w:cs="Segoe UI"/>
          <w:color w:val="0F1419"/>
        </w:rPr>
        <w:t xml:space="preserve"> </w:t>
      </w:r>
      <w:r w:rsidR="0027272B">
        <w:rPr>
          <w:rFonts w:ascii="Gill Sans MT" w:hAnsi="Gill Sans MT" w:cs="Segoe UI"/>
          <w:color w:val="0F1419"/>
        </w:rPr>
        <w:t>ruling</w:t>
      </w:r>
      <w:r w:rsidR="001941E2">
        <w:rPr>
          <w:rFonts w:ascii="Gill Sans MT" w:hAnsi="Gill Sans MT" w:cs="Segoe UI"/>
          <w:color w:val="0F1419"/>
        </w:rPr>
        <w:t xml:space="preserve"> that it was not flawed.</w:t>
      </w:r>
      <w:r w:rsidR="001941E2">
        <w:rPr>
          <w:rStyle w:val="FootnoteReference"/>
          <w:rFonts w:ascii="Gill Sans MT" w:hAnsi="Gill Sans MT" w:cs="Segoe UI"/>
          <w:color w:val="0F1419"/>
        </w:rPr>
        <w:footnoteReference w:id="28"/>
      </w:r>
      <w:r w:rsidR="00AB7077">
        <w:rPr>
          <w:rFonts w:ascii="Gill Sans MT" w:hAnsi="Gill Sans MT" w:cs="Segoe UI"/>
          <w:color w:val="0F1419"/>
        </w:rPr>
        <w:t xml:space="preserve">  </w:t>
      </w:r>
      <w:r w:rsidR="00620DD2">
        <w:rPr>
          <w:rFonts w:ascii="Gill Sans MT" w:hAnsi="Gill Sans MT" w:cs="Segoe UI"/>
          <w:color w:val="0F1419"/>
        </w:rPr>
        <w:t>In terms of</w:t>
      </w:r>
      <w:r w:rsidR="00332DC5" w:rsidRPr="00ED09A0">
        <w:rPr>
          <w:rFonts w:ascii="Gill Sans MT" w:hAnsi="Gill Sans MT" w:cs="Segoe UI"/>
          <w:color w:val="0F1419"/>
        </w:rPr>
        <w:t xml:space="preserve"> political </w:t>
      </w:r>
      <w:r w:rsidR="007B5F47">
        <w:rPr>
          <w:rFonts w:ascii="Gill Sans MT" w:hAnsi="Gill Sans MT" w:cs="Segoe UI"/>
          <w:color w:val="0F1419"/>
        </w:rPr>
        <w:t>responsibility</w:t>
      </w:r>
      <w:r w:rsidR="00ED09A0" w:rsidRPr="00ED09A0">
        <w:rPr>
          <w:rFonts w:ascii="Gill Sans MT" w:hAnsi="Gill Sans MT" w:cs="Segoe UI"/>
          <w:color w:val="0F1419"/>
        </w:rPr>
        <w:t>,</w:t>
      </w:r>
      <w:r w:rsidR="00332DC5" w:rsidRPr="00ED09A0">
        <w:rPr>
          <w:rFonts w:ascii="Gill Sans MT" w:hAnsi="Gill Sans MT" w:cs="Segoe UI"/>
          <w:color w:val="0F1419"/>
        </w:rPr>
        <w:t xml:space="preserve"> it seems clear this was an </w:t>
      </w:r>
      <w:r w:rsidR="008D558A">
        <w:rPr>
          <w:rFonts w:ascii="Gill Sans MT" w:hAnsi="Gill Sans MT" w:cs="Segoe UI"/>
          <w:color w:val="0F1419"/>
        </w:rPr>
        <w:t>objectionable</w:t>
      </w:r>
      <w:r w:rsidR="00332DC5" w:rsidRPr="00ED09A0">
        <w:rPr>
          <w:rFonts w:ascii="Gill Sans MT" w:hAnsi="Gill Sans MT" w:cs="Segoe UI"/>
          <w:color w:val="0F1419"/>
        </w:rPr>
        <w:t xml:space="preserve"> decision, </w:t>
      </w:r>
      <w:r w:rsidR="00620DD2">
        <w:rPr>
          <w:rFonts w:ascii="Gill Sans MT" w:hAnsi="Gill Sans MT" w:cs="Segoe UI"/>
          <w:color w:val="0F1419"/>
        </w:rPr>
        <w:t xml:space="preserve">especially </w:t>
      </w:r>
      <w:r w:rsidR="00332DC5" w:rsidRPr="00ED09A0">
        <w:rPr>
          <w:rFonts w:ascii="Gill Sans MT" w:hAnsi="Gill Sans MT" w:cs="Segoe UI"/>
          <w:color w:val="0F1419"/>
        </w:rPr>
        <w:t>in light of the Independent Adviser’s findings that some of the Home Secretary’s conduct could be classified as bullying</w:t>
      </w:r>
      <w:r w:rsidR="00620DD2">
        <w:rPr>
          <w:rFonts w:ascii="Gill Sans MT" w:hAnsi="Gill Sans MT" w:cs="Segoe UI"/>
          <w:color w:val="0F1419"/>
        </w:rPr>
        <w:t xml:space="preserve"> on the basis that</w:t>
      </w:r>
      <w:r w:rsidR="00332DC5" w:rsidRPr="00ED09A0">
        <w:rPr>
          <w:rFonts w:ascii="Gill Sans MT" w:hAnsi="Gill Sans MT" w:cs="Segoe UI"/>
          <w:color w:val="0F1419"/>
        </w:rPr>
        <w:t xml:space="preserve"> it was ‘int</w:t>
      </w:r>
      <w:r w:rsidR="00332DC5" w:rsidRPr="00ED09A0">
        <w:rPr>
          <w:rFonts w:ascii="Gill Sans MT" w:hAnsi="Gill Sans MT"/>
        </w:rPr>
        <w:t>imidating or insulting behaviour that makes an individual feel uncomfortable, frightened, less respected or put down’, and included ‘occasions of shouting and swearing’.</w:t>
      </w:r>
      <w:r w:rsidR="00ED09A0" w:rsidRPr="00ED09A0">
        <w:rPr>
          <w:rStyle w:val="FootnoteReference"/>
          <w:rFonts w:ascii="Gill Sans MT" w:hAnsi="Gill Sans MT"/>
        </w:rPr>
        <w:footnoteReference w:id="29"/>
      </w:r>
      <w:r w:rsidR="00ED09A0">
        <w:rPr>
          <w:rFonts w:ascii="Gill Sans MT" w:hAnsi="Gill Sans MT"/>
        </w:rPr>
        <w:t xml:space="preserve">  Yet even a narrow finding in favour of the Prime Minister as a matter of law allows the case to be presented as a victory </w:t>
      </w:r>
      <w:r w:rsidR="008D558A">
        <w:rPr>
          <w:rFonts w:ascii="Gill Sans MT" w:hAnsi="Gill Sans MT"/>
        </w:rPr>
        <w:t>for him, and validates his actions even when, understood from other perspectives, they were manifestly problematic.</w:t>
      </w:r>
      <w:r w:rsidR="00A60CF5">
        <w:rPr>
          <w:rFonts w:ascii="Gill Sans MT" w:hAnsi="Gill Sans MT" w:cs="Segoe UI"/>
          <w:color w:val="0F1419"/>
        </w:rPr>
        <w:t xml:space="preserve">  </w:t>
      </w:r>
      <w:r w:rsidR="005C6607">
        <w:rPr>
          <w:rFonts w:ascii="Gill Sans MT" w:hAnsi="Gill Sans MT" w:cs="Segoe UI"/>
          <w:color w:val="0F1419"/>
        </w:rPr>
        <w:t xml:space="preserve">In </w:t>
      </w:r>
      <w:r w:rsidR="00CB7BF5">
        <w:rPr>
          <w:rFonts w:ascii="Gill Sans MT" w:hAnsi="Gill Sans MT" w:cs="Segoe UI"/>
          <w:color w:val="0F1419"/>
        </w:rPr>
        <w:t xml:space="preserve">that </w:t>
      </w:r>
      <w:r w:rsidR="00CB7BF5">
        <w:rPr>
          <w:rFonts w:ascii="Gill Sans MT" w:hAnsi="Gill Sans MT" w:cs="Segoe UI"/>
          <w:color w:val="0F1419"/>
        </w:rPr>
        <w:lastRenderedPageBreak/>
        <w:t xml:space="preserve">sense, the abstract and artificial reasoning of the High Court not only creates confusion concerning the </w:t>
      </w:r>
      <w:r w:rsidR="00620DD2">
        <w:rPr>
          <w:rFonts w:ascii="Gill Sans MT" w:hAnsi="Gill Sans MT" w:cs="Segoe UI"/>
          <w:color w:val="0F1419"/>
        </w:rPr>
        <w:t xml:space="preserve">basic </w:t>
      </w:r>
      <w:r w:rsidR="00CB7BF5">
        <w:rPr>
          <w:rFonts w:ascii="Gill Sans MT" w:hAnsi="Gill Sans MT" w:cs="Segoe UI"/>
          <w:color w:val="0F1419"/>
        </w:rPr>
        <w:t xml:space="preserve">operation of political accountability, but also </w:t>
      </w:r>
      <w:r w:rsidR="003B1858">
        <w:rPr>
          <w:rFonts w:ascii="Gill Sans MT" w:hAnsi="Gill Sans MT" w:cs="Segoe UI"/>
          <w:color w:val="0F1419"/>
        </w:rPr>
        <w:t xml:space="preserve">has the potential to dilute its potency by </w:t>
      </w:r>
      <w:r w:rsidR="00735A91">
        <w:rPr>
          <w:rFonts w:ascii="Gill Sans MT" w:hAnsi="Gill Sans MT" w:cs="Segoe UI"/>
          <w:color w:val="0F1419"/>
        </w:rPr>
        <w:t>sanctifying bad decisions behind a veil of rational rule interpretation and application.</w:t>
      </w:r>
    </w:p>
    <w:p w14:paraId="4CAEBDD0" w14:textId="66B4AB41" w:rsidR="00E417CC" w:rsidRPr="00E417CC" w:rsidRDefault="00E417CC" w:rsidP="00F30924">
      <w:pPr>
        <w:spacing w:after="0"/>
        <w:rPr>
          <w:rFonts w:ascii="Gill Sans MT" w:hAnsi="Gill Sans MT"/>
          <w:b/>
          <w:bCs/>
        </w:rPr>
      </w:pPr>
    </w:p>
    <w:p w14:paraId="3C1ABC86" w14:textId="6E80B2A7" w:rsidR="00E417CC" w:rsidRDefault="00E417CC" w:rsidP="00F30924">
      <w:pPr>
        <w:spacing w:after="0"/>
        <w:rPr>
          <w:rFonts w:ascii="Gill Sans MT" w:hAnsi="Gill Sans MT"/>
          <w:b/>
          <w:bCs/>
        </w:rPr>
      </w:pPr>
      <w:r w:rsidRPr="00E417CC">
        <w:rPr>
          <w:rFonts w:ascii="Gill Sans MT" w:hAnsi="Gill Sans MT"/>
          <w:b/>
          <w:bCs/>
        </w:rPr>
        <w:t xml:space="preserve">The </w:t>
      </w:r>
      <w:r w:rsidR="005B07BD">
        <w:rPr>
          <w:rFonts w:ascii="Gill Sans MT" w:hAnsi="Gill Sans MT"/>
          <w:b/>
          <w:bCs/>
        </w:rPr>
        <w:t>Implications</w:t>
      </w:r>
    </w:p>
    <w:p w14:paraId="42B65459" w14:textId="77777777" w:rsidR="005B07BD" w:rsidRDefault="005B07BD" w:rsidP="005B07BD">
      <w:pPr>
        <w:spacing w:after="0"/>
        <w:rPr>
          <w:rFonts w:ascii="Gill Sans MT" w:hAnsi="Gill Sans MT"/>
        </w:rPr>
      </w:pPr>
    </w:p>
    <w:p w14:paraId="509AA826" w14:textId="5C7793C0" w:rsidR="00385C4E" w:rsidRDefault="00681533" w:rsidP="002A4F16">
      <w:pPr>
        <w:spacing w:after="0"/>
        <w:jc w:val="both"/>
        <w:rPr>
          <w:rFonts w:ascii="Gill Sans MT" w:hAnsi="Gill Sans MT"/>
        </w:rPr>
      </w:pPr>
      <w:r>
        <w:rPr>
          <w:rFonts w:ascii="Gill Sans MT" w:hAnsi="Gill Sans MT"/>
        </w:rPr>
        <w:t xml:space="preserve">While it is therefore a problematic judgment, it is worth considering whether the decision in </w:t>
      </w:r>
      <w:r w:rsidRPr="00A336A3">
        <w:rPr>
          <w:rFonts w:ascii="Gill Sans MT" w:hAnsi="Gill Sans MT"/>
          <w:i/>
          <w:iCs/>
        </w:rPr>
        <w:t>FDA</w:t>
      </w:r>
      <w:r>
        <w:rPr>
          <w:rFonts w:ascii="Gill Sans MT" w:hAnsi="Gill Sans MT"/>
        </w:rPr>
        <w:t xml:space="preserve"> is simply an exceptional, and largely isolated</w:t>
      </w:r>
      <w:r w:rsidR="00A336A3">
        <w:rPr>
          <w:rFonts w:ascii="Gill Sans MT" w:hAnsi="Gill Sans MT"/>
        </w:rPr>
        <w:t>,</w:t>
      </w:r>
      <w:r>
        <w:rPr>
          <w:rFonts w:ascii="Gill Sans MT" w:hAnsi="Gill Sans MT"/>
        </w:rPr>
        <w:t xml:space="preserve"> problem.  The specific consequences of the case seem limited, although it may have some implications of more general significance.</w:t>
      </w:r>
    </w:p>
    <w:p w14:paraId="7E01EF7A" w14:textId="2864B059" w:rsidR="005B07BD" w:rsidRDefault="005B07BD" w:rsidP="0035452B">
      <w:pPr>
        <w:spacing w:after="0"/>
        <w:jc w:val="both"/>
        <w:rPr>
          <w:rFonts w:ascii="Gill Sans MT" w:hAnsi="Gill Sans MT"/>
        </w:rPr>
      </w:pPr>
      <w:r>
        <w:rPr>
          <w:rFonts w:ascii="Gill Sans MT" w:hAnsi="Gill Sans MT"/>
        </w:rPr>
        <w:tab/>
        <w:t>In specific terms, it seem</w:t>
      </w:r>
      <w:r w:rsidR="000A173E">
        <w:rPr>
          <w:rFonts w:ascii="Gill Sans MT" w:hAnsi="Gill Sans MT"/>
        </w:rPr>
        <w:t>s</w:t>
      </w:r>
      <w:r>
        <w:rPr>
          <w:rFonts w:ascii="Gill Sans MT" w:hAnsi="Gill Sans MT"/>
        </w:rPr>
        <w:t xml:space="preserve"> unlikely that the decision in </w:t>
      </w:r>
      <w:r w:rsidRPr="00A336A3">
        <w:rPr>
          <w:rFonts w:ascii="Gill Sans MT" w:hAnsi="Gill Sans MT"/>
          <w:i/>
          <w:iCs/>
        </w:rPr>
        <w:t>FDA</w:t>
      </w:r>
      <w:r>
        <w:rPr>
          <w:rFonts w:ascii="Gill Sans MT" w:hAnsi="Gill Sans MT"/>
        </w:rPr>
        <w:t xml:space="preserve"> will alter constitutional practice in any dramatic way.  While the FDA </w:t>
      </w:r>
      <w:r w:rsidR="00362D13">
        <w:rPr>
          <w:rFonts w:ascii="Gill Sans MT" w:hAnsi="Gill Sans MT"/>
        </w:rPr>
        <w:t>responded to the judgment by describing it as ‘a</w:t>
      </w:r>
      <w:r>
        <w:rPr>
          <w:rFonts w:ascii="Gill Sans MT" w:hAnsi="Gill Sans MT"/>
        </w:rPr>
        <w:t xml:space="preserve"> significant</w:t>
      </w:r>
      <w:r w:rsidR="00362D13">
        <w:rPr>
          <w:rFonts w:ascii="Gill Sans MT" w:hAnsi="Gill Sans MT"/>
        </w:rPr>
        <w:t xml:space="preserve"> step forward’,</w:t>
      </w:r>
      <w:r w:rsidR="00362D13">
        <w:rPr>
          <w:rStyle w:val="FootnoteReference"/>
          <w:rFonts w:ascii="Gill Sans MT" w:hAnsi="Gill Sans MT"/>
        </w:rPr>
        <w:footnoteReference w:id="30"/>
      </w:r>
      <w:r w:rsidR="00362D13">
        <w:rPr>
          <w:rFonts w:ascii="Gill Sans MT" w:hAnsi="Gill Sans MT"/>
        </w:rPr>
        <w:t xml:space="preserve"> it is</w:t>
      </w:r>
      <w:r>
        <w:rPr>
          <w:rFonts w:ascii="Gill Sans MT" w:hAnsi="Gill Sans MT"/>
        </w:rPr>
        <w:t xml:space="preserve"> hard to see </w:t>
      </w:r>
      <w:r w:rsidR="0035452B">
        <w:rPr>
          <w:rFonts w:ascii="Gill Sans MT" w:hAnsi="Gill Sans MT"/>
        </w:rPr>
        <w:t>any</w:t>
      </w:r>
      <w:r w:rsidR="00A336A3">
        <w:rPr>
          <w:rFonts w:ascii="Gill Sans MT" w:hAnsi="Gill Sans MT"/>
        </w:rPr>
        <w:t>thing</w:t>
      </w:r>
      <w:r w:rsidR="0035452B">
        <w:rPr>
          <w:rFonts w:ascii="Gill Sans MT" w:hAnsi="Gill Sans MT"/>
        </w:rPr>
        <w:t xml:space="preserve"> more than false hope</w:t>
      </w:r>
      <w:r w:rsidR="00362D13">
        <w:rPr>
          <w:rFonts w:ascii="Gill Sans MT" w:hAnsi="Gill Sans MT"/>
        </w:rPr>
        <w:t xml:space="preserve"> </w:t>
      </w:r>
      <w:r>
        <w:rPr>
          <w:rFonts w:ascii="Gill Sans MT" w:hAnsi="Gill Sans MT"/>
        </w:rPr>
        <w:t xml:space="preserve">for future litigants </w:t>
      </w:r>
      <w:r w:rsidR="00362D13">
        <w:rPr>
          <w:rFonts w:ascii="Gill Sans MT" w:hAnsi="Gill Sans MT"/>
        </w:rPr>
        <w:t>seeking accountability for decisions made under the Ministerial Code.  I</w:t>
      </w:r>
      <w:r>
        <w:rPr>
          <w:rFonts w:ascii="Gill Sans MT" w:hAnsi="Gill Sans MT"/>
        </w:rPr>
        <w:t>f</w:t>
      </w:r>
      <w:r w:rsidR="00362D13">
        <w:rPr>
          <w:rFonts w:ascii="Gill Sans MT" w:hAnsi="Gill Sans MT"/>
        </w:rPr>
        <w:t xml:space="preserve"> artificial questions </w:t>
      </w:r>
      <w:r w:rsidR="002118AF">
        <w:rPr>
          <w:rFonts w:ascii="Gill Sans MT" w:hAnsi="Gill Sans MT"/>
        </w:rPr>
        <w:t xml:space="preserve">of interpretation </w:t>
      </w:r>
      <w:r w:rsidR="00362D13">
        <w:rPr>
          <w:rFonts w:ascii="Gill Sans MT" w:hAnsi="Gill Sans MT"/>
        </w:rPr>
        <w:t xml:space="preserve">led nowhere in this context, it is </w:t>
      </w:r>
      <w:r w:rsidR="002118AF">
        <w:rPr>
          <w:rFonts w:ascii="Gill Sans MT" w:hAnsi="Gill Sans MT"/>
        </w:rPr>
        <w:t>likely to</w:t>
      </w:r>
      <w:r w:rsidR="0035452B">
        <w:rPr>
          <w:rFonts w:ascii="Gill Sans MT" w:hAnsi="Gill Sans MT"/>
        </w:rPr>
        <w:t xml:space="preserve"> be</w:t>
      </w:r>
      <w:r w:rsidR="002118AF">
        <w:rPr>
          <w:rFonts w:ascii="Gill Sans MT" w:hAnsi="Gill Sans MT"/>
        </w:rPr>
        <w:t xml:space="preserve"> </w:t>
      </w:r>
      <w:r w:rsidR="00362D13">
        <w:rPr>
          <w:rFonts w:ascii="Gill Sans MT" w:hAnsi="Gill Sans MT"/>
        </w:rPr>
        <w:t>the same in relation to any other potentially justiciable provisions.</w:t>
      </w:r>
      <w:r w:rsidR="002118AF">
        <w:rPr>
          <w:rFonts w:ascii="Gill Sans MT" w:hAnsi="Gill Sans MT"/>
        </w:rPr>
        <w:t xml:space="preserve">  Similarly, Lord </w:t>
      </w:r>
      <w:proofErr w:type="spellStart"/>
      <w:r w:rsidR="002118AF">
        <w:rPr>
          <w:rFonts w:ascii="Gill Sans MT" w:hAnsi="Gill Sans MT"/>
        </w:rPr>
        <w:t>Geidt</w:t>
      </w:r>
      <w:proofErr w:type="spellEnd"/>
      <w:r w:rsidR="002118AF">
        <w:rPr>
          <w:rFonts w:ascii="Gill Sans MT" w:hAnsi="Gill Sans MT"/>
        </w:rPr>
        <w:t xml:space="preserve"> – who succeeded Sir Alex Allan as Independent Adviser some six months after the decision to clear </w:t>
      </w:r>
      <w:proofErr w:type="spellStart"/>
      <w:r w:rsidR="002118AF">
        <w:rPr>
          <w:rFonts w:ascii="Gill Sans MT" w:hAnsi="Gill Sans MT"/>
        </w:rPr>
        <w:t>Priti</w:t>
      </w:r>
      <w:proofErr w:type="spellEnd"/>
      <w:r w:rsidR="002118AF">
        <w:rPr>
          <w:rFonts w:ascii="Gill Sans MT" w:hAnsi="Gill Sans MT"/>
        </w:rPr>
        <w:t xml:space="preserve"> Patel, </w:t>
      </w:r>
      <w:r w:rsidR="00E026D2">
        <w:rPr>
          <w:rFonts w:ascii="Gill Sans MT" w:hAnsi="Gill Sans MT"/>
        </w:rPr>
        <w:t xml:space="preserve">before </w:t>
      </w:r>
      <w:r w:rsidR="002118AF">
        <w:rPr>
          <w:rFonts w:ascii="Gill Sans MT" w:hAnsi="Gill Sans MT"/>
        </w:rPr>
        <w:t>also resign</w:t>
      </w:r>
      <w:r w:rsidR="00E026D2">
        <w:rPr>
          <w:rFonts w:ascii="Gill Sans MT" w:hAnsi="Gill Sans MT"/>
        </w:rPr>
        <w:t>ing</w:t>
      </w:r>
      <w:r w:rsidR="002118AF">
        <w:rPr>
          <w:rFonts w:ascii="Gill Sans MT" w:hAnsi="Gill Sans MT"/>
        </w:rPr>
        <w:t xml:space="preserve"> as Boris Johnson’s adviser on ministerial standards</w:t>
      </w:r>
      <w:r w:rsidR="002118AF">
        <w:rPr>
          <w:rStyle w:val="FootnoteReference"/>
          <w:rFonts w:ascii="Gill Sans MT" w:hAnsi="Gill Sans MT"/>
        </w:rPr>
        <w:footnoteReference w:id="31"/>
      </w:r>
      <w:r w:rsidR="002118AF">
        <w:rPr>
          <w:rFonts w:ascii="Gill Sans MT" w:hAnsi="Gill Sans MT"/>
        </w:rPr>
        <w:t xml:space="preserve"> – concluded that nothing in the decision would cause him to alter his practice concerning the investigation of alleged breaches of the Ministerial Code.</w:t>
      </w:r>
      <w:r w:rsidR="002118AF">
        <w:rPr>
          <w:rStyle w:val="FootnoteReference"/>
          <w:rFonts w:ascii="Gill Sans MT" w:hAnsi="Gill Sans MT"/>
        </w:rPr>
        <w:footnoteReference w:id="32"/>
      </w:r>
      <w:r w:rsidR="000A173E">
        <w:rPr>
          <w:rFonts w:ascii="Gill Sans MT" w:hAnsi="Gill Sans MT"/>
        </w:rPr>
        <w:t xml:space="preserve">  </w:t>
      </w:r>
      <w:r w:rsidR="0035452B">
        <w:rPr>
          <w:rFonts w:ascii="Gill Sans MT" w:hAnsi="Gill Sans MT"/>
        </w:rPr>
        <w:t xml:space="preserve">The intervention by the High Court might </w:t>
      </w:r>
      <w:r w:rsidR="00D32784">
        <w:rPr>
          <w:rFonts w:ascii="Gill Sans MT" w:hAnsi="Gill Sans MT"/>
        </w:rPr>
        <w:t xml:space="preserve">conceivably </w:t>
      </w:r>
      <w:r w:rsidR="00996493">
        <w:rPr>
          <w:rFonts w:ascii="Gill Sans MT" w:hAnsi="Gill Sans MT"/>
        </w:rPr>
        <w:t>have an impact on debates about proposals to put the Ministerial Code on a statutory basis</w:t>
      </w:r>
      <w:r w:rsidR="00306ED0">
        <w:rPr>
          <w:rFonts w:ascii="Gill Sans MT" w:hAnsi="Gill Sans MT"/>
        </w:rPr>
        <w:t xml:space="preserve"> – in</w:t>
      </w:r>
      <w:r w:rsidR="00996493">
        <w:rPr>
          <w:rFonts w:ascii="Gill Sans MT" w:hAnsi="Gill Sans MT"/>
        </w:rPr>
        <w:t xml:space="preserve"> particular by </w:t>
      </w:r>
      <w:r w:rsidR="0035452B">
        <w:rPr>
          <w:rFonts w:ascii="Gill Sans MT" w:hAnsi="Gill Sans MT"/>
        </w:rPr>
        <w:t>open</w:t>
      </w:r>
      <w:r w:rsidR="00996493">
        <w:rPr>
          <w:rFonts w:ascii="Gill Sans MT" w:hAnsi="Gill Sans MT"/>
        </w:rPr>
        <w:t>ing</w:t>
      </w:r>
      <w:r w:rsidR="0035452B">
        <w:rPr>
          <w:rFonts w:ascii="Gill Sans MT" w:hAnsi="Gill Sans MT"/>
        </w:rPr>
        <w:t xml:space="preserve"> up a discussion about the need for an</w:t>
      </w:r>
      <w:r w:rsidR="000A173E">
        <w:rPr>
          <w:rFonts w:ascii="Gill Sans MT" w:hAnsi="Gill Sans MT"/>
        </w:rPr>
        <w:t xml:space="preserve"> ouster clause </w:t>
      </w:r>
      <w:r w:rsidR="0035452B">
        <w:rPr>
          <w:rFonts w:ascii="Gill Sans MT" w:hAnsi="Gill Sans MT"/>
        </w:rPr>
        <w:t xml:space="preserve">in any </w:t>
      </w:r>
      <w:r w:rsidR="00996493">
        <w:rPr>
          <w:rFonts w:ascii="Gill Sans MT" w:hAnsi="Gill Sans MT"/>
        </w:rPr>
        <w:t xml:space="preserve">such </w:t>
      </w:r>
      <w:r w:rsidR="0035452B">
        <w:rPr>
          <w:rFonts w:ascii="Gill Sans MT" w:hAnsi="Gill Sans MT"/>
        </w:rPr>
        <w:t>future legislation</w:t>
      </w:r>
      <w:r w:rsidR="00306ED0">
        <w:rPr>
          <w:rFonts w:ascii="Gill Sans MT" w:hAnsi="Gill Sans MT"/>
        </w:rPr>
        <w:t xml:space="preserve"> – </w:t>
      </w:r>
      <w:r w:rsidR="00996493">
        <w:rPr>
          <w:rFonts w:ascii="Gill Sans MT" w:hAnsi="Gill Sans MT"/>
        </w:rPr>
        <w:t>although</w:t>
      </w:r>
      <w:r w:rsidR="0035452B">
        <w:rPr>
          <w:rFonts w:ascii="Gill Sans MT" w:hAnsi="Gill Sans MT"/>
        </w:rPr>
        <w:t xml:space="preserve"> </w:t>
      </w:r>
      <w:r w:rsidR="00996493">
        <w:rPr>
          <w:rFonts w:ascii="Gill Sans MT" w:hAnsi="Gill Sans MT"/>
        </w:rPr>
        <w:t>reform of this kind</w:t>
      </w:r>
      <w:r w:rsidR="000A173E">
        <w:rPr>
          <w:rFonts w:ascii="Gill Sans MT" w:hAnsi="Gill Sans MT"/>
        </w:rPr>
        <w:t xml:space="preserve"> appear</w:t>
      </w:r>
      <w:r w:rsidR="00996493">
        <w:rPr>
          <w:rFonts w:ascii="Gill Sans MT" w:hAnsi="Gill Sans MT"/>
        </w:rPr>
        <w:t>s</w:t>
      </w:r>
      <w:r w:rsidR="000A173E">
        <w:rPr>
          <w:rFonts w:ascii="Gill Sans MT" w:hAnsi="Gill Sans MT"/>
        </w:rPr>
        <w:t xml:space="preserve"> a long way </w:t>
      </w:r>
      <w:r w:rsidR="00996493">
        <w:rPr>
          <w:rFonts w:ascii="Gill Sans MT" w:hAnsi="Gill Sans MT"/>
        </w:rPr>
        <w:t>off</w:t>
      </w:r>
      <w:r w:rsidR="000A173E">
        <w:rPr>
          <w:rFonts w:ascii="Gill Sans MT" w:hAnsi="Gill Sans MT"/>
        </w:rPr>
        <w:t xml:space="preserve"> </w:t>
      </w:r>
      <w:r w:rsidR="00E026D2">
        <w:rPr>
          <w:rFonts w:ascii="Gill Sans MT" w:hAnsi="Gill Sans MT"/>
        </w:rPr>
        <w:t>without a change of</w:t>
      </w:r>
      <w:r w:rsidR="000A173E">
        <w:rPr>
          <w:rFonts w:ascii="Gill Sans MT" w:hAnsi="Gill Sans MT"/>
        </w:rPr>
        <w:t xml:space="preserve"> government.</w:t>
      </w:r>
      <w:r w:rsidR="000A173E">
        <w:rPr>
          <w:rStyle w:val="FootnoteReference"/>
          <w:rFonts w:ascii="Gill Sans MT" w:hAnsi="Gill Sans MT"/>
        </w:rPr>
        <w:footnoteReference w:id="33"/>
      </w:r>
      <w:r w:rsidR="00A157C8">
        <w:rPr>
          <w:rFonts w:ascii="Gill Sans MT" w:hAnsi="Gill Sans MT"/>
        </w:rPr>
        <w:t xml:space="preserve">  Experience in Northern Ireland suggests that litigation relating to a statutory Ministerial Code</w:t>
      </w:r>
      <w:r w:rsidR="0037227A">
        <w:rPr>
          <w:rFonts w:ascii="Gill Sans MT" w:hAnsi="Gill Sans MT"/>
        </w:rPr>
        <w:t xml:space="preserve"> </w:t>
      </w:r>
      <w:r w:rsidR="00A157C8">
        <w:rPr>
          <w:rFonts w:ascii="Gill Sans MT" w:hAnsi="Gill Sans MT"/>
        </w:rPr>
        <w:t xml:space="preserve">has been no more successful in solving </w:t>
      </w:r>
      <w:r w:rsidR="000061BF">
        <w:rPr>
          <w:rFonts w:ascii="Gill Sans MT" w:hAnsi="Gill Sans MT"/>
        </w:rPr>
        <w:t xml:space="preserve">problems which </w:t>
      </w:r>
      <w:r w:rsidR="00D32784">
        <w:rPr>
          <w:rFonts w:ascii="Gill Sans MT" w:hAnsi="Gill Sans MT"/>
        </w:rPr>
        <w:t xml:space="preserve">are </w:t>
      </w:r>
      <w:r w:rsidR="000061BF">
        <w:rPr>
          <w:rFonts w:ascii="Gill Sans MT" w:hAnsi="Gill Sans MT"/>
        </w:rPr>
        <w:t>at their core political.</w:t>
      </w:r>
      <w:r w:rsidR="000061BF">
        <w:rPr>
          <w:rStyle w:val="FootnoteReference"/>
          <w:rFonts w:ascii="Gill Sans MT" w:hAnsi="Gill Sans MT"/>
        </w:rPr>
        <w:footnoteReference w:id="34"/>
      </w:r>
    </w:p>
    <w:p w14:paraId="51007F92" w14:textId="7677E76A" w:rsidR="00D36B98" w:rsidRDefault="004A0C96" w:rsidP="004373C2">
      <w:pPr>
        <w:spacing w:after="0"/>
        <w:jc w:val="both"/>
        <w:rPr>
          <w:rFonts w:ascii="Gill Sans MT" w:hAnsi="Gill Sans MT"/>
        </w:rPr>
      </w:pPr>
      <w:r>
        <w:rPr>
          <w:rFonts w:ascii="Gill Sans MT" w:hAnsi="Gill Sans MT"/>
        </w:rPr>
        <w:tab/>
        <w:t xml:space="preserve">More generally, </w:t>
      </w:r>
      <w:r w:rsidR="00096841">
        <w:rPr>
          <w:rFonts w:ascii="Gill Sans MT" w:hAnsi="Gill Sans MT"/>
        </w:rPr>
        <w:t xml:space="preserve">the </w:t>
      </w:r>
      <w:r w:rsidRPr="00E522D6">
        <w:rPr>
          <w:rFonts w:ascii="Gill Sans MT" w:hAnsi="Gill Sans MT"/>
          <w:i/>
          <w:iCs/>
        </w:rPr>
        <w:t>FDA</w:t>
      </w:r>
      <w:r>
        <w:rPr>
          <w:rFonts w:ascii="Gill Sans MT" w:hAnsi="Gill Sans MT"/>
        </w:rPr>
        <w:t xml:space="preserve"> </w:t>
      </w:r>
      <w:r w:rsidR="00096841">
        <w:rPr>
          <w:rFonts w:ascii="Gill Sans MT" w:hAnsi="Gill Sans MT"/>
        </w:rPr>
        <w:t xml:space="preserve">case </w:t>
      </w:r>
      <w:r>
        <w:rPr>
          <w:rFonts w:ascii="Gill Sans MT" w:hAnsi="Gill Sans MT"/>
        </w:rPr>
        <w:t>raises q</w:t>
      </w:r>
      <w:r w:rsidR="00096841">
        <w:rPr>
          <w:rFonts w:ascii="Gill Sans MT" w:hAnsi="Gill Sans MT"/>
        </w:rPr>
        <w:t>uestions</w:t>
      </w:r>
      <w:r>
        <w:rPr>
          <w:rFonts w:ascii="Gill Sans MT" w:hAnsi="Gill Sans MT"/>
        </w:rPr>
        <w:t xml:space="preserve"> about the effectiveness of using legal processes to create political pressure</w:t>
      </w:r>
      <w:r w:rsidR="00096841">
        <w:rPr>
          <w:rFonts w:ascii="Gill Sans MT" w:hAnsi="Gill Sans MT"/>
        </w:rPr>
        <w:t>.  The r</w:t>
      </w:r>
      <w:r w:rsidR="00D36B98">
        <w:rPr>
          <w:rFonts w:ascii="Gill Sans MT" w:hAnsi="Gill Sans MT"/>
        </w:rPr>
        <w:t>emed</w:t>
      </w:r>
      <w:r w:rsidR="00096841">
        <w:rPr>
          <w:rFonts w:ascii="Gill Sans MT" w:hAnsi="Gill Sans MT"/>
        </w:rPr>
        <w:t>y</w:t>
      </w:r>
      <w:r w:rsidR="00D36B98">
        <w:rPr>
          <w:rFonts w:ascii="Gill Sans MT" w:hAnsi="Gill Sans MT"/>
        </w:rPr>
        <w:t xml:space="preserve"> sought </w:t>
      </w:r>
      <w:r w:rsidR="00096841">
        <w:rPr>
          <w:rFonts w:ascii="Gill Sans MT" w:hAnsi="Gill Sans MT"/>
        </w:rPr>
        <w:t xml:space="preserve">in this case, an advisory declaration, was clearly </w:t>
      </w:r>
      <w:r w:rsidR="00D36B98">
        <w:rPr>
          <w:rFonts w:ascii="Gill Sans MT" w:hAnsi="Gill Sans MT"/>
        </w:rPr>
        <w:t xml:space="preserve">designed to </w:t>
      </w:r>
      <w:r w:rsidR="00096841">
        <w:rPr>
          <w:rFonts w:ascii="Gill Sans MT" w:hAnsi="Gill Sans MT"/>
        </w:rPr>
        <w:t xml:space="preserve">generate political pressure rather than </w:t>
      </w:r>
      <w:r w:rsidR="00BB1A70">
        <w:rPr>
          <w:rFonts w:ascii="Gill Sans MT" w:hAnsi="Gill Sans MT"/>
        </w:rPr>
        <w:t xml:space="preserve">settle any questions concerning </w:t>
      </w:r>
      <w:r w:rsidR="00E522D6">
        <w:rPr>
          <w:rFonts w:ascii="Gill Sans MT" w:hAnsi="Gill Sans MT"/>
        </w:rPr>
        <w:t xml:space="preserve">ministerial </w:t>
      </w:r>
      <w:r w:rsidR="00BB1A70">
        <w:rPr>
          <w:rFonts w:ascii="Gill Sans MT" w:hAnsi="Gill Sans MT"/>
        </w:rPr>
        <w:t>sanctions</w:t>
      </w:r>
      <w:r w:rsidR="00D36B98">
        <w:rPr>
          <w:rFonts w:ascii="Gill Sans MT" w:hAnsi="Gill Sans MT"/>
        </w:rPr>
        <w:t xml:space="preserve">:  </w:t>
      </w:r>
      <w:r w:rsidR="0041643D">
        <w:rPr>
          <w:rFonts w:ascii="Gill Sans MT" w:hAnsi="Gill Sans MT"/>
        </w:rPr>
        <w:t xml:space="preserve">the claimants accepted </w:t>
      </w:r>
      <w:r w:rsidR="00BB1A70">
        <w:rPr>
          <w:rFonts w:ascii="Gill Sans MT" w:hAnsi="Gill Sans MT"/>
        </w:rPr>
        <w:t>it would ‘be for the Prime Minister to decide what course of action to take in the light of any declaration granted’</w:t>
      </w:r>
      <w:r w:rsidR="00D36B98">
        <w:rPr>
          <w:rFonts w:ascii="Gill Sans MT" w:hAnsi="Gill Sans MT"/>
        </w:rPr>
        <w:t>.</w:t>
      </w:r>
      <w:r w:rsidR="00BB1A70">
        <w:rPr>
          <w:rStyle w:val="FootnoteReference"/>
          <w:rFonts w:ascii="Gill Sans MT" w:hAnsi="Gill Sans MT"/>
        </w:rPr>
        <w:footnoteReference w:id="35"/>
      </w:r>
      <w:r w:rsidR="00D36B98">
        <w:rPr>
          <w:rFonts w:ascii="Gill Sans MT" w:hAnsi="Gill Sans MT"/>
        </w:rPr>
        <w:t xml:space="preserve">  </w:t>
      </w:r>
      <w:r w:rsidR="0041643D">
        <w:rPr>
          <w:rFonts w:ascii="Gill Sans MT" w:hAnsi="Gill Sans MT"/>
        </w:rPr>
        <w:t xml:space="preserve">In this sense, </w:t>
      </w:r>
      <w:r w:rsidR="0041643D" w:rsidRPr="00E522D6">
        <w:rPr>
          <w:rFonts w:ascii="Gill Sans MT" w:hAnsi="Gill Sans MT"/>
          <w:i/>
          <w:iCs/>
        </w:rPr>
        <w:t>FDA</w:t>
      </w:r>
      <w:r w:rsidR="0041643D">
        <w:rPr>
          <w:rFonts w:ascii="Gill Sans MT" w:hAnsi="Gill Sans MT"/>
        </w:rPr>
        <w:t xml:space="preserve"> is not an isolated example – in addition to some of the many cases relating to Brexit,</w:t>
      </w:r>
      <w:r w:rsidR="0041643D">
        <w:rPr>
          <w:rStyle w:val="FootnoteReference"/>
          <w:rFonts w:ascii="Gill Sans MT" w:hAnsi="Gill Sans MT"/>
        </w:rPr>
        <w:footnoteReference w:id="36"/>
      </w:r>
      <w:r w:rsidR="0041643D">
        <w:rPr>
          <w:rFonts w:ascii="Gill Sans MT" w:hAnsi="Gill Sans MT"/>
        </w:rPr>
        <w:t xml:space="preserve"> others concerning procurement</w:t>
      </w:r>
      <w:r w:rsidR="007B5F47">
        <w:rPr>
          <w:rFonts w:ascii="Gill Sans MT" w:hAnsi="Gill Sans MT"/>
        </w:rPr>
        <w:t>, the awarding of public contracts, official appointments</w:t>
      </w:r>
      <w:r w:rsidR="00CF3737">
        <w:rPr>
          <w:rFonts w:ascii="Gill Sans MT" w:hAnsi="Gill Sans MT"/>
        </w:rPr>
        <w:t xml:space="preserve">, and </w:t>
      </w:r>
      <w:r w:rsidR="00460042">
        <w:rPr>
          <w:rFonts w:ascii="Gill Sans MT" w:hAnsi="Gill Sans MT"/>
        </w:rPr>
        <w:t>policies relating to care homes</w:t>
      </w:r>
      <w:r w:rsidR="007B5F47">
        <w:rPr>
          <w:rFonts w:ascii="Gill Sans MT" w:hAnsi="Gill Sans MT"/>
        </w:rPr>
        <w:t xml:space="preserve"> during the pandemic,</w:t>
      </w:r>
      <w:r w:rsidR="007B5F47">
        <w:rPr>
          <w:rStyle w:val="FootnoteReference"/>
          <w:rFonts w:ascii="Gill Sans MT" w:hAnsi="Gill Sans MT"/>
        </w:rPr>
        <w:footnoteReference w:id="37"/>
      </w:r>
      <w:r w:rsidR="0041643D">
        <w:rPr>
          <w:rFonts w:ascii="Gill Sans MT" w:hAnsi="Gill Sans MT"/>
        </w:rPr>
        <w:t xml:space="preserve"> </w:t>
      </w:r>
      <w:r w:rsidR="007B5F47">
        <w:rPr>
          <w:rFonts w:ascii="Gill Sans MT" w:hAnsi="Gill Sans MT"/>
        </w:rPr>
        <w:t>and those relating to use of WhatsApp in internal government communications,</w:t>
      </w:r>
      <w:r w:rsidR="007B5F47">
        <w:rPr>
          <w:rStyle w:val="FootnoteReference"/>
          <w:rFonts w:ascii="Gill Sans MT" w:hAnsi="Gill Sans MT"/>
        </w:rPr>
        <w:footnoteReference w:id="38"/>
      </w:r>
      <w:r w:rsidR="007B5F47">
        <w:rPr>
          <w:rFonts w:ascii="Gill Sans MT" w:hAnsi="Gill Sans MT"/>
        </w:rPr>
        <w:t xml:space="preserve"> </w:t>
      </w:r>
      <w:r w:rsidR="00AF2088">
        <w:rPr>
          <w:rFonts w:ascii="Gill Sans MT" w:hAnsi="Gill Sans MT"/>
        </w:rPr>
        <w:t>the courts are regularly being asked to hear claims which seem constructed to</w:t>
      </w:r>
      <w:r w:rsidR="004342AC">
        <w:rPr>
          <w:rFonts w:ascii="Gill Sans MT" w:hAnsi="Gill Sans MT"/>
        </w:rPr>
        <w:t xml:space="preserve"> produce political embarrassment rather than vindicate specific legal rights.  One question is whether these cases are especially effective – even in th</w:t>
      </w:r>
      <w:r w:rsidR="00E522D6">
        <w:rPr>
          <w:rFonts w:ascii="Gill Sans MT" w:hAnsi="Gill Sans MT"/>
        </w:rPr>
        <w:t>ose</w:t>
      </w:r>
      <w:r w:rsidR="004342AC">
        <w:rPr>
          <w:rFonts w:ascii="Gill Sans MT" w:hAnsi="Gill Sans MT"/>
        </w:rPr>
        <w:t xml:space="preserve"> instances when unlawful conduct is identified, the legal consequences of a victory may </w:t>
      </w:r>
      <w:r w:rsidR="00052745">
        <w:rPr>
          <w:rFonts w:ascii="Gill Sans MT" w:hAnsi="Gill Sans MT"/>
        </w:rPr>
        <w:lastRenderedPageBreak/>
        <w:t xml:space="preserve">be such that </w:t>
      </w:r>
      <w:r w:rsidR="00D354E8">
        <w:rPr>
          <w:rFonts w:ascii="Gill Sans MT" w:hAnsi="Gill Sans MT"/>
        </w:rPr>
        <w:t>it</w:t>
      </w:r>
      <w:r w:rsidR="00052745">
        <w:rPr>
          <w:rFonts w:ascii="Gill Sans MT" w:hAnsi="Gill Sans MT"/>
        </w:rPr>
        <w:t xml:space="preserve"> </w:t>
      </w:r>
      <w:r w:rsidR="004342AC">
        <w:rPr>
          <w:rFonts w:ascii="Gill Sans MT" w:hAnsi="Gill Sans MT"/>
        </w:rPr>
        <w:t>actually change</w:t>
      </w:r>
      <w:r w:rsidR="00D354E8">
        <w:rPr>
          <w:rFonts w:ascii="Gill Sans MT" w:hAnsi="Gill Sans MT"/>
        </w:rPr>
        <w:t>s</w:t>
      </w:r>
      <w:r w:rsidR="004342AC">
        <w:rPr>
          <w:rFonts w:ascii="Gill Sans MT" w:hAnsi="Gill Sans MT"/>
        </w:rPr>
        <w:t xml:space="preserve"> little or nothing in practice.</w:t>
      </w:r>
      <w:r w:rsidR="00052745">
        <w:rPr>
          <w:rStyle w:val="FootnoteReference"/>
          <w:rFonts w:ascii="Gill Sans MT" w:hAnsi="Gill Sans MT"/>
        </w:rPr>
        <w:footnoteReference w:id="39"/>
      </w:r>
      <w:r w:rsidR="004342AC">
        <w:rPr>
          <w:rFonts w:ascii="Gill Sans MT" w:hAnsi="Gill Sans MT"/>
        </w:rPr>
        <w:t xml:space="preserve">  A second question is therefore whether </w:t>
      </w:r>
      <w:r w:rsidR="00E026D2">
        <w:rPr>
          <w:rFonts w:ascii="Gill Sans MT" w:hAnsi="Gill Sans MT"/>
        </w:rPr>
        <w:t>it</w:t>
      </w:r>
      <w:r w:rsidR="004342AC">
        <w:rPr>
          <w:rFonts w:ascii="Gill Sans MT" w:hAnsi="Gill Sans MT"/>
        </w:rPr>
        <w:t xml:space="preserve"> </w:t>
      </w:r>
      <w:r w:rsidR="00E026D2">
        <w:rPr>
          <w:rFonts w:ascii="Gill Sans MT" w:hAnsi="Gill Sans MT"/>
        </w:rPr>
        <w:t xml:space="preserve">may </w:t>
      </w:r>
      <w:r w:rsidR="004342AC">
        <w:rPr>
          <w:rFonts w:ascii="Gill Sans MT" w:hAnsi="Gill Sans MT"/>
        </w:rPr>
        <w:t xml:space="preserve">foster </w:t>
      </w:r>
      <w:r w:rsidR="00D36B98">
        <w:rPr>
          <w:rFonts w:ascii="Gill Sans MT" w:hAnsi="Gill Sans MT"/>
        </w:rPr>
        <w:t xml:space="preserve">public disillusionment with the institutions of government </w:t>
      </w:r>
      <w:r w:rsidR="004342AC">
        <w:rPr>
          <w:rFonts w:ascii="Gill Sans MT" w:hAnsi="Gill Sans MT"/>
        </w:rPr>
        <w:t xml:space="preserve">in general </w:t>
      </w:r>
      <w:r w:rsidR="00D36B98">
        <w:rPr>
          <w:rFonts w:ascii="Gill Sans MT" w:hAnsi="Gill Sans MT"/>
        </w:rPr>
        <w:t xml:space="preserve">if </w:t>
      </w:r>
      <w:r w:rsidR="004342AC">
        <w:rPr>
          <w:rFonts w:ascii="Gill Sans MT" w:hAnsi="Gill Sans MT"/>
        </w:rPr>
        <w:t xml:space="preserve">the </w:t>
      </w:r>
      <w:r w:rsidR="00D36B98">
        <w:rPr>
          <w:rFonts w:ascii="Gill Sans MT" w:hAnsi="Gill Sans MT"/>
        </w:rPr>
        <w:t xml:space="preserve">courts are making declarations of unlawfulness </w:t>
      </w:r>
      <w:r w:rsidR="00E55A22">
        <w:rPr>
          <w:rFonts w:ascii="Gill Sans MT" w:hAnsi="Gill Sans MT"/>
        </w:rPr>
        <w:t xml:space="preserve">which produce a hollow form of accountability.  </w:t>
      </w:r>
      <w:r w:rsidR="00C55181">
        <w:rPr>
          <w:rFonts w:ascii="Gill Sans MT" w:hAnsi="Gill Sans MT"/>
        </w:rPr>
        <w:t xml:space="preserve">The authority of the process of judicial review is also in the spotlight when, as in the </w:t>
      </w:r>
      <w:r w:rsidR="00C55181" w:rsidRPr="00E522D6">
        <w:rPr>
          <w:rFonts w:ascii="Gill Sans MT" w:hAnsi="Gill Sans MT"/>
          <w:i/>
          <w:iCs/>
        </w:rPr>
        <w:t>FDA</w:t>
      </w:r>
      <w:r w:rsidR="00C55181">
        <w:rPr>
          <w:rFonts w:ascii="Gill Sans MT" w:hAnsi="Gill Sans MT"/>
        </w:rPr>
        <w:t xml:space="preserve"> case, the courts </w:t>
      </w:r>
      <w:r w:rsidR="00E522D6">
        <w:rPr>
          <w:rFonts w:ascii="Gill Sans MT" w:hAnsi="Gill Sans MT"/>
        </w:rPr>
        <w:t>extend themselves</w:t>
      </w:r>
      <w:r w:rsidR="00C55181">
        <w:rPr>
          <w:rFonts w:ascii="Gill Sans MT" w:hAnsi="Gill Sans MT"/>
        </w:rPr>
        <w:t xml:space="preserve"> to little effect.</w:t>
      </w:r>
    </w:p>
    <w:p w14:paraId="1064ACE5" w14:textId="70F5C05F" w:rsidR="00D36B98" w:rsidRPr="00D36B98" w:rsidRDefault="004373C2" w:rsidP="00A266CE">
      <w:pPr>
        <w:spacing w:after="0"/>
        <w:ind w:firstLine="720"/>
        <w:jc w:val="both"/>
        <w:rPr>
          <w:rFonts w:ascii="Gill Sans MT" w:hAnsi="Gill Sans MT" w:cs="Segoe UI"/>
          <w:color w:val="0F1419"/>
        </w:rPr>
      </w:pPr>
      <w:r>
        <w:rPr>
          <w:rFonts w:ascii="Gill Sans MT" w:hAnsi="Gill Sans MT" w:cs="Segoe UI"/>
          <w:color w:val="0F1419"/>
        </w:rPr>
        <w:t xml:space="preserve">The </w:t>
      </w:r>
      <w:r w:rsidRPr="00E522D6">
        <w:rPr>
          <w:rFonts w:ascii="Gill Sans MT" w:hAnsi="Gill Sans MT" w:cs="Segoe UI"/>
          <w:i/>
          <w:iCs/>
          <w:color w:val="0F1419"/>
        </w:rPr>
        <w:t>FDA</w:t>
      </w:r>
      <w:r>
        <w:rPr>
          <w:rFonts w:ascii="Gill Sans MT" w:hAnsi="Gill Sans MT" w:cs="Segoe UI"/>
          <w:color w:val="0F1419"/>
        </w:rPr>
        <w:t xml:space="preserve"> case also suggests we</w:t>
      </w:r>
      <w:r w:rsidR="00D36B98">
        <w:rPr>
          <w:rFonts w:ascii="Gill Sans MT" w:hAnsi="Gill Sans MT" w:cs="Segoe UI"/>
          <w:color w:val="0F1419"/>
        </w:rPr>
        <w:t xml:space="preserve"> n</w:t>
      </w:r>
      <w:r w:rsidR="00D36B98" w:rsidRPr="00D36B98">
        <w:rPr>
          <w:rFonts w:ascii="Gill Sans MT" w:hAnsi="Gill Sans MT" w:cs="Segoe UI"/>
          <w:color w:val="0F1419"/>
        </w:rPr>
        <w:t xml:space="preserve">eed to </w:t>
      </w:r>
      <w:r>
        <w:rPr>
          <w:rFonts w:ascii="Gill Sans MT" w:hAnsi="Gill Sans MT" w:cs="Segoe UI"/>
          <w:color w:val="0F1419"/>
        </w:rPr>
        <w:t>reflect on</w:t>
      </w:r>
      <w:r w:rsidR="00D36B98" w:rsidRPr="00D36B98">
        <w:rPr>
          <w:rFonts w:ascii="Gill Sans MT" w:hAnsi="Gill Sans MT" w:cs="Segoe UI"/>
          <w:color w:val="0F1419"/>
        </w:rPr>
        <w:t xml:space="preserve"> the place of </w:t>
      </w:r>
      <w:r>
        <w:rPr>
          <w:rFonts w:ascii="Gill Sans MT" w:hAnsi="Gill Sans MT" w:cs="Segoe UI"/>
          <w:color w:val="0F1419"/>
        </w:rPr>
        <w:t>non-</w:t>
      </w:r>
      <w:r w:rsidR="00D36B98" w:rsidRPr="00D36B98">
        <w:rPr>
          <w:rFonts w:ascii="Gill Sans MT" w:hAnsi="Gill Sans MT" w:cs="Segoe UI"/>
          <w:color w:val="0F1419"/>
        </w:rPr>
        <w:t>justiciability</w:t>
      </w:r>
      <w:r w:rsidR="00D36B98">
        <w:rPr>
          <w:rFonts w:ascii="Gill Sans MT" w:hAnsi="Gill Sans MT" w:cs="Segoe UI"/>
          <w:color w:val="0F1419"/>
        </w:rPr>
        <w:t xml:space="preserve"> in the UK’s constitutional law</w:t>
      </w:r>
      <w:r w:rsidR="00D36B98" w:rsidRPr="00D36B98">
        <w:rPr>
          <w:rFonts w:ascii="Gill Sans MT" w:hAnsi="Gill Sans MT" w:cs="Segoe UI"/>
          <w:color w:val="0F1419"/>
        </w:rPr>
        <w:t xml:space="preserve">, </w:t>
      </w:r>
      <w:r>
        <w:rPr>
          <w:rFonts w:ascii="Gill Sans MT" w:hAnsi="Gill Sans MT" w:cs="Segoe UI"/>
          <w:color w:val="0F1419"/>
        </w:rPr>
        <w:t xml:space="preserve">especially in the aftermath of the </w:t>
      </w:r>
      <w:r w:rsidR="00D354E8">
        <w:rPr>
          <w:rFonts w:ascii="Gill Sans MT" w:hAnsi="Gill Sans MT" w:cs="Segoe UI"/>
          <w:color w:val="0F1419"/>
        </w:rPr>
        <w:t xml:space="preserve">high-profile </w:t>
      </w:r>
      <w:r>
        <w:rPr>
          <w:rFonts w:ascii="Gill Sans MT" w:hAnsi="Gill Sans MT" w:cs="Segoe UI"/>
          <w:color w:val="0F1419"/>
        </w:rPr>
        <w:t xml:space="preserve">dismissal of such arguments in the case of </w:t>
      </w:r>
      <w:r w:rsidRPr="004373C2">
        <w:rPr>
          <w:rFonts w:ascii="Gill Sans MT" w:hAnsi="Gill Sans MT" w:cs="Segoe UI"/>
          <w:i/>
          <w:iCs/>
          <w:color w:val="0F1419"/>
        </w:rPr>
        <w:t>Miller (No.2)</w:t>
      </w:r>
      <w:r>
        <w:rPr>
          <w:rFonts w:ascii="Gill Sans MT" w:hAnsi="Gill Sans MT" w:cs="Segoe UI"/>
          <w:color w:val="0F1419"/>
        </w:rPr>
        <w:t>.</w:t>
      </w:r>
      <w:r>
        <w:rPr>
          <w:rStyle w:val="FootnoteReference"/>
          <w:rFonts w:ascii="Gill Sans MT" w:hAnsi="Gill Sans MT" w:cs="Segoe UI"/>
          <w:color w:val="0F1419"/>
        </w:rPr>
        <w:footnoteReference w:id="40"/>
      </w:r>
      <w:r>
        <w:rPr>
          <w:rFonts w:ascii="Gill Sans MT" w:hAnsi="Gill Sans MT" w:cs="Segoe UI"/>
          <w:color w:val="0F1419"/>
        </w:rPr>
        <w:t xml:space="preserve">  </w:t>
      </w:r>
      <w:r w:rsidR="00524271">
        <w:rPr>
          <w:rFonts w:ascii="Gill Sans MT" w:hAnsi="Gill Sans MT" w:cs="Segoe UI"/>
          <w:color w:val="0F1419"/>
        </w:rPr>
        <w:t xml:space="preserve">Arguments about non-justiciability should </w:t>
      </w:r>
      <w:r w:rsidR="00D36B98" w:rsidRPr="00D36B98">
        <w:rPr>
          <w:rFonts w:ascii="Gill Sans MT" w:hAnsi="Gill Sans MT" w:cs="Segoe UI"/>
          <w:color w:val="0F1419"/>
        </w:rPr>
        <w:t xml:space="preserve">not </w:t>
      </w:r>
      <w:r w:rsidR="00524271">
        <w:rPr>
          <w:rFonts w:ascii="Gill Sans MT" w:hAnsi="Gill Sans MT" w:cs="Segoe UI"/>
          <w:color w:val="0F1419"/>
        </w:rPr>
        <w:t>be</w:t>
      </w:r>
      <w:r w:rsidR="00D36B98" w:rsidRPr="00D36B98">
        <w:rPr>
          <w:rFonts w:ascii="Gill Sans MT" w:hAnsi="Gill Sans MT" w:cs="Segoe UI"/>
          <w:color w:val="0F1419"/>
        </w:rPr>
        <w:t xml:space="preserve"> reject</w:t>
      </w:r>
      <w:r w:rsidR="00524271">
        <w:rPr>
          <w:rFonts w:ascii="Gill Sans MT" w:hAnsi="Gill Sans MT" w:cs="Segoe UI"/>
          <w:color w:val="0F1419"/>
        </w:rPr>
        <w:t>ed</w:t>
      </w:r>
      <w:r w:rsidR="00D36B98" w:rsidRPr="00D36B98">
        <w:rPr>
          <w:rFonts w:ascii="Gill Sans MT" w:hAnsi="Gill Sans MT" w:cs="Segoe UI"/>
          <w:color w:val="0F1419"/>
        </w:rPr>
        <w:t xml:space="preserve"> as inherently objectionable, because to </w:t>
      </w:r>
      <w:r w:rsidR="00524271">
        <w:rPr>
          <w:rFonts w:ascii="Gill Sans MT" w:hAnsi="Gill Sans MT" w:cs="Segoe UI"/>
          <w:color w:val="0F1419"/>
        </w:rPr>
        <w:t xml:space="preserve">consider the limits of judicial review </w:t>
      </w:r>
      <w:r w:rsidR="00D36B98" w:rsidRPr="00D36B98">
        <w:rPr>
          <w:rFonts w:ascii="Gill Sans MT" w:hAnsi="Gill Sans MT" w:cs="Segoe UI"/>
          <w:color w:val="0F1419"/>
        </w:rPr>
        <w:t xml:space="preserve">is </w:t>
      </w:r>
      <w:r w:rsidR="00524271">
        <w:rPr>
          <w:rFonts w:ascii="Gill Sans MT" w:hAnsi="Gill Sans MT" w:cs="Segoe UI"/>
          <w:color w:val="0F1419"/>
        </w:rPr>
        <w:t xml:space="preserve">also </w:t>
      </w:r>
      <w:r w:rsidR="00D36B98" w:rsidRPr="00D36B98">
        <w:rPr>
          <w:rFonts w:ascii="Gill Sans MT" w:hAnsi="Gill Sans MT" w:cs="Segoe UI"/>
          <w:color w:val="0F1419"/>
        </w:rPr>
        <w:t xml:space="preserve">to </w:t>
      </w:r>
      <w:r w:rsidR="00524271">
        <w:rPr>
          <w:rFonts w:ascii="Gill Sans MT" w:hAnsi="Gill Sans MT" w:cs="Segoe UI"/>
          <w:color w:val="0F1419"/>
        </w:rPr>
        <w:t xml:space="preserve">try to </w:t>
      </w:r>
      <w:r w:rsidR="00D36B98" w:rsidRPr="00D36B98">
        <w:rPr>
          <w:rFonts w:ascii="Gill Sans MT" w:hAnsi="Gill Sans MT" w:cs="Segoe UI"/>
          <w:color w:val="0F1419"/>
        </w:rPr>
        <w:t xml:space="preserve">understand the operation of </w:t>
      </w:r>
      <w:r w:rsidR="007A2BC8">
        <w:rPr>
          <w:rFonts w:ascii="Gill Sans MT" w:hAnsi="Gill Sans MT" w:cs="Segoe UI"/>
          <w:color w:val="0F1419"/>
        </w:rPr>
        <w:t xml:space="preserve">different forms of </w:t>
      </w:r>
      <w:r w:rsidR="00D36B98" w:rsidRPr="00D36B98">
        <w:rPr>
          <w:rFonts w:ascii="Gill Sans MT" w:hAnsi="Gill Sans MT" w:cs="Segoe UI"/>
          <w:color w:val="0F1419"/>
        </w:rPr>
        <w:t>accountability in the constitution</w:t>
      </w:r>
      <w:r w:rsidR="00524271">
        <w:rPr>
          <w:rFonts w:ascii="Gill Sans MT" w:hAnsi="Gill Sans MT" w:cs="Segoe UI"/>
          <w:color w:val="0F1419"/>
        </w:rPr>
        <w:t xml:space="preserve"> more broadly</w:t>
      </w:r>
      <w:r w:rsidR="00A266CE">
        <w:rPr>
          <w:rFonts w:ascii="Gill Sans MT" w:hAnsi="Gill Sans MT" w:cs="Segoe UI"/>
          <w:color w:val="0F1419"/>
        </w:rPr>
        <w:t>.  It can also be about</w:t>
      </w:r>
      <w:r w:rsidR="00D36B98" w:rsidRPr="00D36B98">
        <w:rPr>
          <w:rFonts w:ascii="Gill Sans MT" w:hAnsi="Gill Sans MT" w:cs="Segoe UI"/>
          <w:color w:val="0F1419"/>
        </w:rPr>
        <w:t xml:space="preserve"> guaranteeing the reputation of the courts</w:t>
      </w:r>
      <w:r w:rsidR="00A266CE">
        <w:rPr>
          <w:rFonts w:ascii="Gill Sans MT" w:hAnsi="Gill Sans MT" w:cs="Segoe UI"/>
          <w:color w:val="0F1419"/>
        </w:rPr>
        <w:t xml:space="preserve">, with the </w:t>
      </w:r>
      <w:r w:rsidR="00A157C8">
        <w:rPr>
          <w:rFonts w:ascii="Gill Sans MT" w:hAnsi="Gill Sans MT" w:cs="Segoe UI"/>
          <w:color w:val="0F1419"/>
        </w:rPr>
        <w:t xml:space="preserve">perplexing </w:t>
      </w:r>
      <w:r w:rsidR="00A266CE">
        <w:rPr>
          <w:rFonts w:ascii="Gill Sans MT" w:hAnsi="Gill Sans MT" w:cs="Segoe UI"/>
          <w:color w:val="0F1419"/>
        </w:rPr>
        <w:t xml:space="preserve">substance of the decision in </w:t>
      </w:r>
      <w:r w:rsidR="00A266CE" w:rsidRPr="007A2BC8">
        <w:rPr>
          <w:rFonts w:ascii="Gill Sans MT" w:hAnsi="Gill Sans MT" w:cs="Segoe UI"/>
          <w:i/>
          <w:iCs/>
          <w:color w:val="0F1419"/>
        </w:rPr>
        <w:t>FDA</w:t>
      </w:r>
      <w:r w:rsidR="00A266CE">
        <w:rPr>
          <w:rFonts w:ascii="Gill Sans MT" w:hAnsi="Gill Sans MT" w:cs="Segoe UI"/>
          <w:color w:val="0F1419"/>
        </w:rPr>
        <w:t xml:space="preserve"> highlighting that</w:t>
      </w:r>
      <w:r w:rsidR="00A266CE" w:rsidRPr="00D36B98">
        <w:rPr>
          <w:rFonts w:ascii="Gill Sans MT" w:hAnsi="Gill Sans MT" w:cs="Segoe UI"/>
          <w:color w:val="0F1419"/>
        </w:rPr>
        <w:t xml:space="preserve"> there are practical as well as doctrinal justifications in favour of non-justiciability</w:t>
      </w:r>
      <w:r w:rsidR="00A266CE">
        <w:rPr>
          <w:rFonts w:ascii="Gill Sans MT" w:hAnsi="Gill Sans MT" w:cs="Segoe UI"/>
          <w:color w:val="0F1419"/>
        </w:rPr>
        <w:t xml:space="preserve">.  </w:t>
      </w:r>
      <w:r w:rsidR="00524271">
        <w:rPr>
          <w:rFonts w:ascii="Gill Sans MT" w:hAnsi="Gill Sans MT" w:cs="Segoe UI"/>
          <w:color w:val="0F1419"/>
        </w:rPr>
        <w:t xml:space="preserve">While it would be wrong to think that </w:t>
      </w:r>
      <w:r w:rsidR="007A2BC8">
        <w:rPr>
          <w:rFonts w:ascii="Gill Sans MT" w:hAnsi="Gill Sans MT" w:cs="Segoe UI"/>
          <w:color w:val="0F1419"/>
        </w:rPr>
        <w:t>non-j</w:t>
      </w:r>
      <w:r w:rsidR="0068197C">
        <w:rPr>
          <w:rFonts w:ascii="Gill Sans MT" w:hAnsi="Gill Sans MT" w:cs="Segoe UI"/>
          <w:color w:val="0F1419"/>
        </w:rPr>
        <w:t xml:space="preserve">usticiability </w:t>
      </w:r>
      <w:r w:rsidR="007A2BC8">
        <w:rPr>
          <w:rFonts w:ascii="Gill Sans MT" w:hAnsi="Gill Sans MT" w:cs="Segoe UI"/>
          <w:color w:val="0F1419"/>
        </w:rPr>
        <w:t>has no contemporary purchase,</w:t>
      </w:r>
      <w:r w:rsidR="007A2BC8">
        <w:rPr>
          <w:rStyle w:val="FootnoteReference"/>
          <w:rFonts w:ascii="Gill Sans MT" w:hAnsi="Gill Sans MT" w:cs="Segoe UI"/>
          <w:color w:val="0F1419"/>
        </w:rPr>
        <w:footnoteReference w:id="41"/>
      </w:r>
      <w:r w:rsidR="007A2BC8">
        <w:rPr>
          <w:rFonts w:ascii="Gill Sans MT" w:hAnsi="Gill Sans MT" w:cs="Segoe UI"/>
          <w:color w:val="0F1419"/>
        </w:rPr>
        <w:t xml:space="preserve"> the shrinking of this doctrine </w:t>
      </w:r>
      <w:r w:rsidR="00A266CE">
        <w:rPr>
          <w:rFonts w:ascii="Gill Sans MT" w:hAnsi="Gill Sans MT" w:cs="Segoe UI"/>
          <w:color w:val="0F1419"/>
        </w:rPr>
        <w:t>is</w:t>
      </w:r>
      <w:r w:rsidR="007A2BC8">
        <w:rPr>
          <w:rFonts w:ascii="Gill Sans MT" w:hAnsi="Gill Sans MT" w:cs="Segoe UI"/>
          <w:color w:val="0F1419"/>
        </w:rPr>
        <w:t xml:space="preserve"> </w:t>
      </w:r>
      <w:r w:rsidR="00A266CE">
        <w:rPr>
          <w:rFonts w:ascii="Gill Sans MT" w:hAnsi="Gill Sans MT" w:cs="Segoe UI"/>
          <w:color w:val="0F1419"/>
        </w:rPr>
        <w:t xml:space="preserve">simply likely </w:t>
      </w:r>
      <w:r w:rsidR="007A2BC8">
        <w:rPr>
          <w:rFonts w:ascii="Gill Sans MT" w:hAnsi="Gill Sans MT" w:cs="Segoe UI"/>
          <w:color w:val="0F1419"/>
        </w:rPr>
        <w:t xml:space="preserve">have knock on consequences elsewhere, especially if it prompts greater legislative recourse to </w:t>
      </w:r>
      <w:r w:rsidR="00C46627">
        <w:rPr>
          <w:rFonts w:ascii="Gill Sans MT" w:hAnsi="Gill Sans MT" w:cs="Segoe UI"/>
          <w:color w:val="0F1419"/>
        </w:rPr>
        <w:t>ouster clauses</w:t>
      </w:r>
      <w:r w:rsidR="003E4275">
        <w:rPr>
          <w:rFonts w:ascii="Gill Sans MT" w:hAnsi="Gill Sans MT" w:cs="Segoe UI"/>
          <w:color w:val="0F1419"/>
        </w:rPr>
        <w:t>.</w:t>
      </w:r>
      <w:r w:rsidR="00C46627">
        <w:rPr>
          <w:rStyle w:val="FootnoteReference"/>
          <w:rFonts w:ascii="Gill Sans MT" w:hAnsi="Gill Sans MT" w:cs="Segoe UI"/>
          <w:color w:val="0F1419"/>
        </w:rPr>
        <w:footnoteReference w:id="42"/>
      </w:r>
      <w:r w:rsidR="00A266CE">
        <w:rPr>
          <w:rFonts w:ascii="Gill Sans MT" w:hAnsi="Gill Sans MT" w:cs="Segoe UI"/>
          <w:color w:val="0F1419"/>
        </w:rPr>
        <w:t xml:space="preserve"> </w:t>
      </w:r>
      <w:r w:rsidR="003E4275">
        <w:rPr>
          <w:rFonts w:ascii="Gill Sans MT" w:hAnsi="Gill Sans MT" w:cs="Segoe UI"/>
          <w:color w:val="0F1419"/>
        </w:rPr>
        <w:t xml:space="preserve"> This may both relocate and </w:t>
      </w:r>
      <w:proofErr w:type="spellStart"/>
      <w:r w:rsidR="003E4275">
        <w:rPr>
          <w:rFonts w:ascii="Gill Sans MT" w:hAnsi="Gill Sans MT" w:cs="Segoe UI"/>
          <w:color w:val="0F1419"/>
        </w:rPr>
        <w:t>reintensify</w:t>
      </w:r>
      <w:proofErr w:type="spellEnd"/>
      <w:r w:rsidR="003E4275">
        <w:rPr>
          <w:rFonts w:ascii="Gill Sans MT" w:hAnsi="Gill Sans MT" w:cs="Segoe UI"/>
          <w:color w:val="0F1419"/>
        </w:rPr>
        <w:t xml:space="preserve"> debate about the scope of the judicial role, especially if the courts continue to see </w:t>
      </w:r>
      <w:r w:rsidR="00F5280F">
        <w:rPr>
          <w:rFonts w:ascii="Gill Sans MT" w:hAnsi="Gill Sans MT" w:cs="Segoe UI"/>
          <w:color w:val="0F1419"/>
        </w:rPr>
        <w:t xml:space="preserve">ouster clauses </w:t>
      </w:r>
      <w:r w:rsidR="003E4275">
        <w:rPr>
          <w:rFonts w:ascii="Gill Sans MT" w:hAnsi="Gill Sans MT" w:cs="Segoe UI"/>
          <w:color w:val="0F1419"/>
        </w:rPr>
        <w:t>as an issue on which they may attempt to challenge parliamentary sovereignty.</w:t>
      </w:r>
      <w:r w:rsidR="003E4275">
        <w:rPr>
          <w:rStyle w:val="FootnoteReference"/>
          <w:rFonts w:ascii="Gill Sans MT" w:hAnsi="Gill Sans MT" w:cs="Segoe UI"/>
          <w:color w:val="0F1419"/>
        </w:rPr>
        <w:footnoteReference w:id="43"/>
      </w:r>
    </w:p>
    <w:p w14:paraId="24E0696D" w14:textId="35A2BFC3" w:rsidR="0080567A" w:rsidRDefault="00571732" w:rsidP="00C954A6">
      <w:pPr>
        <w:spacing w:after="0"/>
        <w:ind w:firstLine="720"/>
        <w:jc w:val="both"/>
        <w:rPr>
          <w:rFonts w:ascii="Gill Sans MT" w:hAnsi="Gill Sans MT"/>
        </w:rPr>
      </w:pPr>
      <w:r>
        <w:rPr>
          <w:rFonts w:ascii="Gill Sans MT" w:hAnsi="Gill Sans MT"/>
        </w:rPr>
        <w:t xml:space="preserve">Most fundamentally, however, the </w:t>
      </w:r>
      <w:r w:rsidR="00D13EF8">
        <w:rPr>
          <w:rFonts w:ascii="Gill Sans MT" w:hAnsi="Gill Sans MT"/>
        </w:rPr>
        <w:t>F</w:t>
      </w:r>
      <w:r w:rsidR="0073664E">
        <w:rPr>
          <w:rFonts w:ascii="Gill Sans MT" w:hAnsi="Gill Sans MT"/>
        </w:rPr>
        <w:t>DA</w:t>
      </w:r>
      <w:r>
        <w:rPr>
          <w:rFonts w:ascii="Gill Sans MT" w:hAnsi="Gill Sans MT"/>
        </w:rPr>
        <w:t xml:space="preserve"> case</w:t>
      </w:r>
      <w:r w:rsidR="0073664E">
        <w:rPr>
          <w:rFonts w:ascii="Gill Sans MT" w:hAnsi="Gill Sans MT"/>
        </w:rPr>
        <w:t xml:space="preserve"> reveals </w:t>
      </w:r>
      <w:r w:rsidR="00A07356">
        <w:rPr>
          <w:rFonts w:ascii="Gill Sans MT" w:hAnsi="Gill Sans MT"/>
        </w:rPr>
        <w:t>the</w:t>
      </w:r>
      <w:r>
        <w:rPr>
          <w:rFonts w:ascii="Gill Sans MT" w:hAnsi="Gill Sans MT"/>
        </w:rPr>
        <w:t xml:space="preserve"> significant </w:t>
      </w:r>
      <w:r w:rsidR="0073664E" w:rsidRPr="00227BAD">
        <w:rPr>
          <w:rFonts w:ascii="Gill Sans MT" w:hAnsi="Gill Sans MT" w:cs="Segoe UI"/>
          <w:color w:val="0F1419"/>
        </w:rPr>
        <w:t>disjunction between legal and political modes of accountability</w:t>
      </w:r>
      <w:r>
        <w:rPr>
          <w:rFonts w:ascii="Gill Sans MT" w:hAnsi="Gill Sans MT" w:cs="Segoe UI"/>
          <w:color w:val="0F1419"/>
        </w:rPr>
        <w:t>.</w:t>
      </w:r>
      <w:r w:rsidR="0073664E">
        <w:rPr>
          <w:rFonts w:ascii="Gill Sans MT" w:hAnsi="Gill Sans MT" w:cs="Segoe UI"/>
          <w:color w:val="0F1419"/>
        </w:rPr>
        <w:t xml:space="preserve">  </w:t>
      </w:r>
      <w:r w:rsidR="00677872">
        <w:rPr>
          <w:rFonts w:ascii="Gill Sans MT" w:hAnsi="Gill Sans MT" w:cs="Segoe UI"/>
          <w:color w:val="0F1419"/>
        </w:rPr>
        <w:t xml:space="preserve">There is of course still an important relationship between them, and accountability will (and should) often </w:t>
      </w:r>
      <w:r w:rsidR="00444D07">
        <w:rPr>
          <w:rFonts w:ascii="Gill Sans MT" w:hAnsi="Gill Sans MT" w:cs="Segoe UI"/>
          <w:color w:val="0F1419"/>
        </w:rPr>
        <w:t xml:space="preserve">be pursued through </w:t>
      </w:r>
      <w:r w:rsidR="00A07356">
        <w:rPr>
          <w:rFonts w:ascii="Gill Sans MT" w:hAnsi="Gill Sans MT" w:cs="Segoe UI"/>
          <w:color w:val="0F1419"/>
        </w:rPr>
        <w:t xml:space="preserve">both </w:t>
      </w:r>
      <w:r w:rsidR="00444D07">
        <w:rPr>
          <w:rFonts w:ascii="Gill Sans MT" w:hAnsi="Gill Sans MT" w:cs="Segoe UI"/>
          <w:color w:val="0F1419"/>
        </w:rPr>
        <w:t xml:space="preserve">law and politics </w:t>
      </w:r>
      <w:r w:rsidR="00EA34C8">
        <w:rPr>
          <w:rFonts w:ascii="Gill Sans MT" w:hAnsi="Gill Sans MT" w:cs="Segoe UI"/>
          <w:color w:val="0F1419"/>
        </w:rPr>
        <w:t>simultaneously</w:t>
      </w:r>
      <w:r w:rsidR="00677872">
        <w:rPr>
          <w:rFonts w:ascii="Gill Sans MT" w:hAnsi="Gill Sans MT" w:cs="Segoe UI"/>
          <w:color w:val="0F1419"/>
        </w:rPr>
        <w:t xml:space="preserve"> in many contexts and in relation to many specific government decisions.  F</w:t>
      </w:r>
      <w:r w:rsidR="0073664E">
        <w:rPr>
          <w:rFonts w:ascii="Gill Sans MT" w:hAnsi="Gill Sans MT" w:cs="Segoe UI"/>
          <w:color w:val="0F1419"/>
        </w:rPr>
        <w:t>uture courts should</w:t>
      </w:r>
      <w:r w:rsidR="00677872">
        <w:rPr>
          <w:rFonts w:ascii="Gill Sans MT" w:hAnsi="Gill Sans MT" w:cs="Segoe UI"/>
          <w:color w:val="0F1419"/>
        </w:rPr>
        <w:t>, however,</w:t>
      </w:r>
      <w:r w:rsidR="0073664E">
        <w:rPr>
          <w:rFonts w:ascii="Gill Sans MT" w:hAnsi="Gill Sans MT" w:cs="Segoe UI"/>
          <w:color w:val="0F1419"/>
        </w:rPr>
        <w:t xml:space="preserve"> be reluctant to take on claims relating to decision-making under the </w:t>
      </w:r>
      <w:r>
        <w:rPr>
          <w:rFonts w:ascii="Gill Sans MT" w:hAnsi="Gill Sans MT" w:cs="Segoe UI"/>
          <w:color w:val="0F1419"/>
        </w:rPr>
        <w:t xml:space="preserve">Ministerial Code, for to do so misjudges the </w:t>
      </w:r>
      <w:r w:rsidR="00A157C8">
        <w:rPr>
          <w:rFonts w:ascii="Gill Sans MT" w:hAnsi="Gill Sans MT" w:cs="Segoe UI"/>
          <w:color w:val="0F1419"/>
        </w:rPr>
        <w:t>scope o</w:t>
      </w:r>
      <w:r>
        <w:rPr>
          <w:rFonts w:ascii="Gill Sans MT" w:hAnsi="Gill Sans MT" w:cs="Segoe UI"/>
          <w:color w:val="0F1419"/>
        </w:rPr>
        <w:t>f judicial review.  There is much to be said about the many weaknesses of political accountability in the UK.  But these problems will not, and cannot, be solved in the courts</w:t>
      </w:r>
      <w:r w:rsidR="00677872">
        <w:rPr>
          <w:rFonts w:ascii="Gill Sans MT" w:hAnsi="Gill Sans MT" w:cs="Segoe UI"/>
          <w:color w:val="0F1419"/>
        </w:rPr>
        <w:t xml:space="preserve">, where legal standards of rationality or modes of interpretation simply </w:t>
      </w:r>
      <w:r w:rsidR="00A07356">
        <w:rPr>
          <w:rFonts w:ascii="Gill Sans MT" w:hAnsi="Gill Sans MT" w:cs="Segoe UI"/>
          <w:color w:val="0F1419"/>
        </w:rPr>
        <w:t>mischaracterise</w:t>
      </w:r>
      <w:r w:rsidR="00677872">
        <w:rPr>
          <w:rFonts w:ascii="Gill Sans MT" w:hAnsi="Gill Sans MT" w:cs="Segoe UI"/>
          <w:color w:val="0F1419"/>
        </w:rPr>
        <w:t xml:space="preserve"> the political </w:t>
      </w:r>
      <w:r w:rsidR="00A07356">
        <w:rPr>
          <w:rFonts w:ascii="Gill Sans MT" w:hAnsi="Gill Sans MT" w:cs="Segoe UI"/>
          <w:color w:val="0F1419"/>
        </w:rPr>
        <w:t xml:space="preserve">and constitutional </w:t>
      </w:r>
      <w:r w:rsidR="00704454">
        <w:rPr>
          <w:rFonts w:ascii="Gill Sans MT" w:hAnsi="Gill Sans MT" w:cs="Segoe UI"/>
          <w:color w:val="0F1419"/>
        </w:rPr>
        <w:t>considerations</w:t>
      </w:r>
      <w:r w:rsidR="00677872">
        <w:rPr>
          <w:rFonts w:ascii="Gill Sans MT" w:hAnsi="Gill Sans MT" w:cs="Segoe UI"/>
          <w:color w:val="0F1419"/>
        </w:rPr>
        <w:t xml:space="preserve"> which are unavoidably (and legitimately) at stake </w:t>
      </w:r>
      <w:r w:rsidR="00247295">
        <w:rPr>
          <w:rFonts w:ascii="Gill Sans MT" w:hAnsi="Gill Sans MT" w:cs="Segoe UI"/>
          <w:color w:val="0F1419"/>
        </w:rPr>
        <w:t xml:space="preserve">in relation to ministerial </w:t>
      </w:r>
      <w:r w:rsidR="00704454">
        <w:rPr>
          <w:rFonts w:ascii="Gill Sans MT" w:hAnsi="Gill Sans MT" w:cs="Segoe UI"/>
          <w:color w:val="0F1419"/>
        </w:rPr>
        <w:t xml:space="preserve">conduct and </w:t>
      </w:r>
      <w:r w:rsidR="00247295">
        <w:rPr>
          <w:rFonts w:ascii="Gill Sans MT" w:hAnsi="Gill Sans MT" w:cs="Segoe UI"/>
          <w:color w:val="0F1419"/>
        </w:rPr>
        <w:t>standards</w:t>
      </w:r>
      <w:r>
        <w:rPr>
          <w:rFonts w:ascii="Gill Sans MT" w:hAnsi="Gill Sans MT" w:cs="Segoe UI"/>
          <w:color w:val="0F1419"/>
        </w:rPr>
        <w:t xml:space="preserve">.  </w:t>
      </w:r>
      <w:r w:rsidR="00BB62E6">
        <w:rPr>
          <w:rFonts w:ascii="Gill Sans MT" w:hAnsi="Gill Sans MT"/>
        </w:rPr>
        <w:t>The constitutional role of the courts is not to provide an</w:t>
      </w:r>
      <w:r w:rsidR="004367A8" w:rsidRPr="00BB62E6">
        <w:rPr>
          <w:rFonts w:ascii="Gill Sans MT" w:hAnsi="Gill Sans MT"/>
        </w:rPr>
        <w:t xml:space="preserve"> all</w:t>
      </w:r>
      <w:r w:rsidR="006F616A" w:rsidRPr="00BB62E6">
        <w:rPr>
          <w:rFonts w:ascii="Gill Sans MT" w:hAnsi="Gill Sans MT"/>
        </w:rPr>
        <w:t>-</w:t>
      </w:r>
      <w:r w:rsidR="004367A8" w:rsidRPr="00BB62E6">
        <w:rPr>
          <w:rFonts w:ascii="Gill Sans MT" w:hAnsi="Gill Sans MT"/>
        </w:rPr>
        <w:t>purpose accountability forum</w:t>
      </w:r>
      <w:r w:rsidR="00BB62E6">
        <w:rPr>
          <w:rFonts w:ascii="Gill Sans MT" w:hAnsi="Gill Sans MT"/>
        </w:rPr>
        <w:t xml:space="preserve"> in the UK, and there are good</w:t>
      </w:r>
      <w:r w:rsidR="009E5FB2">
        <w:rPr>
          <w:rFonts w:ascii="Gill Sans MT" w:hAnsi="Gill Sans MT"/>
        </w:rPr>
        <w:t xml:space="preserve"> </w:t>
      </w:r>
      <w:r w:rsidR="00BB62E6">
        <w:rPr>
          <w:rFonts w:ascii="Gill Sans MT" w:hAnsi="Gill Sans MT"/>
        </w:rPr>
        <w:t xml:space="preserve">reasons for them to leave questions </w:t>
      </w:r>
      <w:r w:rsidR="003A492C">
        <w:rPr>
          <w:rFonts w:ascii="Gill Sans MT" w:hAnsi="Gill Sans MT"/>
        </w:rPr>
        <w:t xml:space="preserve">of political accountability to be confronted (even imperfectly) according to a </w:t>
      </w:r>
      <w:r w:rsidR="00BB62E6">
        <w:rPr>
          <w:rFonts w:ascii="Gill Sans MT" w:hAnsi="Gill Sans MT"/>
        </w:rPr>
        <w:t>framework of political responsibilit</w:t>
      </w:r>
      <w:r w:rsidR="00D354E8">
        <w:rPr>
          <w:rFonts w:ascii="Gill Sans MT" w:hAnsi="Gill Sans MT"/>
        </w:rPr>
        <w:t>ies.</w:t>
      </w:r>
      <w:r w:rsidR="00EB71E2">
        <w:rPr>
          <w:rFonts w:ascii="Gill Sans MT" w:hAnsi="Gill Sans MT"/>
        </w:rPr>
        <w:t xml:space="preserve">  </w:t>
      </w:r>
      <w:r w:rsidR="009943D5">
        <w:rPr>
          <w:rFonts w:ascii="Gill Sans MT" w:hAnsi="Gill Sans MT"/>
        </w:rPr>
        <w:t>For meaningful change to occur, t</w:t>
      </w:r>
      <w:r w:rsidR="00EB71E2">
        <w:rPr>
          <w:rFonts w:ascii="Gill Sans MT" w:hAnsi="Gill Sans MT"/>
        </w:rPr>
        <w:t>he UK’s framework of political responsibility needs to be reinvigorated rather than litigated.</w:t>
      </w:r>
    </w:p>
    <w:p w14:paraId="22074988" w14:textId="77777777" w:rsidR="0007063E" w:rsidRPr="00F30924" w:rsidRDefault="0007063E">
      <w:pPr>
        <w:spacing w:after="0"/>
        <w:rPr>
          <w:rFonts w:ascii="Gill Sans MT" w:hAnsi="Gill Sans MT"/>
        </w:rPr>
      </w:pPr>
    </w:p>
    <w:sectPr w:rsidR="0007063E" w:rsidRPr="00F309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4016" w14:textId="77777777" w:rsidR="004F79FD" w:rsidRDefault="004F79FD" w:rsidP="00C962B0">
      <w:pPr>
        <w:spacing w:after="0" w:line="240" w:lineRule="auto"/>
      </w:pPr>
      <w:r>
        <w:separator/>
      </w:r>
    </w:p>
  </w:endnote>
  <w:endnote w:type="continuationSeparator" w:id="0">
    <w:p w14:paraId="49FEDEF0" w14:textId="77777777" w:rsidR="004F79FD" w:rsidRDefault="004F79FD" w:rsidP="00C9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172828"/>
      <w:docPartObj>
        <w:docPartGallery w:val="Page Numbers (Bottom of Page)"/>
        <w:docPartUnique/>
      </w:docPartObj>
    </w:sdtPr>
    <w:sdtEndPr>
      <w:rPr>
        <w:noProof/>
      </w:rPr>
    </w:sdtEndPr>
    <w:sdtContent>
      <w:p w14:paraId="0C6F4481" w14:textId="15B4C852" w:rsidR="008F2A48" w:rsidRDefault="008F2A48">
        <w:pPr>
          <w:pStyle w:val="Footer"/>
          <w:jc w:val="center"/>
        </w:pPr>
        <w:r w:rsidRPr="008F2A48">
          <w:rPr>
            <w:rFonts w:ascii="Gill Sans MT" w:hAnsi="Gill Sans MT"/>
          </w:rPr>
          <w:fldChar w:fldCharType="begin"/>
        </w:r>
        <w:r w:rsidRPr="008F2A48">
          <w:rPr>
            <w:rFonts w:ascii="Gill Sans MT" w:hAnsi="Gill Sans MT"/>
          </w:rPr>
          <w:instrText xml:space="preserve"> PAGE   \* MERGEFORMAT </w:instrText>
        </w:r>
        <w:r w:rsidRPr="008F2A48">
          <w:rPr>
            <w:rFonts w:ascii="Gill Sans MT" w:hAnsi="Gill Sans MT"/>
          </w:rPr>
          <w:fldChar w:fldCharType="separate"/>
        </w:r>
        <w:r w:rsidRPr="008F2A48">
          <w:rPr>
            <w:rFonts w:ascii="Gill Sans MT" w:hAnsi="Gill Sans MT"/>
            <w:noProof/>
          </w:rPr>
          <w:t>2</w:t>
        </w:r>
        <w:r w:rsidRPr="008F2A48">
          <w:rPr>
            <w:rFonts w:ascii="Gill Sans MT" w:hAnsi="Gill Sans MT"/>
            <w:noProof/>
          </w:rPr>
          <w:fldChar w:fldCharType="end"/>
        </w:r>
      </w:p>
    </w:sdtContent>
  </w:sdt>
  <w:p w14:paraId="32865CD4" w14:textId="77777777" w:rsidR="008F2A48" w:rsidRDefault="008F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C6D8" w14:textId="77777777" w:rsidR="004F79FD" w:rsidRDefault="004F79FD" w:rsidP="00C962B0">
      <w:pPr>
        <w:spacing w:after="0" w:line="240" w:lineRule="auto"/>
      </w:pPr>
      <w:r>
        <w:separator/>
      </w:r>
    </w:p>
  </w:footnote>
  <w:footnote w:type="continuationSeparator" w:id="0">
    <w:p w14:paraId="1F744288" w14:textId="77777777" w:rsidR="004F79FD" w:rsidRDefault="004F79FD" w:rsidP="00C962B0">
      <w:pPr>
        <w:spacing w:after="0" w:line="240" w:lineRule="auto"/>
      </w:pPr>
      <w:r>
        <w:continuationSeparator/>
      </w:r>
    </w:p>
  </w:footnote>
  <w:footnote w:id="1">
    <w:p w14:paraId="3885F1AE" w14:textId="685899D2" w:rsidR="008935C9" w:rsidRDefault="008935C9">
      <w:pPr>
        <w:pStyle w:val="FootnoteText"/>
        <w:rPr>
          <w:rFonts w:ascii="Gill Sans MT" w:hAnsi="Gill Sans MT"/>
        </w:rPr>
      </w:pPr>
      <w:r>
        <w:rPr>
          <w:rFonts w:ascii="Gill Sans MT" w:hAnsi="Gill Sans MT"/>
        </w:rPr>
        <w:t>* I’m grateful to Adam Tucker and the reviewer for their helpful comments.</w:t>
      </w:r>
    </w:p>
    <w:p w14:paraId="34A9E79E" w14:textId="64A2117E" w:rsidR="00963117" w:rsidRPr="00851D7B" w:rsidRDefault="00963117">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[2021] EWHC 3279 (Admin).</w:t>
      </w:r>
    </w:p>
  </w:footnote>
  <w:footnote w:id="2">
    <w:p w14:paraId="4CDFE8F2" w14:textId="6B0EDF0A" w:rsidR="00C962B0" w:rsidRPr="00851D7B" w:rsidRDefault="00C962B0">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Ministerial Code (2019), para 1.2.</w:t>
      </w:r>
    </w:p>
  </w:footnote>
  <w:footnote w:id="3">
    <w:p w14:paraId="4279F0E3" w14:textId="3A4ED577" w:rsidR="00C95D9A" w:rsidRPr="00851D7B" w:rsidRDefault="00C95D9A">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Findings of the Independent Adviser (Cabinet Office, 20 November 2020): https://assets.publishing.service.gov.uk/government/uploads/system/uploads/attachment_data/file/937010/Findings_of_the_Independent_Adviser.pdf</w:t>
      </w:r>
    </w:p>
  </w:footnote>
  <w:footnote w:id="4">
    <w:p w14:paraId="052B710E" w14:textId="072E14EE" w:rsidR="00F91E18" w:rsidRPr="00851D7B" w:rsidRDefault="00F91E18">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Ministerial Code Investigation: Government Statement (Cabinet Office, 20 November 2020): https://www.gov.uk/government/news/ministerial-code-investigation</w:t>
      </w:r>
    </w:p>
  </w:footnote>
  <w:footnote w:id="5">
    <w:p w14:paraId="14CB510E" w14:textId="66BCD0F3" w:rsidR="008D421B" w:rsidRDefault="008D421B">
      <w:pPr>
        <w:pStyle w:val="FootnoteText"/>
      </w:pPr>
      <w:r w:rsidRPr="00851D7B">
        <w:rPr>
          <w:rStyle w:val="FootnoteReference"/>
          <w:rFonts w:ascii="Gill Sans MT" w:hAnsi="Gill Sans MT"/>
        </w:rPr>
        <w:footnoteRef/>
      </w:r>
      <w:r w:rsidRPr="00851D7B">
        <w:rPr>
          <w:rFonts w:ascii="Gill Sans MT" w:hAnsi="Gill Sans MT"/>
        </w:rPr>
        <w:t xml:space="preserve"> </w:t>
      </w:r>
      <w:r w:rsidR="008D7D9E" w:rsidRPr="00851D7B">
        <w:rPr>
          <w:rFonts w:ascii="Gill Sans MT" w:hAnsi="Gill Sans MT"/>
        </w:rPr>
        <w:t>[2021] EWHC 2192 (Admin).</w:t>
      </w:r>
    </w:p>
  </w:footnote>
  <w:footnote w:id="6">
    <w:p w14:paraId="023060C9" w14:textId="0D1F7DCE" w:rsidR="00CC1419" w:rsidRPr="00851D7B" w:rsidRDefault="00CC1419">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[2014] UKSC 33, </w:t>
      </w:r>
      <w:proofErr w:type="spellStart"/>
      <w:r w:rsidRPr="00851D7B">
        <w:rPr>
          <w:rFonts w:ascii="Gill Sans MT" w:hAnsi="Gill Sans MT"/>
        </w:rPr>
        <w:t>esp</w:t>
      </w:r>
      <w:proofErr w:type="spellEnd"/>
      <w:r w:rsidRPr="00851D7B">
        <w:rPr>
          <w:rFonts w:ascii="Gill Sans MT" w:hAnsi="Gill Sans MT"/>
        </w:rPr>
        <w:t xml:space="preserve"> </w:t>
      </w:r>
      <w:r w:rsidR="008935C9">
        <w:rPr>
          <w:rFonts w:ascii="Gill Sans MT" w:hAnsi="Gill Sans MT"/>
        </w:rPr>
        <w:t>at</w:t>
      </w:r>
      <w:r w:rsidRPr="00851D7B">
        <w:rPr>
          <w:rFonts w:ascii="Gill Sans MT" w:hAnsi="Gill Sans MT"/>
        </w:rPr>
        <w:t xml:space="preserve"> [41]-[43].</w:t>
      </w:r>
    </w:p>
  </w:footnote>
  <w:footnote w:id="7">
    <w:p w14:paraId="33F18F04" w14:textId="0C29FE16" w:rsidR="00FB273A" w:rsidRPr="00851D7B" w:rsidRDefault="00FB273A">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[2021] EWHC 3279 (Admin)</w:t>
      </w:r>
      <w:r w:rsidR="008935C9">
        <w:rPr>
          <w:rFonts w:ascii="Gill Sans MT" w:hAnsi="Gill Sans MT"/>
        </w:rPr>
        <w:t xml:space="preserve"> at</w:t>
      </w:r>
      <w:r w:rsidRPr="00851D7B">
        <w:rPr>
          <w:rFonts w:ascii="Gill Sans MT" w:hAnsi="Gill Sans MT"/>
        </w:rPr>
        <w:t xml:space="preserve"> [38].</w:t>
      </w:r>
    </w:p>
  </w:footnote>
  <w:footnote w:id="8">
    <w:p w14:paraId="650D2FE3" w14:textId="420558F3" w:rsidR="00C826C8" w:rsidRPr="00851D7B" w:rsidRDefault="00C826C8" w:rsidP="00C826C8">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[2021] EWHC 3279 (Admin)</w:t>
      </w:r>
      <w:r w:rsidR="008935C9">
        <w:rPr>
          <w:rFonts w:ascii="Gill Sans MT" w:hAnsi="Gill Sans MT"/>
        </w:rPr>
        <w:t xml:space="preserve"> at</w:t>
      </w:r>
      <w:r w:rsidRPr="00851D7B">
        <w:rPr>
          <w:rFonts w:ascii="Gill Sans MT" w:hAnsi="Gill Sans MT"/>
        </w:rPr>
        <w:t xml:space="preserve"> [39].</w:t>
      </w:r>
    </w:p>
  </w:footnote>
  <w:footnote w:id="9">
    <w:p w14:paraId="257C8FC7" w14:textId="62323CA4" w:rsidR="00E8390F" w:rsidRDefault="00E8390F">
      <w:pPr>
        <w:pStyle w:val="FootnoteText"/>
      </w:pPr>
      <w:r w:rsidRPr="00851D7B">
        <w:rPr>
          <w:rStyle w:val="FootnoteReference"/>
          <w:rFonts w:ascii="Gill Sans MT" w:hAnsi="Gill Sans MT"/>
        </w:rPr>
        <w:footnoteRef/>
      </w:r>
      <w:r w:rsidRPr="00851D7B">
        <w:rPr>
          <w:rFonts w:ascii="Gill Sans MT" w:hAnsi="Gill Sans MT"/>
        </w:rPr>
        <w:t xml:space="preserve"> [2021] EWHC 3279 (Admin)</w:t>
      </w:r>
      <w:r w:rsidR="008935C9">
        <w:rPr>
          <w:rFonts w:ascii="Gill Sans MT" w:hAnsi="Gill Sans MT"/>
        </w:rPr>
        <w:t xml:space="preserve"> at</w:t>
      </w:r>
      <w:r w:rsidRPr="00851D7B">
        <w:rPr>
          <w:rFonts w:ascii="Gill Sans MT" w:hAnsi="Gill Sans MT"/>
        </w:rPr>
        <w:t xml:space="preserve"> [41].</w:t>
      </w:r>
    </w:p>
  </w:footnote>
  <w:footnote w:id="10">
    <w:p w14:paraId="35268BBB" w14:textId="68BC9E09" w:rsidR="00636111" w:rsidRPr="00276F6E" w:rsidRDefault="00636111">
      <w:pPr>
        <w:pStyle w:val="FootnoteText"/>
        <w:rPr>
          <w:rFonts w:ascii="Gill Sans MT" w:hAnsi="Gill Sans MT"/>
        </w:rPr>
      </w:pPr>
      <w:r w:rsidRPr="00276F6E">
        <w:rPr>
          <w:rStyle w:val="FootnoteReference"/>
          <w:rFonts w:ascii="Gill Sans MT" w:hAnsi="Gill Sans MT"/>
        </w:rPr>
        <w:footnoteRef/>
      </w:r>
      <w:r w:rsidRPr="00276F6E">
        <w:rPr>
          <w:rFonts w:ascii="Gill Sans MT" w:hAnsi="Gill Sans MT"/>
        </w:rPr>
        <w:t xml:space="preserve"> </w:t>
      </w:r>
      <w:r w:rsidR="00BB1286" w:rsidRPr="00276F6E">
        <w:rPr>
          <w:rFonts w:ascii="Gill Sans MT" w:hAnsi="Gill Sans MT" w:cs="Arial"/>
          <w:i/>
          <w:iCs/>
          <w:shd w:val="clear" w:color="auto" w:fill="FFFFFF"/>
        </w:rPr>
        <w:t>Council of Civil Service Unions</w:t>
      </w:r>
      <w:r w:rsidR="00BB1286" w:rsidRPr="00276F6E">
        <w:rPr>
          <w:rFonts w:ascii="Gill Sans MT" w:hAnsi="Gill Sans MT" w:cs="Arial"/>
          <w:shd w:val="clear" w:color="auto" w:fill="FFFFFF"/>
        </w:rPr>
        <w:t xml:space="preserve"> v </w:t>
      </w:r>
      <w:r w:rsidR="00BB1286" w:rsidRPr="00276F6E">
        <w:rPr>
          <w:rFonts w:ascii="Gill Sans MT" w:hAnsi="Gill Sans MT" w:cs="Arial"/>
          <w:i/>
          <w:iCs/>
          <w:shd w:val="clear" w:color="auto" w:fill="FFFFFF"/>
        </w:rPr>
        <w:t>Minister for the Civil Service</w:t>
      </w:r>
      <w:r w:rsidR="00BB1286" w:rsidRPr="00276F6E">
        <w:rPr>
          <w:rFonts w:ascii="Gill Sans MT" w:hAnsi="Gill Sans MT" w:cs="Arial"/>
          <w:shd w:val="clear" w:color="auto" w:fill="FFFFFF"/>
        </w:rPr>
        <w:t xml:space="preserve"> [1984] UKHL 9.</w:t>
      </w:r>
    </w:p>
  </w:footnote>
  <w:footnote w:id="11">
    <w:p w14:paraId="5971E250" w14:textId="63072884" w:rsidR="00C03500" w:rsidRPr="00276F6E" w:rsidRDefault="00C03500">
      <w:pPr>
        <w:pStyle w:val="FootnoteText"/>
        <w:rPr>
          <w:rFonts w:ascii="Gill Sans MT" w:hAnsi="Gill Sans MT"/>
        </w:rPr>
      </w:pPr>
      <w:r w:rsidRPr="00276F6E">
        <w:rPr>
          <w:rStyle w:val="FootnoteReference"/>
          <w:rFonts w:ascii="Gill Sans MT" w:hAnsi="Gill Sans MT"/>
        </w:rPr>
        <w:footnoteRef/>
      </w:r>
      <w:r w:rsidRPr="00276F6E">
        <w:rPr>
          <w:rFonts w:ascii="Gill Sans MT" w:hAnsi="Gill Sans MT"/>
        </w:rPr>
        <w:t xml:space="preserve"> </w:t>
      </w:r>
      <w:r w:rsidR="00276F6E" w:rsidRPr="00276F6E">
        <w:rPr>
          <w:rFonts w:ascii="Gill Sans MT" w:hAnsi="Gill Sans MT"/>
          <w:i/>
          <w:iCs/>
        </w:rPr>
        <w:t>Campaign for Nuclear Disarmament</w:t>
      </w:r>
      <w:r w:rsidR="00276F6E" w:rsidRPr="00276F6E">
        <w:rPr>
          <w:rFonts w:ascii="Gill Sans MT" w:hAnsi="Gill Sans MT"/>
        </w:rPr>
        <w:t xml:space="preserve"> v </w:t>
      </w:r>
      <w:r w:rsidR="00276F6E" w:rsidRPr="00276F6E">
        <w:rPr>
          <w:rFonts w:ascii="Gill Sans MT" w:hAnsi="Gill Sans MT"/>
          <w:i/>
          <w:iCs/>
        </w:rPr>
        <w:t>Prime Minister</w:t>
      </w:r>
      <w:r w:rsidR="00276F6E" w:rsidRPr="00276F6E">
        <w:rPr>
          <w:rFonts w:ascii="Gill Sans MT" w:hAnsi="Gill Sans MT"/>
        </w:rPr>
        <w:t xml:space="preserve"> [2002] EWHC 2777 (Admin)</w:t>
      </w:r>
      <w:r w:rsidR="00276F6E">
        <w:rPr>
          <w:rFonts w:ascii="Gill Sans MT" w:hAnsi="Gill Sans MT"/>
        </w:rPr>
        <w:t xml:space="preserve">, </w:t>
      </w:r>
      <w:proofErr w:type="spellStart"/>
      <w:r w:rsidR="00077D06" w:rsidRPr="00276F6E">
        <w:rPr>
          <w:rFonts w:ascii="Gill Sans MT" w:hAnsi="Gill Sans MT" w:cs="Segoe UI"/>
        </w:rPr>
        <w:t>eg</w:t>
      </w:r>
      <w:proofErr w:type="spellEnd"/>
      <w:r w:rsidR="00077D06" w:rsidRPr="00276F6E">
        <w:rPr>
          <w:rFonts w:ascii="Gill Sans MT" w:hAnsi="Gill Sans MT" w:cs="Segoe UI"/>
        </w:rPr>
        <w:t xml:space="preserve"> at [47].</w:t>
      </w:r>
    </w:p>
  </w:footnote>
  <w:footnote w:id="12">
    <w:p w14:paraId="6438AC59" w14:textId="4D1882D1" w:rsidR="00C03500" w:rsidRPr="00BB1286" w:rsidRDefault="00C03500">
      <w:pPr>
        <w:pStyle w:val="FootnoteText"/>
        <w:rPr>
          <w:rFonts w:ascii="Gill Sans MT" w:hAnsi="Gill Sans MT"/>
        </w:rPr>
      </w:pPr>
      <w:r w:rsidRPr="00276F6E">
        <w:rPr>
          <w:rStyle w:val="FootnoteReference"/>
          <w:rFonts w:ascii="Gill Sans MT" w:hAnsi="Gill Sans MT"/>
        </w:rPr>
        <w:footnoteRef/>
      </w:r>
      <w:r w:rsidRPr="00276F6E">
        <w:rPr>
          <w:rFonts w:ascii="Gill Sans MT" w:hAnsi="Gill Sans MT"/>
        </w:rPr>
        <w:t xml:space="preserve"> </w:t>
      </w:r>
      <w:r w:rsidR="00276F6E">
        <w:rPr>
          <w:rFonts w:ascii="Gill Sans MT" w:hAnsi="Gill Sans MT"/>
          <w:i/>
          <w:iCs/>
        </w:rPr>
        <w:t>R (</w:t>
      </w:r>
      <w:r w:rsidR="00077D06" w:rsidRPr="00276F6E">
        <w:rPr>
          <w:rFonts w:ascii="Gill Sans MT" w:hAnsi="Gill Sans MT"/>
          <w:i/>
          <w:iCs/>
        </w:rPr>
        <w:t>Al</w:t>
      </w:r>
      <w:r w:rsidR="00077D06" w:rsidRPr="00276F6E">
        <w:rPr>
          <w:rFonts w:ascii="Gill Sans MT" w:hAnsi="Gill Sans MT"/>
        </w:rPr>
        <w:t>-</w:t>
      </w:r>
      <w:r w:rsidR="00077D06" w:rsidRPr="00276F6E">
        <w:rPr>
          <w:rFonts w:ascii="Gill Sans MT" w:hAnsi="Gill Sans MT"/>
          <w:i/>
          <w:iCs/>
        </w:rPr>
        <w:t>Haq</w:t>
      </w:r>
      <w:r w:rsidR="00276F6E">
        <w:rPr>
          <w:rFonts w:ascii="Gill Sans MT" w:hAnsi="Gill Sans MT"/>
          <w:i/>
          <w:iCs/>
        </w:rPr>
        <w:t xml:space="preserve">) </w:t>
      </w:r>
      <w:r w:rsidR="00276F6E">
        <w:rPr>
          <w:rFonts w:ascii="Gill Sans MT" w:hAnsi="Gill Sans MT"/>
        </w:rPr>
        <w:t xml:space="preserve">v </w:t>
      </w:r>
      <w:r w:rsidR="00276F6E" w:rsidRPr="00276F6E">
        <w:rPr>
          <w:rFonts w:ascii="Gill Sans MT" w:hAnsi="Gill Sans MT"/>
          <w:i/>
          <w:iCs/>
        </w:rPr>
        <w:t>Secretary of State for Foreign and Commonwealth Affairs</w:t>
      </w:r>
      <w:r w:rsidR="00276F6E">
        <w:rPr>
          <w:rFonts w:ascii="Gill Sans MT" w:hAnsi="Gill Sans MT"/>
        </w:rPr>
        <w:t xml:space="preserve"> </w:t>
      </w:r>
      <w:r w:rsidR="00276F6E" w:rsidRPr="00851D7B">
        <w:rPr>
          <w:rFonts w:ascii="Gill Sans MT" w:hAnsi="Gill Sans MT"/>
        </w:rPr>
        <w:t>[20</w:t>
      </w:r>
      <w:r w:rsidR="00276F6E">
        <w:rPr>
          <w:rFonts w:ascii="Gill Sans MT" w:hAnsi="Gill Sans MT"/>
        </w:rPr>
        <w:t>09</w:t>
      </w:r>
      <w:r w:rsidR="00276F6E" w:rsidRPr="00851D7B">
        <w:rPr>
          <w:rFonts w:ascii="Gill Sans MT" w:hAnsi="Gill Sans MT"/>
        </w:rPr>
        <w:t xml:space="preserve">] EWHC </w:t>
      </w:r>
      <w:r w:rsidR="00276F6E">
        <w:rPr>
          <w:rFonts w:ascii="Gill Sans MT" w:hAnsi="Gill Sans MT"/>
        </w:rPr>
        <w:t>1910</w:t>
      </w:r>
      <w:r w:rsidR="00276F6E" w:rsidRPr="00851D7B">
        <w:rPr>
          <w:rFonts w:ascii="Gill Sans MT" w:hAnsi="Gill Sans MT"/>
        </w:rPr>
        <w:t xml:space="preserve"> (Admin), </w:t>
      </w:r>
      <w:proofErr w:type="spellStart"/>
      <w:r w:rsidR="00276F6E">
        <w:rPr>
          <w:rFonts w:ascii="Gill Sans MT" w:hAnsi="Gill Sans MT"/>
        </w:rPr>
        <w:t>eg</w:t>
      </w:r>
      <w:proofErr w:type="spellEnd"/>
      <w:r w:rsidR="00077D06" w:rsidRPr="00276F6E">
        <w:rPr>
          <w:rFonts w:ascii="Gill Sans MT" w:hAnsi="Gill Sans MT"/>
        </w:rPr>
        <w:t xml:space="preserve"> at [41], [53</w:t>
      </w:r>
      <w:r w:rsidR="00EF65E6" w:rsidRPr="00276F6E">
        <w:rPr>
          <w:rFonts w:ascii="Gill Sans MT" w:hAnsi="Gill Sans MT"/>
        </w:rPr>
        <w:t>].</w:t>
      </w:r>
    </w:p>
  </w:footnote>
  <w:footnote w:id="13">
    <w:p w14:paraId="79E40649" w14:textId="3C4D3BAA" w:rsidR="009E2B5A" w:rsidRPr="00851D7B" w:rsidRDefault="009E2B5A">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w:t>
      </w:r>
      <w:r w:rsidR="004550A2" w:rsidRPr="00851D7B">
        <w:rPr>
          <w:rFonts w:ascii="Gill Sans MT" w:hAnsi="Gill Sans MT"/>
        </w:rPr>
        <w:t>[2017] UKSC 5</w:t>
      </w:r>
      <w:r w:rsidR="008935C9">
        <w:rPr>
          <w:rFonts w:ascii="Gill Sans MT" w:hAnsi="Gill Sans MT"/>
        </w:rPr>
        <w:t xml:space="preserve"> at</w:t>
      </w:r>
      <w:r w:rsidR="004550A2" w:rsidRPr="00851D7B">
        <w:rPr>
          <w:rFonts w:ascii="Gill Sans MT" w:hAnsi="Gill Sans MT"/>
        </w:rPr>
        <w:t xml:space="preserve"> </w:t>
      </w:r>
      <w:r w:rsidRPr="00851D7B">
        <w:rPr>
          <w:rFonts w:ascii="Gill Sans MT" w:hAnsi="Gill Sans MT"/>
        </w:rPr>
        <w:t>[146].</w:t>
      </w:r>
    </w:p>
  </w:footnote>
  <w:footnote w:id="14">
    <w:p w14:paraId="2F8F52A5" w14:textId="79F6CBA9" w:rsidR="004550A2" w:rsidRPr="00851D7B" w:rsidRDefault="004550A2">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[2017] UKSC 5</w:t>
      </w:r>
      <w:r w:rsidR="008935C9">
        <w:rPr>
          <w:rFonts w:ascii="Gill Sans MT" w:hAnsi="Gill Sans MT"/>
        </w:rPr>
        <w:t xml:space="preserve"> at</w:t>
      </w:r>
      <w:r w:rsidRPr="00851D7B">
        <w:rPr>
          <w:rFonts w:ascii="Gill Sans MT" w:hAnsi="Gill Sans MT"/>
        </w:rPr>
        <w:t xml:space="preserve"> [151].</w:t>
      </w:r>
    </w:p>
  </w:footnote>
  <w:footnote w:id="15">
    <w:p w14:paraId="7B95549E" w14:textId="03E6C42F" w:rsidR="00D416A4" w:rsidRPr="00851D7B" w:rsidRDefault="00D416A4">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w:t>
      </w:r>
      <w:r w:rsidR="00DB6572" w:rsidRPr="00851D7B">
        <w:rPr>
          <w:rFonts w:ascii="Gill Sans MT" w:hAnsi="Gill Sans MT"/>
        </w:rPr>
        <w:t xml:space="preserve">[2018] EWCA </w:t>
      </w:r>
      <w:proofErr w:type="spellStart"/>
      <w:r w:rsidR="00DB6572" w:rsidRPr="00851D7B">
        <w:rPr>
          <w:rFonts w:ascii="Gill Sans MT" w:hAnsi="Gill Sans MT"/>
        </w:rPr>
        <w:t>Civ</w:t>
      </w:r>
      <w:proofErr w:type="spellEnd"/>
      <w:r w:rsidR="00DB6572" w:rsidRPr="00851D7B">
        <w:rPr>
          <w:rFonts w:ascii="Gill Sans MT" w:hAnsi="Gill Sans MT"/>
        </w:rPr>
        <w:t xml:space="preserve"> 1855.</w:t>
      </w:r>
    </w:p>
  </w:footnote>
  <w:footnote w:id="16">
    <w:p w14:paraId="7D5E7663" w14:textId="0BF0099C" w:rsidR="00A67E4B" w:rsidRPr="00851D7B" w:rsidRDefault="00A67E4B">
      <w:pPr>
        <w:pStyle w:val="FootnoteText"/>
        <w:rPr>
          <w:rFonts w:ascii="Gill Sans MT" w:hAnsi="Gill Sans MT"/>
        </w:rPr>
      </w:pPr>
      <w:r w:rsidRPr="00851D7B">
        <w:rPr>
          <w:rStyle w:val="FootnoteReference"/>
          <w:rFonts w:ascii="Gill Sans MT" w:hAnsi="Gill Sans MT"/>
        </w:rPr>
        <w:footnoteRef/>
      </w:r>
      <w:r w:rsidR="003F07DA" w:rsidRPr="00851D7B">
        <w:rPr>
          <w:rFonts w:ascii="Gill Sans MT" w:hAnsi="Gill Sans MT"/>
        </w:rPr>
        <w:t xml:space="preserve"> [2018] EWCA </w:t>
      </w:r>
      <w:proofErr w:type="spellStart"/>
      <w:r w:rsidR="003F07DA" w:rsidRPr="00851D7B">
        <w:rPr>
          <w:rFonts w:ascii="Gill Sans MT" w:hAnsi="Gill Sans MT"/>
        </w:rPr>
        <w:t>Civ</w:t>
      </w:r>
      <w:proofErr w:type="spellEnd"/>
      <w:r w:rsidR="003F07DA" w:rsidRPr="00851D7B">
        <w:rPr>
          <w:rFonts w:ascii="Gill Sans MT" w:hAnsi="Gill Sans MT"/>
        </w:rPr>
        <w:t xml:space="preserve"> 1855</w:t>
      </w:r>
      <w:r w:rsidR="008935C9">
        <w:rPr>
          <w:rFonts w:ascii="Gill Sans MT" w:hAnsi="Gill Sans MT"/>
        </w:rPr>
        <w:t xml:space="preserve"> at</w:t>
      </w:r>
      <w:r w:rsidRPr="00851D7B">
        <w:rPr>
          <w:rFonts w:ascii="Gill Sans MT" w:hAnsi="Gill Sans MT"/>
        </w:rPr>
        <w:t xml:space="preserve"> </w:t>
      </w:r>
      <w:r w:rsidR="003F07DA" w:rsidRPr="00851D7B">
        <w:rPr>
          <w:rFonts w:ascii="Gill Sans MT" w:hAnsi="Gill Sans MT"/>
        </w:rPr>
        <w:t>[19].</w:t>
      </w:r>
    </w:p>
  </w:footnote>
  <w:footnote w:id="17">
    <w:p w14:paraId="63AC80F5" w14:textId="12AD58DA" w:rsidR="0018410B" w:rsidRPr="00851D7B" w:rsidRDefault="0018410B">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w:t>
      </w:r>
      <w:r w:rsidRPr="00851D7B">
        <w:rPr>
          <w:rStyle w:val="Emphasis"/>
          <w:rFonts w:ascii="Gill Sans MT" w:hAnsi="Gill Sans MT"/>
          <w:shd w:val="clear" w:color="auto" w:fill="FFFFFF"/>
        </w:rPr>
        <w:t>Safe Electricity A&amp;T Limited</w:t>
      </w:r>
      <w:r w:rsidRPr="00851D7B">
        <w:rPr>
          <w:rFonts w:ascii="Gill Sans MT" w:hAnsi="Gill Sans MT"/>
          <w:shd w:val="clear" w:color="auto" w:fill="FFFFFF"/>
        </w:rPr>
        <w:t> [2021] NIQB 93</w:t>
      </w:r>
      <w:r w:rsidR="008935C9">
        <w:rPr>
          <w:rFonts w:ascii="Gill Sans MT" w:hAnsi="Gill Sans MT"/>
        </w:rPr>
        <w:t xml:space="preserve"> at</w:t>
      </w:r>
      <w:r w:rsidRPr="00851D7B">
        <w:rPr>
          <w:rFonts w:ascii="Gill Sans MT" w:hAnsi="Gill Sans MT"/>
        </w:rPr>
        <w:t xml:space="preserve"> [101].</w:t>
      </w:r>
    </w:p>
  </w:footnote>
  <w:footnote w:id="18">
    <w:p w14:paraId="1746F6E3" w14:textId="77777777" w:rsidR="0037227A" w:rsidRDefault="0037227A" w:rsidP="0037227A">
      <w:pPr>
        <w:pStyle w:val="FootnoteText"/>
      </w:pPr>
      <w:r w:rsidRPr="00851D7B">
        <w:rPr>
          <w:rStyle w:val="FootnoteReference"/>
          <w:rFonts w:ascii="Gill Sans MT" w:hAnsi="Gill Sans MT"/>
        </w:rPr>
        <w:footnoteRef/>
      </w:r>
      <w:r w:rsidRPr="00851D7B">
        <w:rPr>
          <w:rFonts w:ascii="Gill Sans MT" w:hAnsi="Gill Sans MT"/>
        </w:rPr>
        <w:t xml:space="preserve"> Northern Ireland Act 1998, s.28A.</w:t>
      </w:r>
    </w:p>
  </w:footnote>
  <w:footnote w:id="19">
    <w:p w14:paraId="68D1AAEF" w14:textId="771777E8" w:rsidR="00F0518B" w:rsidRPr="00851D7B" w:rsidRDefault="00F0518B">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See </w:t>
      </w:r>
      <w:proofErr w:type="spellStart"/>
      <w:r w:rsidRPr="00851D7B">
        <w:rPr>
          <w:rFonts w:ascii="Gill Sans MT" w:hAnsi="Gill Sans MT"/>
        </w:rPr>
        <w:t>eg</w:t>
      </w:r>
      <w:proofErr w:type="spellEnd"/>
      <w:r w:rsidR="003102BE" w:rsidRPr="00851D7B">
        <w:rPr>
          <w:rFonts w:ascii="Gill Sans MT" w:hAnsi="Gill Sans MT"/>
        </w:rPr>
        <w:t>, among others:</w:t>
      </w:r>
      <w:r w:rsidRPr="00851D7B">
        <w:rPr>
          <w:rFonts w:ascii="Gill Sans MT" w:hAnsi="Gill Sans MT"/>
        </w:rPr>
        <w:t xml:space="preserve"> Johnson in 2019 on seizing the opportunities from Brexit; </w:t>
      </w:r>
      <w:r w:rsidR="003102BE" w:rsidRPr="00851D7B">
        <w:rPr>
          <w:rFonts w:ascii="Gill Sans MT" w:hAnsi="Gill Sans MT"/>
        </w:rPr>
        <w:t>Cameron in 2015 suggesting that Parliaments around the world have copied the Westminster system of good government; and Cameron at the start of the austerity era in 2010 on the need to be careful with public money.</w:t>
      </w:r>
    </w:p>
  </w:footnote>
  <w:footnote w:id="20">
    <w:p w14:paraId="0E6D8B0B" w14:textId="1F3658FF" w:rsidR="00EF65E6" w:rsidRPr="00851D7B" w:rsidRDefault="00EF65E6">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w:t>
      </w:r>
      <w:r w:rsidR="00851D7B" w:rsidRPr="00851D7B">
        <w:rPr>
          <w:rFonts w:ascii="Gill Sans MT" w:hAnsi="Gill Sans MT"/>
        </w:rPr>
        <w:t>[2021] EWHC 3279 (Admin)</w:t>
      </w:r>
      <w:r w:rsidR="008935C9">
        <w:rPr>
          <w:rFonts w:ascii="Gill Sans MT" w:hAnsi="Gill Sans MT"/>
        </w:rPr>
        <w:t xml:space="preserve"> at</w:t>
      </w:r>
      <w:r w:rsidR="00851D7B" w:rsidRPr="00851D7B">
        <w:rPr>
          <w:rFonts w:ascii="Gill Sans MT" w:hAnsi="Gill Sans MT"/>
        </w:rPr>
        <w:t xml:space="preserve"> </w:t>
      </w:r>
      <w:r w:rsidRPr="00851D7B">
        <w:rPr>
          <w:rFonts w:ascii="Gill Sans MT" w:hAnsi="Gill Sans MT"/>
        </w:rPr>
        <w:t>[41].</w:t>
      </w:r>
    </w:p>
  </w:footnote>
  <w:footnote w:id="21">
    <w:p w14:paraId="50A59FBC" w14:textId="33C61877" w:rsidR="00EF65E6" w:rsidRPr="008D2837" w:rsidRDefault="00EF65E6" w:rsidP="00EF65E6">
      <w:pPr>
        <w:pStyle w:val="FootnoteText"/>
        <w:rPr>
          <w:rFonts w:ascii="Gill Sans MT" w:hAnsi="Gill Sans MT"/>
        </w:rPr>
      </w:pPr>
      <w:r w:rsidRPr="008D2837">
        <w:rPr>
          <w:rStyle w:val="FootnoteReference"/>
          <w:rFonts w:ascii="Gill Sans MT" w:hAnsi="Gill Sans MT"/>
        </w:rPr>
        <w:footnoteRef/>
      </w:r>
      <w:r w:rsidRPr="008D2837">
        <w:rPr>
          <w:rFonts w:ascii="Gill Sans MT" w:hAnsi="Gill Sans MT"/>
        </w:rPr>
        <w:t xml:space="preserve"> </w:t>
      </w:r>
      <w:r w:rsidR="00851D7B" w:rsidRPr="008D2837">
        <w:rPr>
          <w:rFonts w:ascii="Gill Sans MT" w:hAnsi="Gill Sans MT"/>
          <w:i/>
          <w:iCs/>
        </w:rPr>
        <w:t>Wightman</w:t>
      </w:r>
      <w:r w:rsidR="008D2837" w:rsidRPr="008D2837">
        <w:rPr>
          <w:rFonts w:ascii="Gill Sans MT" w:hAnsi="Gill Sans MT"/>
        </w:rPr>
        <w:t xml:space="preserve"> </w:t>
      </w:r>
      <w:r w:rsidR="008D2837" w:rsidRPr="008D2837">
        <w:rPr>
          <w:rFonts w:ascii="Gill Sans MT" w:hAnsi="Gill Sans MT"/>
          <w:i/>
          <w:iCs/>
        </w:rPr>
        <w:t xml:space="preserve">v Secretary of State for Exiting the EU </w:t>
      </w:r>
      <w:r w:rsidR="008D2837" w:rsidRPr="008D2837">
        <w:rPr>
          <w:rFonts w:ascii="Gill Sans MT" w:hAnsi="Gill Sans MT"/>
        </w:rPr>
        <w:t>[2018] CSIH 62.</w:t>
      </w:r>
    </w:p>
  </w:footnote>
  <w:footnote w:id="22">
    <w:p w14:paraId="7CEDCB4E" w14:textId="355ADD5B" w:rsidR="00EF65E6" w:rsidRPr="00851D7B" w:rsidRDefault="00EF65E6" w:rsidP="00EF65E6">
      <w:pPr>
        <w:pStyle w:val="FootnoteText"/>
        <w:rPr>
          <w:rFonts w:ascii="Gill Sans MT" w:hAnsi="Gill Sans MT"/>
        </w:rPr>
      </w:pPr>
      <w:r w:rsidRPr="008D2837">
        <w:rPr>
          <w:rStyle w:val="FootnoteReference"/>
          <w:rFonts w:ascii="Gill Sans MT" w:hAnsi="Gill Sans MT"/>
        </w:rPr>
        <w:footnoteRef/>
      </w:r>
      <w:r w:rsidRPr="008D2837">
        <w:rPr>
          <w:rFonts w:ascii="Gill Sans MT" w:hAnsi="Gill Sans MT"/>
        </w:rPr>
        <w:t xml:space="preserve"> </w:t>
      </w:r>
      <w:r w:rsidR="008D2837" w:rsidRPr="008D2837">
        <w:rPr>
          <w:rFonts w:ascii="Gill Sans MT" w:hAnsi="Gill Sans MT"/>
          <w:i/>
          <w:iCs/>
        </w:rPr>
        <w:t>Miller</w:t>
      </w:r>
      <w:r w:rsidR="008D2837">
        <w:rPr>
          <w:rFonts w:ascii="Gill Sans MT" w:hAnsi="Gill Sans MT"/>
        </w:rPr>
        <w:t xml:space="preserve"> v </w:t>
      </w:r>
      <w:r w:rsidR="008D2837" w:rsidRPr="008D2837">
        <w:rPr>
          <w:rFonts w:ascii="Gill Sans MT" w:hAnsi="Gill Sans MT"/>
          <w:i/>
          <w:iCs/>
        </w:rPr>
        <w:t>Prime Minister, Cherry</w:t>
      </w:r>
      <w:r w:rsidR="008D2837">
        <w:rPr>
          <w:rFonts w:ascii="Gill Sans MT" w:hAnsi="Gill Sans MT"/>
        </w:rPr>
        <w:t xml:space="preserve"> v </w:t>
      </w:r>
      <w:r w:rsidR="008D2837" w:rsidRPr="008D2837">
        <w:rPr>
          <w:rFonts w:ascii="Gill Sans MT" w:hAnsi="Gill Sans MT"/>
          <w:i/>
          <w:iCs/>
        </w:rPr>
        <w:t>Advocate General for Scotland</w:t>
      </w:r>
      <w:r w:rsidR="008D2837">
        <w:rPr>
          <w:rFonts w:ascii="Gill Sans MT" w:hAnsi="Gill Sans MT"/>
        </w:rPr>
        <w:t xml:space="preserve"> </w:t>
      </w:r>
      <w:r w:rsidR="008D2837" w:rsidRPr="00CB3BDF">
        <w:rPr>
          <w:rFonts w:ascii="Gill Sans MT" w:hAnsi="Gill Sans MT"/>
        </w:rPr>
        <w:t>[2019] UKSC 41</w:t>
      </w:r>
      <w:r w:rsidR="008D2837">
        <w:rPr>
          <w:rFonts w:ascii="Gill Sans MT" w:hAnsi="Gill Sans MT"/>
        </w:rPr>
        <w:t>.</w:t>
      </w:r>
    </w:p>
  </w:footnote>
  <w:footnote w:id="23">
    <w:p w14:paraId="0C0FBE9B" w14:textId="0300F227" w:rsidR="0054477A" w:rsidRPr="00851D7B" w:rsidRDefault="0054477A">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w:t>
      </w:r>
      <w:r w:rsidR="00D275FB" w:rsidRPr="00851D7B">
        <w:rPr>
          <w:rFonts w:ascii="Gill Sans MT" w:hAnsi="Gill Sans MT"/>
        </w:rPr>
        <w:t>[2021] EWHC 3279 (Admin)</w:t>
      </w:r>
      <w:r w:rsidR="008935C9">
        <w:rPr>
          <w:rFonts w:ascii="Gill Sans MT" w:hAnsi="Gill Sans MT"/>
        </w:rPr>
        <w:t xml:space="preserve"> at</w:t>
      </w:r>
      <w:r w:rsidR="00D275FB" w:rsidRPr="00851D7B">
        <w:rPr>
          <w:rFonts w:ascii="Gill Sans MT" w:hAnsi="Gill Sans MT"/>
        </w:rPr>
        <w:t xml:space="preserve"> </w:t>
      </w:r>
      <w:r w:rsidRPr="00851D7B">
        <w:rPr>
          <w:rFonts w:ascii="Gill Sans MT" w:hAnsi="Gill Sans MT"/>
        </w:rPr>
        <w:t>[42].</w:t>
      </w:r>
    </w:p>
  </w:footnote>
  <w:footnote w:id="24">
    <w:p w14:paraId="028075E3" w14:textId="56566888" w:rsidR="00D95831" w:rsidRPr="00851D7B" w:rsidRDefault="00D95831">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w:t>
      </w:r>
      <w:r w:rsidR="00D275FB" w:rsidRPr="00851D7B">
        <w:rPr>
          <w:rFonts w:ascii="Gill Sans MT" w:hAnsi="Gill Sans MT"/>
        </w:rPr>
        <w:t>[2021] EWHC 3279 (Admin)</w:t>
      </w:r>
      <w:r w:rsidR="008935C9">
        <w:rPr>
          <w:rFonts w:ascii="Gill Sans MT" w:hAnsi="Gill Sans MT"/>
        </w:rPr>
        <w:t xml:space="preserve"> at</w:t>
      </w:r>
      <w:r w:rsidR="00D275FB" w:rsidRPr="00851D7B">
        <w:rPr>
          <w:rFonts w:ascii="Gill Sans MT" w:hAnsi="Gill Sans MT"/>
        </w:rPr>
        <w:t xml:space="preserve"> </w:t>
      </w:r>
      <w:r w:rsidRPr="00851D7B">
        <w:rPr>
          <w:rFonts w:ascii="Gill Sans MT" w:hAnsi="Gill Sans MT"/>
        </w:rPr>
        <w:t>[52]-[59].</w:t>
      </w:r>
    </w:p>
  </w:footnote>
  <w:footnote w:id="25">
    <w:p w14:paraId="47338FF8" w14:textId="4BF5033F" w:rsidR="00751C75" w:rsidRPr="00851D7B" w:rsidRDefault="00751C75">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w:t>
      </w:r>
      <w:r w:rsidR="00D275FB" w:rsidRPr="00851D7B">
        <w:rPr>
          <w:rFonts w:ascii="Gill Sans MT" w:hAnsi="Gill Sans MT"/>
        </w:rPr>
        <w:t>[2021] EWHC 3279 (Admin)</w:t>
      </w:r>
      <w:r w:rsidR="008935C9">
        <w:rPr>
          <w:rFonts w:ascii="Gill Sans MT" w:hAnsi="Gill Sans MT"/>
        </w:rPr>
        <w:t xml:space="preserve"> at </w:t>
      </w:r>
      <w:r w:rsidRPr="00851D7B">
        <w:rPr>
          <w:rFonts w:ascii="Gill Sans MT" w:hAnsi="Gill Sans MT"/>
        </w:rPr>
        <w:t>[50]</w:t>
      </w:r>
    </w:p>
  </w:footnote>
  <w:footnote w:id="26">
    <w:p w14:paraId="6F92F0C3" w14:textId="680785BD" w:rsidR="003D7A98" w:rsidRPr="00851D7B" w:rsidRDefault="003D7A98">
      <w:pPr>
        <w:pStyle w:val="FootnoteText"/>
        <w:rPr>
          <w:rFonts w:ascii="Gill Sans MT" w:hAnsi="Gill Sans MT"/>
        </w:rPr>
      </w:pPr>
      <w:r w:rsidRPr="00851D7B">
        <w:rPr>
          <w:rStyle w:val="FootnoteReference"/>
          <w:rFonts w:ascii="Gill Sans MT" w:hAnsi="Gill Sans MT"/>
        </w:rPr>
        <w:footnoteRef/>
      </w:r>
      <w:r w:rsidRPr="00851D7B">
        <w:rPr>
          <w:rFonts w:ascii="Gill Sans MT" w:hAnsi="Gill Sans MT"/>
        </w:rPr>
        <w:t xml:space="preserve"> C</w:t>
      </w:r>
      <w:r w:rsidR="000061BF" w:rsidRPr="00851D7B">
        <w:rPr>
          <w:rFonts w:ascii="Gill Sans MT" w:hAnsi="Gill Sans MT"/>
        </w:rPr>
        <w:t xml:space="preserve">onstitutional </w:t>
      </w:r>
      <w:r w:rsidRPr="00851D7B">
        <w:rPr>
          <w:rFonts w:ascii="Gill Sans MT" w:hAnsi="Gill Sans MT"/>
        </w:rPr>
        <w:t>R</w:t>
      </w:r>
      <w:r w:rsidR="000061BF" w:rsidRPr="00851D7B">
        <w:rPr>
          <w:rFonts w:ascii="Gill Sans MT" w:hAnsi="Gill Sans MT"/>
        </w:rPr>
        <w:t xml:space="preserve">eform </w:t>
      </w:r>
      <w:r w:rsidRPr="00851D7B">
        <w:rPr>
          <w:rFonts w:ascii="Gill Sans MT" w:hAnsi="Gill Sans MT"/>
        </w:rPr>
        <w:t>A</w:t>
      </w:r>
      <w:r w:rsidR="000061BF" w:rsidRPr="00851D7B">
        <w:rPr>
          <w:rFonts w:ascii="Gill Sans MT" w:hAnsi="Gill Sans MT"/>
        </w:rPr>
        <w:t>ct 2005,</w:t>
      </w:r>
      <w:r w:rsidRPr="00851D7B">
        <w:rPr>
          <w:rFonts w:ascii="Gill Sans MT" w:hAnsi="Gill Sans MT"/>
        </w:rPr>
        <w:t xml:space="preserve"> s</w:t>
      </w:r>
      <w:r w:rsidR="000061BF" w:rsidRPr="00851D7B">
        <w:rPr>
          <w:rFonts w:ascii="Gill Sans MT" w:hAnsi="Gill Sans MT"/>
        </w:rPr>
        <w:t>.5.</w:t>
      </w:r>
    </w:p>
  </w:footnote>
  <w:footnote w:id="27">
    <w:p w14:paraId="042E76AD" w14:textId="118A7091" w:rsidR="00887EF9" w:rsidRPr="00A56D5C" w:rsidRDefault="00887EF9">
      <w:pPr>
        <w:pStyle w:val="FootnoteText"/>
        <w:rPr>
          <w:rFonts w:ascii="Gill Sans MT" w:hAnsi="Gill Sans MT"/>
        </w:rPr>
      </w:pPr>
      <w:r w:rsidRPr="00A56D5C">
        <w:rPr>
          <w:rStyle w:val="FootnoteReference"/>
          <w:rFonts w:ascii="Gill Sans MT" w:hAnsi="Gill Sans MT"/>
        </w:rPr>
        <w:footnoteRef/>
      </w:r>
      <w:r w:rsidRPr="00A56D5C">
        <w:rPr>
          <w:rFonts w:ascii="Gill Sans MT" w:hAnsi="Gill Sans MT"/>
        </w:rPr>
        <w:t xml:space="preserve"> </w:t>
      </w:r>
      <w:r w:rsidR="00A56D5C" w:rsidRPr="00851D7B">
        <w:rPr>
          <w:rFonts w:ascii="Gill Sans MT" w:hAnsi="Gill Sans MT"/>
        </w:rPr>
        <w:t>[2021] EWHC 3279 (Admin)</w:t>
      </w:r>
      <w:r w:rsidR="008935C9">
        <w:rPr>
          <w:rFonts w:ascii="Gill Sans MT" w:hAnsi="Gill Sans MT"/>
        </w:rPr>
        <w:t xml:space="preserve"> at</w:t>
      </w:r>
      <w:r w:rsidR="00A56D5C" w:rsidRPr="00851D7B">
        <w:rPr>
          <w:rFonts w:ascii="Gill Sans MT" w:hAnsi="Gill Sans MT"/>
        </w:rPr>
        <w:t xml:space="preserve"> </w:t>
      </w:r>
      <w:r w:rsidRPr="00A56D5C">
        <w:rPr>
          <w:rFonts w:ascii="Gill Sans MT" w:hAnsi="Gill Sans MT" w:cs="Segoe UI"/>
          <w:color w:val="0F1419"/>
        </w:rPr>
        <w:t>[59]</w:t>
      </w:r>
    </w:p>
  </w:footnote>
  <w:footnote w:id="28">
    <w:p w14:paraId="70CE8FD4" w14:textId="36B9DCE3" w:rsidR="001941E2" w:rsidRPr="00756C49" w:rsidRDefault="001941E2">
      <w:pPr>
        <w:pStyle w:val="FootnoteText"/>
        <w:rPr>
          <w:rFonts w:ascii="Gill Sans MT" w:hAnsi="Gill Sans MT"/>
          <w:highlight w:val="yellow"/>
        </w:rPr>
      </w:pPr>
      <w:r w:rsidRPr="00756C49">
        <w:rPr>
          <w:rStyle w:val="FootnoteReference"/>
          <w:rFonts w:ascii="Gill Sans MT" w:hAnsi="Gill Sans MT"/>
        </w:rPr>
        <w:footnoteRef/>
      </w:r>
      <w:r w:rsidRPr="00756C49">
        <w:rPr>
          <w:rFonts w:ascii="Gill Sans MT" w:hAnsi="Gill Sans MT"/>
        </w:rPr>
        <w:t xml:space="preserve"> See </w:t>
      </w:r>
      <w:proofErr w:type="spellStart"/>
      <w:r w:rsidRPr="00756C49">
        <w:rPr>
          <w:rFonts w:ascii="Gill Sans MT" w:hAnsi="Gill Sans MT"/>
        </w:rPr>
        <w:t>eg</w:t>
      </w:r>
      <w:proofErr w:type="spellEnd"/>
      <w:r w:rsidRPr="00756C49">
        <w:rPr>
          <w:rFonts w:ascii="Gill Sans MT" w:hAnsi="Gill Sans MT"/>
        </w:rPr>
        <w:t xml:space="preserve"> </w:t>
      </w:r>
      <w:r w:rsidR="00756C49" w:rsidRPr="00756C49">
        <w:rPr>
          <w:rFonts w:ascii="Gill Sans MT" w:hAnsi="Gill Sans MT"/>
        </w:rPr>
        <w:t xml:space="preserve">the reporting of the outcome in the media: ‘UK High Court backs Boris Johnson over </w:t>
      </w:r>
      <w:proofErr w:type="spellStart"/>
      <w:r w:rsidR="00756C49" w:rsidRPr="00756C49">
        <w:rPr>
          <w:rFonts w:ascii="Gill Sans MT" w:hAnsi="Gill Sans MT"/>
        </w:rPr>
        <w:t>Priti</w:t>
      </w:r>
      <w:proofErr w:type="spellEnd"/>
      <w:r w:rsidR="00756C49" w:rsidRPr="00756C49">
        <w:rPr>
          <w:rFonts w:ascii="Gill Sans MT" w:hAnsi="Gill Sans MT"/>
        </w:rPr>
        <w:t xml:space="preserve"> Patel bullying decision’, </w:t>
      </w:r>
      <w:r w:rsidR="00756C49" w:rsidRPr="00756C49">
        <w:rPr>
          <w:rFonts w:ascii="Gill Sans MT" w:hAnsi="Gill Sans MT"/>
          <w:i/>
          <w:iCs/>
        </w:rPr>
        <w:t xml:space="preserve">Financial Times </w:t>
      </w:r>
      <w:r w:rsidR="00756C49" w:rsidRPr="00756C49">
        <w:rPr>
          <w:rFonts w:ascii="Gill Sans MT" w:hAnsi="Gill Sans MT"/>
        </w:rPr>
        <w:t xml:space="preserve">(6 December 2021); ‘Boris Johnson Wins Court Bid Over Patel Bullying Investigation’, </w:t>
      </w:r>
      <w:r w:rsidR="00756C49" w:rsidRPr="00756C49">
        <w:rPr>
          <w:rFonts w:ascii="Gill Sans MT" w:hAnsi="Gill Sans MT"/>
          <w:i/>
          <w:iCs/>
        </w:rPr>
        <w:t xml:space="preserve">Bloomberg UK </w:t>
      </w:r>
      <w:r w:rsidR="00756C49" w:rsidRPr="00756C49">
        <w:rPr>
          <w:rFonts w:ascii="Gill Sans MT" w:hAnsi="Gill Sans MT"/>
        </w:rPr>
        <w:t>(6 December 2021).</w:t>
      </w:r>
    </w:p>
  </w:footnote>
  <w:footnote w:id="29">
    <w:p w14:paraId="61A043E4" w14:textId="5AA499C4" w:rsidR="00ED09A0" w:rsidRDefault="00ED09A0">
      <w:pPr>
        <w:pStyle w:val="FootnoteText"/>
      </w:pPr>
      <w:r w:rsidRPr="00A56D5C">
        <w:rPr>
          <w:rStyle w:val="FootnoteReference"/>
          <w:rFonts w:ascii="Gill Sans MT" w:hAnsi="Gill Sans MT"/>
        </w:rPr>
        <w:footnoteRef/>
      </w:r>
      <w:r w:rsidRPr="00A56D5C">
        <w:rPr>
          <w:rFonts w:ascii="Gill Sans MT" w:hAnsi="Gill Sans MT"/>
        </w:rPr>
        <w:t xml:space="preserve"> Findings of Independent Adviser (n.</w:t>
      </w:r>
      <w:r w:rsidR="00A56D5C" w:rsidRPr="00A56D5C">
        <w:rPr>
          <w:rFonts w:ascii="Gill Sans MT" w:hAnsi="Gill Sans MT"/>
        </w:rPr>
        <w:t>3</w:t>
      </w:r>
      <w:r w:rsidRPr="00A56D5C">
        <w:rPr>
          <w:rFonts w:ascii="Gill Sans MT" w:hAnsi="Gill Sans MT"/>
        </w:rPr>
        <w:t>).</w:t>
      </w:r>
    </w:p>
  </w:footnote>
  <w:footnote w:id="30">
    <w:p w14:paraId="6DF3F1B4" w14:textId="3CF0204E" w:rsidR="00362D13" w:rsidRPr="00CB3BDF" w:rsidRDefault="00362D13">
      <w:pPr>
        <w:pStyle w:val="FootnoteText"/>
        <w:rPr>
          <w:rFonts w:ascii="Gill Sans MT" w:hAnsi="Gill Sans MT"/>
        </w:rPr>
      </w:pPr>
      <w:r w:rsidRPr="00CB3BDF">
        <w:rPr>
          <w:rStyle w:val="FootnoteReference"/>
          <w:rFonts w:ascii="Gill Sans MT" w:hAnsi="Gill Sans MT"/>
        </w:rPr>
        <w:footnoteRef/>
      </w:r>
      <w:r w:rsidRPr="00CB3BDF">
        <w:rPr>
          <w:rFonts w:ascii="Gill Sans MT" w:hAnsi="Gill Sans MT"/>
        </w:rPr>
        <w:t xml:space="preserve"> </w:t>
      </w:r>
      <w:r w:rsidR="00CB3BDF" w:rsidRPr="00CB3BDF">
        <w:rPr>
          <w:rFonts w:ascii="Gill Sans MT" w:hAnsi="Gill Sans MT"/>
        </w:rPr>
        <w:t xml:space="preserve">See </w:t>
      </w:r>
      <w:proofErr w:type="spellStart"/>
      <w:r w:rsidR="00CB3BDF" w:rsidRPr="00CB3BDF">
        <w:rPr>
          <w:rFonts w:ascii="Gill Sans MT" w:hAnsi="Gill Sans MT"/>
        </w:rPr>
        <w:t>eg</w:t>
      </w:r>
      <w:proofErr w:type="spellEnd"/>
      <w:r w:rsidR="00CB3BDF" w:rsidRPr="00CB3BDF">
        <w:rPr>
          <w:rFonts w:ascii="Gill Sans MT" w:hAnsi="Gill Sans MT"/>
        </w:rPr>
        <w:t xml:space="preserve"> </w:t>
      </w:r>
      <w:r w:rsidRPr="00CB3BDF">
        <w:rPr>
          <w:rFonts w:ascii="Gill Sans MT" w:hAnsi="Gill Sans MT"/>
        </w:rPr>
        <w:t>https://www.fda.org.uk/home/Newsandmedia/Features/A-significant-step-forward.aspx</w:t>
      </w:r>
    </w:p>
  </w:footnote>
  <w:footnote w:id="31">
    <w:p w14:paraId="08A11CC9" w14:textId="49C9D844" w:rsidR="002118AF" w:rsidRPr="00306ED0" w:rsidRDefault="002118AF">
      <w:pPr>
        <w:pStyle w:val="FootnoteText"/>
        <w:rPr>
          <w:rFonts w:ascii="Gill Sans MT" w:hAnsi="Gill Sans MT"/>
        </w:rPr>
      </w:pPr>
      <w:r w:rsidRPr="00306ED0">
        <w:rPr>
          <w:rStyle w:val="FootnoteReference"/>
          <w:rFonts w:ascii="Gill Sans MT" w:hAnsi="Gill Sans MT"/>
        </w:rPr>
        <w:footnoteRef/>
      </w:r>
      <w:r w:rsidRPr="00306ED0">
        <w:rPr>
          <w:rFonts w:ascii="Gill Sans MT" w:hAnsi="Gill Sans MT"/>
        </w:rPr>
        <w:t xml:space="preserve"> </w:t>
      </w:r>
      <w:r w:rsidR="004F1696" w:rsidRPr="00306ED0">
        <w:rPr>
          <w:rFonts w:ascii="Gill Sans MT" w:hAnsi="Gill Sans MT"/>
        </w:rPr>
        <w:t xml:space="preserve">Correspondence from Lord </w:t>
      </w:r>
      <w:proofErr w:type="spellStart"/>
      <w:r w:rsidR="004F1696" w:rsidRPr="00306ED0">
        <w:rPr>
          <w:rFonts w:ascii="Gill Sans MT" w:hAnsi="Gill Sans MT"/>
        </w:rPr>
        <w:t>Geidt</w:t>
      </w:r>
      <w:proofErr w:type="spellEnd"/>
      <w:r w:rsidR="004F1696" w:rsidRPr="00306ED0">
        <w:rPr>
          <w:rFonts w:ascii="Gill Sans MT" w:hAnsi="Gill Sans MT"/>
        </w:rPr>
        <w:t xml:space="preserve"> and the Prime Minister’s response (16 June 2022): https://www.gov.uk/government/publications/correspondence-from-lord-geidt-and-the-prime-ministers-response</w:t>
      </w:r>
    </w:p>
  </w:footnote>
  <w:footnote w:id="32">
    <w:p w14:paraId="4D1831DE" w14:textId="2482C227" w:rsidR="002118AF" w:rsidRPr="00306ED0" w:rsidRDefault="002118AF" w:rsidP="004F1696">
      <w:pPr>
        <w:pStyle w:val="Heading1"/>
        <w:shd w:val="clear" w:color="auto" w:fill="FFFFFF"/>
        <w:spacing w:before="0" w:beforeAutospacing="0" w:after="0" w:afterAutospacing="0"/>
        <w:rPr>
          <w:rFonts w:ascii="Gill Sans MT" w:hAnsi="Gill Sans MT" w:cs="Arial"/>
          <w:b w:val="0"/>
          <w:bCs w:val="0"/>
          <w:color w:val="0B0C0C"/>
          <w:sz w:val="20"/>
          <w:szCs w:val="20"/>
        </w:rPr>
      </w:pPr>
      <w:r w:rsidRPr="00306ED0">
        <w:rPr>
          <w:rStyle w:val="FootnoteReference"/>
          <w:rFonts w:ascii="Gill Sans MT" w:hAnsi="Gill Sans MT"/>
          <w:b w:val="0"/>
          <w:bCs w:val="0"/>
          <w:sz w:val="20"/>
          <w:szCs w:val="20"/>
        </w:rPr>
        <w:footnoteRef/>
      </w:r>
      <w:r w:rsidRPr="00306ED0">
        <w:rPr>
          <w:rFonts w:ascii="Gill Sans MT" w:hAnsi="Gill Sans MT"/>
          <w:b w:val="0"/>
          <w:bCs w:val="0"/>
          <w:sz w:val="20"/>
          <w:szCs w:val="20"/>
        </w:rPr>
        <w:t xml:space="preserve"> </w:t>
      </w:r>
      <w:r w:rsidR="004F1696" w:rsidRPr="00306ED0">
        <w:rPr>
          <w:rFonts w:ascii="Gill Sans MT" w:hAnsi="Gill Sans MT" w:cs="Arial"/>
          <w:b w:val="0"/>
          <w:bCs w:val="0"/>
          <w:color w:val="0B0C0C"/>
          <w:sz w:val="20"/>
          <w:szCs w:val="20"/>
        </w:rPr>
        <w:t>Annual Report of the Independent Adviser on Ministers’ Interests (May 2022),[24].</w:t>
      </w:r>
    </w:p>
  </w:footnote>
  <w:footnote w:id="33">
    <w:p w14:paraId="3E2A05FF" w14:textId="070D14A4" w:rsidR="000A173E" w:rsidRPr="004F1696" w:rsidRDefault="000A173E">
      <w:pPr>
        <w:pStyle w:val="FootnoteText"/>
        <w:rPr>
          <w:rFonts w:ascii="Gill Sans MT" w:hAnsi="Gill Sans MT"/>
        </w:rPr>
      </w:pPr>
      <w:r w:rsidRPr="00306ED0">
        <w:rPr>
          <w:rStyle w:val="FootnoteReference"/>
          <w:rFonts w:ascii="Gill Sans MT" w:hAnsi="Gill Sans MT"/>
        </w:rPr>
        <w:footnoteRef/>
      </w:r>
      <w:r w:rsidRPr="00306ED0">
        <w:rPr>
          <w:rFonts w:ascii="Gill Sans MT" w:hAnsi="Gill Sans MT"/>
        </w:rPr>
        <w:t xml:space="preserve"> </w:t>
      </w:r>
      <w:r w:rsidR="00306ED0" w:rsidRPr="00306ED0">
        <w:rPr>
          <w:rFonts w:ascii="Gill Sans MT" w:hAnsi="Gill Sans MT"/>
        </w:rPr>
        <w:t xml:space="preserve">See </w:t>
      </w:r>
      <w:proofErr w:type="spellStart"/>
      <w:r w:rsidR="00306ED0" w:rsidRPr="00306ED0">
        <w:rPr>
          <w:rFonts w:ascii="Gill Sans MT" w:hAnsi="Gill Sans MT"/>
        </w:rPr>
        <w:t>eg</w:t>
      </w:r>
      <w:proofErr w:type="spellEnd"/>
      <w:r w:rsidR="00306ED0" w:rsidRPr="00306ED0">
        <w:rPr>
          <w:rFonts w:ascii="Gill Sans MT" w:hAnsi="Gill Sans MT"/>
        </w:rPr>
        <w:t xml:space="preserve"> p</w:t>
      </w:r>
      <w:r w:rsidR="000C4707" w:rsidRPr="00306ED0">
        <w:rPr>
          <w:rFonts w:ascii="Gill Sans MT" w:hAnsi="Gill Sans MT"/>
        </w:rPr>
        <w:t xml:space="preserve">roposals from </w:t>
      </w:r>
      <w:r w:rsidR="00306ED0" w:rsidRPr="00306ED0">
        <w:rPr>
          <w:rFonts w:ascii="Gill Sans MT" w:hAnsi="Gill Sans MT"/>
        </w:rPr>
        <w:t>the</w:t>
      </w:r>
      <w:r w:rsidR="000C4707" w:rsidRPr="00306ED0">
        <w:rPr>
          <w:rFonts w:ascii="Gill Sans MT" w:hAnsi="Gill Sans MT"/>
        </w:rPr>
        <w:t xml:space="preserve"> Committee on Standards in Public Life</w:t>
      </w:r>
      <w:r w:rsidR="00306ED0" w:rsidRPr="00306ED0">
        <w:rPr>
          <w:rFonts w:ascii="Gill Sans MT" w:hAnsi="Gill Sans MT"/>
        </w:rPr>
        <w:t xml:space="preserve">, </w:t>
      </w:r>
      <w:r w:rsidR="00306ED0" w:rsidRPr="00306ED0">
        <w:rPr>
          <w:rFonts w:ascii="Gill Sans MT" w:hAnsi="Gill Sans MT"/>
          <w:i/>
          <w:iCs/>
        </w:rPr>
        <w:t>Upholding Standards in Public Life</w:t>
      </w:r>
      <w:r w:rsidR="00306ED0" w:rsidRPr="00306ED0">
        <w:rPr>
          <w:rFonts w:ascii="Gill Sans MT" w:hAnsi="Gill Sans MT"/>
        </w:rPr>
        <w:t xml:space="preserve"> [2.26]</w:t>
      </w:r>
      <w:proofErr w:type="gramStart"/>
      <w:r w:rsidR="008935C9">
        <w:rPr>
          <w:rFonts w:ascii="Gill Sans MT" w:hAnsi="Gill Sans MT"/>
        </w:rPr>
        <w:t>-</w:t>
      </w:r>
      <w:r w:rsidR="00306ED0" w:rsidRPr="00306ED0">
        <w:rPr>
          <w:rFonts w:ascii="Gill Sans MT" w:hAnsi="Gill Sans MT"/>
        </w:rPr>
        <w:t>[</w:t>
      </w:r>
      <w:proofErr w:type="gramEnd"/>
      <w:r w:rsidR="00306ED0" w:rsidRPr="00306ED0">
        <w:rPr>
          <w:rFonts w:ascii="Gill Sans MT" w:hAnsi="Gill Sans MT"/>
        </w:rPr>
        <w:t>2.35].</w:t>
      </w:r>
    </w:p>
  </w:footnote>
  <w:footnote w:id="34">
    <w:p w14:paraId="4122E60B" w14:textId="30C5F066" w:rsidR="000061BF" w:rsidRPr="00CB3BDF" w:rsidRDefault="000061BF">
      <w:pPr>
        <w:pStyle w:val="FootnoteText"/>
        <w:rPr>
          <w:rFonts w:ascii="Gill Sans MT" w:hAnsi="Gill Sans MT"/>
        </w:rPr>
      </w:pPr>
      <w:r w:rsidRPr="004F1696">
        <w:rPr>
          <w:rStyle w:val="FootnoteReference"/>
          <w:rFonts w:ascii="Gill Sans MT" w:hAnsi="Gill Sans MT"/>
        </w:rPr>
        <w:footnoteRef/>
      </w:r>
      <w:r w:rsidRPr="004F1696">
        <w:rPr>
          <w:rFonts w:ascii="Gill Sans MT" w:hAnsi="Gill Sans MT"/>
        </w:rPr>
        <w:t xml:space="preserve"> See </w:t>
      </w:r>
      <w:proofErr w:type="spellStart"/>
      <w:r w:rsidRPr="004F1696">
        <w:rPr>
          <w:rFonts w:ascii="Gill Sans MT" w:hAnsi="Gill Sans MT"/>
        </w:rPr>
        <w:t>eg</w:t>
      </w:r>
      <w:proofErr w:type="spellEnd"/>
      <w:r w:rsidR="0037227A" w:rsidRPr="004F1696">
        <w:rPr>
          <w:rFonts w:ascii="Gill Sans MT" w:hAnsi="Gill Sans MT"/>
        </w:rPr>
        <w:t xml:space="preserve"> </w:t>
      </w:r>
      <w:r w:rsidR="0037227A" w:rsidRPr="004F1696">
        <w:rPr>
          <w:rFonts w:ascii="Gill Sans MT" w:hAnsi="Gill Sans MT"/>
          <w:i/>
          <w:iCs/>
        </w:rPr>
        <w:t>Napier</w:t>
      </w:r>
      <w:r w:rsidR="001F3555" w:rsidRPr="004F1696">
        <w:rPr>
          <w:rFonts w:ascii="Gill Sans MT" w:hAnsi="Gill Sans MT"/>
          <w:i/>
          <w:iCs/>
        </w:rPr>
        <w:t xml:space="preserve"> </w:t>
      </w:r>
      <w:r w:rsidR="001F3555" w:rsidRPr="004F1696">
        <w:rPr>
          <w:rFonts w:ascii="Gill Sans MT" w:hAnsi="Gill Sans MT"/>
        </w:rPr>
        <w:t>[2021] NIQB 86</w:t>
      </w:r>
      <w:r w:rsidR="00226F36" w:rsidRPr="004F1696">
        <w:rPr>
          <w:rFonts w:ascii="Gill Sans MT" w:hAnsi="Gill Sans MT"/>
        </w:rPr>
        <w:t xml:space="preserve"> and [2021] NIQB 120</w:t>
      </w:r>
      <w:r w:rsidR="001F3555" w:rsidRPr="004F1696">
        <w:rPr>
          <w:rFonts w:ascii="Gill Sans MT" w:hAnsi="Gill Sans MT"/>
        </w:rPr>
        <w:t xml:space="preserve"> concerning</w:t>
      </w:r>
      <w:r w:rsidR="001F3555" w:rsidRPr="00CB3BDF">
        <w:rPr>
          <w:rFonts w:ascii="Gill Sans MT" w:hAnsi="Gill Sans MT"/>
        </w:rPr>
        <w:t xml:space="preserve"> a DUP boycott of the North South Ministerial Council, contrary to the Ministerial Code of Northern Ireland.</w:t>
      </w:r>
    </w:p>
  </w:footnote>
  <w:footnote w:id="35">
    <w:p w14:paraId="3F32260B" w14:textId="1BDD8044" w:rsidR="00BB1A70" w:rsidRPr="00CB3BDF" w:rsidRDefault="00BB1A70">
      <w:pPr>
        <w:pStyle w:val="FootnoteText"/>
        <w:rPr>
          <w:rFonts w:ascii="Gill Sans MT" w:hAnsi="Gill Sans MT"/>
        </w:rPr>
      </w:pPr>
      <w:r w:rsidRPr="00CB3BDF">
        <w:rPr>
          <w:rStyle w:val="FootnoteReference"/>
          <w:rFonts w:ascii="Gill Sans MT" w:hAnsi="Gill Sans MT"/>
        </w:rPr>
        <w:footnoteRef/>
      </w:r>
      <w:r w:rsidRPr="00CB3BDF">
        <w:rPr>
          <w:rFonts w:ascii="Gill Sans MT" w:hAnsi="Gill Sans MT"/>
        </w:rPr>
        <w:t xml:space="preserve"> </w:t>
      </w:r>
      <w:r w:rsidR="00DE2FE0" w:rsidRPr="00851D7B">
        <w:rPr>
          <w:rFonts w:ascii="Gill Sans MT" w:hAnsi="Gill Sans MT"/>
        </w:rPr>
        <w:t>[2021] EWHC 3279 (Admin)</w:t>
      </w:r>
      <w:r w:rsidR="008935C9">
        <w:rPr>
          <w:rFonts w:ascii="Gill Sans MT" w:hAnsi="Gill Sans MT"/>
        </w:rPr>
        <w:t xml:space="preserve"> at</w:t>
      </w:r>
      <w:r w:rsidR="00DE2FE0" w:rsidRPr="00851D7B">
        <w:rPr>
          <w:rFonts w:ascii="Gill Sans MT" w:hAnsi="Gill Sans MT"/>
        </w:rPr>
        <w:t xml:space="preserve"> </w:t>
      </w:r>
      <w:r w:rsidRPr="00CB3BDF">
        <w:rPr>
          <w:rFonts w:ascii="Gill Sans MT" w:hAnsi="Gill Sans MT"/>
        </w:rPr>
        <w:t>[46].</w:t>
      </w:r>
    </w:p>
  </w:footnote>
  <w:footnote w:id="36">
    <w:p w14:paraId="2985922E" w14:textId="7D606C74" w:rsidR="0041643D" w:rsidRPr="00D46288" w:rsidRDefault="0041643D">
      <w:pPr>
        <w:pStyle w:val="FootnoteText"/>
        <w:rPr>
          <w:rFonts w:ascii="Gill Sans MT" w:hAnsi="Gill Sans MT"/>
          <w:i/>
          <w:iCs/>
        </w:rPr>
      </w:pPr>
      <w:r w:rsidRPr="00D46288">
        <w:rPr>
          <w:rStyle w:val="FootnoteReference"/>
          <w:rFonts w:ascii="Gill Sans MT" w:hAnsi="Gill Sans MT"/>
        </w:rPr>
        <w:footnoteRef/>
      </w:r>
      <w:r w:rsidRPr="00D46288">
        <w:rPr>
          <w:rFonts w:ascii="Gill Sans MT" w:hAnsi="Gill Sans MT"/>
        </w:rPr>
        <w:t xml:space="preserve"> </w:t>
      </w:r>
      <w:r w:rsidR="00F97793">
        <w:rPr>
          <w:rFonts w:ascii="Gill Sans MT" w:hAnsi="Gill Sans MT"/>
        </w:rPr>
        <w:t>See</w:t>
      </w:r>
      <w:r w:rsidR="00FF75C2">
        <w:rPr>
          <w:rFonts w:ascii="Gill Sans MT" w:hAnsi="Gill Sans MT"/>
        </w:rPr>
        <w:t xml:space="preserve"> </w:t>
      </w:r>
      <w:proofErr w:type="spellStart"/>
      <w:proofErr w:type="gramStart"/>
      <w:r w:rsidR="00FF75C2">
        <w:rPr>
          <w:rFonts w:ascii="Gill Sans MT" w:hAnsi="Gill Sans MT"/>
        </w:rPr>
        <w:t>eg</w:t>
      </w:r>
      <w:proofErr w:type="spellEnd"/>
      <w:proofErr w:type="gramEnd"/>
      <w:r w:rsidR="00FF75C2">
        <w:rPr>
          <w:rFonts w:ascii="Gill Sans MT" w:hAnsi="Gill Sans MT"/>
        </w:rPr>
        <w:t xml:space="preserve"> </w:t>
      </w:r>
      <w:r w:rsidR="00821588">
        <w:rPr>
          <w:rFonts w:ascii="Gill Sans MT" w:hAnsi="Gill Sans MT"/>
          <w:i/>
          <w:iCs/>
        </w:rPr>
        <w:t xml:space="preserve">Webster v Secretary of State for Exiting the EU </w:t>
      </w:r>
      <w:r w:rsidR="00821588">
        <w:rPr>
          <w:rFonts w:ascii="Gill Sans MT" w:hAnsi="Gill Sans MT"/>
        </w:rPr>
        <w:t xml:space="preserve">[2018] EWHC 1543 (Admin); </w:t>
      </w:r>
      <w:r w:rsidR="00FF75C2">
        <w:rPr>
          <w:rFonts w:ascii="Gill Sans MT" w:hAnsi="Gill Sans MT"/>
          <w:i/>
          <w:iCs/>
        </w:rPr>
        <w:t xml:space="preserve">Wilson </w:t>
      </w:r>
      <w:r w:rsidR="00FF75C2">
        <w:rPr>
          <w:rFonts w:ascii="Gill Sans MT" w:hAnsi="Gill Sans MT"/>
        </w:rPr>
        <w:t xml:space="preserve">v </w:t>
      </w:r>
      <w:r w:rsidR="00FF75C2">
        <w:rPr>
          <w:rFonts w:ascii="Gill Sans MT" w:hAnsi="Gill Sans MT"/>
          <w:i/>
          <w:iCs/>
        </w:rPr>
        <w:t xml:space="preserve">Prime Minister </w:t>
      </w:r>
      <w:r w:rsidR="00FF75C2">
        <w:rPr>
          <w:rFonts w:ascii="Gill Sans MT" w:hAnsi="Gill Sans MT"/>
        </w:rPr>
        <w:t xml:space="preserve">[2019] EWCA </w:t>
      </w:r>
      <w:proofErr w:type="spellStart"/>
      <w:r w:rsidR="00FF75C2">
        <w:rPr>
          <w:rFonts w:ascii="Gill Sans MT" w:hAnsi="Gill Sans MT"/>
        </w:rPr>
        <w:t>Civ</w:t>
      </w:r>
      <w:proofErr w:type="spellEnd"/>
      <w:r w:rsidR="00FF75C2">
        <w:rPr>
          <w:rFonts w:ascii="Gill Sans MT" w:hAnsi="Gill Sans MT"/>
        </w:rPr>
        <w:t xml:space="preserve"> 304; and</w:t>
      </w:r>
      <w:r w:rsidR="00F97793">
        <w:rPr>
          <w:rFonts w:ascii="Gill Sans MT" w:hAnsi="Gill Sans MT"/>
        </w:rPr>
        <w:t xml:space="preserve"> generally </w:t>
      </w:r>
      <w:r w:rsidR="004250DC" w:rsidRPr="00D46288">
        <w:rPr>
          <w:rFonts w:ascii="Gill Sans MT" w:hAnsi="Gill Sans MT"/>
        </w:rPr>
        <w:t xml:space="preserve">A McHarg and C </w:t>
      </w:r>
      <w:proofErr w:type="spellStart"/>
      <w:r w:rsidR="004250DC" w:rsidRPr="00D46288">
        <w:rPr>
          <w:rFonts w:ascii="Gill Sans MT" w:hAnsi="Gill Sans MT"/>
        </w:rPr>
        <w:t>McCorkindale</w:t>
      </w:r>
      <w:proofErr w:type="spellEnd"/>
      <w:r w:rsidR="004250DC" w:rsidRPr="00D46288">
        <w:rPr>
          <w:rFonts w:ascii="Gill Sans MT" w:hAnsi="Gill Sans MT"/>
        </w:rPr>
        <w:t xml:space="preserve">, ‘Litigating Brexit’ in </w:t>
      </w:r>
      <w:r w:rsidR="00D46288" w:rsidRPr="00D46288">
        <w:rPr>
          <w:rFonts w:ascii="Gill Sans MT" w:hAnsi="Gill Sans MT"/>
        </w:rPr>
        <w:t xml:space="preserve">O Doyle, A McHarg and J </w:t>
      </w:r>
      <w:proofErr w:type="spellStart"/>
      <w:r w:rsidR="00D46288" w:rsidRPr="00D46288">
        <w:rPr>
          <w:rFonts w:ascii="Gill Sans MT" w:hAnsi="Gill Sans MT"/>
        </w:rPr>
        <w:t>Murkens</w:t>
      </w:r>
      <w:proofErr w:type="spellEnd"/>
      <w:r w:rsidR="00D46288" w:rsidRPr="00D46288">
        <w:rPr>
          <w:rFonts w:ascii="Gill Sans MT" w:hAnsi="Gill Sans MT"/>
        </w:rPr>
        <w:t xml:space="preserve"> (eds), </w:t>
      </w:r>
      <w:r w:rsidR="00D46288" w:rsidRPr="00D46288">
        <w:rPr>
          <w:rFonts w:ascii="Gill Sans MT" w:hAnsi="Gill Sans MT"/>
          <w:i/>
          <w:iCs/>
        </w:rPr>
        <w:t xml:space="preserve">The Brexit Challenge for Ireland and the United Kingdom </w:t>
      </w:r>
      <w:r w:rsidR="00D46288" w:rsidRPr="00D46288">
        <w:rPr>
          <w:rFonts w:ascii="Gill Sans MT" w:hAnsi="Gill Sans MT"/>
        </w:rPr>
        <w:t>(CUP, 2021).</w:t>
      </w:r>
      <w:r w:rsidR="004250DC" w:rsidRPr="00D46288">
        <w:rPr>
          <w:rFonts w:ascii="Gill Sans MT" w:hAnsi="Gill Sans MT"/>
        </w:rPr>
        <w:t xml:space="preserve"> </w:t>
      </w:r>
    </w:p>
  </w:footnote>
  <w:footnote w:id="37">
    <w:p w14:paraId="0E0B804A" w14:textId="1B8E7C62" w:rsidR="007B5F47" w:rsidRPr="00052745" w:rsidRDefault="007B5F47">
      <w:pPr>
        <w:pStyle w:val="FootnoteText"/>
        <w:rPr>
          <w:rFonts w:ascii="Gill Sans MT" w:hAnsi="Gill Sans MT"/>
        </w:rPr>
      </w:pPr>
      <w:r w:rsidRPr="00D46288">
        <w:rPr>
          <w:rStyle w:val="FootnoteReference"/>
          <w:rFonts w:ascii="Gill Sans MT" w:hAnsi="Gill Sans MT"/>
        </w:rPr>
        <w:footnoteRef/>
      </w:r>
      <w:r w:rsidRPr="00D46288">
        <w:rPr>
          <w:rFonts w:ascii="Gill Sans MT" w:hAnsi="Gill Sans MT"/>
        </w:rPr>
        <w:t xml:space="preserve"> </w:t>
      </w:r>
      <w:r w:rsidR="00F6072B" w:rsidRPr="00F6072B">
        <w:rPr>
          <w:rFonts w:ascii="Gill Sans MT" w:hAnsi="Gill Sans MT"/>
          <w:i/>
          <w:iCs/>
        </w:rPr>
        <w:t>Good Law Project</w:t>
      </w:r>
      <w:r w:rsidR="00F6072B">
        <w:rPr>
          <w:rFonts w:ascii="Gill Sans MT" w:hAnsi="Gill Sans MT"/>
        </w:rPr>
        <w:t xml:space="preserve"> v </w:t>
      </w:r>
      <w:r w:rsidR="00F6072B" w:rsidRPr="00F6072B">
        <w:rPr>
          <w:rFonts w:ascii="Gill Sans MT" w:hAnsi="Gill Sans MT"/>
          <w:i/>
          <w:iCs/>
        </w:rPr>
        <w:t>Secretary of State for Health and Social Care</w:t>
      </w:r>
      <w:r w:rsidR="00F6072B">
        <w:rPr>
          <w:rFonts w:ascii="Gill Sans MT" w:hAnsi="Gill Sans MT"/>
        </w:rPr>
        <w:t xml:space="preserve"> [2021] EWHC 346 (Admin); </w:t>
      </w:r>
      <w:r w:rsidR="00F6072B" w:rsidRPr="00F6072B">
        <w:rPr>
          <w:rFonts w:ascii="Gill Sans MT" w:hAnsi="Gill Sans MT"/>
          <w:i/>
          <w:iCs/>
        </w:rPr>
        <w:t>Good Law Project</w:t>
      </w:r>
      <w:r w:rsidR="00F6072B">
        <w:rPr>
          <w:rFonts w:ascii="Gill Sans MT" w:hAnsi="Gill Sans MT"/>
        </w:rPr>
        <w:t xml:space="preserve"> v </w:t>
      </w:r>
      <w:r w:rsidR="00F6072B" w:rsidRPr="00052745">
        <w:rPr>
          <w:rFonts w:ascii="Gill Sans MT" w:hAnsi="Gill Sans MT"/>
          <w:i/>
          <w:iCs/>
        </w:rPr>
        <w:t>Cabinet Office and Public First Limited</w:t>
      </w:r>
      <w:r w:rsidR="00F6072B" w:rsidRPr="00052745">
        <w:rPr>
          <w:rFonts w:ascii="Gill Sans MT" w:hAnsi="Gill Sans MT"/>
        </w:rPr>
        <w:t xml:space="preserve"> [2021] EWHC 1569 (TCC); </w:t>
      </w:r>
      <w:r w:rsidR="00052745" w:rsidRPr="00052745">
        <w:rPr>
          <w:rFonts w:ascii="Gill Sans MT" w:hAnsi="Gill Sans MT"/>
          <w:i/>
          <w:iCs/>
        </w:rPr>
        <w:t xml:space="preserve">Good Law Project and </w:t>
      </w:r>
      <w:r w:rsidRPr="00052745">
        <w:rPr>
          <w:rFonts w:ascii="Gill Sans MT" w:hAnsi="Gill Sans MT"/>
          <w:i/>
          <w:iCs/>
        </w:rPr>
        <w:t>Runnymede Trust</w:t>
      </w:r>
      <w:r w:rsidR="00F6072B" w:rsidRPr="00052745">
        <w:rPr>
          <w:rFonts w:ascii="Gill Sans MT" w:hAnsi="Gill Sans MT"/>
        </w:rPr>
        <w:t xml:space="preserve"> v </w:t>
      </w:r>
      <w:r w:rsidR="00F6072B" w:rsidRPr="00052745">
        <w:rPr>
          <w:rFonts w:ascii="Gill Sans MT" w:hAnsi="Gill Sans MT"/>
          <w:i/>
          <w:iCs/>
        </w:rPr>
        <w:t>Prime Minister</w:t>
      </w:r>
      <w:r w:rsidR="00F6072B" w:rsidRPr="00052745">
        <w:rPr>
          <w:rFonts w:ascii="Gill Sans MT" w:hAnsi="Gill Sans MT"/>
        </w:rPr>
        <w:t xml:space="preserve"> [2022] EWHC 298 (Admin)</w:t>
      </w:r>
      <w:r w:rsidR="00460042">
        <w:rPr>
          <w:rFonts w:ascii="Gill Sans MT" w:hAnsi="Gill Sans MT"/>
        </w:rPr>
        <w:t xml:space="preserve">; </w:t>
      </w:r>
      <w:r w:rsidR="00460042">
        <w:rPr>
          <w:rFonts w:ascii="Gill Sans MT" w:hAnsi="Gill Sans MT"/>
          <w:i/>
        </w:rPr>
        <w:t xml:space="preserve">Gardner </w:t>
      </w:r>
      <w:r w:rsidR="00460042">
        <w:rPr>
          <w:rFonts w:ascii="Gill Sans MT" w:hAnsi="Gill Sans MT"/>
        </w:rPr>
        <w:t xml:space="preserve">v </w:t>
      </w:r>
      <w:r w:rsidR="00460042">
        <w:rPr>
          <w:rFonts w:ascii="Gill Sans MT" w:hAnsi="Gill Sans MT"/>
          <w:i/>
        </w:rPr>
        <w:t xml:space="preserve">Secretary of State for Health and Social Care </w:t>
      </w:r>
      <w:r w:rsidR="00460042">
        <w:rPr>
          <w:rFonts w:ascii="Gill Sans MT" w:hAnsi="Gill Sans MT"/>
        </w:rPr>
        <w:t>[2022] EWHC 967 (Admin).</w:t>
      </w:r>
    </w:p>
  </w:footnote>
  <w:footnote w:id="38">
    <w:p w14:paraId="6B17B258" w14:textId="2E0517C6" w:rsidR="007B5F47" w:rsidRPr="00052745" w:rsidRDefault="007B5F47">
      <w:pPr>
        <w:pStyle w:val="FootnoteText"/>
        <w:rPr>
          <w:rFonts w:ascii="Gill Sans MT" w:hAnsi="Gill Sans MT"/>
        </w:rPr>
      </w:pPr>
      <w:r w:rsidRPr="00052745">
        <w:rPr>
          <w:rStyle w:val="FootnoteReference"/>
          <w:rFonts w:ascii="Gill Sans MT" w:hAnsi="Gill Sans MT"/>
        </w:rPr>
        <w:footnoteRef/>
      </w:r>
      <w:r w:rsidRPr="00052745">
        <w:rPr>
          <w:rFonts w:ascii="Gill Sans MT" w:hAnsi="Gill Sans MT"/>
        </w:rPr>
        <w:t xml:space="preserve"> </w:t>
      </w:r>
      <w:r w:rsidRPr="00052745">
        <w:rPr>
          <w:rFonts w:ascii="Gill Sans MT" w:hAnsi="Gill Sans MT"/>
          <w:i/>
          <w:iCs/>
        </w:rPr>
        <w:t>All the Citizens</w:t>
      </w:r>
      <w:r w:rsidR="00502BF3" w:rsidRPr="00052745">
        <w:rPr>
          <w:rFonts w:ascii="Gill Sans MT" w:hAnsi="Gill Sans MT"/>
        </w:rPr>
        <w:t xml:space="preserve"> v </w:t>
      </w:r>
      <w:r w:rsidR="00502BF3" w:rsidRPr="00052745">
        <w:rPr>
          <w:rFonts w:ascii="Gill Sans MT" w:hAnsi="Gill Sans MT"/>
          <w:i/>
          <w:iCs/>
        </w:rPr>
        <w:t>Secretary of State for Digital, Culture, Media and Sport</w:t>
      </w:r>
      <w:r w:rsidR="00502BF3" w:rsidRPr="00052745">
        <w:rPr>
          <w:rFonts w:ascii="Gill Sans MT" w:hAnsi="Gill Sans MT"/>
        </w:rPr>
        <w:t xml:space="preserve"> [2022] EWHC 960 (Admin).</w:t>
      </w:r>
    </w:p>
  </w:footnote>
  <w:footnote w:id="39">
    <w:p w14:paraId="0321BBFA" w14:textId="016C51FF" w:rsidR="00052745" w:rsidRPr="00052745" w:rsidRDefault="00052745">
      <w:pPr>
        <w:pStyle w:val="FootnoteText"/>
        <w:rPr>
          <w:rFonts w:ascii="Gill Sans MT" w:hAnsi="Gill Sans MT"/>
        </w:rPr>
      </w:pPr>
      <w:r w:rsidRPr="00052745">
        <w:rPr>
          <w:rStyle w:val="FootnoteReference"/>
          <w:rFonts w:ascii="Gill Sans MT" w:hAnsi="Gill Sans MT"/>
        </w:rPr>
        <w:footnoteRef/>
      </w:r>
      <w:r w:rsidRPr="00052745">
        <w:rPr>
          <w:rFonts w:ascii="Gill Sans MT" w:hAnsi="Gill Sans MT"/>
        </w:rPr>
        <w:t xml:space="preserve"> See </w:t>
      </w:r>
      <w:proofErr w:type="spellStart"/>
      <w:r w:rsidRPr="00052745">
        <w:rPr>
          <w:rFonts w:ascii="Gill Sans MT" w:hAnsi="Gill Sans MT"/>
        </w:rPr>
        <w:t>eg</w:t>
      </w:r>
      <w:proofErr w:type="spellEnd"/>
      <w:r w:rsidRPr="00052745">
        <w:rPr>
          <w:rFonts w:ascii="Gill Sans MT" w:hAnsi="Gill Sans MT"/>
        </w:rPr>
        <w:t xml:space="preserve"> the limited effects of the declarations granted in the three Good Law Project cases cited in n.37</w:t>
      </w:r>
      <w:r>
        <w:rPr>
          <w:rFonts w:ascii="Gill Sans MT" w:hAnsi="Gill Sans MT"/>
        </w:rPr>
        <w:t>, which invalidated none of the contested decisions relating to procurement or appointments taken during the coronavirus pandemi</w:t>
      </w:r>
      <w:r w:rsidR="00E87EF7">
        <w:rPr>
          <w:rFonts w:ascii="Gill Sans MT" w:hAnsi="Gill Sans MT"/>
        </w:rPr>
        <w:t xml:space="preserve">c, and also the </w:t>
      </w:r>
      <w:r w:rsidR="00B629AC">
        <w:rPr>
          <w:rFonts w:ascii="Gill Sans MT" w:hAnsi="Gill Sans MT"/>
        </w:rPr>
        <w:t>single</w:t>
      </w:r>
      <w:r w:rsidR="00243910">
        <w:rPr>
          <w:rFonts w:ascii="Gill Sans MT" w:hAnsi="Gill Sans MT"/>
        </w:rPr>
        <w:t xml:space="preserve"> finding of irrationality in </w:t>
      </w:r>
      <w:r w:rsidR="00243910">
        <w:rPr>
          <w:rFonts w:ascii="Gill Sans MT" w:hAnsi="Gill Sans MT"/>
          <w:i/>
        </w:rPr>
        <w:t xml:space="preserve">Gardner </w:t>
      </w:r>
      <w:r w:rsidR="00B629AC">
        <w:rPr>
          <w:rFonts w:ascii="Gill Sans MT" w:hAnsi="Gill Sans MT"/>
        </w:rPr>
        <w:t>(a ‘very wide-ranging claim for judicial review’, at [295]) which related</w:t>
      </w:r>
      <w:r w:rsidR="00243910">
        <w:rPr>
          <w:rFonts w:ascii="Gill Sans MT" w:hAnsi="Gill Sans MT"/>
        </w:rPr>
        <w:t xml:space="preserve"> to</w:t>
      </w:r>
      <w:r w:rsidR="00B629AC">
        <w:rPr>
          <w:rFonts w:ascii="Gill Sans MT" w:hAnsi="Gill Sans MT"/>
        </w:rPr>
        <w:t xml:space="preserve"> the operation of a policy for one month.</w:t>
      </w:r>
    </w:p>
  </w:footnote>
  <w:footnote w:id="40">
    <w:p w14:paraId="17C656E5" w14:textId="569506AD" w:rsidR="004373C2" w:rsidRPr="00CB3BDF" w:rsidRDefault="004373C2">
      <w:pPr>
        <w:pStyle w:val="FootnoteText"/>
        <w:rPr>
          <w:rFonts w:ascii="Gill Sans MT" w:hAnsi="Gill Sans MT"/>
        </w:rPr>
      </w:pPr>
      <w:r w:rsidRPr="00CB3BDF">
        <w:rPr>
          <w:rStyle w:val="FootnoteReference"/>
          <w:rFonts w:ascii="Gill Sans MT" w:hAnsi="Gill Sans MT"/>
        </w:rPr>
        <w:footnoteRef/>
      </w:r>
      <w:r w:rsidRPr="00CB3BDF">
        <w:rPr>
          <w:rFonts w:ascii="Gill Sans MT" w:hAnsi="Gill Sans MT"/>
        </w:rPr>
        <w:t xml:space="preserve"> Contrast the decision of the Supreme Court [2019] </w:t>
      </w:r>
      <w:r w:rsidR="008E0A10" w:rsidRPr="00CB3BDF">
        <w:rPr>
          <w:rFonts w:ascii="Gill Sans MT" w:hAnsi="Gill Sans MT"/>
        </w:rPr>
        <w:t>UKSC 41 with that of the Divisional Court [2019] EWHC 2381 (QB), which was persuaded by claims of non-justiciability relating to the prorogation of Parliament.</w:t>
      </w:r>
    </w:p>
  </w:footnote>
  <w:footnote w:id="41">
    <w:p w14:paraId="476B70A8" w14:textId="602BFADD" w:rsidR="007A2BC8" w:rsidRPr="00CB3BDF" w:rsidRDefault="007A2BC8">
      <w:pPr>
        <w:pStyle w:val="FootnoteText"/>
        <w:rPr>
          <w:rFonts w:ascii="Gill Sans MT" w:hAnsi="Gill Sans MT"/>
        </w:rPr>
      </w:pPr>
      <w:r w:rsidRPr="00CB3BDF">
        <w:rPr>
          <w:rStyle w:val="FootnoteReference"/>
          <w:rFonts w:ascii="Gill Sans MT" w:hAnsi="Gill Sans MT"/>
        </w:rPr>
        <w:footnoteRef/>
      </w:r>
      <w:r w:rsidRPr="00CB3BDF">
        <w:rPr>
          <w:rFonts w:ascii="Gill Sans MT" w:hAnsi="Gill Sans MT"/>
        </w:rPr>
        <w:t xml:space="preserve"> See </w:t>
      </w:r>
      <w:proofErr w:type="spellStart"/>
      <w:r w:rsidRPr="00CB3BDF">
        <w:rPr>
          <w:rFonts w:ascii="Gill Sans MT" w:hAnsi="Gill Sans MT"/>
        </w:rPr>
        <w:t>eg</w:t>
      </w:r>
      <w:proofErr w:type="spellEnd"/>
      <w:r w:rsidRPr="00CB3BDF">
        <w:rPr>
          <w:rFonts w:ascii="Gill Sans MT" w:hAnsi="Gill Sans MT"/>
        </w:rPr>
        <w:t xml:space="preserve"> </w:t>
      </w:r>
      <w:r w:rsidRPr="00CB3BDF">
        <w:rPr>
          <w:rFonts w:ascii="Gill Sans MT" w:hAnsi="Gill Sans MT"/>
          <w:i/>
          <w:iCs/>
        </w:rPr>
        <w:t>McClean</w:t>
      </w:r>
      <w:r w:rsidR="00CB3BDF">
        <w:rPr>
          <w:rFonts w:ascii="Gill Sans MT" w:hAnsi="Gill Sans MT"/>
        </w:rPr>
        <w:t xml:space="preserve"> v </w:t>
      </w:r>
      <w:r w:rsidR="00CB3BDF" w:rsidRPr="00CB3BDF">
        <w:rPr>
          <w:rFonts w:ascii="Gill Sans MT" w:hAnsi="Gill Sans MT"/>
          <w:i/>
          <w:iCs/>
        </w:rPr>
        <w:t>First Secretary of State</w:t>
      </w:r>
      <w:r w:rsidR="00CB3BDF">
        <w:rPr>
          <w:rFonts w:ascii="Gill Sans MT" w:hAnsi="Gill Sans MT"/>
        </w:rPr>
        <w:t xml:space="preserve"> </w:t>
      </w:r>
      <w:r w:rsidR="00CB3BDF" w:rsidRPr="00851D7B">
        <w:rPr>
          <w:rFonts w:ascii="Gill Sans MT" w:hAnsi="Gill Sans MT"/>
        </w:rPr>
        <w:t>[20</w:t>
      </w:r>
      <w:r w:rsidR="00CB3BDF">
        <w:rPr>
          <w:rFonts w:ascii="Gill Sans MT" w:hAnsi="Gill Sans MT"/>
        </w:rPr>
        <w:t>17</w:t>
      </w:r>
      <w:r w:rsidR="00CB3BDF" w:rsidRPr="00851D7B">
        <w:rPr>
          <w:rFonts w:ascii="Gill Sans MT" w:hAnsi="Gill Sans MT"/>
        </w:rPr>
        <w:t>] EWHC 3</w:t>
      </w:r>
      <w:r w:rsidR="00CB3BDF">
        <w:rPr>
          <w:rFonts w:ascii="Gill Sans MT" w:hAnsi="Gill Sans MT"/>
        </w:rPr>
        <w:t>174</w:t>
      </w:r>
      <w:r w:rsidR="00CB3BDF" w:rsidRPr="00851D7B">
        <w:rPr>
          <w:rFonts w:ascii="Gill Sans MT" w:hAnsi="Gill Sans MT"/>
        </w:rPr>
        <w:t xml:space="preserve"> (Admin),</w:t>
      </w:r>
    </w:p>
  </w:footnote>
  <w:footnote w:id="42">
    <w:p w14:paraId="730CE39D" w14:textId="2FE06788" w:rsidR="00C46627" w:rsidRPr="00730568" w:rsidRDefault="00C46627">
      <w:pPr>
        <w:pStyle w:val="FootnoteText"/>
        <w:rPr>
          <w:rFonts w:ascii="Gill Sans MT" w:hAnsi="Gill Sans MT"/>
        </w:rPr>
      </w:pPr>
      <w:r w:rsidRPr="00730568">
        <w:rPr>
          <w:rStyle w:val="FootnoteReference"/>
          <w:rFonts w:ascii="Gill Sans MT" w:hAnsi="Gill Sans MT"/>
        </w:rPr>
        <w:footnoteRef/>
      </w:r>
      <w:r w:rsidRPr="00730568">
        <w:rPr>
          <w:rFonts w:ascii="Gill Sans MT" w:hAnsi="Gill Sans MT"/>
        </w:rPr>
        <w:t xml:space="preserve"> See </w:t>
      </w:r>
      <w:proofErr w:type="spellStart"/>
      <w:r w:rsidRPr="00730568">
        <w:rPr>
          <w:rFonts w:ascii="Gill Sans MT" w:hAnsi="Gill Sans MT"/>
        </w:rPr>
        <w:t>eg</w:t>
      </w:r>
      <w:proofErr w:type="spellEnd"/>
      <w:r w:rsidRPr="00730568">
        <w:rPr>
          <w:rFonts w:ascii="Gill Sans MT" w:hAnsi="Gill Sans MT"/>
        </w:rPr>
        <w:t xml:space="preserve"> Dissolution and Calling of Parliaments Act 2022, s.3.</w:t>
      </w:r>
    </w:p>
  </w:footnote>
  <w:footnote w:id="43">
    <w:p w14:paraId="1CC1EA1F" w14:textId="352DC635" w:rsidR="003E4275" w:rsidRPr="00730568" w:rsidRDefault="003E4275">
      <w:pPr>
        <w:pStyle w:val="FootnoteText"/>
      </w:pPr>
      <w:r w:rsidRPr="00730568">
        <w:rPr>
          <w:rStyle w:val="FootnoteReference"/>
          <w:rFonts w:ascii="Gill Sans MT" w:hAnsi="Gill Sans MT"/>
        </w:rPr>
        <w:footnoteRef/>
      </w:r>
      <w:r w:rsidRPr="00730568">
        <w:rPr>
          <w:rFonts w:ascii="Gill Sans MT" w:hAnsi="Gill Sans MT"/>
        </w:rPr>
        <w:t xml:space="preserve"> See </w:t>
      </w:r>
      <w:proofErr w:type="spellStart"/>
      <w:r w:rsidRPr="00730568">
        <w:rPr>
          <w:rFonts w:ascii="Gill Sans MT" w:hAnsi="Gill Sans MT"/>
        </w:rPr>
        <w:t>eg</w:t>
      </w:r>
      <w:proofErr w:type="spellEnd"/>
      <w:r w:rsidRPr="00730568">
        <w:rPr>
          <w:rFonts w:ascii="Gill Sans MT" w:hAnsi="Gill Sans MT"/>
        </w:rPr>
        <w:t xml:space="preserve"> </w:t>
      </w:r>
      <w:r w:rsidR="00730568">
        <w:rPr>
          <w:rFonts w:ascii="Gill Sans MT" w:hAnsi="Gill Sans MT"/>
          <w:i/>
          <w:iCs/>
        </w:rPr>
        <w:t>R (</w:t>
      </w:r>
      <w:r w:rsidRPr="00730568">
        <w:rPr>
          <w:rFonts w:ascii="Gill Sans MT" w:hAnsi="Gill Sans MT"/>
          <w:i/>
          <w:iCs/>
        </w:rPr>
        <w:t>Privacy International</w:t>
      </w:r>
      <w:r w:rsidR="00730568">
        <w:rPr>
          <w:rFonts w:ascii="Gill Sans MT" w:hAnsi="Gill Sans MT"/>
        </w:rPr>
        <w:t xml:space="preserve">) v </w:t>
      </w:r>
      <w:r w:rsidR="00730568">
        <w:rPr>
          <w:rFonts w:ascii="Gill Sans MT" w:hAnsi="Gill Sans MT"/>
          <w:i/>
          <w:iCs/>
        </w:rPr>
        <w:t xml:space="preserve">Investigatory Powers Tribunal </w:t>
      </w:r>
      <w:r w:rsidR="00730568">
        <w:rPr>
          <w:rFonts w:ascii="Gill Sans MT" w:hAnsi="Gill Sans MT"/>
        </w:rPr>
        <w:t xml:space="preserve">[2019] UKSC 22, </w:t>
      </w:r>
      <w:proofErr w:type="spellStart"/>
      <w:r w:rsidR="00730568">
        <w:rPr>
          <w:rFonts w:ascii="Gill Sans MT" w:hAnsi="Gill Sans MT"/>
        </w:rPr>
        <w:t>esp</w:t>
      </w:r>
      <w:proofErr w:type="spellEnd"/>
      <w:r w:rsidR="00730568">
        <w:rPr>
          <w:rFonts w:ascii="Gill Sans MT" w:hAnsi="Gill Sans MT"/>
        </w:rPr>
        <w:t xml:space="preserve"> </w:t>
      </w:r>
      <w:r w:rsidR="008935C9">
        <w:rPr>
          <w:rFonts w:ascii="Gill Sans MT" w:hAnsi="Gill Sans MT"/>
        </w:rPr>
        <w:t xml:space="preserve">at </w:t>
      </w:r>
      <w:r w:rsidR="00730568">
        <w:rPr>
          <w:rFonts w:ascii="Gill Sans MT" w:hAnsi="Gill Sans MT"/>
        </w:rPr>
        <w:t>[144].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011"/>
    <w:multiLevelType w:val="hybridMultilevel"/>
    <w:tmpl w:val="EDEE4148"/>
    <w:lvl w:ilvl="0" w:tplc="2DDE151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25F0E"/>
    <w:multiLevelType w:val="hybridMultilevel"/>
    <w:tmpl w:val="9FAE7E30"/>
    <w:lvl w:ilvl="0" w:tplc="950A39B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479BA"/>
    <w:multiLevelType w:val="hybridMultilevel"/>
    <w:tmpl w:val="0DEC6DFE"/>
    <w:lvl w:ilvl="0" w:tplc="A5B2381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239727">
    <w:abstractNumId w:val="2"/>
  </w:num>
  <w:num w:numId="2" w16cid:durableId="2081444195">
    <w:abstractNumId w:val="1"/>
  </w:num>
  <w:num w:numId="3" w16cid:durableId="148808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24"/>
    <w:rsid w:val="000061BF"/>
    <w:rsid w:val="00010082"/>
    <w:rsid w:val="00043F80"/>
    <w:rsid w:val="00045914"/>
    <w:rsid w:val="00052745"/>
    <w:rsid w:val="0007063E"/>
    <w:rsid w:val="00071FCC"/>
    <w:rsid w:val="00077D06"/>
    <w:rsid w:val="00096841"/>
    <w:rsid w:val="000A173E"/>
    <w:rsid w:val="000B2224"/>
    <w:rsid w:val="000B6FC3"/>
    <w:rsid w:val="000C1049"/>
    <w:rsid w:val="000C2E8C"/>
    <w:rsid w:val="000C4707"/>
    <w:rsid w:val="000D7225"/>
    <w:rsid w:val="000D7781"/>
    <w:rsid w:val="000F1D1D"/>
    <w:rsid w:val="000F58EC"/>
    <w:rsid w:val="0011259B"/>
    <w:rsid w:val="00136ACE"/>
    <w:rsid w:val="00147AC6"/>
    <w:rsid w:val="00156FC0"/>
    <w:rsid w:val="001817AE"/>
    <w:rsid w:val="0018410B"/>
    <w:rsid w:val="001941E2"/>
    <w:rsid w:val="001A3B98"/>
    <w:rsid w:val="001B51CC"/>
    <w:rsid w:val="001D2EBE"/>
    <w:rsid w:val="001F3555"/>
    <w:rsid w:val="0020000D"/>
    <w:rsid w:val="00203DB4"/>
    <w:rsid w:val="002118AF"/>
    <w:rsid w:val="0021217B"/>
    <w:rsid w:val="00226F36"/>
    <w:rsid w:val="00227BAD"/>
    <w:rsid w:val="00243910"/>
    <w:rsid w:val="00247295"/>
    <w:rsid w:val="002476DF"/>
    <w:rsid w:val="0027272B"/>
    <w:rsid w:val="00276F6E"/>
    <w:rsid w:val="00294D25"/>
    <w:rsid w:val="002A1200"/>
    <w:rsid w:val="002A4F16"/>
    <w:rsid w:val="002A4F76"/>
    <w:rsid w:val="002B4848"/>
    <w:rsid w:val="00306A50"/>
    <w:rsid w:val="00306ED0"/>
    <w:rsid w:val="003102BE"/>
    <w:rsid w:val="00321C17"/>
    <w:rsid w:val="00332DC5"/>
    <w:rsid w:val="00346838"/>
    <w:rsid w:val="0035452B"/>
    <w:rsid w:val="00362D13"/>
    <w:rsid w:val="00365F7A"/>
    <w:rsid w:val="0037227A"/>
    <w:rsid w:val="00375847"/>
    <w:rsid w:val="003776AB"/>
    <w:rsid w:val="00380B16"/>
    <w:rsid w:val="00385C4E"/>
    <w:rsid w:val="00391387"/>
    <w:rsid w:val="00391EFA"/>
    <w:rsid w:val="003A492C"/>
    <w:rsid w:val="003A690B"/>
    <w:rsid w:val="003B1858"/>
    <w:rsid w:val="003D06C7"/>
    <w:rsid w:val="003D7A98"/>
    <w:rsid w:val="003E2B28"/>
    <w:rsid w:val="003E4275"/>
    <w:rsid w:val="003E5A39"/>
    <w:rsid w:val="003E5D11"/>
    <w:rsid w:val="003F07DA"/>
    <w:rsid w:val="00412626"/>
    <w:rsid w:val="004133F3"/>
    <w:rsid w:val="0041643D"/>
    <w:rsid w:val="00424E04"/>
    <w:rsid w:val="004250DC"/>
    <w:rsid w:val="00430993"/>
    <w:rsid w:val="004340FF"/>
    <w:rsid w:val="004342AC"/>
    <w:rsid w:val="004367A8"/>
    <w:rsid w:val="004373C2"/>
    <w:rsid w:val="00444D07"/>
    <w:rsid w:val="00454B20"/>
    <w:rsid w:val="004550A2"/>
    <w:rsid w:val="00460042"/>
    <w:rsid w:val="0047270B"/>
    <w:rsid w:val="00476644"/>
    <w:rsid w:val="00483519"/>
    <w:rsid w:val="00483ED9"/>
    <w:rsid w:val="00496FCA"/>
    <w:rsid w:val="004A0C96"/>
    <w:rsid w:val="004B03CD"/>
    <w:rsid w:val="004E28F3"/>
    <w:rsid w:val="004F1696"/>
    <w:rsid w:val="004F79FD"/>
    <w:rsid w:val="00502BF3"/>
    <w:rsid w:val="005065C1"/>
    <w:rsid w:val="00524271"/>
    <w:rsid w:val="00533461"/>
    <w:rsid w:val="005433BB"/>
    <w:rsid w:val="0054477A"/>
    <w:rsid w:val="00544E2D"/>
    <w:rsid w:val="00554504"/>
    <w:rsid w:val="005611FE"/>
    <w:rsid w:val="00571732"/>
    <w:rsid w:val="0057395E"/>
    <w:rsid w:val="005966A4"/>
    <w:rsid w:val="005A7C71"/>
    <w:rsid w:val="005B07BD"/>
    <w:rsid w:val="005B1F60"/>
    <w:rsid w:val="005B69ED"/>
    <w:rsid w:val="005C6607"/>
    <w:rsid w:val="005E401C"/>
    <w:rsid w:val="005F721D"/>
    <w:rsid w:val="00600AA6"/>
    <w:rsid w:val="00611571"/>
    <w:rsid w:val="00620DD2"/>
    <w:rsid w:val="00636111"/>
    <w:rsid w:val="006455C2"/>
    <w:rsid w:val="00651B98"/>
    <w:rsid w:val="00652490"/>
    <w:rsid w:val="00654FE7"/>
    <w:rsid w:val="0065758E"/>
    <w:rsid w:val="00666EC5"/>
    <w:rsid w:val="00677872"/>
    <w:rsid w:val="00681335"/>
    <w:rsid w:val="00681533"/>
    <w:rsid w:val="0068197C"/>
    <w:rsid w:val="0068469E"/>
    <w:rsid w:val="006A1506"/>
    <w:rsid w:val="006A60E8"/>
    <w:rsid w:val="006C02AA"/>
    <w:rsid w:val="006D1D91"/>
    <w:rsid w:val="006F1C57"/>
    <w:rsid w:val="006F616A"/>
    <w:rsid w:val="00704454"/>
    <w:rsid w:val="00706C29"/>
    <w:rsid w:val="00710BB7"/>
    <w:rsid w:val="00721642"/>
    <w:rsid w:val="00730568"/>
    <w:rsid w:val="007353F0"/>
    <w:rsid w:val="00735A91"/>
    <w:rsid w:val="0073664E"/>
    <w:rsid w:val="00751C75"/>
    <w:rsid w:val="00756C49"/>
    <w:rsid w:val="00766CEE"/>
    <w:rsid w:val="00774D66"/>
    <w:rsid w:val="007871A5"/>
    <w:rsid w:val="007A1CBB"/>
    <w:rsid w:val="007A2BC8"/>
    <w:rsid w:val="007A5A5D"/>
    <w:rsid w:val="007B06C8"/>
    <w:rsid w:val="007B5577"/>
    <w:rsid w:val="007B5F47"/>
    <w:rsid w:val="007D7064"/>
    <w:rsid w:val="008019C7"/>
    <w:rsid w:val="0080567A"/>
    <w:rsid w:val="00821588"/>
    <w:rsid w:val="00822A53"/>
    <w:rsid w:val="00822D4F"/>
    <w:rsid w:val="00851D7B"/>
    <w:rsid w:val="00857710"/>
    <w:rsid w:val="008866A8"/>
    <w:rsid w:val="00887EF9"/>
    <w:rsid w:val="008935C9"/>
    <w:rsid w:val="008B35C4"/>
    <w:rsid w:val="008C012D"/>
    <w:rsid w:val="008C0DFB"/>
    <w:rsid w:val="008D2837"/>
    <w:rsid w:val="008D3239"/>
    <w:rsid w:val="008D421B"/>
    <w:rsid w:val="008D558A"/>
    <w:rsid w:val="008D7D9E"/>
    <w:rsid w:val="008E0A10"/>
    <w:rsid w:val="008F2A48"/>
    <w:rsid w:val="008F3171"/>
    <w:rsid w:val="008F5669"/>
    <w:rsid w:val="0090281C"/>
    <w:rsid w:val="009149F4"/>
    <w:rsid w:val="00963117"/>
    <w:rsid w:val="0096739B"/>
    <w:rsid w:val="00971E09"/>
    <w:rsid w:val="00984353"/>
    <w:rsid w:val="00985B78"/>
    <w:rsid w:val="009943D5"/>
    <w:rsid w:val="00996493"/>
    <w:rsid w:val="009B540C"/>
    <w:rsid w:val="009C1F99"/>
    <w:rsid w:val="009D2180"/>
    <w:rsid w:val="009E2B5A"/>
    <w:rsid w:val="009E5FB2"/>
    <w:rsid w:val="00A07356"/>
    <w:rsid w:val="00A157C8"/>
    <w:rsid w:val="00A266CE"/>
    <w:rsid w:val="00A336A3"/>
    <w:rsid w:val="00A50C91"/>
    <w:rsid w:val="00A53CA2"/>
    <w:rsid w:val="00A56D5C"/>
    <w:rsid w:val="00A60A93"/>
    <w:rsid w:val="00A60CF5"/>
    <w:rsid w:val="00A67E4B"/>
    <w:rsid w:val="00A8254D"/>
    <w:rsid w:val="00AA2929"/>
    <w:rsid w:val="00AB7077"/>
    <w:rsid w:val="00AE5FAD"/>
    <w:rsid w:val="00AF2088"/>
    <w:rsid w:val="00B20B35"/>
    <w:rsid w:val="00B32E6A"/>
    <w:rsid w:val="00B43E05"/>
    <w:rsid w:val="00B519E8"/>
    <w:rsid w:val="00B54A93"/>
    <w:rsid w:val="00B629AC"/>
    <w:rsid w:val="00BA4FB6"/>
    <w:rsid w:val="00BA6350"/>
    <w:rsid w:val="00BB1286"/>
    <w:rsid w:val="00BB1A70"/>
    <w:rsid w:val="00BB62E6"/>
    <w:rsid w:val="00BD4AEA"/>
    <w:rsid w:val="00C01D0E"/>
    <w:rsid w:val="00C03500"/>
    <w:rsid w:val="00C1495E"/>
    <w:rsid w:val="00C2324D"/>
    <w:rsid w:val="00C414A9"/>
    <w:rsid w:val="00C46627"/>
    <w:rsid w:val="00C5023D"/>
    <w:rsid w:val="00C55181"/>
    <w:rsid w:val="00C826C8"/>
    <w:rsid w:val="00C954A6"/>
    <w:rsid w:val="00C95D9A"/>
    <w:rsid w:val="00C962B0"/>
    <w:rsid w:val="00CB0611"/>
    <w:rsid w:val="00CB1CEB"/>
    <w:rsid w:val="00CB3BDF"/>
    <w:rsid w:val="00CB632B"/>
    <w:rsid w:val="00CB7BF5"/>
    <w:rsid w:val="00CC1419"/>
    <w:rsid w:val="00CC2542"/>
    <w:rsid w:val="00CC78CC"/>
    <w:rsid w:val="00CD35E5"/>
    <w:rsid w:val="00CD5BAE"/>
    <w:rsid w:val="00CE6AB2"/>
    <w:rsid w:val="00CF3737"/>
    <w:rsid w:val="00D13EF8"/>
    <w:rsid w:val="00D2330A"/>
    <w:rsid w:val="00D275FB"/>
    <w:rsid w:val="00D32784"/>
    <w:rsid w:val="00D354E8"/>
    <w:rsid w:val="00D36B98"/>
    <w:rsid w:val="00D416A4"/>
    <w:rsid w:val="00D46288"/>
    <w:rsid w:val="00D509AB"/>
    <w:rsid w:val="00D647D9"/>
    <w:rsid w:val="00D72039"/>
    <w:rsid w:val="00D81C24"/>
    <w:rsid w:val="00D91BAE"/>
    <w:rsid w:val="00D95831"/>
    <w:rsid w:val="00D96BD1"/>
    <w:rsid w:val="00DA4803"/>
    <w:rsid w:val="00DA4C3D"/>
    <w:rsid w:val="00DB63AB"/>
    <w:rsid w:val="00DB6572"/>
    <w:rsid w:val="00DC307E"/>
    <w:rsid w:val="00DD73F0"/>
    <w:rsid w:val="00DE1E54"/>
    <w:rsid w:val="00DE2FE0"/>
    <w:rsid w:val="00DF1722"/>
    <w:rsid w:val="00DF3B16"/>
    <w:rsid w:val="00DF48A6"/>
    <w:rsid w:val="00E0098E"/>
    <w:rsid w:val="00E026D2"/>
    <w:rsid w:val="00E11796"/>
    <w:rsid w:val="00E14323"/>
    <w:rsid w:val="00E2233E"/>
    <w:rsid w:val="00E411B0"/>
    <w:rsid w:val="00E417CC"/>
    <w:rsid w:val="00E522D6"/>
    <w:rsid w:val="00E55A22"/>
    <w:rsid w:val="00E61A06"/>
    <w:rsid w:val="00E73F62"/>
    <w:rsid w:val="00E8390F"/>
    <w:rsid w:val="00E872CA"/>
    <w:rsid w:val="00E879EE"/>
    <w:rsid w:val="00E87EF7"/>
    <w:rsid w:val="00EA1DEA"/>
    <w:rsid w:val="00EA2F89"/>
    <w:rsid w:val="00EA34C8"/>
    <w:rsid w:val="00EB71E2"/>
    <w:rsid w:val="00EC18C8"/>
    <w:rsid w:val="00ED09A0"/>
    <w:rsid w:val="00EE1E12"/>
    <w:rsid w:val="00EE3646"/>
    <w:rsid w:val="00EF65E6"/>
    <w:rsid w:val="00F0518B"/>
    <w:rsid w:val="00F14750"/>
    <w:rsid w:val="00F2060A"/>
    <w:rsid w:val="00F23B4F"/>
    <w:rsid w:val="00F30924"/>
    <w:rsid w:val="00F5280F"/>
    <w:rsid w:val="00F55043"/>
    <w:rsid w:val="00F56EB7"/>
    <w:rsid w:val="00F6072B"/>
    <w:rsid w:val="00F62A9E"/>
    <w:rsid w:val="00F71EBA"/>
    <w:rsid w:val="00F80685"/>
    <w:rsid w:val="00F84975"/>
    <w:rsid w:val="00F91E18"/>
    <w:rsid w:val="00F97793"/>
    <w:rsid w:val="00FA7316"/>
    <w:rsid w:val="00FB273A"/>
    <w:rsid w:val="00FB2752"/>
    <w:rsid w:val="00FB294B"/>
    <w:rsid w:val="00FB40ED"/>
    <w:rsid w:val="00FB5AEF"/>
    <w:rsid w:val="00FC772D"/>
    <w:rsid w:val="00FD6B60"/>
    <w:rsid w:val="00FF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6CA9"/>
  <w15:chartTrackingRefBased/>
  <w15:docId w15:val="{B4D9C1E7-1900-402F-8F89-CED82DA0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1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2B0"/>
    <w:rPr>
      <w:sz w:val="20"/>
      <w:szCs w:val="20"/>
    </w:rPr>
  </w:style>
  <w:style w:type="character" w:styleId="FootnoteReference">
    <w:name w:val="footnote reference"/>
    <w:basedOn w:val="DefaultParagraphFont"/>
    <w:uiPriority w:val="99"/>
    <w:semiHidden/>
    <w:unhideWhenUsed/>
    <w:rsid w:val="00C962B0"/>
    <w:rPr>
      <w:vertAlign w:val="superscript"/>
    </w:rPr>
  </w:style>
  <w:style w:type="paragraph" w:styleId="ListParagraph">
    <w:name w:val="List Paragraph"/>
    <w:basedOn w:val="Normal"/>
    <w:uiPriority w:val="34"/>
    <w:qFormat/>
    <w:rsid w:val="00FD6B60"/>
    <w:pPr>
      <w:ind w:left="720"/>
      <w:contextualSpacing/>
    </w:pPr>
  </w:style>
  <w:style w:type="character" w:styleId="Emphasis">
    <w:name w:val="Emphasis"/>
    <w:basedOn w:val="DefaultParagraphFont"/>
    <w:uiPriority w:val="20"/>
    <w:qFormat/>
    <w:rsid w:val="0018410B"/>
    <w:rPr>
      <w:i/>
      <w:iCs/>
    </w:rPr>
  </w:style>
  <w:style w:type="character" w:styleId="Hyperlink">
    <w:name w:val="Hyperlink"/>
    <w:basedOn w:val="DefaultParagraphFont"/>
    <w:uiPriority w:val="99"/>
    <w:semiHidden/>
    <w:unhideWhenUsed/>
    <w:rsid w:val="0018410B"/>
    <w:rPr>
      <w:color w:val="0000FF"/>
      <w:u w:val="single"/>
    </w:rPr>
  </w:style>
  <w:style w:type="character" w:customStyle="1" w:styleId="Heading1Char">
    <w:name w:val="Heading 1 Char"/>
    <w:basedOn w:val="DefaultParagraphFont"/>
    <w:link w:val="Heading1"/>
    <w:uiPriority w:val="9"/>
    <w:rsid w:val="004F1696"/>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8F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48"/>
  </w:style>
  <w:style w:type="paragraph" w:styleId="Footer">
    <w:name w:val="footer"/>
    <w:basedOn w:val="Normal"/>
    <w:link w:val="FooterChar"/>
    <w:uiPriority w:val="99"/>
    <w:unhideWhenUsed/>
    <w:rsid w:val="008F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A48"/>
  </w:style>
  <w:style w:type="paragraph" w:styleId="Revision">
    <w:name w:val="Revision"/>
    <w:hidden/>
    <w:uiPriority w:val="99"/>
    <w:semiHidden/>
    <w:rsid w:val="002A1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7909-9F96-4776-9A77-78ACF8BC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Gordon, Michael</cp:lastModifiedBy>
  <cp:revision>2</cp:revision>
  <dcterms:created xsi:type="dcterms:W3CDTF">2023-01-06T10:46:00Z</dcterms:created>
  <dcterms:modified xsi:type="dcterms:W3CDTF">2023-01-06T10:46:00Z</dcterms:modified>
</cp:coreProperties>
</file>