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970" w14:textId="5D0541EE" w:rsidR="005A5514" w:rsidRPr="00FC1D31" w:rsidRDefault="005A5514" w:rsidP="001D7206">
      <w:pPr>
        <w:jc w:val="both"/>
        <w:rPr>
          <w:rFonts w:ascii="Garamond" w:hAnsi="Garamond" w:cs="Arial"/>
          <w:b/>
          <w:sz w:val="24"/>
          <w:szCs w:val="24"/>
        </w:rPr>
      </w:pPr>
      <w:r w:rsidRPr="00FC1D31">
        <w:rPr>
          <w:rFonts w:ascii="Garamond" w:hAnsi="Garamond" w:cs="Arial"/>
          <w:b/>
          <w:sz w:val="24"/>
          <w:szCs w:val="24"/>
        </w:rPr>
        <w:t xml:space="preserve">EU investment law at crossroads: open strategic autonomy in times of </w:t>
      </w:r>
      <w:r w:rsidR="00F14DBA" w:rsidRPr="00FC1D31">
        <w:rPr>
          <w:rFonts w:ascii="Garamond" w:hAnsi="Garamond" w:cs="Arial"/>
          <w:b/>
          <w:sz w:val="24"/>
          <w:szCs w:val="24"/>
        </w:rPr>
        <w:t>heightened security concerns</w:t>
      </w:r>
    </w:p>
    <w:p w14:paraId="0624649D" w14:textId="77777777" w:rsidR="005A5514" w:rsidRPr="00FC1D31" w:rsidRDefault="005A5514" w:rsidP="001D7206">
      <w:pPr>
        <w:jc w:val="both"/>
        <w:rPr>
          <w:rFonts w:ascii="Garamond" w:hAnsi="Garamond" w:cs="Arial"/>
          <w:sz w:val="24"/>
          <w:szCs w:val="24"/>
        </w:rPr>
      </w:pPr>
    </w:p>
    <w:p w14:paraId="7561DE51" w14:textId="77777777" w:rsidR="00A0126A" w:rsidRPr="00FC1D31" w:rsidRDefault="00A0126A" w:rsidP="00A0126A">
      <w:pPr>
        <w:pStyle w:val="ListParagraph"/>
        <w:numPr>
          <w:ilvl w:val="0"/>
          <w:numId w:val="3"/>
        </w:numPr>
        <w:jc w:val="both"/>
        <w:rPr>
          <w:rFonts w:ascii="Garamond" w:hAnsi="Garamond"/>
          <w:sz w:val="24"/>
          <w:szCs w:val="24"/>
        </w:rPr>
      </w:pPr>
      <w:r w:rsidRPr="00FC1D31">
        <w:rPr>
          <w:rFonts w:ascii="Garamond" w:hAnsi="Garamond" w:cs="Arial"/>
          <w:sz w:val="24"/>
          <w:szCs w:val="24"/>
        </w:rPr>
        <w:t>Introduction</w:t>
      </w:r>
    </w:p>
    <w:p w14:paraId="657EADF4" w14:textId="77777777" w:rsidR="00A0126A" w:rsidRPr="00FC1D31" w:rsidRDefault="00A0126A" w:rsidP="00A0126A">
      <w:pPr>
        <w:jc w:val="both"/>
        <w:rPr>
          <w:rFonts w:ascii="Garamond" w:hAnsi="Garamond" w:cs="Arial"/>
          <w:sz w:val="24"/>
          <w:szCs w:val="24"/>
        </w:rPr>
      </w:pPr>
    </w:p>
    <w:p w14:paraId="62029642" w14:textId="04BE9D92" w:rsidR="001D7206" w:rsidRPr="00FC1D31" w:rsidRDefault="004C2A88" w:rsidP="00A0126A">
      <w:pPr>
        <w:jc w:val="both"/>
        <w:rPr>
          <w:rFonts w:ascii="Garamond" w:hAnsi="Garamond"/>
          <w:sz w:val="24"/>
          <w:szCs w:val="24"/>
        </w:rPr>
      </w:pPr>
      <w:r w:rsidRPr="00FC1D31">
        <w:rPr>
          <w:rFonts w:ascii="Garamond" w:hAnsi="Garamond" w:cs="Arial"/>
          <w:sz w:val="24"/>
          <w:szCs w:val="24"/>
        </w:rPr>
        <w:t>On 18</w:t>
      </w:r>
      <w:r w:rsidRPr="00FC1D31">
        <w:rPr>
          <w:rFonts w:ascii="Garamond" w:hAnsi="Garamond" w:cs="Arial"/>
          <w:sz w:val="24"/>
          <w:szCs w:val="24"/>
          <w:vertAlign w:val="superscript"/>
        </w:rPr>
        <w:t>th</w:t>
      </w:r>
      <w:r w:rsidRPr="00FC1D31">
        <w:rPr>
          <w:rFonts w:ascii="Garamond" w:hAnsi="Garamond" w:cs="Arial"/>
          <w:sz w:val="24"/>
          <w:szCs w:val="24"/>
        </w:rPr>
        <w:t xml:space="preserve"> February 2021 the EU launched its new international trade policy. At the heart of the Commission’s new vision of trade policy is </w:t>
      </w:r>
      <w:r w:rsidR="00C5752D" w:rsidRPr="00FC1D31">
        <w:rPr>
          <w:rFonts w:ascii="Garamond" w:hAnsi="Garamond" w:cs="Arial"/>
          <w:sz w:val="24"/>
          <w:szCs w:val="24"/>
        </w:rPr>
        <w:t xml:space="preserve">the idea of </w:t>
      </w:r>
      <w:r w:rsidRPr="00FC1D31">
        <w:rPr>
          <w:rFonts w:ascii="Garamond" w:hAnsi="Garamond" w:cs="Arial"/>
          <w:sz w:val="24"/>
          <w:szCs w:val="24"/>
        </w:rPr>
        <w:t>open strategic autonomy</w:t>
      </w:r>
      <w:r w:rsidR="00C5752D" w:rsidRPr="00FC1D31">
        <w:rPr>
          <w:rFonts w:ascii="Garamond" w:hAnsi="Garamond" w:cs="Arial"/>
          <w:sz w:val="24"/>
          <w:szCs w:val="24"/>
        </w:rPr>
        <w:t xml:space="preserve">, defined as </w:t>
      </w:r>
      <w:r w:rsidR="00953A79" w:rsidRPr="00FC1D31">
        <w:rPr>
          <w:rFonts w:ascii="Garamond" w:hAnsi="Garamond" w:cs="Arial"/>
          <w:sz w:val="24"/>
          <w:szCs w:val="24"/>
        </w:rPr>
        <w:t>‘</w:t>
      </w:r>
      <w:r w:rsidR="00C5752D" w:rsidRPr="00FC1D31">
        <w:rPr>
          <w:rFonts w:ascii="Garamond" w:hAnsi="Garamond" w:cs="Arial"/>
          <w:bCs/>
          <w:sz w:val="24"/>
          <w:szCs w:val="24"/>
        </w:rPr>
        <w:t>the EU’s ability to make its own choices and shape the world around it through leadership and engagement, reflecting its strategic interests and values.’</w:t>
      </w:r>
      <w:r w:rsidR="00C5752D" w:rsidRPr="00FC1D31">
        <w:rPr>
          <w:rStyle w:val="FootnoteReference"/>
          <w:rFonts w:ascii="Garamond" w:hAnsi="Garamond" w:cs="Arial"/>
          <w:bCs/>
          <w:sz w:val="24"/>
          <w:szCs w:val="24"/>
        </w:rPr>
        <w:footnoteReference w:id="1"/>
      </w:r>
      <w:r w:rsidR="002741D4" w:rsidRPr="00FC1D31">
        <w:rPr>
          <w:rFonts w:ascii="Garamond" w:hAnsi="Garamond" w:cs="Arial"/>
          <w:bCs/>
          <w:sz w:val="24"/>
          <w:szCs w:val="24"/>
        </w:rPr>
        <w:t xml:space="preserve"> As a global trade actor, the EU </w:t>
      </w:r>
      <w:r w:rsidR="00F14DBA" w:rsidRPr="00FC1D31">
        <w:rPr>
          <w:rFonts w:ascii="Garamond" w:hAnsi="Garamond" w:cs="Arial"/>
          <w:bCs/>
          <w:sz w:val="24"/>
          <w:szCs w:val="24"/>
        </w:rPr>
        <w:t xml:space="preserve">is committed </w:t>
      </w:r>
      <w:r w:rsidR="002741D4" w:rsidRPr="00FC1D31">
        <w:rPr>
          <w:rFonts w:ascii="Garamond" w:hAnsi="Garamond" w:cs="Arial"/>
          <w:bCs/>
          <w:sz w:val="24"/>
          <w:szCs w:val="24"/>
        </w:rPr>
        <w:t>to remain open to multilateralism</w:t>
      </w:r>
      <w:r w:rsidR="00B36286" w:rsidRPr="00FC1D31">
        <w:rPr>
          <w:rFonts w:ascii="Garamond" w:hAnsi="Garamond" w:cs="Arial"/>
          <w:bCs/>
          <w:sz w:val="24"/>
          <w:szCs w:val="24"/>
        </w:rPr>
        <w:t xml:space="preserve"> and</w:t>
      </w:r>
      <w:r w:rsidR="002741D4" w:rsidRPr="00FC1D31">
        <w:rPr>
          <w:rFonts w:ascii="Garamond" w:hAnsi="Garamond" w:cs="Arial"/>
          <w:bCs/>
          <w:sz w:val="24"/>
          <w:szCs w:val="24"/>
        </w:rPr>
        <w:t xml:space="preserve"> economic liberalisation, while assertively promoting and defending its strategic interests and values</w:t>
      </w:r>
      <w:r w:rsidR="00B36286" w:rsidRPr="00FC1D31">
        <w:rPr>
          <w:rFonts w:ascii="Garamond" w:hAnsi="Garamond" w:cs="Arial"/>
          <w:bCs/>
          <w:sz w:val="24"/>
          <w:szCs w:val="24"/>
        </w:rPr>
        <w:t>,</w:t>
      </w:r>
      <w:r w:rsidR="009C6B6C">
        <w:rPr>
          <w:rStyle w:val="FootnoteReference"/>
          <w:rFonts w:ascii="Garamond" w:hAnsi="Garamond" w:cs="Arial"/>
          <w:bCs/>
          <w:sz w:val="24"/>
          <w:szCs w:val="24"/>
        </w:rPr>
        <w:footnoteReference w:id="2"/>
      </w:r>
      <w:r w:rsidR="00B36286" w:rsidRPr="00FC1D31">
        <w:rPr>
          <w:rFonts w:ascii="Garamond" w:hAnsi="Garamond" w:cs="Arial"/>
          <w:bCs/>
          <w:sz w:val="24"/>
          <w:szCs w:val="24"/>
        </w:rPr>
        <w:t xml:space="preserve"> </w:t>
      </w:r>
      <w:r w:rsidR="002741D4" w:rsidRPr="00FC1D31">
        <w:rPr>
          <w:rFonts w:ascii="Garamond" w:hAnsi="Garamond" w:cs="Arial"/>
          <w:bCs/>
          <w:sz w:val="24"/>
          <w:szCs w:val="24"/>
        </w:rPr>
        <w:t>if necessary through autonomous means.</w:t>
      </w:r>
      <w:r w:rsidR="002741D4" w:rsidRPr="00FC1D31">
        <w:rPr>
          <w:rStyle w:val="FootnoteReference"/>
          <w:rFonts w:ascii="Garamond" w:hAnsi="Garamond" w:cs="Arial"/>
          <w:bCs/>
          <w:sz w:val="24"/>
          <w:szCs w:val="24"/>
        </w:rPr>
        <w:footnoteReference w:id="3"/>
      </w:r>
      <w:r w:rsidR="00A41E7D" w:rsidRPr="00FC1D31">
        <w:rPr>
          <w:rFonts w:ascii="Garamond" w:hAnsi="Garamond" w:cs="Arial"/>
          <w:bCs/>
          <w:sz w:val="24"/>
          <w:szCs w:val="24"/>
        </w:rPr>
        <w:t xml:space="preserve"> One of the key </w:t>
      </w:r>
      <w:r w:rsidR="001E54C8" w:rsidRPr="00FC1D31">
        <w:rPr>
          <w:rFonts w:ascii="Garamond" w:hAnsi="Garamond" w:cs="Arial"/>
          <w:bCs/>
          <w:sz w:val="24"/>
          <w:szCs w:val="24"/>
        </w:rPr>
        <w:t>goals</w:t>
      </w:r>
      <w:r w:rsidR="00EB0FC1" w:rsidRPr="00FC1D31">
        <w:rPr>
          <w:rFonts w:ascii="Garamond" w:hAnsi="Garamond" w:cs="Arial"/>
          <w:bCs/>
          <w:sz w:val="24"/>
          <w:szCs w:val="24"/>
        </w:rPr>
        <w:t xml:space="preserve"> is ‘</w:t>
      </w:r>
      <w:r w:rsidR="00EB0FC1" w:rsidRPr="00FC1D31">
        <w:rPr>
          <w:rFonts w:ascii="Garamond" w:hAnsi="Garamond" w:cs="Arial"/>
          <w:sz w:val="24"/>
          <w:szCs w:val="24"/>
        </w:rPr>
        <w:t>to bring real</w:t>
      </w:r>
      <w:r w:rsidR="00EB0FC1" w:rsidRPr="00FC1D31">
        <w:rPr>
          <w:rFonts w:ascii="Garamond" w:hAnsi="Garamond"/>
          <w:sz w:val="24"/>
          <w:szCs w:val="24"/>
        </w:rPr>
        <w:t xml:space="preserve"> </w:t>
      </w:r>
      <w:r w:rsidR="00EB0FC1" w:rsidRPr="00FC1D31">
        <w:rPr>
          <w:rFonts w:ascii="Garamond" w:hAnsi="Garamond" w:cs="Arial"/>
          <w:sz w:val="24"/>
          <w:szCs w:val="24"/>
        </w:rPr>
        <w:t>benefits to EU companies and workers, implement</w:t>
      </w:r>
      <w:r w:rsidR="001D7206" w:rsidRPr="00FC1D31">
        <w:rPr>
          <w:rFonts w:ascii="Garamond" w:hAnsi="Garamond" w:cs="Arial"/>
          <w:sz w:val="24"/>
          <w:szCs w:val="24"/>
        </w:rPr>
        <w:t xml:space="preserve"> </w:t>
      </w:r>
      <w:r w:rsidR="00EB0FC1" w:rsidRPr="00FC1D31">
        <w:rPr>
          <w:rFonts w:ascii="Garamond" w:hAnsi="Garamond" w:cs="Arial"/>
          <w:sz w:val="24"/>
          <w:szCs w:val="24"/>
        </w:rPr>
        <w:t>and</w:t>
      </w:r>
      <w:r w:rsidR="001D7206" w:rsidRPr="00FC1D31">
        <w:rPr>
          <w:rFonts w:ascii="Garamond" w:hAnsi="Garamond"/>
          <w:sz w:val="24"/>
          <w:szCs w:val="24"/>
        </w:rPr>
        <w:t xml:space="preserve"> </w:t>
      </w:r>
      <w:r w:rsidR="00EB0FC1" w:rsidRPr="00FC1D31">
        <w:rPr>
          <w:rFonts w:ascii="Garamond" w:hAnsi="Garamond" w:cs="Arial"/>
          <w:sz w:val="24"/>
          <w:szCs w:val="24"/>
        </w:rPr>
        <w:t>enforce trade agreements, and level the playing field’</w:t>
      </w:r>
      <w:r w:rsidR="00EB0FC1" w:rsidRPr="00FC1D31">
        <w:rPr>
          <w:rStyle w:val="FootnoteReference"/>
          <w:rFonts w:ascii="Garamond" w:hAnsi="Garamond" w:cs="Arial"/>
          <w:sz w:val="24"/>
          <w:szCs w:val="24"/>
        </w:rPr>
        <w:footnoteReference w:id="4"/>
      </w:r>
      <w:r w:rsidR="00EB0FC1" w:rsidRPr="00FC1D31">
        <w:rPr>
          <w:rFonts w:ascii="Garamond" w:hAnsi="Garamond" w:cs="Arial"/>
          <w:sz w:val="24"/>
          <w:szCs w:val="24"/>
        </w:rPr>
        <w:t xml:space="preserve"> through EU trade policy that is fairer more resilient to Europeans, and greener </w:t>
      </w:r>
      <w:r w:rsidR="00EB0FC1" w:rsidRPr="00FC1D31">
        <w:rPr>
          <w:rFonts w:ascii="Garamond" w:hAnsi="Garamond"/>
          <w:sz w:val="24"/>
          <w:szCs w:val="24"/>
        </w:rPr>
        <w:t>for the entire world.</w:t>
      </w:r>
      <w:r w:rsidR="00EB0FC1" w:rsidRPr="00FC1D31">
        <w:rPr>
          <w:rStyle w:val="FootnoteReference"/>
          <w:rFonts w:ascii="Garamond" w:hAnsi="Garamond"/>
          <w:sz w:val="24"/>
          <w:szCs w:val="24"/>
        </w:rPr>
        <w:footnoteReference w:id="5"/>
      </w:r>
      <w:r w:rsidR="001718A6" w:rsidRPr="00FC1D31">
        <w:rPr>
          <w:rFonts w:ascii="Garamond" w:hAnsi="Garamond"/>
          <w:sz w:val="24"/>
          <w:szCs w:val="24"/>
        </w:rPr>
        <w:t xml:space="preserve"> </w:t>
      </w:r>
    </w:p>
    <w:p w14:paraId="7DA98F84" w14:textId="66751BB3" w:rsidR="00F14DBA" w:rsidRPr="00FC1D31" w:rsidRDefault="001D7206" w:rsidP="00EB0FC1">
      <w:pPr>
        <w:jc w:val="both"/>
        <w:rPr>
          <w:rFonts w:ascii="Garamond" w:hAnsi="Garamond"/>
          <w:sz w:val="24"/>
          <w:szCs w:val="24"/>
        </w:rPr>
      </w:pPr>
      <w:r w:rsidRPr="00FC1D31">
        <w:rPr>
          <w:rFonts w:ascii="Garamond" w:hAnsi="Garamond"/>
          <w:sz w:val="24"/>
          <w:szCs w:val="24"/>
        </w:rPr>
        <w:t xml:space="preserve">This article will examine the key pillars of the EU’s open strategic autonomy with </w:t>
      </w:r>
      <w:r w:rsidR="00953A79" w:rsidRPr="00FC1D31">
        <w:rPr>
          <w:rFonts w:ascii="Garamond" w:hAnsi="Garamond"/>
          <w:sz w:val="24"/>
          <w:szCs w:val="24"/>
        </w:rPr>
        <w:t xml:space="preserve">a </w:t>
      </w:r>
      <w:r w:rsidRPr="00FC1D31">
        <w:rPr>
          <w:rFonts w:ascii="Garamond" w:hAnsi="Garamond"/>
          <w:sz w:val="24"/>
          <w:szCs w:val="24"/>
        </w:rPr>
        <w:t>focus on its foreign investment policy</w:t>
      </w:r>
      <w:r w:rsidR="00B35292" w:rsidRPr="00FC1D31">
        <w:rPr>
          <w:rFonts w:ascii="Garamond" w:hAnsi="Garamond"/>
          <w:sz w:val="24"/>
          <w:szCs w:val="24"/>
        </w:rPr>
        <w:t>—a</w:t>
      </w:r>
      <w:r w:rsidRPr="00FC1D31">
        <w:rPr>
          <w:rFonts w:ascii="Garamond" w:hAnsi="Garamond"/>
          <w:sz w:val="24"/>
          <w:szCs w:val="24"/>
        </w:rPr>
        <w:t xml:space="preserve"> </w:t>
      </w:r>
      <w:r w:rsidR="0099513E" w:rsidRPr="00FC1D31">
        <w:rPr>
          <w:rFonts w:ascii="Garamond" w:hAnsi="Garamond"/>
          <w:sz w:val="24"/>
          <w:szCs w:val="24"/>
        </w:rPr>
        <w:t>crucial part of the Unio</w:t>
      </w:r>
      <w:r w:rsidR="00BB34BE" w:rsidRPr="00FC1D31">
        <w:rPr>
          <w:rFonts w:ascii="Garamond" w:hAnsi="Garamond"/>
          <w:sz w:val="24"/>
          <w:szCs w:val="24"/>
        </w:rPr>
        <w:t>n</w:t>
      </w:r>
      <w:r w:rsidR="0099513E" w:rsidRPr="00FC1D31">
        <w:rPr>
          <w:rFonts w:ascii="Garamond" w:hAnsi="Garamond"/>
          <w:sz w:val="24"/>
          <w:szCs w:val="24"/>
        </w:rPr>
        <w:t>’s trade strategy</w:t>
      </w:r>
      <w:r w:rsidR="007B68D0" w:rsidRPr="00FC1D31">
        <w:rPr>
          <w:rFonts w:ascii="Garamond" w:hAnsi="Garamond"/>
          <w:sz w:val="24"/>
          <w:szCs w:val="24"/>
        </w:rPr>
        <w:t xml:space="preserve">. </w:t>
      </w:r>
      <w:r w:rsidRPr="00FC1D31">
        <w:rPr>
          <w:rFonts w:ascii="Garamond" w:hAnsi="Garamond"/>
          <w:sz w:val="24"/>
          <w:szCs w:val="24"/>
        </w:rPr>
        <w:t xml:space="preserve">In particular, the article will explore three concrete manifestations of open and strategic autonomy in the recent articulations of </w:t>
      </w:r>
      <w:r w:rsidR="00095DC2" w:rsidRPr="00FC1D31">
        <w:rPr>
          <w:rFonts w:ascii="Garamond" w:hAnsi="Garamond"/>
          <w:sz w:val="24"/>
          <w:szCs w:val="24"/>
        </w:rPr>
        <w:t xml:space="preserve">the </w:t>
      </w:r>
      <w:r w:rsidRPr="00FC1D31">
        <w:rPr>
          <w:rFonts w:ascii="Garamond" w:hAnsi="Garamond"/>
          <w:sz w:val="24"/>
          <w:szCs w:val="24"/>
        </w:rPr>
        <w:t xml:space="preserve">EU’s investment policy: 1) the creation of the EU-wide FDI screening framework, 2) the </w:t>
      </w:r>
      <w:r w:rsidR="00EB2107" w:rsidRPr="00FC1D31">
        <w:rPr>
          <w:rFonts w:ascii="Garamond" w:hAnsi="Garamond"/>
          <w:sz w:val="24"/>
          <w:szCs w:val="24"/>
        </w:rPr>
        <w:t xml:space="preserve">proposal </w:t>
      </w:r>
      <w:r w:rsidRPr="00FC1D31">
        <w:rPr>
          <w:rFonts w:ascii="Garamond" w:hAnsi="Garamond"/>
          <w:sz w:val="24"/>
          <w:szCs w:val="24"/>
        </w:rPr>
        <w:t xml:space="preserve">of new investigative </w:t>
      </w:r>
      <w:r w:rsidR="00B35292" w:rsidRPr="00FC1D31">
        <w:rPr>
          <w:rFonts w:ascii="Garamond" w:hAnsi="Garamond"/>
          <w:sz w:val="24"/>
          <w:szCs w:val="24"/>
        </w:rPr>
        <w:t xml:space="preserve">and enforcement </w:t>
      </w:r>
      <w:r w:rsidRPr="00FC1D31">
        <w:rPr>
          <w:rFonts w:ascii="Garamond" w:hAnsi="Garamond"/>
          <w:sz w:val="24"/>
          <w:szCs w:val="24"/>
        </w:rPr>
        <w:t xml:space="preserve">powers in relation to foreign investment subsidies, and 3) the </w:t>
      </w:r>
      <w:r w:rsidR="00EB2107" w:rsidRPr="00FC1D31">
        <w:rPr>
          <w:rFonts w:ascii="Garamond" w:hAnsi="Garamond"/>
          <w:sz w:val="24"/>
          <w:szCs w:val="24"/>
        </w:rPr>
        <w:t>proposal of</w:t>
      </w:r>
      <w:r w:rsidRPr="00FC1D31">
        <w:rPr>
          <w:rFonts w:ascii="Garamond" w:hAnsi="Garamond"/>
          <w:sz w:val="24"/>
          <w:szCs w:val="24"/>
        </w:rPr>
        <w:t xml:space="preserve"> new mechanisms to promote, implement and enforce EU values on sustainability, including human rights</w:t>
      </w:r>
      <w:r w:rsidR="00B35292" w:rsidRPr="00FC1D31">
        <w:rPr>
          <w:rFonts w:ascii="Garamond" w:hAnsi="Garamond"/>
          <w:sz w:val="24"/>
          <w:szCs w:val="24"/>
        </w:rPr>
        <w:t>, environment</w:t>
      </w:r>
      <w:r w:rsidRPr="00FC1D31">
        <w:rPr>
          <w:rFonts w:ascii="Garamond" w:hAnsi="Garamond"/>
          <w:sz w:val="24"/>
          <w:szCs w:val="24"/>
        </w:rPr>
        <w:t xml:space="preserve"> and labour standards.</w:t>
      </w:r>
      <w:r w:rsidR="00675D0E" w:rsidRPr="00FC1D31">
        <w:rPr>
          <w:rFonts w:ascii="Garamond" w:hAnsi="Garamond"/>
          <w:sz w:val="24"/>
          <w:szCs w:val="24"/>
        </w:rPr>
        <w:t xml:space="preserve"> </w:t>
      </w:r>
      <w:r w:rsidR="00937967" w:rsidRPr="00FC1D31">
        <w:rPr>
          <w:rFonts w:ascii="Garamond" w:hAnsi="Garamond" w:cs="Arial"/>
          <w:sz w:val="24"/>
          <w:szCs w:val="24"/>
        </w:rPr>
        <w:t>The overarching objective</w:t>
      </w:r>
      <w:r w:rsidR="00675D0E" w:rsidRPr="00FC1D31">
        <w:rPr>
          <w:rFonts w:ascii="Garamond" w:hAnsi="Garamond" w:cs="Arial"/>
          <w:sz w:val="24"/>
          <w:szCs w:val="24"/>
        </w:rPr>
        <w:t xml:space="preserve"> of the article</w:t>
      </w:r>
      <w:r w:rsidR="00937967" w:rsidRPr="00FC1D31">
        <w:rPr>
          <w:rFonts w:ascii="Garamond" w:hAnsi="Garamond" w:cs="Arial"/>
          <w:sz w:val="24"/>
          <w:szCs w:val="24"/>
        </w:rPr>
        <w:t xml:space="preserve"> is to explore what the shift towards </w:t>
      </w:r>
      <w:r w:rsidR="00675D0E" w:rsidRPr="00FC1D31">
        <w:rPr>
          <w:rFonts w:ascii="Garamond" w:hAnsi="Garamond" w:cs="Arial"/>
          <w:sz w:val="24"/>
          <w:szCs w:val="24"/>
        </w:rPr>
        <w:t>open strategic autonomy</w:t>
      </w:r>
      <w:r w:rsidR="00937967" w:rsidRPr="00FC1D31">
        <w:rPr>
          <w:rFonts w:ascii="Garamond" w:hAnsi="Garamond" w:cs="Arial"/>
          <w:sz w:val="24"/>
          <w:szCs w:val="24"/>
        </w:rPr>
        <w:t xml:space="preserve"> </w:t>
      </w:r>
      <w:proofErr w:type="gramStart"/>
      <w:r w:rsidR="00675D0E" w:rsidRPr="00FC1D31">
        <w:rPr>
          <w:rFonts w:ascii="Garamond" w:hAnsi="Garamond" w:cs="Arial"/>
          <w:sz w:val="24"/>
          <w:szCs w:val="24"/>
        </w:rPr>
        <w:t>reveal</w:t>
      </w:r>
      <w:proofErr w:type="gramEnd"/>
      <w:r w:rsidR="00675D0E" w:rsidRPr="00FC1D31">
        <w:rPr>
          <w:rFonts w:ascii="Garamond" w:hAnsi="Garamond" w:cs="Arial"/>
          <w:sz w:val="24"/>
          <w:szCs w:val="24"/>
        </w:rPr>
        <w:t xml:space="preserve"> about the forces at play in the making</w:t>
      </w:r>
      <w:r w:rsidR="00937967" w:rsidRPr="00FC1D31">
        <w:rPr>
          <w:rFonts w:ascii="Garamond" w:hAnsi="Garamond" w:cs="Arial"/>
          <w:sz w:val="24"/>
          <w:szCs w:val="24"/>
        </w:rPr>
        <w:t xml:space="preserve"> </w:t>
      </w:r>
      <w:r w:rsidR="00675D0E" w:rsidRPr="00FC1D31">
        <w:rPr>
          <w:rFonts w:ascii="Garamond" w:hAnsi="Garamond" w:cs="Arial"/>
          <w:sz w:val="24"/>
          <w:szCs w:val="24"/>
        </w:rPr>
        <w:t>of</w:t>
      </w:r>
      <w:r w:rsidR="00937967" w:rsidRPr="00FC1D31">
        <w:rPr>
          <w:rFonts w:ascii="Garamond" w:hAnsi="Garamond" w:cs="Arial"/>
          <w:sz w:val="24"/>
          <w:szCs w:val="24"/>
        </w:rPr>
        <w:t xml:space="preserve"> EU</w:t>
      </w:r>
      <w:r w:rsidR="00B36286" w:rsidRPr="00FC1D31">
        <w:rPr>
          <w:rFonts w:ascii="Garamond" w:hAnsi="Garamond" w:cs="Arial"/>
          <w:sz w:val="24"/>
          <w:szCs w:val="24"/>
        </w:rPr>
        <w:t xml:space="preserve"> </w:t>
      </w:r>
      <w:r w:rsidR="00675D0E" w:rsidRPr="00FC1D31">
        <w:rPr>
          <w:rFonts w:ascii="Garamond" w:hAnsi="Garamond" w:cs="Arial"/>
          <w:sz w:val="24"/>
          <w:szCs w:val="24"/>
        </w:rPr>
        <w:t xml:space="preserve">investment policy </w:t>
      </w:r>
      <w:r w:rsidR="00B36286" w:rsidRPr="00FC1D31">
        <w:rPr>
          <w:rFonts w:ascii="Garamond" w:hAnsi="Garamond" w:cs="Arial"/>
          <w:sz w:val="24"/>
          <w:szCs w:val="24"/>
        </w:rPr>
        <w:t>and</w:t>
      </w:r>
      <w:r w:rsidR="00EB2107" w:rsidRPr="00E1789E">
        <w:rPr>
          <w:rFonts w:ascii="Garamond" w:hAnsi="Garamond" w:cs="Arial"/>
          <w:sz w:val="24"/>
          <w:szCs w:val="24"/>
        </w:rPr>
        <w:t>, more broadly, about</w:t>
      </w:r>
      <w:r w:rsidR="00B36286" w:rsidRPr="00FC1D31">
        <w:rPr>
          <w:rFonts w:ascii="Garamond" w:hAnsi="Garamond" w:cs="Arial"/>
          <w:sz w:val="24"/>
          <w:szCs w:val="24"/>
        </w:rPr>
        <w:t xml:space="preserve"> the evolving attitudes towards globalised trade and investment in times marked by geopolitical </w:t>
      </w:r>
      <w:r w:rsidR="005C7332" w:rsidRPr="00FC1D31">
        <w:rPr>
          <w:rFonts w:ascii="Garamond" w:hAnsi="Garamond" w:cs="Arial"/>
          <w:sz w:val="24"/>
          <w:szCs w:val="24"/>
        </w:rPr>
        <w:t xml:space="preserve">tensions </w:t>
      </w:r>
      <w:r w:rsidR="00EB2107" w:rsidRPr="00E1789E">
        <w:rPr>
          <w:rFonts w:ascii="Garamond" w:hAnsi="Garamond" w:cs="Arial"/>
          <w:sz w:val="24"/>
          <w:szCs w:val="24"/>
        </w:rPr>
        <w:t xml:space="preserve">and </w:t>
      </w:r>
      <w:r w:rsidR="005C7332" w:rsidRPr="00FC1D31">
        <w:rPr>
          <w:rFonts w:ascii="Garamond" w:hAnsi="Garamond" w:cs="Arial"/>
          <w:sz w:val="24"/>
          <w:szCs w:val="24"/>
        </w:rPr>
        <w:t xml:space="preserve">economic </w:t>
      </w:r>
      <w:r w:rsidR="00EB2107" w:rsidRPr="00E1789E">
        <w:rPr>
          <w:rFonts w:ascii="Garamond" w:hAnsi="Garamond" w:cs="Arial"/>
          <w:sz w:val="24"/>
          <w:szCs w:val="24"/>
        </w:rPr>
        <w:t>uncertainty</w:t>
      </w:r>
      <w:r w:rsidR="00B36286" w:rsidRPr="00FC1D31">
        <w:rPr>
          <w:rFonts w:ascii="Garamond" w:hAnsi="Garamond" w:cs="Arial"/>
          <w:sz w:val="24"/>
          <w:szCs w:val="24"/>
        </w:rPr>
        <w:t>.</w:t>
      </w:r>
      <w:r w:rsidR="00996EFD" w:rsidRPr="00FC1D31">
        <w:rPr>
          <w:rFonts w:ascii="Garamond" w:hAnsi="Garamond" w:cs="Arial"/>
          <w:sz w:val="24"/>
          <w:szCs w:val="24"/>
        </w:rPr>
        <w:t xml:space="preserve"> </w:t>
      </w:r>
    </w:p>
    <w:p w14:paraId="775A658E" w14:textId="6A74A4AB" w:rsidR="00EB2107" w:rsidRPr="00FC1D31" w:rsidRDefault="00EB2107" w:rsidP="00EB2107">
      <w:pPr>
        <w:jc w:val="both"/>
        <w:rPr>
          <w:rFonts w:ascii="Garamond" w:hAnsi="Garamond"/>
          <w:sz w:val="24"/>
          <w:szCs w:val="24"/>
        </w:rPr>
      </w:pPr>
      <w:r w:rsidRPr="00FC1D31">
        <w:rPr>
          <w:rFonts w:ascii="Garamond" w:hAnsi="Garamond"/>
          <w:sz w:val="24"/>
          <w:szCs w:val="24"/>
        </w:rPr>
        <w:t xml:space="preserve">The article will begin with situating the emerging pillars of EU investment policy in a rapidly evolving regulatory space marked by growing concerns over national security, resilience and geopolitical stability. Section 2 will introduce the recently adopted and proposed instruments of investment policy and critically examine their genesis and justifications. </w:t>
      </w:r>
      <w:r w:rsidRPr="00E1789E">
        <w:rPr>
          <w:rFonts w:ascii="Garamond" w:hAnsi="Garamond"/>
          <w:sz w:val="24"/>
          <w:szCs w:val="24"/>
        </w:rPr>
        <w:t xml:space="preserve">The shared feature of the recent developments in EU investment policy is a growing appetite for a tighter and more rigorous scrutiny of foreign investment.  </w:t>
      </w:r>
      <w:r w:rsidRPr="00FC1D31">
        <w:rPr>
          <w:rFonts w:ascii="Garamond" w:hAnsi="Garamond"/>
          <w:sz w:val="24"/>
          <w:szCs w:val="24"/>
        </w:rPr>
        <w:t>Given that European investment treaties have long promoted the ideals of liberalisation and neutrality, the new emphasis on strategic autonomy</w:t>
      </w:r>
      <w:r w:rsidR="00610532">
        <w:rPr>
          <w:rFonts w:ascii="Garamond" w:hAnsi="Garamond"/>
          <w:sz w:val="24"/>
          <w:szCs w:val="24"/>
        </w:rPr>
        <w:t xml:space="preserve"> </w:t>
      </w:r>
      <w:r w:rsidRPr="00FC1D31">
        <w:rPr>
          <w:rFonts w:ascii="Garamond" w:hAnsi="Garamond"/>
          <w:sz w:val="24"/>
          <w:szCs w:val="24"/>
        </w:rPr>
        <w:t>and stronger domestic controls</w:t>
      </w:r>
      <w:r w:rsidR="00610532">
        <w:rPr>
          <w:rFonts w:ascii="Garamond" w:hAnsi="Garamond"/>
          <w:sz w:val="24"/>
          <w:szCs w:val="24"/>
        </w:rPr>
        <w:t xml:space="preserve"> on capital inflows</w:t>
      </w:r>
      <w:r w:rsidRPr="00FC1D31">
        <w:rPr>
          <w:rFonts w:ascii="Garamond" w:hAnsi="Garamond"/>
          <w:sz w:val="24"/>
          <w:szCs w:val="24"/>
        </w:rPr>
        <w:t xml:space="preserve"> marks a tectonic change in EU investment policy. Does a move towards new and extensive layers of scrutiny on inward foreign investment signify the EU’s disenchantment with the idea of neutrality and open markets and its desire to look inward? Is the EU’s new investment policy protectionist? </w:t>
      </w:r>
    </w:p>
    <w:p w14:paraId="578ED894" w14:textId="0E43BACD" w:rsidR="00664FA3" w:rsidRPr="00FC1D31" w:rsidRDefault="00EB2107" w:rsidP="00EB2107">
      <w:pPr>
        <w:jc w:val="both"/>
        <w:rPr>
          <w:rFonts w:ascii="Garamond" w:hAnsi="Garamond"/>
          <w:sz w:val="24"/>
          <w:szCs w:val="24"/>
        </w:rPr>
      </w:pPr>
      <w:r w:rsidRPr="00FC1D31">
        <w:rPr>
          <w:rFonts w:ascii="Garamond" w:hAnsi="Garamond"/>
          <w:sz w:val="24"/>
          <w:szCs w:val="24"/>
        </w:rPr>
        <w:lastRenderedPageBreak/>
        <w:t>The article argues that the notion of protectionism does not serve as an appropriate analytical device to explain the multitude of force</w:t>
      </w:r>
      <w:r w:rsidR="00610532">
        <w:rPr>
          <w:rFonts w:ascii="Garamond" w:hAnsi="Garamond"/>
          <w:sz w:val="24"/>
          <w:szCs w:val="24"/>
        </w:rPr>
        <w:t>s</w:t>
      </w:r>
      <w:r w:rsidRPr="00FC1D31">
        <w:rPr>
          <w:rFonts w:ascii="Garamond" w:hAnsi="Garamond"/>
          <w:sz w:val="24"/>
          <w:szCs w:val="24"/>
        </w:rPr>
        <w:t xml:space="preserve"> behind the evolution of EU investment policy. Drawing on the history of international investment law, including fresh archival data, Section 3 will highlight </w:t>
      </w:r>
      <w:r w:rsidRPr="00E1789E">
        <w:rPr>
          <w:rFonts w:ascii="Garamond" w:hAnsi="Garamond"/>
          <w:sz w:val="24"/>
          <w:szCs w:val="24"/>
        </w:rPr>
        <w:t>t</w:t>
      </w:r>
      <w:r w:rsidRPr="00FC1D31">
        <w:rPr>
          <w:rFonts w:ascii="Garamond" w:hAnsi="Garamond" w:cs="AdvOTab62ddd124"/>
          <w:color w:val="000000"/>
          <w:sz w:val="24"/>
          <w:szCs w:val="24"/>
        </w:rPr>
        <w:t xml:space="preserve">hat fears over foreign control in sensitive or strategic sectors of national economies have long been an animating force in policy debates in domestic, bilateral and multilateral settings. Already in the 1970s, concerted efforts were undertaken to establish an effective international machinery to address the political, economic and distributive effects of foreign investment on states and communities. These efforts ultimately dwindled, giving way to international instruments that prioritised investment protection and portrayed foreign investment exclusively through the lens of its benefits for the host economies and societies. The EU’s move towards open strategic autonomy in its foreign investment policy represents a departure from these long-reigning orthodoxies. Yet why the move and why now? </w:t>
      </w:r>
      <w:r w:rsidRPr="00FC1D31">
        <w:rPr>
          <w:rFonts w:ascii="Garamond" w:hAnsi="Garamond"/>
          <w:sz w:val="24"/>
          <w:szCs w:val="24"/>
        </w:rPr>
        <w:t xml:space="preserve">Section 4 charts the role of competing ideologies in the making of the successive iterations of EU trade policy. </w:t>
      </w:r>
      <w:r w:rsidRPr="00E1789E">
        <w:rPr>
          <w:rFonts w:ascii="Garamond" w:hAnsi="Garamond"/>
          <w:sz w:val="24"/>
          <w:szCs w:val="24"/>
        </w:rPr>
        <w:t xml:space="preserve">It argues that despite the primacy of security concerns, the most recent reorientation of EU investment policy is a consequence of increasing re-politicisation of trade agenda caused by deepening economic inequalities and the anxiety over global instability and the pace of technological change. The new pillars of EU investment policy </w:t>
      </w:r>
      <w:r w:rsidR="00610532">
        <w:rPr>
          <w:rFonts w:ascii="Garamond" w:hAnsi="Garamond"/>
          <w:sz w:val="24"/>
          <w:szCs w:val="24"/>
        </w:rPr>
        <w:t xml:space="preserve">therefore </w:t>
      </w:r>
      <w:r w:rsidR="00F14DBA" w:rsidRPr="00FC1D31">
        <w:rPr>
          <w:rFonts w:ascii="Garamond" w:hAnsi="Garamond"/>
          <w:sz w:val="24"/>
          <w:szCs w:val="24"/>
        </w:rPr>
        <w:t xml:space="preserve">envisage a </w:t>
      </w:r>
      <w:r w:rsidRPr="00FC1D31">
        <w:rPr>
          <w:rFonts w:ascii="Garamond" w:hAnsi="Garamond"/>
          <w:sz w:val="24"/>
          <w:szCs w:val="24"/>
        </w:rPr>
        <w:t>closer involvement by</w:t>
      </w:r>
      <w:r w:rsidR="00F14DBA" w:rsidRPr="00FC1D31">
        <w:rPr>
          <w:rFonts w:ascii="Garamond" w:hAnsi="Garamond"/>
          <w:sz w:val="24"/>
          <w:szCs w:val="24"/>
        </w:rPr>
        <w:t xml:space="preserve"> </w:t>
      </w:r>
      <w:r w:rsidR="0005291D" w:rsidRPr="00FC1D31">
        <w:rPr>
          <w:rFonts w:ascii="Garamond" w:hAnsi="Garamond"/>
          <w:sz w:val="24"/>
          <w:szCs w:val="24"/>
        </w:rPr>
        <w:t xml:space="preserve">the </w:t>
      </w:r>
      <w:r w:rsidR="00F14DBA" w:rsidRPr="00FC1D31">
        <w:rPr>
          <w:rFonts w:ascii="Garamond" w:hAnsi="Garamond"/>
          <w:sz w:val="24"/>
          <w:szCs w:val="24"/>
        </w:rPr>
        <w:t xml:space="preserve">state </w:t>
      </w:r>
      <w:r w:rsidR="0005291D" w:rsidRPr="00FC1D31">
        <w:rPr>
          <w:rFonts w:ascii="Garamond" w:hAnsi="Garamond"/>
          <w:sz w:val="24"/>
          <w:szCs w:val="24"/>
        </w:rPr>
        <w:t xml:space="preserve">in mediating the </w:t>
      </w:r>
      <w:r w:rsidR="00095DC2" w:rsidRPr="00FC1D31">
        <w:rPr>
          <w:rFonts w:ascii="Garamond" w:hAnsi="Garamond"/>
          <w:sz w:val="24"/>
          <w:szCs w:val="24"/>
        </w:rPr>
        <w:t xml:space="preserve">uneven </w:t>
      </w:r>
      <w:r w:rsidR="0005291D" w:rsidRPr="00FC1D31">
        <w:rPr>
          <w:rFonts w:ascii="Garamond" w:hAnsi="Garamond"/>
          <w:sz w:val="24"/>
          <w:szCs w:val="24"/>
        </w:rPr>
        <w:t>effects of globalisation on domestic companies and communities</w:t>
      </w:r>
      <w:r w:rsidR="00F14DBA" w:rsidRPr="00FC1D31">
        <w:rPr>
          <w:rFonts w:ascii="Garamond" w:hAnsi="Garamond"/>
          <w:sz w:val="24"/>
          <w:szCs w:val="24"/>
        </w:rPr>
        <w:t xml:space="preserve"> and in addressing the concomitant security concerns. </w:t>
      </w:r>
      <w:r w:rsidRPr="00FC1D31">
        <w:rPr>
          <w:rFonts w:ascii="Garamond" w:hAnsi="Garamond"/>
          <w:sz w:val="24"/>
          <w:szCs w:val="24"/>
        </w:rPr>
        <w:t xml:space="preserve">However, as discussed in Section 5, </w:t>
      </w:r>
      <w:r w:rsidR="00F14DBA" w:rsidRPr="00FC1D31">
        <w:rPr>
          <w:rFonts w:ascii="Garamond" w:hAnsi="Garamond"/>
          <w:sz w:val="24"/>
          <w:szCs w:val="24"/>
        </w:rPr>
        <w:t>this shift in the prevailing views on the relationship between markets, states and society</w:t>
      </w:r>
      <w:r w:rsidR="0005291D" w:rsidRPr="00FC1D31">
        <w:rPr>
          <w:rFonts w:ascii="Garamond" w:hAnsi="Garamond"/>
          <w:sz w:val="24"/>
          <w:szCs w:val="24"/>
        </w:rPr>
        <w:t xml:space="preserve"> is not evenly reflected </w:t>
      </w:r>
      <w:r w:rsidRPr="00FC1D31">
        <w:rPr>
          <w:rFonts w:ascii="Garamond" w:hAnsi="Garamond"/>
          <w:sz w:val="24"/>
          <w:szCs w:val="24"/>
        </w:rPr>
        <w:t>across all dimensions of the</w:t>
      </w:r>
      <w:r w:rsidR="0005291D" w:rsidRPr="00FC1D31">
        <w:rPr>
          <w:rFonts w:ascii="Garamond" w:hAnsi="Garamond"/>
          <w:sz w:val="24"/>
          <w:szCs w:val="24"/>
        </w:rPr>
        <w:t xml:space="preserve"> EU’s</w:t>
      </w:r>
      <w:r w:rsidRPr="00FC1D31">
        <w:rPr>
          <w:rFonts w:ascii="Garamond" w:hAnsi="Garamond"/>
          <w:sz w:val="24"/>
          <w:szCs w:val="24"/>
        </w:rPr>
        <w:t xml:space="preserve"> </w:t>
      </w:r>
      <w:r w:rsidR="0005291D" w:rsidRPr="00FC1D31">
        <w:rPr>
          <w:rFonts w:ascii="Garamond" w:hAnsi="Garamond"/>
          <w:sz w:val="24"/>
          <w:szCs w:val="24"/>
        </w:rPr>
        <w:t>investment policy. International investment agreements, a crucial part of the international legal machinery, are conspicuously absent in the recent articulations by the Commission of its new</w:t>
      </w:r>
      <w:r w:rsidR="00095DC2" w:rsidRPr="00FC1D31">
        <w:rPr>
          <w:rFonts w:ascii="Garamond" w:hAnsi="Garamond"/>
          <w:sz w:val="24"/>
          <w:szCs w:val="24"/>
        </w:rPr>
        <w:t xml:space="preserve"> vision of a more resilient, fairer and sustainable trade and investment</w:t>
      </w:r>
      <w:r w:rsidR="0005291D" w:rsidRPr="00FC1D31">
        <w:rPr>
          <w:rFonts w:ascii="Garamond" w:hAnsi="Garamond"/>
          <w:sz w:val="24"/>
          <w:szCs w:val="24"/>
        </w:rPr>
        <w:t xml:space="preserve">. </w:t>
      </w:r>
      <w:r w:rsidRPr="00FC1D31">
        <w:rPr>
          <w:rFonts w:ascii="Garamond" w:hAnsi="Garamond"/>
          <w:sz w:val="24"/>
          <w:szCs w:val="24"/>
        </w:rPr>
        <w:t xml:space="preserve">Section 5 </w:t>
      </w:r>
      <w:r w:rsidR="00E90499" w:rsidRPr="00FC1D31">
        <w:rPr>
          <w:rFonts w:ascii="Garamond" w:hAnsi="Garamond"/>
          <w:sz w:val="24"/>
          <w:szCs w:val="24"/>
        </w:rPr>
        <w:t>explores various facets of this</w:t>
      </w:r>
      <w:r w:rsidR="00095DC2" w:rsidRPr="00FC1D31">
        <w:rPr>
          <w:rFonts w:ascii="Garamond" w:hAnsi="Garamond"/>
          <w:sz w:val="24"/>
          <w:szCs w:val="24"/>
        </w:rPr>
        <w:t xml:space="preserve"> misalignment </w:t>
      </w:r>
      <w:r w:rsidR="00E90499" w:rsidRPr="00FC1D31">
        <w:rPr>
          <w:rFonts w:ascii="Garamond" w:hAnsi="Garamond"/>
          <w:sz w:val="24"/>
          <w:szCs w:val="24"/>
        </w:rPr>
        <w:t>and highlights the wa</w:t>
      </w:r>
      <w:r w:rsidR="0037180F" w:rsidRPr="00FC1D31">
        <w:rPr>
          <w:rFonts w:ascii="Garamond" w:hAnsi="Garamond"/>
          <w:sz w:val="24"/>
          <w:szCs w:val="24"/>
        </w:rPr>
        <w:t>y</w:t>
      </w:r>
      <w:r w:rsidR="00E90499" w:rsidRPr="00FC1D31">
        <w:rPr>
          <w:rFonts w:ascii="Garamond" w:hAnsi="Garamond"/>
          <w:sz w:val="24"/>
          <w:szCs w:val="24"/>
        </w:rPr>
        <w:t>s in which it might</w:t>
      </w:r>
      <w:r w:rsidR="00095DC2" w:rsidRPr="00FC1D31">
        <w:rPr>
          <w:rFonts w:ascii="Garamond" w:hAnsi="Garamond"/>
          <w:sz w:val="24"/>
          <w:szCs w:val="24"/>
        </w:rPr>
        <w:t xml:space="preserve"> jeopardise the pursuit by the EU of open strategic autonomy in relation to foreign investment. </w:t>
      </w:r>
    </w:p>
    <w:p w14:paraId="49DAF7A4" w14:textId="77777777" w:rsidR="006D694F" w:rsidRPr="00FC1D31" w:rsidRDefault="006D694F" w:rsidP="00EB0FC1">
      <w:pPr>
        <w:jc w:val="both"/>
        <w:rPr>
          <w:rFonts w:ascii="Garamond" w:hAnsi="Garamond" w:cs="Arial"/>
          <w:sz w:val="24"/>
          <w:szCs w:val="24"/>
        </w:rPr>
      </w:pPr>
    </w:p>
    <w:p w14:paraId="4524DFA4" w14:textId="57620CB5" w:rsidR="00A0126A" w:rsidRPr="00FC1D31" w:rsidRDefault="00A53E94" w:rsidP="00A0126A">
      <w:pPr>
        <w:pStyle w:val="ListParagraph"/>
        <w:numPr>
          <w:ilvl w:val="0"/>
          <w:numId w:val="3"/>
        </w:numPr>
        <w:jc w:val="both"/>
        <w:rPr>
          <w:rFonts w:ascii="Garamond" w:hAnsi="Garamond" w:cs="Arial"/>
          <w:sz w:val="24"/>
          <w:szCs w:val="24"/>
        </w:rPr>
      </w:pPr>
      <w:r w:rsidRPr="00FC1D31">
        <w:rPr>
          <w:rFonts w:ascii="Garamond" w:hAnsi="Garamond" w:cs="Arial"/>
          <w:sz w:val="24"/>
          <w:szCs w:val="24"/>
        </w:rPr>
        <w:t xml:space="preserve">Unpacking the </w:t>
      </w:r>
      <w:r w:rsidR="00A0126A" w:rsidRPr="00FC1D31">
        <w:rPr>
          <w:rFonts w:ascii="Garamond" w:hAnsi="Garamond" w:cs="Arial"/>
          <w:sz w:val="24"/>
          <w:szCs w:val="24"/>
        </w:rPr>
        <w:t>new dimensions of EU investment policy: towards more scrutiny and enforcement</w:t>
      </w:r>
    </w:p>
    <w:p w14:paraId="73C8BA43" w14:textId="77777777" w:rsidR="00A0126A" w:rsidRPr="00FC1D31" w:rsidRDefault="00A0126A" w:rsidP="00A0126A">
      <w:pPr>
        <w:jc w:val="both"/>
        <w:rPr>
          <w:rFonts w:ascii="Garamond" w:hAnsi="Garamond" w:cs="Arial"/>
          <w:sz w:val="24"/>
          <w:szCs w:val="24"/>
        </w:rPr>
      </w:pPr>
    </w:p>
    <w:p w14:paraId="705B2BDC" w14:textId="6AAA57C3" w:rsidR="006D694F" w:rsidRPr="00FC1D31" w:rsidRDefault="00A53E94" w:rsidP="00A0126A">
      <w:pPr>
        <w:pStyle w:val="ListParagraph"/>
        <w:numPr>
          <w:ilvl w:val="1"/>
          <w:numId w:val="3"/>
        </w:numPr>
        <w:jc w:val="both"/>
        <w:rPr>
          <w:rFonts w:ascii="Garamond" w:hAnsi="Garamond" w:cs="Arial"/>
          <w:sz w:val="24"/>
          <w:szCs w:val="24"/>
        </w:rPr>
      </w:pPr>
      <w:r w:rsidRPr="00FC1D31">
        <w:rPr>
          <w:rFonts w:ascii="Garamond" w:hAnsi="Garamond" w:cs="Arial"/>
          <w:sz w:val="24"/>
          <w:szCs w:val="24"/>
        </w:rPr>
        <w:t xml:space="preserve">A new </w:t>
      </w:r>
      <w:r w:rsidR="006D694F" w:rsidRPr="00FC1D31">
        <w:rPr>
          <w:rFonts w:ascii="Garamond" w:hAnsi="Garamond" w:cs="Arial"/>
          <w:sz w:val="24"/>
          <w:szCs w:val="24"/>
        </w:rPr>
        <w:t>FDI screening</w:t>
      </w:r>
      <w:r w:rsidRPr="00FC1D31">
        <w:rPr>
          <w:rFonts w:ascii="Garamond" w:hAnsi="Garamond" w:cs="Arial"/>
          <w:sz w:val="24"/>
          <w:szCs w:val="24"/>
        </w:rPr>
        <w:t xml:space="preserve"> framework</w:t>
      </w:r>
      <w:r w:rsidR="00A0126A" w:rsidRPr="00FC1D31">
        <w:rPr>
          <w:rFonts w:ascii="Garamond" w:hAnsi="Garamond" w:cs="Arial"/>
          <w:sz w:val="24"/>
          <w:szCs w:val="24"/>
        </w:rPr>
        <w:t>: tightening the scrutiny of inward investment on security grounds</w:t>
      </w:r>
    </w:p>
    <w:p w14:paraId="5C61596B" w14:textId="5AA05CED" w:rsidR="00DD06A2" w:rsidRPr="00FC1D31" w:rsidRDefault="00C451AD" w:rsidP="00EB0FC1">
      <w:pPr>
        <w:jc w:val="both"/>
        <w:rPr>
          <w:rFonts w:ascii="Garamond" w:hAnsi="Garamond" w:cs="Arial"/>
          <w:sz w:val="24"/>
          <w:szCs w:val="24"/>
        </w:rPr>
      </w:pPr>
      <w:r w:rsidRPr="00FC1D31">
        <w:rPr>
          <w:rFonts w:ascii="Garamond" w:hAnsi="Garamond" w:cs="Arial"/>
          <w:sz w:val="24"/>
          <w:szCs w:val="24"/>
        </w:rPr>
        <w:t>The Commission’s vision of new investment policy places considerable emphasis on resilience as ‘a new compass’</w:t>
      </w:r>
      <w:r w:rsidRPr="00FC1D31">
        <w:rPr>
          <w:rStyle w:val="FootnoteReference"/>
          <w:rFonts w:ascii="Garamond" w:hAnsi="Garamond" w:cs="Arial"/>
          <w:sz w:val="24"/>
          <w:szCs w:val="24"/>
        </w:rPr>
        <w:footnoteReference w:id="6"/>
      </w:r>
      <w:r w:rsidRPr="00FC1D31">
        <w:rPr>
          <w:rFonts w:ascii="Garamond" w:hAnsi="Garamond" w:cs="Arial"/>
          <w:sz w:val="24"/>
          <w:szCs w:val="24"/>
        </w:rPr>
        <w:t xml:space="preserve"> in the Union’s pursuit of open strategic autonomy. It is therefore unsurprising that o</w:t>
      </w:r>
      <w:r w:rsidR="006E0D26" w:rsidRPr="00FC1D31">
        <w:rPr>
          <w:rFonts w:ascii="Garamond" w:hAnsi="Garamond" w:cs="Arial"/>
          <w:sz w:val="24"/>
          <w:szCs w:val="24"/>
        </w:rPr>
        <w:t>ne of the first steps towards more assertive and defensive investment policy took shape of the announcement by the Commission of its intention to launch an EU-wide mechanism for scrutinising inward foreign investment.</w:t>
      </w:r>
      <w:r w:rsidR="001E54C8" w:rsidRPr="00FC1D31">
        <w:rPr>
          <w:rFonts w:ascii="Garamond" w:hAnsi="Garamond" w:cs="Arial"/>
          <w:sz w:val="24"/>
          <w:szCs w:val="24"/>
        </w:rPr>
        <w:t xml:space="preserve"> </w:t>
      </w:r>
      <w:r w:rsidR="00DD06A2" w:rsidRPr="00FC1D31">
        <w:rPr>
          <w:rFonts w:ascii="Garamond" w:hAnsi="Garamond" w:cs="Arial"/>
          <w:sz w:val="24"/>
          <w:szCs w:val="24"/>
        </w:rPr>
        <w:t>A</w:t>
      </w:r>
      <w:r w:rsidR="004521A2" w:rsidRPr="00FC1D31">
        <w:rPr>
          <w:rFonts w:ascii="Garamond" w:hAnsi="Garamond" w:cs="Arial"/>
          <w:sz w:val="24"/>
          <w:szCs w:val="24"/>
        </w:rPr>
        <w:t xml:space="preserve">n important dimension of resilience is the ability to anticipate and </w:t>
      </w:r>
      <w:r w:rsidR="00095DC2" w:rsidRPr="00FC1D31">
        <w:rPr>
          <w:rFonts w:ascii="Garamond" w:hAnsi="Garamond" w:cs="Arial"/>
          <w:sz w:val="24"/>
          <w:szCs w:val="24"/>
        </w:rPr>
        <w:t>contain</w:t>
      </w:r>
      <w:r w:rsidR="004521A2" w:rsidRPr="00FC1D31">
        <w:rPr>
          <w:rFonts w:ascii="Garamond" w:hAnsi="Garamond" w:cs="Arial"/>
          <w:sz w:val="24"/>
          <w:szCs w:val="24"/>
        </w:rPr>
        <w:t xml:space="preserve"> threats to national security</w:t>
      </w:r>
      <w:r w:rsidR="00DD06A2" w:rsidRPr="00FC1D31">
        <w:rPr>
          <w:rFonts w:ascii="Garamond" w:hAnsi="Garamond" w:cs="Arial"/>
          <w:sz w:val="24"/>
          <w:szCs w:val="24"/>
        </w:rPr>
        <w:t>.</w:t>
      </w:r>
      <w:r w:rsidR="004521A2" w:rsidRPr="00FC1D31">
        <w:rPr>
          <w:rStyle w:val="FootnoteReference"/>
          <w:rFonts w:ascii="Garamond" w:hAnsi="Garamond" w:cs="Arial"/>
          <w:sz w:val="24"/>
          <w:szCs w:val="24"/>
        </w:rPr>
        <w:footnoteReference w:id="7"/>
      </w:r>
      <w:r w:rsidR="004521A2" w:rsidRPr="00FC1D31">
        <w:rPr>
          <w:rFonts w:ascii="Garamond" w:hAnsi="Garamond" w:cs="Arial"/>
          <w:sz w:val="24"/>
          <w:szCs w:val="24"/>
        </w:rPr>
        <w:t xml:space="preserve"> </w:t>
      </w:r>
      <w:r w:rsidR="00DD06A2" w:rsidRPr="00FC1D31">
        <w:rPr>
          <w:rFonts w:ascii="Garamond" w:hAnsi="Garamond" w:cs="Arial"/>
          <w:sz w:val="24"/>
          <w:szCs w:val="24"/>
        </w:rPr>
        <w:t xml:space="preserve">In the context of foreign investment policy, this manifests itself in tightening of the rules on admission of inward investment, principally through screening mechanisms. </w:t>
      </w:r>
      <w:r w:rsidR="006D694F" w:rsidRPr="00FC1D31">
        <w:rPr>
          <w:rFonts w:ascii="Garamond" w:hAnsi="Garamond" w:cs="Arial"/>
          <w:sz w:val="24"/>
          <w:szCs w:val="24"/>
        </w:rPr>
        <w:t xml:space="preserve">National foreign investment screening comprises measures and processes that aim to prevent foreign investor from acquiring or taking control over a company, if such acquisition or control present a threat to national security or public order of the host state. </w:t>
      </w:r>
    </w:p>
    <w:p w14:paraId="2B700718" w14:textId="7615C128" w:rsidR="00300FD4" w:rsidRPr="00FC1D31" w:rsidRDefault="00005F03" w:rsidP="00BB02F3">
      <w:pPr>
        <w:jc w:val="both"/>
        <w:rPr>
          <w:rFonts w:ascii="Garamond" w:hAnsi="Garamond" w:cs="Arial"/>
          <w:sz w:val="24"/>
          <w:szCs w:val="24"/>
        </w:rPr>
      </w:pPr>
      <w:r w:rsidRPr="00FC1D31">
        <w:rPr>
          <w:rFonts w:ascii="Garamond" w:hAnsi="Garamond" w:cs="Arial"/>
          <w:sz w:val="24"/>
          <w:szCs w:val="24"/>
        </w:rPr>
        <w:lastRenderedPageBreak/>
        <w:t>While FDI screening mechanisms are not an entirely new development</w:t>
      </w:r>
      <w:r w:rsidR="00A53E94" w:rsidRPr="00FC1D31">
        <w:rPr>
          <w:rFonts w:ascii="Garamond" w:hAnsi="Garamond" w:cs="Arial"/>
          <w:sz w:val="24"/>
          <w:szCs w:val="24"/>
        </w:rPr>
        <w:t xml:space="preserve"> – </w:t>
      </w:r>
      <w:r w:rsidRPr="00FC1D31">
        <w:rPr>
          <w:rFonts w:ascii="Garamond" w:hAnsi="Garamond" w:cs="Arial"/>
          <w:sz w:val="24"/>
          <w:szCs w:val="24"/>
        </w:rPr>
        <w:t xml:space="preserve">states have been exercising control and scrutiny of inward foreign investment for decades – the reasons for </w:t>
      </w:r>
      <w:r w:rsidR="00953A79" w:rsidRPr="00FC1D31">
        <w:rPr>
          <w:rFonts w:ascii="Garamond" w:hAnsi="Garamond" w:cs="Arial"/>
          <w:sz w:val="24"/>
          <w:szCs w:val="24"/>
        </w:rPr>
        <w:t xml:space="preserve">the </w:t>
      </w:r>
      <w:r w:rsidRPr="00FC1D31">
        <w:rPr>
          <w:rFonts w:ascii="Garamond" w:hAnsi="Garamond" w:cs="Arial"/>
          <w:sz w:val="24"/>
          <w:szCs w:val="24"/>
        </w:rPr>
        <w:t>increased prominence of such mechanisms in recent times have changed. Prior to the Covid-19 crisis, one of the key concerns behind the move towards closer scrutiny of inward FDI was linked to growing Chinese foreign investment in the EU.</w:t>
      </w:r>
      <w:r w:rsidR="00F301AB" w:rsidRPr="00FC1D31">
        <w:rPr>
          <w:rFonts w:ascii="Garamond" w:hAnsi="Garamond" w:cs="Arial"/>
          <w:sz w:val="24"/>
          <w:szCs w:val="24"/>
        </w:rPr>
        <w:t xml:space="preserve"> Not only </w:t>
      </w:r>
      <w:r w:rsidR="00645B11" w:rsidRPr="00FC1D31">
        <w:rPr>
          <w:rFonts w:ascii="Garamond" w:hAnsi="Garamond" w:cs="Arial"/>
          <w:sz w:val="24"/>
          <w:szCs w:val="24"/>
        </w:rPr>
        <w:t>were</w:t>
      </w:r>
      <w:r w:rsidR="00F301AB" w:rsidRPr="00FC1D31">
        <w:rPr>
          <w:rFonts w:ascii="Garamond" w:hAnsi="Garamond" w:cs="Arial"/>
          <w:sz w:val="24"/>
          <w:szCs w:val="24"/>
        </w:rPr>
        <w:t xml:space="preserve"> many of </w:t>
      </w:r>
      <w:r w:rsidR="00645B11" w:rsidRPr="00FC1D31">
        <w:rPr>
          <w:rFonts w:ascii="Garamond" w:hAnsi="Garamond" w:cs="Arial"/>
          <w:sz w:val="24"/>
          <w:szCs w:val="24"/>
        </w:rPr>
        <w:t>these</w:t>
      </w:r>
      <w:r w:rsidR="00F301AB" w:rsidRPr="00FC1D31">
        <w:rPr>
          <w:rFonts w:ascii="Garamond" w:hAnsi="Garamond" w:cs="Arial"/>
          <w:sz w:val="24"/>
          <w:szCs w:val="24"/>
        </w:rPr>
        <w:t xml:space="preserve"> investments concentrated in critical infrastructure, such as airports and seaports and such sectors as manufacturing, energy and transport, but also </w:t>
      </w:r>
      <w:proofErr w:type="gramStart"/>
      <w:r w:rsidR="00F301AB" w:rsidRPr="00FC1D31">
        <w:rPr>
          <w:rFonts w:ascii="Garamond" w:hAnsi="Garamond" w:cs="Arial"/>
          <w:sz w:val="24"/>
          <w:szCs w:val="24"/>
        </w:rPr>
        <w:t>a</w:t>
      </w:r>
      <w:proofErr w:type="gramEnd"/>
      <w:r w:rsidR="00F301AB" w:rsidRPr="00FC1D31">
        <w:rPr>
          <w:rFonts w:ascii="Garamond" w:hAnsi="Garamond" w:cs="Arial"/>
          <w:sz w:val="24"/>
          <w:szCs w:val="24"/>
        </w:rPr>
        <w:t xml:space="preserve"> bulk of </w:t>
      </w:r>
      <w:r w:rsidR="00645B11" w:rsidRPr="00FC1D31">
        <w:rPr>
          <w:rFonts w:ascii="Garamond" w:hAnsi="Garamond" w:cs="Arial"/>
          <w:sz w:val="24"/>
          <w:szCs w:val="24"/>
        </w:rPr>
        <w:t>these</w:t>
      </w:r>
      <w:r w:rsidR="00F301AB" w:rsidRPr="00FC1D31">
        <w:rPr>
          <w:rFonts w:ascii="Garamond" w:hAnsi="Garamond" w:cs="Arial"/>
          <w:sz w:val="24"/>
          <w:szCs w:val="24"/>
        </w:rPr>
        <w:t xml:space="preserve"> investments came from state-owned Chinese firms.</w:t>
      </w:r>
      <w:r w:rsidR="00F301AB" w:rsidRPr="00FC1D31">
        <w:rPr>
          <w:rStyle w:val="FootnoteReference"/>
          <w:rFonts w:ascii="Garamond" w:hAnsi="Garamond" w:cs="Arial"/>
          <w:sz w:val="24"/>
          <w:szCs w:val="24"/>
        </w:rPr>
        <w:footnoteReference w:id="8"/>
      </w:r>
      <w:r w:rsidR="0015543A" w:rsidRPr="00FC1D31">
        <w:rPr>
          <w:rFonts w:ascii="Garamond" w:hAnsi="Garamond" w:cs="Arial"/>
          <w:sz w:val="24"/>
          <w:szCs w:val="24"/>
        </w:rPr>
        <w:t xml:space="preserve"> Concerns were also raised by investments from state-owned enterprises from Russia and the United Arab Emirates, whose combined share in takeovers and acquisitions in the EU rose significantly between 2007-2017.</w:t>
      </w:r>
    </w:p>
    <w:p w14:paraId="2CC40553" w14:textId="2E4D2ED4" w:rsidR="00300FD4" w:rsidRPr="00FC1D31" w:rsidRDefault="008D0917" w:rsidP="00FC7FE8">
      <w:pPr>
        <w:autoSpaceDE w:val="0"/>
        <w:autoSpaceDN w:val="0"/>
        <w:adjustRightInd w:val="0"/>
        <w:spacing w:after="0"/>
        <w:jc w:val="both"/>
        <w:rPr>
          <w:rFonts w:ascii="Garamond" w:hAnsi="Garamond" w:cs="AdvOTab62ddd16"/>
          <w:color w:val="000000"/>
          <w:sz w:val="24"/>
          <w:szCs w:val="24"/>
        </w:rPr>
      </w:pPr>
      <w:r w:rsidRPr="00FC1D31">
        <w:rPr>
          <w:rFonts w:ascii="Garamond" w:hAnsi="Garamond" w:cs="Arial"/>
          <w:sz w:val="24"/>
          <w:szCs w:val="24"/>
        </w:rPr>
        <w:t xml:space="preserve">The genesis of the EU FDI screening framework is often linked to the acquisition in 2016 KUKA </w:t>
      </w:r>
      <w:proofErr w:type="spellStart"/>
      <w:r w:rsidRPr="00FC1D31">
        <w:rPr>
          <w:rFonts w:ascii="Garamond" w:hAnsi="Garamond" w:cs="Arial"/>
          <w:sz w:val="24"/>
          <w:szCs w:val="24"/>
        </w:rPr>
        <w:t>Aktiengesellschaft</w:t>
      </w:r>
      <w:proofErr w:type="spellEnd"/>
      <w:r w:rsidRPr="00FC1D31">
        <w:rPr>
          <w:rFonts w:ascii="Garamond" w:hAnsi="Garamond" w:cs="Arial"/>
          <w:sz w:val="24"/>
          <w:szCs w:val="24"/>
        </w:rPr>
        <w:t>, a German robotics company, by a Chinese firm. Together with other similarly high-profile acquisitions, including a much</w:t>
      </w:r>
      <w:r w:rsidR="00C01E80" w:rsidRPr="00FC1D31">
        <w:rPr>
          <w:rFonts w:ascii="Garamond" w:hAnsi="Garamond" w:cs="Arial"/>
          <w:sz w:val="24"/>
          <w:szCs w:val="24"/>
        </w:rPr>
        <w:t>-</w:t>
      </w:r>
      <w:r w:rsidR="00CF1E52" w:rsidRPr="00FC1D31">
        <w:rPr>
          <w:rFonts w:ascii="Garamond" w:hAnsi="Garamond" w:cs="Arial"/>
          <w:sz w:val="24"/>
          <w:szCs w:val="24"/>
        </w:rPr>
        <w:t>publicised</w:t>
      </w:r>
      <w:r w:rsidRPr="00FC1D31">
        <w:rPr>
          <w:rFonts w:ascii="Garamond" w:hAnsi="Garamond" w:cs="Arial"/>
          <w:sz w:val="24"/>
          <w:szCs w:val="24"/>
        </w:rPr>
        <w:t xml:space="preserve"> threat of </w:t>
      </w:r>
      <w:r w:rsidR="003C4C7D" w:rsidRPr="00FC1D31">
        <w:rPr>
          <w:rFonts w:ascii="Garamond" w:hAnsi="Garamond" w:cs="Arial"/>
          <w:sz w:val="24"/>
          <w:szCs w:val="24"/>
        </w:rPr>
        <w:t xml:space="preserve">a </w:t>
      </w:r>
      <w:r w:rsidRPr="00FC1D31">
        <w:rPr>
          <w:rFonts w:ascii="Garamond" w:hAnsi="Garamond" w:cs="Arial"/>
          <w:sz w:val="24"/>
          <w:szCs w:val="24"/>
        </w:rPr>
        <w:t>takeover of Danone</w:t>
      </w:r>
      <w:r w:rsidR="00B03D1F" w:rsidRPr="00FC1D31">
        <w:rPr>
          <w:rFonts w:ascii="Garamond" w:hAnsi="Garamond" w:cs="Arial"/>
          <w:sz w:val="24"/>
          <w:szCs w:val="24"/>
        </w:rPr>
        <w:t xml:space="preserve"> and the failed attempt to </w:t>
      </w:r>
      <w:proofErr w:type="spellStart"/>
      <w:r w:rsidR="00B03D1F" w:rsidRPr="00FC1D31">
        <w:rPr>
          <w:rFonts w:ascii="Garamond" w:hAnsi="Garamond" w:cs="Arial"/>
          <w:sz w:val="24"/>
          <w:szCs w:val="24"/>
        </w:rPr>
        <w:t>takeover</w:t>
      </w:r>
      <w:proofErr w:type="spellEnd"/>
      <w:r w:rsidR="00B03D1F" w:rsidRPr="00FC1D31">
        <w:rPr>
          <w:rFonts w:ascii="Garamond" w:hAnsi="Garamond" w:cs="Arial"/>
          <w:sz w:val="24"/>
          <w:szCs w:val="24"/>
        </w:rPr>
        <w:t xml:space="preserve"> the German semiconductor company </w:t>
      </w:r>
      <w:proofErr w:type="spellStart"/>
      <w:r w:rsidR="00B03D1F" w:rsidRPr="00FC1D31">
        <w:rPr>
          <w:rFonts w:ascii="Garamond" w:hAnsi="Garamond" w:cs="Arial"/>
          <w:sz w:val="24"/>
          <w:szCs w:val="24"/>
        </w:rPr>
        <w:t>Aixtron</w:t>
      </w:r>
      <w:proofErr w:type="spellEnd"/>
      <w:r w:rsidRPr="00FC1D31">
        <w:rPr>
          <w:rFonts w:ascii="Garamond" w:hAnsi="Garamond" w:cs="Arial"/>
          <w:sz w:val="24"/>
          <w:szCs w:val="24"/>
        </w:rPr>
        <w:t>,</w:t>
      </w:r>
      <w:r w:rsidR="003C4C7D" w:rsidRPr="00FC1D31">
        <w:rPr>
          <w:rStyle w:val="FootnoteReference"/>
          <w:rFonts w:ascii="Garamond" w:hAnsi="Garamond" w:cs="AdvOTab62ddd14"/>
          <w:sz w:val="24"/>
          <w:szCs w:val="24"/>
        </w:rPr>
        <w:footnoteReference w:id="9"/>
      </w:r>
      <w:r w:rsidR="00FC7FE8" w:rsidRPr="00FC1D31">
        <w:rPr>
          <w:rFonts w:ascii="Garamond" w:hAnsi="Garamond" w:cs="AdvOTab62ddd14"/>
          <w:sz w:val="24"/>
          <w:szCs w:val="24"/>
        </w:rPr>
        <w:t xml:space="preserve"> </w:t>
      </w:r>
      <w:r w:rsidR="003C4C7D" w:rsidRPr="00FC1D31">
        <w:rPr>
          <w:rFonts w:ascii="Garamond" w:hAnsi="Garamond" w:cs="AdvOTab62ddd14"/>
          <w:sz w:val="24"/>
          <w:szCs w:val="24"/>
        </w:rPr>
        <w:t>growing Chinese investments on the continent prompted</w:t>
      </w:r>
      <w:r w:rsidR="00CF1E52" w:rsidRPr="00FC1D31">
        <w:rPr>
          <w:rFonts w:ascii="Garamond" w:hAnsi="Garamond" w:cs="AdvOTab62ddd14"/>
          <w:sz w:val="24"/>
          <w:szCs w:val="24"/>
        </w:rPr>
        <w:t xml:space="preserve"> </w:t>
      </w:r>
      <w:r w:rsidR="003C4C7D" w:rsidRPr="00FC1D31">
        <w:rPr>
          <w:rFonts w:ascii="Garamond" w:hAnsi="Garamond" w:cs="AdvOTab62ddd16"/>
          <w:sz w:val="24"/>
          <w:szCs w:val="24"/>
        </w:rPr>
        <w:t>‘concerns about the risk of a loss of core high-industrial technology assets as strategic</w:t>
      </w:r>
      <w:r w:rsidR="00CF1E52" w:rsidRPr="00FC1D31">
        <w:rPr>
          <w:rFonts w:ascii="Garamond" w:hAnsi="Garamond" w:cs="AdvOTab62ddd16"/>
          <w:sz w:val="24"/>
          <w:szCs w:val="24"/>
        </w:rPr>
        <w:t xml:space="preserve"> </w:t>
      </w:r>
      <w:r w:rsidR="003C4C7D" w:rsidRPr="00FC1D31">
        <w:rPr>
          <w:rFonts w:ascii="Garamond" w:hAnsi="Garamond" w:cs="AdvOTab62ddd16"/>
          <w:sz w:val="24"/>
          <w:szCs w:val="24"/>
        </w:rPr>
        <w:t>sectors transfer to countries lacking market economy status’</w:t>
      </w:r>
      <w:r w:rsidR="00953A79" w:rsidRPr="00FC1D31">
        <w:rPr>
          <w:rFonts w:ascii="Garamond" w:hAnsi="Garamond" w:cs="AdvOTab62ddd16"/>
          <w:sz w:val="24"/>
          <w:szCs w:val="24"/>
        </w:rPr>
        <w:t>.</w:t>
      </w:r>
      <w:r w:rsidR="003C4C7D" w:rsidRPr="00FC1D31">
        <w:rPr>
          <w:rStyle w:val="FootnoteReference"/>
          <w:rFonts w:ascii="Garamond" w:hAnsi="Garamond" w:cs="AdvOTab62ddd16"/>
          <w:sz w:val="24"/>
          <w:szCs w:val="24"/>
        </w:rPr>
        <w:footnoteReference w:id="10"/>
      </w:r>
      <w:r w:rsidR="00CF1E52" w:rsidRPr="00FC1D31">
        <w:rPr>
          <w:rFonts w:ascii="Garamond" w:hAnsi="Garamond" w:cs="AdvOTab62ddd16"/>
          <w:sz w:val="24"/>
          <w:szCs w:val="24"/>
        </w:rPr>
        <w:t xml:space="preserve"> Alarms were </w:t>
      </w:r>
      <w:r w:rsidR="00B03D1F" w:rsidRPr="00FC1D31">
        <w:rPr>
          <w:rFonts w:ascii="Garamond" w:hAnsi="Garamond" w:cs="AdvOTab62ddd16"/>
          <w:sz w:val="24"/>
          <w:szCs w:val="24"/>
        </w:rPr>
        <w:t>raised</w:t>
      </w:r>
      <w:r w:rsidR="00953A79" w:rsidRPr="00FC1D31">
        <w:rPr>
          <w:rFonts w:ascii="Garamond" w:hAnsi="Garamond" w:cs="AdvOTab62ddd16"/>
          <w:sz w:val="24"/>
          <w:szCs w:val="24"/>
        </w:rPr>
        <w:t xml:space="preserve"> that</w:t>
      </w:r>
      <w:r w:rsidR="00B03D1F" w:rsidRPr="00FC1D31">
        <w:rPr>
          <w:rFonts w:ascii="Garamond" w:hAnsi="Garamond" w:cs="AdvOTab62ddd16"/>
          <w:color w:val="000000"/>
          <w:sz w:val="24"/>
          <w:szCs w:val="24"/>
        </w:rPr>
        <w:t xml:space="preserve"> </w:t>
      </w:r>
      <w:r w:rsidR="00CF1E52" w:rsidRPr="00FC1D31">
        <w:rPr>
          <w:rFonts w:ascii="Garamond" w:hAnsi="Garamond" w:cs="AdvOTab62ddd16"/>
          <w:color w:val="000000"/>
          <w:sz w:val="24"/>
          <w:szCs w:val="24"/>
        </w:rPr>
        <w:t>foreign</w:t>
      </w:r>
      <w:r w:rsidR="00B03D1F" w:rsidRPr="00FC1D31">
        <w:rPr>
          <w:rFonts w:ascii="Garamond" w:hAnsi="Garamond" w:cs="AdvOTab62ddd16"/>
          <w:color w:val="000000"/>
          <w:sz w:val="24"/>
          <w:szCs w:val="24"/>
        </w:rPr>
        <w:t xml:space="preserve"> </w:t>
      </w:r>
      <w:r w:rsidR="00CF1E52" w:rsidRPr="00FC1D31">
        <w:rPr>
          <w:rFonts w:ascii="Garamond" w:hAnsi="Garamond" w:cs="AdvOTab62ddd16"/>
          <w:color w:val="000000"/>
          <w:sz w:val="24"/>
          <w:szCs w:val="24"/>
        </w:rPr>
        <w:t xml:space="preserve">direct investment </w:t>
      </w:r>
      <w:r w:rsidR="00953A79" w:rsidRPr="00FC1D31">
        <w:rPr>
          <w:rFonts w:ascii="Garamond" w:hAnsi="Garamond" w:cs="AdvOTab62ddd16"/>
          <w:color w:val="000000"/>
          <w:sz w:val="24"/>
          <w:szCs w:val="24"/>
        </w:rPr>
        <w:t xml:space="preserve">was </w:t>
      </w:r>
      <w:r w:rsidR="00CF1E52" w:rsidRPr="00FC1D31">
        <w:rPr>
          <w:rFonts w:ascii="Garamond" w:hAnsi="Garamond" w:cs="AdvOTab62ddd16"/>
          <w:color w:val="000000"/>
          <w:sz w:val="24"/>
          <w:szCs w:val="24"/>
        </w:rPr>
        <w:t xml:space="preserve">being used as a vehicle to </w:t>
      </w:r>
      <w:r w:rsidR="00CF1E52" w:rsidRPr="00FC1D31">
        <w:rPr>
          <w:rFonts w:ascii="Garamond" w:hAnsi="Garamond" w:cs="AdvTT5843c571+202"/>
          <w:color w:val="000000"/>
          <w:sz w:val="24"/>
          <w:szCs w:val="24"/>
        </w:rPr>
        <w:t>‘</w:t>
      </w:r>
      <w:r w:rsidR="00CF1E52" w:rsidRPr="00FC1D31">
        <w:rPr>
          <w:rFonts w:ascii="Garamond" w:hAnsi="Garamond" w:cs="AdvOTab62ddd16"/>
          <w:color w:val="000000"/>
          <w:sz w:val="24"/>
          <w:szCs w:val="24"/>
        </w:rPr>
        <w:t>steal</w:t>
      </w:r>
      <w:r w:rsidR="00CF1E52" w:rsidRPr="00FC1D31">
        <w:rPr>
          <w:rFonts w:ascii="Garamond" w:hAnsi="Garamond" w:cs="AdvTT5843c571+202"/>
          <w:color w:val="000000"/>
          <w:sz w:val="24"/>
          <w:szCs w:val="24"/>
        </w:rPr>
        <w:t>’</w:t>
      </w:r>
      <w:r w:rsidR="00B03D1F" w:rsidRPr="00FC1D31">
        <w:rPr>
          <w:rFonts w:ascii="Garamond" w:hAnsi="Garamond" w:cs="AdvOTab62ddd16"/>
          <w:color w:val="000000"/>
          <w:sz w:val="24"/>
          <w:szCs w:val="24"/>
        </w:rPr>
        <w:t xml:space="preserve"> </w:t>
      </w:r>
      <w:r w:rsidR="00CF1E52" w:rsidRPr="00FC1D31">
        <w:rPr>
          <w:rFonts w:ascii="Garamond" w:hAnsi="Garamond" w:cs="AdvOTab62ddd16"/>
          <w:color w:val="000000"/>
          <w:sz w:val="24"/>
          <w:szCs w:val="24"/>
        </w:rPr>
        <w:t xml:space="preserve">key technologies </w:t>
      </w:r>
      <w:r w:rsidR="00645B11" w:rsidRPr="00FC1D31">
        <w:rPr>
          <w:rFonts w:ascii="Garamond" w:hAnsi="Garamond" w:cs="AdvOTab62ddd16"/>
          <w:color w:val="000000"/>
          <w:sz w:val="24"/>
          <w:szCs w:val="24"/>
        </w:rPr>
        <w:t>or</w:t>
      </w:r>
      <w:r w:rsidR="00CF1E52" w:rsidRPr="00FC1D31">
        <w:rPr>
          <w:rFonts w:ascii="Garamond" w:hAnsi="Garamond" w:cs="AdvOTab62ddd16"/>
          <w:color w:val="000000"/>
          <w:sz w:val="24"/>
          <w:szCs w:val="24"/>
        </w:rPr>
        <w:t xml:space="preserve"> to buy political influence in the states of Central and Eastern</w:t>
      </w:r>
      <w:r w:rsidR="00B03D1F" w:rsidRPr="00FC1D31">
        <w:rPr>
          <w:rFonts w:ascii="Garamond" w:hAnsi="Garamond" w:cs="AdvOTab62ddd16"/>
          <w:color w:val="000000"/>
          <w:sz w:val="24"/>
          <w:szCs w:val="24"/>
        </w:rPr>
        <w:t xml:space="preserve"> Europe</w:t>
      </w:r>
      <w:r w:rsidR="00B03D1F" w:rsidRPr="00FC1D31">
        <w:rPr>
          <w:rStyle w:val="FootnoteReference"/>
          <w:rFonts w:ascii="Garamond" w:hAnsi="Garamond" w:cs="AdvOTab62ddd16"/>
          <w:color w:val="000000"/>
          <w:sz w:val="24"/>
          <w:szCs w:val="24"/>
        </w:rPr>
        <w:footnoteReference w:id="11"/>
      </w:r>
      <w:r w:rsidR="00CF1E52" w:rsidRPr="00FC1D31">
        <w:rPr>
          <w:rFonts w:ascii="Garamond" w:hAnsi="Garamond" w:cs="AdvOTab62ddd16"/>
          <w:color w:val="000000"/>
          <w:sz w:val="24"/>
          <w:szCs w:val="24"/>
        </w:rPr>
        <w:t xml:space="preserve"> and thus </w:t>
      </w:r>
      <w:r w:rsidR="00CF1E52" w:rsidRPr="00FC1D31">
        <w:rPr>
          <w:rFonts w:ascii="Garamond" w:hAnsi="Garamond" w:cs="AdvTT5843c571+202"/>
          <w:color w:val="000000"/>
          <w:sz w:val="24"/>
          <w:szCs w:val="24"/>
        </w:rPr>
        <w:t>‘</w:t>
      </w:r>
      <w:r w:rsidR="00CF1E52" w:rsidRPr="00FC1D31">
        <w:rPr>
          <w:rFonts w:ascii="Garamond" w:hAnsi="Garamond" w:cs="AdvOTab62ddd16"/>
          <w:color w:val="000000"/>
          <w:sz w:val="24"/>
          <w:szCs w:val="24"/>
        </w:rPr>
        <w:t>divide and conquer</w:t>
      </w:r>
      <w:r w:rsidR="00CF1E52" w:rsidRPr="00FC1D31">
        <w:rPr>
          <w:rFonts w:ascii="Garamond" w:hAnsi="Garamond" w:cs="AdvTT5843c571+202"/>
          <w:color w:val="000000"/>
          <w:sz w:val="24"/>
          <w:szCs w:val="24"/>
        </w:rPr>
        <w:t>’</w:t>
      </w:r>
      <w:r w:rsidR="00CF1E52" w:rsidRPr="00FC1D31">
        <w:rPr>
          <w:rFonts w:ascii="Garamond" w:hAnsi="Garamond" w:cs="AdvOTab62ddd16"/>
          <w:color w:val="0000FF"/>
          <w:sz w:val="24"/>
          <w:szCs w:val="24"/>
        </w:rPr>
        <w:t xml:space="preserve"> </w:t>
      </w:r>
      <w:r w:rsidR="00CF1E52" w:rsidRPr="00FC1D31">
        <w:rPr>
          <w:rFonts w:ascii="Garamond" w:hAnsi="Garamond" w:cs="AdvOTab62ddd16"/>
          <w:color w:val="000000"/>
          <w:sz w:val="24"/>
          <w:szCs w:val="24"/>
        </w:rPr>
        <w:t>the EU.</w:t>
      </w:r>
      <w:r w:rsidR="00CF1E52" w:rsidRPr="00FC1D31">
        <w:rPr>
          <w:rStyle w:val="FootnoteReference"/>
          <w:rFonts w:ascii="Garamond" w:hAnsi="Garamond" w:cs="AdvOTab62ddd16"/>
          <w:color w:val="000000"/>
          <w:sz w:val="24"/>
          <w:szCs w:val="24"/>
        </w:rPr>
        <w:footnoteReference w:id="12"/>
      </w:r>
      <w:r w:rsidR="00B03D1F" w:rsidRPr="00FC1D31">
        <w:rPr>
          <w:rFonts w:ascii="Garamond" w:hAnsi="Garamond" w:cs="AdvOTab62ddd16"/>
          <w:color w:val="000000"/>
          <w:sz w:val="24"/>
          <w:szCs w:val="24"/>
        </w:rPr>
        <w:t xml:space="preserve"> Earlier efforts to put in place EU-level safeguards against foreign acquisitions </w:t>
      </w:r>
      <w:r w:rsidR="008E1F56" w:rsidRPr="00FC1D31">
        <w:rPr>
          <w:rFonts w:ascii="Garamond" w:hAnsi="Garamond" w:cs="AdvOTab62ddd16"/>
          <w:color w:val="000000"/>
          <w:sz w:val="24"/>
          <w:szCs w:val="24"/>
        </w:rPr>
        <w:t xml:space="preserve">had </w:t>
      </w:r>
      <w:r w:rsidR="00B03D1F" w:rsidRPr="00FC1D31">
        <w:rPr>
          <w:rFonts w:ascii="Garamond" w:hAnsi="Garamond" w:cs="AdvOTab62ddd16"/>
          <w:color w:val="000000"/>
          <w:sz w:val="24"/>
          <w:szCs w:val="24"/>
        </w:rPr>
        <w:t>emphasised the economic dimension,</w:t>
      </w:r>
      <w:r w:rsidR="00BB02F3" w:rsidRPr="00FC1D31">
        <w:rPr>
          <w:rStyle w:val="FootnoteReference"/>
          <w:rFonts w:ascii="Garamond" w:hAnsi="Garamond" w:cs="AdvOTab62ddd16"/>
          <w:color w:val="000000"/>
          <w:sz w:val="24"/>
          <w:szCs w:val="24"/>
        </w:rPr>
        <w:footnoteReference w:id="13"/>
      </w:r>
      <w:r w:rsidR="00B03D1F" w:rsidRPr="00FC1D31">
        <w:rPr>
          <w:rFonts w:ascii="Garamond" w:hAnsi="Garamond" w:cs="AdvOTab62ddd16"/>
          <w:color w:val="000000"/>
          <w:sz w:val="24"/>
          <w:szCs w:val="24"/>
        </w:rPr>
        <w:t xml:space="preserve"> framing the issue as one of competitiveness rather than </w:t>
      </w:r>
      <w:r w:rsidR="00953A79" w:rsidRPr="00FC1D31">
        <w:rPr>
          <w:rFonts w:ascii="Garamond" w:hAnsi="Garamond" w:cs="AdvOTab62ddd16"/>
          <w:color w:val="000000"/>
          <w:sz w:val="24"/>
          <w:szCs w:val="24"/>
        </w:rPr>
        <w:t xml:space="preserve">one of </w:t>
      </w:r>
      <w:r w:rsidR="00B03D1F" w:rsidRPr="00FC1D31">
        <w:rPr>
          <w:rFonts w:ascii="Garamond" w:hAnsi="Garamond" w:cs="AdvOTab62ddd16"/>
          <w:color w:val="000000"/>
          <w:sz w:val="24"/>
          <w:szCs w:val="24"/>
        </w:rPr>
        <w:t>national security.</w:t>
      </w:r>
    </w:p>
    <w:p w14:paraId="30565E7C" w14:textId="77777777" w:rsidR="00FC7FE8" w:rsidRPr="00FC1D31" w:rsidRDefault="00FC7FE8" w:rsidP="00FC7FE8">
      <w:pPr>
        <w:autoSpaceDE w:val="0"/>
        <w:autoSpaceDN w:val="0"/>
        <w:adjustRightInd w:val="0"/>
        <w:spacing w:after="0"/>
        <w:jc w:val="both"/>
        <w:rPr>
          <w:rFonts w:ascii="Garamond" w:hAnsi="Garamond" w:cs="AdvOTab62ddd16"/>
          <w:color w:val="000000"/>
          <w:sz w:val="24"/>
          <w:szCs w:val="24"/>
        </w:rPr>
      </w:pPr>
    </w:p>
    <w:p w14:paraId="6E43BF5D" w14:textId="04471BCF" w:rsidR="002F7285" w:rsidRPr="00FC1D31" w:rsidRDefault="00BB02F3" w:rsidP="00EB0FC1">
      <w:pPr>
        <w:jc w:val="both"/>
        <w:rPr>
          <w:rFonts w:ascii="Garamond" w:hAnsi="Garamond" w:cs="AdvOTab62ddd15"/>
          <w:sz w:val="24"/>
          <w:szCs w:val="24"/>
        </w:rPr>
      </w:pPr>
      <w:r w:rsidRPr="00FC1D31">
        <w:rPr>
          <w:rFonts w:ascii="Garamond" w:hAnsi="Garamond" w:cs="AdvOTab62ddd15"/>
          <w:sz w:val="24"/>
          <w:szCs w:val="24"/>
        </w:rPr>
        <w:t xml:space="preserve">The new FDI screening framework has been in the making since 2017, </w:t>
      </w:r>
      <w:r w:rsidR="004D044B" w:rsidRPr="00FC1D31">
        <w:rPr>
          <w:rFonts w:ascii="Garamond" w:hAnsi="Garamond" w:cs="AdvOTab62ddd15"/>
          <w:sz w:val="24"/>
          <w:szCs w:val="24"/>
        </w:rPr>
        <w:t>with</w:t>
      </w:r>
      <w:r w:rsidRPr="00FC1D31">
        <w:rPr>
          <w:rFonts w:ascii="Garamond" w:hAnsi="Garamond" w:cs="AdvOTab62ddd15"/>
          <w:sz w:val="24"/>
          <w:szCs w:val="24"/>
        </w:rPr>
        <w:t xml:space="preserve"> the Commission originally propos</w:t>
      </w:r>
      <w:r w:rsidR="00334DC1" w:rsidRPr="00FC1D31">
        <w:rPr>
          <w:rFonts w:ascii="Garamond" w:hAnsi="Garamond" w:cs="AdvOTab62ddd15"/>
          <w:sz w:val="24"/>
          <w:szCs w:val="24"/>
        </w:rPr>
        <w:t>ing</w:t>
      </w:r>
      <w:r w:rsidRPr="00FC1D31">
        <w:rPr>
          <w:rFonts w:ascii="Garamond" w:hAnsi="Garamond" w:cs="AdvOTab62ddd15"/>
          <w:sz w:val="24"/>
          <w:szCs w:val="24"/>
        </w:rPr>
        <w:t xml:space="preserve"> an independent EU-level mechanism.</w:t>
      </w:r>
      <w:r w:rsidR="00D04EE7" w:rsidRPr="00FC1D31">
        <w:rPr>
          <w:rFonts w:ascii="Garamond" w:hAnsi="Garamond" w:cs="AdvOTab62ddd15"/>
          <w:sz w:val="24"/>
          <w:szCs w:val="24"/>
        </w:rPr>
        <w:t xml:space="preserve"> However, this proposal did not make into the final text of the regulation.</w:t>
      </w:r>
      <w:r w:rsidR="00171A56" w:rsidRPr="00FC1D31">
        <w:rPr>
          <w:rStyle w:val="FootnoteReference"/>
          <w:rFonts w:ascii="Garamond" w:hAnsi="Garamond" w:cs="AdvOTab62ddd15"/>
          <w:sz w:val="24"/>
          <w:szCs w:val="24"/>
        </w:rPr>
        <w:t xml:space="preserve"> </w:t>
      </w:r>
      <w:r w:rsidR="00171A56" w:rsidRPr="00FC1D31">
        <w:rPr>
          <w:rStyle w:val="FootnoteReference"/>
          <w:rFonts w:ascii="Garamond" w:hAnsi="Garamond" w:cs="AdvOTab62ddd15"/>
          <w:sz w:val="24"/>
          <w:szCs w:val="24"/>
        </w:rPr>
        <w:footnoteReference w:id="14"/>
      </w:r>
      <w:r w:rsidR="00171A56" w:rsidRPr="00FC1D31">
        <w:rPr>
          <w:rFonts w:ascii="Garamond" w:hAnsi="Garamond" w:cs="AdvOTab62ddd15"/>
          <w:sz w:val="24"/>
          <w:szCs w:val="24"/>
        </w:rPr>
        <w:t xml:space="preserve"> </w:t>
      </w:r>
      <w:r w:rsidR="00D04EE7" w:rsidRPr="00FC1D31">
        <w:rPr>
          <w:rFonts w:ascii="Garamond" w:hAnsi="Garamond" w:cs="AdvOTab62ddd15"/>
          <w:sz w:val="24"/>
          <w:szCs w:val="24"/>
        </w:rPr>
        <w:t xml:space="preserve"> The Regulation leaves it to the ultimate authority of Member States to </w:t>
      </w:r>
      <w:r w:rsidR="00FC1D31">
        <w:rPr>
          <w:rFonts w:ascii="Garamond" w:hAnsi="Garamond" w:cs="AdvOTab62ddd15"/>
          <w:sz w:val="24"/>
          <w:szCs w:val="24"/>
        </w:rPr>
        <w:t>adopt</w:t>
      </w:r>
      <w:r w:rsidR="00FC1D31" w:rsidRPr="00FC1D31">
        <w:rPr>
          <w:rFonts w:ascii="Garamond" w:hAnsi="Garamond" w:cs="AdvOTab62ddd15"/>
          <w:sz w:val="24"/>
          <w:szCs w:val="24"/>
        </w:rPr>
        <w:t xml:space="preserve"> </w:t>
      </w:r>
      <w:r w:rsidR="00D04EE7" w:rsidRPr="00FC1D31">
        <w:rPr>
          <w:rFonts w:ascii="Garamond" w:hAnsi="Garamond" w:cs="AdvOTab62ddd15"/>
          <w:sz w:val="24"/>
          <w:szCs w:val="24"/>
        </w:rPr>
        <w:t>concrete decisions on screening, making it unequivocal that each Member State has the sole responsibility for its national security and the right to protect its essential security interests.</w:t>
      </w:r>
      <w:r w:rsidR="00171A56" w:rsidRPr="00FC1D31">
        <w:rPr>
          <w:rStyle w:val="FootnoteReference"/>
          <w:rFonts w:ascii="Garamond" w:hAnsi="Garamond" w:cs="AdvOTab62ddd15"/>
          <w:sz w:val="24"/>
          <w:szCs w:val="24"/>
        </w:rPr>
        <w:footnoteReference w:id="15"/>
      </w:r>
      <w:r w:rsidR="00D04EE7" w:rsidRPr="00FC1D31">
        <w:rPr>
          <w:rFonts w:ascii="Garamond" w:hAnsi="Garamond" w:cs="AdvOTab62ddd15"/>
          <w:sz w:val="24"/>
          <w:szCs w:val="24"/>
        </w:rPr>
        <w:t xml:space="preserve"> Although a decision to authorise or block foreign investment is left to Member States, the new framework places the Commission at the heart of a transnational information sharing system. The Commission is also </w:t>
      </w:r>
      <w:r w:rsidR="00FC7FE8" w:rsidRPr="00FC1D31">
        <w:rPr>
          <w:rFonts w:ascii="Garamond" w:hAnsi="Garamond" w:cs="AdvOTab62ddd15"/>
          <w:sz w:val="24"/>
          <w:szCs w:val="24"/>
        </w:rPr>
        <w:t xml:space="preserve">to be </w:t>
      </w:r>
      <w:r w:rsidR="00D04EE7" w:rsidRPr="00FC1D31">
        <w:rPr>
          <w:rFonts w:ascii="Garamond" w:hAnsi="Garamond" w:cs="AdvOTab62ddd15"/>
          <w:sz w:val="24"/>
          <w:szCs w:val="24"/>
        </w:rPr>
        <w:t xml:space="preserve">included in the decision-making process in relation to an investment that is likely to ‘affect projects or programmes of EU interest on ground of security or </w:t>
      </w:r>
      <w:r w:rsidR="00D04EE7" w:rsidRPr="00FC1D31">
        <w:rPr>
          <w:rFonts w:ascii="Garamond" w:hAnsi="Garamond" w:cs="AdvOTab62ddd15"/>
          <w:sz w:val="24"/>
          <w:szCs w:val="24"/>
        </w:rPr>
        <w:lastRenderedPageBreak/>
        <w:t xml:space="preserve">public order.’ Such projects include </w:t>
      </w:r>
      <w:r w:rsidR="00953A79" w:rsidRPr="00FC1D31">
        <w:rPr>
          <w:rFonts w:ascii="Garamond" w:hAnsi="Garamond" w:cs="AdvOTab62ddd15"/>
          <w:sz w:val="24"/>
          <w:szCs w:val="24"/>
        </w:rPr>
        <w:t xml:space="preserve">the </w:t>
      </w:r>
      <w:r w:rsidR="00D04EE7" w:rsidRPr="00FC1D31">
        <w:rPr>
          <w:rFonts w:ascii="Garamond" w:hAnsi="Garamond" w:cs="AdvOTab62ddd15"/>
          <w:sz w:val="24"/>
          <w:szCs w:val="24"/>
        </w:rPr>
        <w:t>European GNSS programmes (</w:t>
      </w:r>
      <w:proofErr w:type="gramStart"/>
      <w:r w:rsidR="00D04EE7" w:rsidRPr="00FC1D31">
        <w:rPr>
          <w:rFonts w:ascii="Garamond" w:hAnsi="Garamond" w:cs="AdvOTab62ddd15"/>
          <w:sz w:val="24"/>
          <w:szCs w:val="24"/>
        </w:rPr>
        <w:t>e.g.</w:t>
      </w:r>
      <w:proofErr w:type="gramEnd"/>
      <w:r w:rsidR="00D04EE7" w:rsidRPr="00FC1D31">
        <w:rPr>
          <w:rFonts w:ascii="Garamond" w:hAnsi="Garamond" w:cs="AdvOTab62ddd15"/>
          <w:sz w:val="24"/>
          <w:szCs w:val="24"/>
        </w:rPr>
        <w:t xml:space="preserve"> Galileo), Copernicus and Horizon 2020, Trans</w:t>
      </w:r>
      <w:r w:rsidR="00FC7FE8" w:rsidRPr="00FC1D31">
        <w:rPr>
          <w:rFonts w:ascii="Garamond" w:hAnsi="Garamond" w:cs="AdvOTab62ddd15"/>
          <w:sz w:val="24"/>
          <w:szCs w:val="24"/>
        </w:rPr>
        <w:t>-E</w:t>
      </w:r>
      <w:r w:rsidR="00D04EE7" w:rsidRPr="00FC1D31">
        <w:rPr>
          <w:rFonts w:ascii="Garamond" w:hAnsi="Garamond" w:cs="AdvOTab62ddd15"/>
          <w:sz w:val="24"/>
          <w:szCs w:val="24"/>
        </w:rPr>
        <w:t>uropean networks for Transport, Energy, and Telecommunications.</w:t>
      </w:r>
      <w:r w:rsidR="00E90BE9" w:rsidRPr="00FC1D31">
        <w:rPr>
          <w:rFonts w:ascii="Garamond" w:hAnsi="Garamond" w:cs="AdvOTab62ddd15"/>
          <w:sz w:val="24"/>
          <w:szCs w:val="24"/>
        </w:rPr>
        <w:t xml:space="preserve"> </w:t>
      </w:r>
    </w:p>
    <w:p w14:paraId="4D2BD73C" w14:textId="4C37BBED" w:rsidR="00BE7FDF" w:rsidRPr="00FC1D31" w:rsidRDefault="0099440A" w:rsidP="00EB0FC1">
      <w:pPr>
        <w:jc w:val="both"/>
        <w:rPr>
          <w:rFonts w:ascii="Garamond" w:hAnsi="Garamond" w:cs="AdvOTab62ddd15"/>
          <w:sz w:val="24"/>
          <w:szCs w:val="24"/>
        </w:rPr>
      </w:pPr>
      <w:r w:rsidRPr="00FC1D31">
        <w:rPr>
          <w:rFonts w:ascii="Garamond" w:hAnsi="Garamond" w:cs="AdvOTab62ddd15"/>
          <w:sz w:val="24"/>
          <w:szCs w:val="24"/>
        </w:rPr>
        <w:t>National security, albeit broadly defined, is at the core of the new regulatory framework: despite the fact that original concerns over inward foreign investment were framed as an issue of economic competitiveness of EU enterprises and the EU’s technological leadership,</w:t>
      </w:r>
      <w:r w:rsidRPr="00FC1D31">
        <w:rPr>
          <w:rStyle w:val="FootnoteReference"/>
          <w:rFonts w:ascii="Garamond" w:hAnsi="Garamond" w:cs="AdvOTab62ddd15"/>
          <w:sz w:val="24"/>
          <w:szCs w:val="24"/>
        </w:rPr>
        <w:footnoteReference w:id="16"/>
      </w:r>
      <w:r w:rsidRPr="00FC1D31">
        <w:rPr>
          <w:rFonts w:ascii="Garamond" w:hAnsi="Garamond" w:cs="AdvOTab62ddd15"/>
          <w:sz w:val="24"/>
          <w:szCs w:val="24"/>
        </w:rPr>
        <w:t xml:space="preserve"> the final text refers to national security as a principal </w:t>
      </w:r>
      <w:r w:rsidRPr="00FC1D31">
        <w:rPr>
          <w:rFonts w:ascii="Garamond" w:hAnsi="Garamond" w:cs="AdvOTab62ddd15"/>
          <w:i/>
          <w:sz w:val="24"/>
          <w:szCs w:val="24"/>
        </w:rPr>
        <w:t xml:space="preserve">raison </w:t>
      </w:r>
      <w:proofErr w:type="spellStart"/>
      <w:r w:rsidRPr="00FC1D31">
        <w:rPr>
          <w:rFonts w:ascii="Garamond" w:hAnsi="Garamond" w:cs="AdvOTab62ddd15"/>
          <w:i/>
          <w:sz w:val="24"/>
          <w:szCs w:val="24"/>
        </w:rPr>
        <w:t>d’etre</w:t>
      </w:r>
      <w:proofErr w:type="spellEnd"/>
      <w:r w:rsidRPr="00FC1D31">
        <w:rPr>
          <w:rFonts w:ascii="Garamond" w:hAnsi="Garamond" w:cs="AdvOTab62ddd15"/>
          <w:sz w:val="24"/>
          <w:szCs w:val="24"/>
        </w:rPr>
        <w:t xml:space="preserve"> for investment screening.</w:t>
      </w:r>
      <w:r w:rsidR="00830253" w:rsidRPr="00FC1D31">
        <w:rPr>
          <w:rStyle w:val="FootnoteReference"/>
          <w:rFonts w:ascii="Garamond" w:hAnsi="Garamond" w:cs="AdvOTab62ddd15"/>
          <w:sz w:val="24"/>
          <w:szCs w:val="24"/>
        </w:rPr>
        <w:footnoteReference w:id="17"/>
      </w:r>
      <w:r w:rsidR="002F7285" w:rsidRPr="00FC1D31">
        <w:rPr>
          <w:rFonts w:ascii="Garamond" w:hAnsi="Garamond" w:cs="AdvOTab62ddd15"/>
          <w:sz w:val="24"/>
          <w:szCs w:val="24"/>
        </w:rPr>
        <w:t xml:space="preserve"> </w:t>
      </w:r>
      <w:r w:rsidR="00BE7FDF" w:rsidRPr="00FC1D31">
        <w:rPr>
          <w:rFonts w:ascii="Garamond" w:hAnsi="Garamond" w:cs="AdvOTab62ddd15"/>
          <w:sz w:val="24"/>
          <w:szCs w:val="24"/>
        </w:rPr>
        <w:t xml:space="preserve">The regulation also </w:t>
      </w:r>
      <w:r w:rsidR="00171A56" w:rsidRPr="00FC1D31">
        <w:rPr>
          <w:rFonts w:ascii="Garamond" w:hAnsi="Garamond" w:cs="AdvOTab62ddd15"/>
          <w:sz w:val="24"/>
          <w:szCs w:val="24"/>
        </w:rPr>
        <w:t>reflects</w:t>
      </w:r>
      <w:r w:rsidR="00BE7FDF" w:rsidRPr="00FC1D31">
        <w:rPr>
          <w:rFonts w:ascii="Garamond" w:hAnsi="Garamond" w:cs="AdvOTab62ddd15"/>
          <w:sz w:val="24"/>
          <w:szCs w:val="24"/>
        </w:rPr>
        <w:t xml:space="preserve"> significant shifts in prevailing understandings of what constitutes a threat to natio</w:t>
      </w:r>
      <w:r w:rsidR="00171A56" w:rsidRPr="00FC1D31">
        <w:rPr>
          <w:rFonts w:ascii="Garamond" w:hAnsi="Garamond" w:cs="AdvOTab62ddd15"/>
          <w:sz w:val="24"/>
          <w:szCs w:val="24"/>
        </w:rPr>
        <w:t>n</w:t>
      </w:r>
      <w:r w:rsidR="00BE7FDF" w:rsidRPr="00FC1D31">
        <w:rPr>
          <w:rFonts w:ascii="Garamond" w:hAnsi="Garamond" w:cs="AdvOTab62ddd15"/>
          <w:sz w:val="24"/>
          <w:szCs w:val="24"/>
        </w:rPr>
        <w:t xml:space="preserve">al security and public order. </w:t>
      </w:r>
      <w:r w:rsidR="00171A56" w:rsidRPr="00FC1D31">
        <w:rPr>
          <w:rFonts w:ascii="Garamond" w:hAnsi="Garamond" w:cs="Arial"/>
          <w:sz w:val="24"/>
          <w:szCs w:val="24"/>
        </w:rPr>
        <w:t>Originally</w:t>
      </w:r>
      <w:r w:rsidR="00BE7FDF" w:rsidRPr="00FC1D31">
        <w:rPr>
          <w:rFonts w:ascii="Garamond" w:hAnsi="Garamond" w:cs="Arial"/>
          <w:sz w:val="24"/>
          <w:szCs w:val="24"/>
        </w:rPr>
        <w:t xml:space="preserve">, FDI screening was conceived as means of controlling inward foreign investment in the military and defence sectors. However, over the years both the scope of screening and its intensity have significantly evolved. </w:t>
      </w:r>
      <w:r w:rsidR="00171A56" w:rsidRPr="00FC1D31">
        <w:rPr>
          <w:rFonts w:ascii="Garamond" w:hAnsi="Garamond" w:cs="Arial"/>
          <w:sz w:val="24"/>
          <w:szCs w:val="24"/>
        </w:rPr>
        <w:t>Mirroring these global trends</w:t>
      </w:r>
      <w:r w:rsidR="00BE7FDF" w:rsidRPr="00FC1D31">
        <w:rPr>
          <w:rFonts w:ascii="Garamond" w:hAnsi="Garamond" w:cs="Arial"/>
          <w:sz w:val="24"/>
          <w:szCs w:val="24"/>
        </w:rPr>
        <w:t xml:space="preserve">, </w:t>
      </w:r>
      <w:r w:rsidR="00171A56" w:rsidRPr="00FC1D31">
        <w:rPr>
          <w:rFonts w:ascii="Garamond" w:hAnsi="Garamond" w:cs="Arial"/>
          <w:sz w:val="24"/>
          <w:szCs w:val="24"/>
        </w:rPr>
        <w:t xml:space="preserve">the EU </w:t>
      </w:r>
      <w:r w:rsidR="00BE7FDF" w:rsidRPr="00FC1D31">
        <w:rPr>
          <w:rFonts w:ascii="Garamond" w:hAnsi="Garamond" w:cs="Arial"/>
          <w:sz w:val="24"/>
          <w:szCs w:val="24"/>
        </w:rPr>
        <w:t xml:space="preserve">FDI screening </w:t>
      </w:r>
      <w:r w:rsidR="00171A56" w:rsidRPr="00FC1D31">
        <w:rPr>
          <w:rFonts w:ascii="Garamond" w:hAnsi="Garamond" w:cs="Arial"/>
          <w:sz w:val="24"/>
          <w:szCs w:val="24"/>
        </w:rPr>
        <w:t xml:space="preserve">framework adopts a broader notion of security and </w:t>
      </w:r>
      <w:r w:rsidR="00BE7FDF" w:rsidRPr="00FC1D31">
        <w:rPr>
          <w:rFonts w:ascii="Garamond" w:hAnsi="Garamond" w:cs="Arial"/>
          <w:sz w:val="24"/>
          <w:szCs w:val="24"/>
        </w:rPr>
        <w:t xml:space="preserve">extends </w:t>
      </w:r>
      <w:r w:rsidR="00171A56" w:rsidRPr="00FC1D31">
        <w:rPr>
          <w:rFonts w:ascii="Garamond" w:hAnsi="Garamond" w:cs="Arial"/>
          <w:sz w:val="24"/>
          <w:szCs w:val="24"/>
        </w:rPr>
        <w:t>the scrutiny to inward</w:t>
      </w:r>
      <w:r w:rsidR="00BE7FDF" w:rsidRPr="00FC1D31">
        <w:rPr>
          <w:rFonts w:ascii="Garamond" w:hAnsi="Garamond" w:cs="Arial"/>
          <w:sz w:val="24"/>
          <w:szCs w:val="24"/>
        </w:rPr>
        <w:t xml:space="preserve"> foreign investment in strategic industries and critical infrastructure, from energy production and supply to water, transport, telecommunication, mineral resources, and the media.</w:t>
      </w:r>
      <w:r w:rsidR="00171A56" w:rsidRPr="00FC1D31">
        <w:rPr>
          <w:rStyle w:val="FootnoteReference"/>
          <w:rFonts w:ascii="Garamond" w:hAnsi="Garamond" w:cs="Arial"/>
          <w:sz w:val="24"/>
          <w:szCs w:val="24"/>
        </w:rPr>
        <w:footnoteReference w:id="18"/>
      </w:r>
      <w:r w:rsidR="00BE7FDF" w:rsidRPr="00FC1D31">
        <w:rPr>
          <w:rFonts w:ascii="Garamond" w:hAnsi="Garamond" w:cs="Arial"/>
          <w:sz w:val="24"/>
          <w:szCs w:val="24"/>
        </w:rPr>
        <w:t xml:space="preserve"> </w:t>
      </w:r>
      <w:r w:rsidR="00171A56" w:rsidRPr="00FC1D31">
        <w:rPr>
          <w:rFonts w:ascii="Garamond" w:hAnsi="Garamond" w:cs="Arial"/>
          <w:sz w:val="24"/>
          <w:szCs w:val="24"/>
        </w:rPr>
        <w:t>In line with policies of its “like minded” partners, such as the United States, the regulation brings within its scope</w:t>
      </w:r>
      <w:r w:rsidR="00BE7FDF" w:rsidRPr="00FC1D31">
        <w:rPr>
          <w:rFonts w:ascii="Garamond" w:hAnsi="Garamond" w:cs="Arial"/>
          <w:sz w:val="24"/>
          <w:szCs w:val="24"/>
        </w:rPr>
        <w:t xml:space="preserve"> such areas as </w:t>
      </w:r>
      <w:r w:rsidR="00171A56" w:rsidRPr="00FC1D31">
        <w:rPr>
          <w:rFonts w:ascii="Garamond" w:hAnsi="Garamond" w:cs="Arial"/>
          <w:sz w:val="24"/>
          <w:szCs w:val="24"/>
        </w:rPr>
        <w:t>critical</w:t>
      </w:r>
      <w:r w:rsidR="00BE7FDF" w:rsidRPr="00FC1D31">
        <w:rPr>
          <w:rFonts w:ascii="Garamond" w:hAnsi="Garamond" w:cs="Arial"/>
          <w:sz w:val="24"/>
          <w:szCs w:val="24"/>
        </w:rPr>
        <w:t xml:space="preserve"> technology and know-how, in particular artificial intelligence, robotics, semiconductors, quantum technologies </w:t>
      </w:r>
      <w:r w:rsidR="00171A56" w:rsidRPr="00FC1D31">
        <w:rPr>
          <w:rFonts w:ascii="Garamond" w:hAnsi="Garamond" w:cs="Arial"/>
          <w:sz w:val="24"/>
          <w:szCs w:val="24"/>
        </w:rPr>
        <w:t>as well as</w:t>
      </w:r>
      <w:r w:rsidR="00BE7FDF" w:rsidRPr="00FC1D31">
        <w:rPr>
          <w:rFonts w:ascii="Garamond" w:hAnsi="Garamond" w:cs="Arial"/>
          <w:sz w:val="24"/>
          <w:szCs w:val="24"/>
        </w:rPr>
        <w:t xml:space="preserve"> access to sensitive data of private individuals.</w:t>
      </w:r>
      <w:r w:rsidR="00BE7FDF" w:rsidRPr="00FC1D31">
        <w:rPr>
          <w:rStyle w:val="FootnoteReference"/>
          <w:rFonts w:ascii="Garamond" w:hAnsi="Garamond" w:cs="Arial"/>
          <w:sz w:val="24"/>
          <w:szCs w:val="24"/>
        </w:rPr>
        <w:footnoteReference w:id="19"/>
      </w:r>
    </w:p>
    <w:p w14:paraId="4F98D3DD" w14:textId="3DB01EE6" w:rsidR="0099440A" w:rsidRPr="00FC1D31" w:rsidRDefault="002F7285" w:rsidP="00EB0FC1">
      <w:pPr>
        <w:jc w:val="both"/>
        <w:rPr>
          <w:rFonts w:ascii="Garamond" w:hAnsi="Garamond" w:cs="AdvOTab62ddd15"/>
          <w:sz w:val="24"/>
          <w:szCs w:val="24"/>
        </w:rPr>
      </w:pPr>
      <w:r w:rsidRPr="00FC1D31">
        <w:rPr>
          <w:rFonts w:ascii="Garamond" w:hAnsi="Garamond"/>
          <w:sz w:val="24"/>
          <w:szCs w:val="24"/>
        </w:rPr>
        <w:t>The onset of</w:t>
      </w:r>
      <w:r w:rsidR="0099440A" w:rsidRPr="00FC1D31">
        <w:rPr>
          <w:rFonts w:ascii="Garamond" w:hAnsi="Garamond"/>
          <w:sz w:val="24"/>
          <w:szCs w:val="24"/>
        </w:rPr>
        <w:t xml:space="preserve"> the COVID pandemic</w:t>
      </w:r>
      <w:r w:rsidR="00BE7FDF" w:rsidRPr="00FC1D31">
        <w:rPr>
          <w:rFonts w:ascii="Garamond" w:hAnsi="Garamond"/>
          <w:sz w:val="24"/>
          <w:szCs w:val="24"/>
        </w:rPr>
        <w:t xml:space="preserve"> </w:t>
      </w:r>
      <w:r w:rsidR="00BE7FDF" w:rsidRPr="00FC1D31">
        <w:rPr>
          <w:rFonts w:ascii="Garamond" w:hAnsi="Garamond" w:cs="Arial"/>
          <w:sz w:val="24"/>
          <w:szCs w:val="24"/>
        </w:rPr>
        <w:t>and concomitant disruptions in global supply chains</w:t>
      </w:r>
      <w:r w:rsidR="00171A56" w:rsidRPr="00FC1D31">
        <w:rPr>
          <w:rFonts w:ascii="Garamond" w:hAnsi="Garamond" w:cs="Arial"/>
          <w:sz w:val="24"/>
          <w:szCs w:val="24"/>
        </w:rPr>
        <w:t>,</w:t>
      </w:r>
      <w:r w:rsidR="0099440A" w:rsidRPr="00FC1D31">
        <w:rPr>
          <w:rFonts w:ascii="Garamond" w:hAnsi="Garamond"/>
          <w:sz w:val="24"/>
          <w:szCs w:val="24"/>
        </w:rPr>
        <w:t xml:space="preserve"> </w:t>
      </w:r>
      <w:r w:rsidR="00171A56" w:rsidRPr="00FC1D31">
        <w:rPr>
          <w:rFonts w:ascii="Garamond" w:hAnsi="Garamond"/>
          <w:sz w:val="24"/>
          <w:szCs w:val="24"/>
        </w:rPr>
        <w:t>too, highlighted the need to revisit the</w:t>
      </w:r>
      <w:r w:rsidRPr="00FC1D31">
        <w:rPr>
          <w:rFonts w:ascii="Garamond" w:hAnsi="Garamond"/>
          <w:sz w:val="24"/>
          <w:szCs w:val="24"/>
        </w:rPr>
        <w:t xml:space="preserve"> prevailing </w:t>
      </w:r>
      <w:r w:rsidR="00A0126A" w:rsidRPr="00FC1D31">
        <w:rPr>
          <w:rFonts w:ascii="Garamond" w:hAnsi="Garamond"/>
          <w:sz w:val="24"/>
          <w:szCs w:val="24"/>
        </w:rPr>
        <w:t>definitions of</w:t>
      </w:r>
      <w:r w:rsidR="0099440A" w:rsidRPr="00FC1D31">
        <w:rPr>
          <w:rFonts w:ascii="Garamond" w:hAnsi="Garamond"/>
          <w:sz w:val="24"/>
          <w:szCs w:val="24"/>
        </w:rPr>
        <w:t xml:space="preserve"> emergenc</w:t>
      </w:r>
      <w:r w:rsidR="00A0126A" w:rsidRPr="00FC1D31">
        <w:rPr>
          <w:rFonts w:ascii="Garamond" w:hAnsi="Garamond"/>
          <w:sz w:val="24"/>
          <w:szCs w:val="24"/>
        </w:rPr>
        <w:t>y</w:t>
      </w:r>
      <w:r w:rsidR="0099440A" w:rsidRPr="00FC1D31">
        <w:rPr>
          <w:rFonts w:ascii="Garamond" w:hAnsi="Garamond"/>
          <w:sz w:val="24"/>
          <w:szCs w:val="24"/>
        </w:rPr>
        <w:t xml:space="preserve"> and national security</w:t>
      </w:r>
      <w:r w:rsidR="00171A56" w:rsidRPr="00FC1D31">
        <w:rPr>
          <w:rFonts w:ascii="Garamond" w:hAnsi="Garamond"/>
          <w:sz w:val="24"/>
          <w:szCs w:val="24"/>
        </w:rPr>
        <w:t xml:space="preserve"> and </w:t>
      </w:r>
      <w:r w:rsidR="00A0126A" w:rsidRPr="00FC1D31">
        <w:rPr>
          <w:rFonts w:ascii="Garamond" w:hAnsi="Garamond"/>
          <w:sz w:val="24"/>
          <w:szCs w:val="24"/>
        </w:rPr>
        <w:t>to clarify the list of strategic sectors and enterprises</w:t>
      </w:r>
      <w:r w:rsidR="00632FC7" w:rsidRPr="00FC1D31">
        <w:rPr>
          <w:rFonts w:ascii="Garamond" w:hAnsi="Garamond"/>
          <w:sz w:val="24"/>
          <w:szCs w:val="24"/>
        </w:rPr>
        <w:t>, notably</w:t>
      </w:r>
      <w:r w:rsidR="00A0126A" w:rsidRPr="00FC1D31">
        <w:rPr>
          <w:rFonts w:ascii="Garamond" w:hAnsi="Garamond"/>
          <w:sz w:val="24"/>
          <w:szCs w:val="24"/>
        </w:rPr>
        <w:t xml:space="preserve"> </w:t>
      </w:r>
      <w:r w:rsidR="00FC1D31">
        <w:rPr>
          <w:rFonts w:ascii="Garamond" w:hAnsi="Garamond"/>
          <w:sz w:val="24"/>
          <w:szCs w:val="24"/>
        </w:rPr>
        <w:t xml:space="preserve">by </w:t>
      </w:r>
      <w:r w:rsidR="00A0126A" w:rsidRPr="00FC1D31">
        <w:rPr>
          <w:rFonts w:ascii="Garamond" w:hAnsi="Garamond"/>
          <w:sz w:val="24"/>
          <w:szCs w:val="24"/>
        </w:rPr>
        <w:t>including healthcare and technology innovation firms therein.</w:t>
      </w:r>
      <w:r w:rsidR="00D95A33" w:rsidRPr="00FC1D31">
        <w:rPr>
          <w:rStyle w:val="FootnoteReference"/>
          <w:rFonts w:ascii="Garamond" w:hAnsi="Garamond"/>
          <w:sz w:val="24"/>
          <w:szCs w:val="24"/>
        </w:rPr>
        <w:footnoteReference w:id="20"/>
      </w:r>
      <w:r w:rsidR="00A0126A" w:rsidRPr="00FC1D31">
        <w:rPr>
          <w:rFonts w:ascii="Garamond" w:hAnsi="Garamond"/>
          <w:sz w:val="24"/>
          <w:szCs w:val="24"/>
        </w:rPr>
        <w:t xml:space="preserve"> </w:t>
      </w:r>
      <w:r w:rsidR="00BE7FDF" w:rsidRPr="00FC1D31">
        <w:rPr>
          <w:rFonts w:ascii="Garamond" w:hAnsi="Garamond" w:cs="Arial"/>
          <w:sz w:val="24"/>
          <w:szCs w:val="24"/>
        </w:rPr>
        <w:t>For instance, on 25</w:t>
      </w:r>
      <w:r w:rsidR="00BE7FDF" w:rsidRPr="00FC1D31">
        <w:rPr>
          <w:rFonts w:ascii="Garamond" w:hAnsi="Garamond" w:cs="Arial"/>
          <w:sz w:val="24"/>
          <w:szCs w:val="24"/>
          <w:vertAlign w:val="superscript"/>
        </w:rPr>
        <w:t>th</w:t>
      </w:r>
      <w:r w:rsidR="00BE7FDF" w:rsidRPr="00FC1D31">
        <w:rPr>
          <w:rFonts w:ascii="Garamond" w:hAnsi="Garamond" w:cs="Arial"/>
          <w:sz w:val="24"/>
          <w:szCs w:val="24"/>
        </w:rPr>
        <w:t xml:space="preserve"> March 2020, the President of the EU Commission Ursula von der Leyen impelled Member States to make full use of existing national screening mechanisms and, to those Member States that had yet to establish a fully-fledged screening mechanism, to create them as a matter of urgency.</w:t>
      </w:r>
      <w:r w:rsidR="00BE7FDF" w:rsidRPr="00FC1D31">
        <w:rPr>
          <w:rStyle w:val="FootnoteReference"/>
          <w:rFonts w:ascii="Garamond" w:hAnsi="Garamond" w:cs="Arial"/>
          <w:sz w:val="24"/>
          <w:szCs w:val="24"/>
        </w:rPr>
        <w:footnoteReference w:id="21"/>
      </w:r>
      <w:r w:rsidR="00BE7FDF" w:rsidRPr="00FC1D31">
        <w:rPr>
          <w:rFonts w:ascii="Garamond" w:hAnsi="Garamond" w:cs="Arial"/>
          <w:sz w:val="24"/>
          <w:szCs w:val="24"/>
        </w:rPr>
        <w:t xml:space="preserve"> The Commission also warned that the crisis precipitated by the onset of the Covid-19 pandemic presented an increased risk of attempts by foreign investors to take over healthcare capacities or research establishments, including those involved in the development of vaccines.</w:t>
      </w:r>
      <w:r w:rsidR="00BE7FDF" w:rsidRPr="00FC1D31">
        <w:rPr>
          <w:rStyle w:val="FootnoteReference"/>
          <w:rFonts w:ascii="Garamond" w:hAnsi="Garamond" w:cs="Arial"/>
          <w:sz w:val="24"/>
          <w:szCs w:val="24"/>
        </w:rPr>
        <w:footnoteReference w:id="22"/>
      </w:r>
      <w:r w:rsidR="00BE7FDF" w:rsidRPr="00FC1D31">
        <w:rPr>
          <w:rFonts w:ascii="Garamond" w:hAnsi="Garamond" w:cs="Arial"/>
          <w:sz w:val="24"/>
          <w:szCs w:val="24"/>
        </w:rPr>
        <w:t xml:space="preserve"> </w:t>
      </w:r>
      <w:r w:rsidR="0099440A" w:rsidRPr="00FC1D31">
        <w:rPr>
          <w:rFonts w:ascii="Garamond" w:hAnsi="Garamond"/>
          <w:sz w:val="24"/>
          <w:szCs w:val="24"/>
        </w:rPr>
        <w:t>Tightening foreign investment controls as a response to a major public health crisis was something observed across the globe, and only highlighted the timeliness of the EU’s new regulatory framework.</w:t>
      </w:r>
      <w:r w:rsidR="00BE7FDF" w:rsidRPr="00FC1D31">
        <w:rPr>
          <w:rFonts w:ascii="Garamond" w:hAnsi="Garamond"/>
          <w:sz w:val="24"/>
          <w:szCs w:val="24"/>
        </w:rPr>
        <w:t xml:space="preserve"> </w:t>
      </w:r>
      <w:r w:rsidR="00171A56" w:rsidRPr="00FC1D31">
        <w:rPr>
          <w:rFonts w:ascii="Garamond" w:hAnsi="Garamond"/>
          <w:sz w:val="24"/>
          <w:szCs w:val="24"/>
        </w:rPr>
        <w:t>Altogether</w:t>
      </w:r>
      <w:r w:rsidR="00BE7FDF" w:rsidRPr="00FC1D31">
        <w:rPr>
          <w:rFonts w:ascii="Garamond" w:hAnsi="Garamond"/>
          <w:sz w:val="24"/>
          <w:szCs w:val="24"/>
        </w:rPr>
        <w:t>, the change</w:t>
      </w:r>
      <w:r w:rsidR="00171A56" w:rsidRPr="00FC1D31">
        <w:rPr>
          <w:rFonts w:ascii="Garamond" w:hAnsi="Garamond"/>
          <w:sz w:val="24"/>
          <w:szCs w:val="24"/>
        </w:rPr>
        <w:t>s</w:t>
      </w:r>
      <w:r w:rsidR="00BE7FDF" w:rsidRPr="00FC1D31">
        <w:rPr>
          <w:rFonts w:ascii="Garamond" w:hAnsi="Garamond"/>
          <w:sz w:val="24"/>
          <w:szCs w:val="24"/>
        </w:rPr>
        <w:t xml:space="preserve"> in the scope and intensity of screening </w:t>
      </w:r>
      <w:r w:rsidR="00171A56" w:rsidRPr="00FC1D31">
        <w:rPr>
          <w:rFonts w:ascii="Garamond" w:hAnsi="Garamond"/>
          <w:sz w:val="24"/>
          <w:szCs w:val="24"/>
        </w:rPr>
        <w:t>represent</w:t>
      </w:r>
      <w:r w:rsidR="00BE7FDF" w:rsidRPr="00FC1D31">
        <w:rPr>
          <w:rFonts w:ascii="Garamond" w:hAnsi="Garamond"/>
          <w:sz w:val="24"/>
          <w:szCs w:val="24"/>
        </w:rPr>
        <w:t xml:space="preserve"> a profound shift towards a different understanding of the role of foreign investment in society. </w:t>
      </w:r>
    </w:p>
    <w:p w14:paraId="0CB8678B" w14:textId="77777777" w:rsidR="0099440A" w:rsidRPr="00FC1D31" w:rsidRDefault="0099440A" w:rsidP="00EB0FC1">
      <w:pPr>
        <w:jc w:val="both"/>
        <w:rPr>
          <w:rFonts w:ascii="Garamond" w:hAnsi="Garamond" w:cs="Arial"/>
          <w:sz w:val="24"/>
          <w:szCs w:val="24"/>
        </w:rPr>
      </w:pPr>
    </w:p>
    <w:p w14:paraId="5CC49515" w14:textId="5F8B455F" w:rsidR="00300FD4" w:rsidRPr="00FC1D31" w:rsidRDefault="004C5299" w:rsidP="002646F7">
      <w:pPr>
        <w:pStyle w:val="ListParagraph"/>
        <w:numPr>
          <w:ilvl w:val="1"/>
          <w:numId w:val="3"/>
        </w:numPr>
        <w:jc w:val="both"/>
        <w:rPr>
          <w:rFonts w:ascii="Garamond" w:hAnsi="Garamond"/>
          <w:sz w:val="24"/>
          <w:szCs w:val="24"/>
        </w:rPr>
      </w:pPr>
      <w:r w:rsidRPr="00FC1D31">
        <w:rPr>
          <w:rFonts w:ascii="Garamond" w:hAnsi="Garamond" w:cs="Arial"/>
          <w:sz w:val="24"/>
          <w:szCs w:val="24"/>
        </w:rPr>
        <w:t>Forei</w:t>
      </w:r>
      <w:r w:rsidR="008A1FB7" w:rsidRPr="00FC1D31">
        <w:rPr>
          <w:rFonts w:ascii="Garamond" w:hAnsi="Garamond" w:cs="Arial"/>
          <w:sz w:val="24"/>
          <w:szCs w:val="24"/>
        </w:rPr>
        <w:t>g</w:t>
      </w:r>
      <w:r w:rsidRPr="00FC1D31">
        <w:rPr>
          <w:rFonts w:ascii="Garamond" w:hAnsi="Garamond" w:cs="Arial"/>
          <w:sz w:val="24"/>
          <w:szCs w:val="24"/>
        </w:rPr>
        <w:t>n investment subsidies</w:t>
      </w:r>
      <w:r w:rsidR="00A0126A" w:rsidRPr="00FC1D31">
        <w:rPr>
          <w:rFonts w:ascii="Garamond" w:hAnsi="Garamond" w:cs="Arial"/>
          <w:sz w:val="24"/>
          <w:szCs w:val="24"/>
        </w:rPr>
        <w:t xml:space="preserve">: </w:t>
      </w:r>
      <w:r w:rsidR="00501FA5">
        <w:rPr>
          <w:rFonts w:ascii="Garamond" w:hAnsi="Garamond" w:cs="Arial"/>
          <w:sz w:val="24"/>
          <w:szCs w:val="24"/>
        </w:rPr>
        <w:t xml:space="preserve">more scrutiny to </w:t>
      </w:r>
      <w:r w:rsidR="00A0126A" w:rsidRPr="00FC1D31">
        <w:rPr>
          <w:rFonts w:ascii="Garamond" w:hAnsi="Garamond" w:cs="Arial"/>
          <w:sz w:val="24"/>
          <w:szCs w:val="24"/>
        </w:rPr>
        <w:t>ensur</w:t>
      </w:r>
      <w:r w:rsidR="00501FA5">
        <w:rPr>
          <w:rFonts w:ascii="Garamond" w:hAnsi="Garamond" w:cs="Arial"/>
          <w:sz w:val="24"/>
          <w:szCs w:val="24"/>
        </w:rPr>
        <w:t>e</w:t>
      </w:r>
      <w:r w:rsidR="00A0126A" w:rsidRPr="00FC1D31">
        <w:rPr>
          <w:rFonts w:ascii="Garamond" w:hAnsi="Garamond" w:cs="Arial"/>
          <w:sz w:val="24"/>
          <w:szCs w:val="24"/>
        </w:rPr>
        <w:t xml:space="preserve"> a level-playing field</w:t>
      </w:r>
      <w:r w:rsidR="00501FA5">
        <w:rPr>
          <w:rFonts w:ascii="Garamond" w:hAnsi="Garamond" w:cs="Arial"/>
          <w:sz w:val="24"/>
          <w:szCs w:val="24"/>
        </w:rPr>
        <w:t>?</w:t>
      </w:r>
    </w:p>
    <w:p w14:paraId="555371C5" w14:textId="14F2D2B9" w:rsidR="004C5299" w:rsidRPr="00FC1D31" w:rsidRDefault="004C5299" w:rsidP="00EB0FC1">
      <w:pPr>
        <w:jc w:val="both"/>
        <w:rPr>
          <w:rFonts w:ascii="Garamond" w:hAnsi="Garamond" w:cs="Arial"/>
          <w:sz w:val="24"/>
          <w:szCs w:val="24"/>
        </w:rPr>
      </w:pPr>
    </w:p>
    <w:p w14:paraId="382FB0C3" w14:textId="65C0ECF3" w:rsidR="00B165F8" w:rsidRPr="00FC1D31" w:rsidRDefault="00E90BE9" w:rsidP="00EB0FC1">
      <w:pPr>
        <w:jc w:val="both"/>
        <w:rPr>
          <w:rFonts w:ascii="Garamond" w:hAnsi="Garamond" w:cs="Arial"/>
          <w:sz w:val="24"/>
          <w:szCs w:val="24"/>
        </w:rPr>
      </w:pPr>
      <w:r w:rsidRPr="00FC1D31">
        <w:rPr>
          <w:rFonts w:ascii="Garamond" w:hAnsi="Garamond" w:cs="Arial"/>
          <w:sz w:val="24"/>
          <w:szCs w:val="24"/>
        </w:rPr>
        <w:t xml:space="preserve">The EU FDI screening regulation is only one </w:t>
      </w:r>
      <w:r w:rsidR="00BD55B0" w:rsidRPr="00FC1D31">
        <w:rPr>
          <w:rFonts w:ascii="Garamond" w:hAnsi="Garamond" w:cs="Arial"/>
          <w:sz w:val="24"/>
          <w:szCs w:val="24"/>
        </w:rPr>
        <w:t xml:space="preserve">of the </w:t>
      </w:r>
      <w:r w:rsidRPr="00FC1D31">
        <w:rPr>
          <w:rFonts w:ascii="Garamond" w:hAnsi="Garamond" w:cs="Arial"/>
          <w:sz w:val="24"/>
          <w:szCs w:val="24"/>
        </w:rPr>
        <w:t>pillars the EU trade policy</w:t>
      </w:r>
      <w:r w:rsidR="00632FC7" w:rsidRPr="00FC1D31">
        <w:rPr>
          <w:rFonts w:ascii="Garamond" w:hAnsi="Garamond" w:cs="Arial"/>
          <w:sz w:val="24"/>
          <w:szCs w:val="24"/>
        </w:rPr>
        <w:t>,</w:t>
      </w:r>
      <w:r w:rsidRPr="00FC1D31">
        <w:rPr>
          <w:rFonts w:ascii="Garamond" w:hAnsi="Garamond" w:cs="Arial"/>
          <w:sz w:val="24"/>
          <w:szCs w:val="24"/>
        </w:rPr>
        <w:t xml:space="preserve"> reflecting </w:t>
      </w:r>
      <w:r w:rsidR="00BD55B0" w:rsidRPr="00FC1D31">
        <w:rPr>
          <w:rFonts w:ascii="Garamond" w:hAnsi="Garamond" w:cs="Arial"/>
          <w:sz w:val="24"/>
          <w:szCs w:val="24"/>
        </w:rPr>
        <w:t>the</w:t>
      </w:r>
      <w:r w:rsidRPr="00FC1D31">
        <w:rPr>
          <w:rFonts w:ascii="Garamond" w:hAnsi="Garamond" w:cs="Arial"/>
          <w:sz w:val="24"/>
          <w:szCs w:val="24"/>
        </w:rPr>
        <w:t xml:space="preserve"> move towards open strategic autonomy. </w:t>
      </w:r>
      <w:proofErr w:type="gramStart"/>
      <w:r w:rsidRPr="00FC1D31">
        <w:rPr>
          <w:rFonts w:ascii="Garamond" w:hAnsi="Garamond" w:cs="Arial"/>
          <w:sz w:val="24"/>
          <w:szCs w:val="24"/>
        </w:rPr>
        <w:t>In an effort to</w:t>
      </w:r>
      <w:proofErr w:type="gramEnd"/>
      <w:r w:rsidRPr="00FC1D31">
        <w:rPr>
          <w:rFonts w:ascii="Garamond" w:hAnsi="Garamond" w:cs="Arial"/>
          <w:sz w:val="24"/>
          <w:szCs w:val="24"/>
        </w:rPr>
        <w:t xml:space="preserve"> address risks and concerns posed by certain kinds of inward foreign investment, the Commission has</w:t>
      </w:r>
      <w:r w:rsidR="00BD55B0" w:rsidRPr="00FC1D31">
        <w:rPr>
          <w:rFonts w:ascii="Garamond" w:hAnsi="Garamond" w:cs="Arial"/>
          <w:sz w:val="24"/>
          <w:szCs w:val="24"/>
        </w:rPr>
        <w:t xml:space="preserve"> also</w:t>
      </w:r>
      <w:r w:rsidRPr="00FC1D31">
        <w:rPr>
          <w:rFonts w:ascii="Garamond" w:hAnsi="Garamond" w:cs="Arial"/>
          <w:sz w:val="24"/>
          <w:szCs w:val="24"/>
        </w:rPr>
        <w:t xml:space="preserve"> proposed a new set</w:t>
      </w:r>
      <w:r w:rsidR="008707FD" w:rsidRPr="00FC1D31">
        <w:rPr>
          <w:rFonts w:ascii="Garamond" w:hAnsi="Garamond" w:cs="Arial"/>
          <w:sz w:val="24"/>
          <w:szCs w:val="24"/>
        </w:rPr>
        <w:t xml:space="preserve"> of rules concerning foreign investment subsidies. </w:t>
      </w:r>
      <w:r w:rsidR="00BD55B0" w:rsidRPr="00FC1D31">
        <w:rPr>
          <w:rFonts w:ascii="Garamond" w:hAnsi="Garamond" w:cs="Arial"/>
          <w:sz w:val="24"/>
          <w:szCs w:val="24"/>
        </w:rPr>
        <w:t xml:space="preserve">The roots of the Commission’s thinking on foreign subsidies lie in the same developments that precipitated the creation of the new investment screening framework. </w:t>
      </w:r>
      <w:r w:rsidR="008707FD" w:rsidRPr="00FC1D31">
        <w:rPr>
          <w:rFonts w:ascii="Garamond" w:hAnsi="Garamond" w:cs="Arial"/>
          <w:sz w:val="24"/>
          <w:szCs w:val="24"/>
        </w:rPr>
        <w:t>Much of the political backlash over foreign investments from China, Russia and the Gulf states revolved around the detrimental impact of such investments on a level-playing field</w:t>
      </w:r>
      <w:r w:rsidR="008A1FB7" w:rsidRPr="00FC1D31">
        <w:rPr>
          <w:rFonts w:ascii="Garamond" w:hAnsi="Garamond" w:cs="Arial"/>
          <w:sz w:val="24"/>
          <w:szCs w:val="24"/>
        </w:rPr>
        <w:t xml:space="preserve"> for EU companies</w:t>
      </w:r>
      <w:r w:rsidR="008707FD" w:rsidRPr="00FC1D31">
        <w:rPr>
          <w:rFonts w:ascii="Garamond" w:hAnsi="Garamond" w:cs="Arial"/>
          <w:sz w:val="24"/>
          <w:szCs w:val="24"/>
        </w:rPr>
        <w:t xml:space="preserve">. As </w:t>
      </w:r>
      <w:proofErr w:type="spellStart"/>
      <w:r w:rsidR="008707FD" w:rsidRPr="00FC1D31">
        <w:rPr>
          <w:rFonts w:ascii="Garamond" w:hAnsi="Garamond" w:cs="Arial"/>
          <w:sz w:val="24"/>
          <w:szCs w:val="24"/>
        </w:rPr>
        <w:t>Sigmar</w:t>
      </w:r>
      <w:proofErr w:type="spellEnd"/>
      <w:r w:rsidR="008707FD" w:rsidRPr="00FC1D31">
        <w:rPr>
          <w:rFonts w:ascii="Garamond" w:hAnsi="Garamond" w:cs="Arial"/>
          <w:sz w:val="24"/>
          <w:szCs w:val="24"/>
        </w:rPr>
        <w:t xml:space="preserve"> Gabriel, then Vice Chancellor and Economy Minister of Germany put it in voicing his opposition to Chinese investments, ‘if you want to invest in other parts of the world, you can’t block those countries from investing in your own.’</w:t>
      </w:r>
      <w:r w:rsidR="008707FD" w:rsidRPr="00FC1D31">
        <w:rPr>
          <w:rStyle w:val="FootnoteReference"/>
          <w:rFonts w:ascii="Garamond" w:hAnsi="Garamond" w:cs="Arial"/>
          <w:sz w:val="24"/>
          <w:szCs w:val="24"/>
        </w:rPr>
        <w:footnoteReference w:id="23"/>
      </w:r>
      <w:r w:rsidR="008707FD" w:rsidRPr="00FC1D31">
        <w:rPr>
          <w:rFonts w:ascii="Garamond" w:hAnsi="Garamond" w:cs="Arial"/>
          <w:sz w:val="24"/>
          <w:szCs w:val="24"/>
        </w:rPr>
        <w:t xml:space="preserve"> The concern over lack of reciprocity was echoed by Gunther Oettinger,</w:t>
      </w:r>
      <w:r w:rsidR="008A1FB7" w:rsidRPr="00FC1D31">
        <w:rPr>
          <w:rFonts w:ascii="Garamond" w:hAnsi="Garamond" w:cs="Arial"/>
          <w:sz w:val="24"/>
          <w:szCs w:val="24"/>
        </w:rPr>
        <w:t xml:space="preserve"> then</w:t>
      </w:r>
      <w:r w:rsidR="008707FD" w:rsidRPr="00FC1D31">
        <w:rPr>
          <w:rFonts w:ascii="Garamond" w:hAnsi="Garamond" w:cs="Arial"/>
          <w:sz w:val="24"/>
          <w:szCs w:val="24"/>
        </w:rPr>
        <w:t xml:space="preserve"> EU </w:t>
      </w:r>
      <w:r w:rsidR="0093176D" w:rsidRPr="00FC1D31">
        <w:rPr>
          <w:rFonts w:ascii="Garamond" w:hAnsi="Garamond" w:cs="Arial"/>
          <w:sz w:val="24"/>
          <w:szCs w:val="24"/>
        </w:rPr>
        <w:t xml:space="preserve">Digital Economy Commissioner, </w:t>
      </w:r>
      <w:r w:rsidR="008A1FB7" w:rsidRPr="00FC1D31">
        <w:rPr>
          <w:rFonts w:ascii="Garamond" w:hAnsi="Garamond" w:cs="Arial"/>
          <w:sz w:val="24"/>
          <w:szCs w:val="24"/>
        </w:rPr>
        <w:t xml:space="preserve">who </w:t>
      </w:r>
      <w:r w:rsidR="00BB34BE" w:rsidRPr="00FC1D31">
        <w:rPr>
          <w:rFonts w:ascii="Garamond" w:hAnsi="Garamond" w:cs="Arial"/>
          <w:sz w:val="24"/>
          <w:szCs w:val="24"/>
        </w:rPr>
        <w:t>expressed</w:t>
      </w:r>
      <w:r w:rsidR="0093176D" w:rsidRPr="00FC1D31">
        <w:rPr>
          <w:rFonts w:ascii="Garamond" w:hAnsi="Garamond" w:cs="Arial"/>
          <w:sz w:val="24"/>
          <w:szCs w:val="24"/>
        </w:rPr>
        <w:t xml:space="preserve"> his consternation over the fact that ‘there are many countries, including…China, that make market access or corporate takeovers difficult or effectively impossible’</w:t>
      </w:r>
      <w:r w:rsidR="00047B61" w:rsidRPr="00FC1D31">
        <w:rPr>
          <w:rStyle w:val="FootnoteReference"/>
          <w:rFonts w:ascii="Garamond" w:hAnsi="Garamond" w:cs="Arial"/>
          <w:sz w:val="24"/>
          <w:szCs w:val="24"/>
        </w:rPr>
        <w:footnoteReference w:id="24"/>
      </w:r>
      <w:r w:rsidR="0093176D" w:rsidRPr="00FC1D31">
        <w:rPr>
          <w:rFonts w:ascii="Garamond" w:hAnsi="Garamond" w:cs="Arial"/>
          <w:sz w:val="24"/>
          <w:szCs w:val="24"/>
        </w:rPr>
        <w:t xml:space="preserve"> for EU companies.</w:t>
      </w:r>
      <w:r w:rsidR="00047B61" w:rsidRPr="00FC1D31">
        <w:rPr>
          <w:rFonts w:ascii="Garamond" w:hAnsi="Garamond" w:cs="Arial"/>
          <w:sz w:val="24"/>
          <w:szCs w:val="24"/>
        </w:rPr>
        <w:t xml:space="preserve"> This lack of reciprocity was exacerbated by the fact that a significant share of </w:t>
      </w:r>
      <w:r w:rsidR="008A1FB7" w:rsidRPr="00FC1D31">
        <w:rPr>
          <w:rFonts w:ascii="Garamond" w:hAnsi="Garamond" w:cs="Arial"/>
          <w:sz w:val="24"/>
          <w:szCs w:val="24"/>
        </w:rPr>
        <w:t xml:space="preserve">foreign </w:t>
      </w:r>
      <w:r w:rsidR="00047B61" w:rsidRPr="00FC1D31">
        <w:rPr>
          <w:rFonts w:ascii="Garamond" w:hAnsi="Garamond" w:cs="Arial"/>
          <w:sz w:val="24"/>
          <w:szCs w:val="24"/>
        </w:rPr>
        <w:t xml:space="preserve">investment </w:t>
      </w:r>
      <w:r w:rsidR="008A1FB7" w:rsidRPr="00FC1D31">
        <w:rPr>
          <w:rFonts w:ascii="Garamond" w:hAnsi="Garamond" w:cs="Arial"/>
          <w:sz w:val="24"/>
          <w:szCs w:val="24"/>
        </w:rPr>
        <w:t xml:space="preserve">into the EU </w:t>
      </w:r>
      <w:r w:rsidR="00047B61" w:rsidRPr="00FC1D31">
        <w:rPr>
          <w:rFonts w:ascii="Garamond" w:hAnsi="Garamond" w:cs="Arial"/>
          <w:sz w:val="24"/>
          <w:szCs w:val="24"/>
        </w:rPr>
        <w:t>came from state-owned enterprises.</w:t>
      </w:r>
      <w:r w:rsidR="00047B61" w:rsidRPr="00FC1D31">
        <w:rPr>
          <w:rStyle w:val="FootnoteReference"/>
          <w:rFonts w:ascii="Garamond" w:hAnsi="Garamond" w:cs="Arial"/>
          <w:sz w:val="24"/>
          <w:szCs w:val="24"/>
        </w:rPr>
        <w:footnoteReference w:id="25"/>
      </w:r>
      <w:r w:rsidR="00047B61" w:rsidRPr="00FC1D31">
        <w:rPr>
          <w:rFonts w:ascii="Garamond" w:hAnsi="Garamond" w:cs="Arial"/>
          <w:sz w:val="24"/>
          <w:szCs w:val="24"/>
        </w:rPr>
        <w:t xml:space="preserve"> Among other things, state support </w:t>
      </w:r>
      <w:r w:rsidR="008A1FB7" w:rsidRPr="00FC1D31">
        <w:rPr>
          <w:rFonts w:ascii="Garamond" w:hAnsi="Garamond" w:cs="Arial"/>
          <w:sz w:val="24"/>
          <w:szCs w:val="24"/>
        </w:rPr>
        <w:t>is</w:t>
      </w:r>
      <w:r w:rsidR="00047B61" w:rsidRPr="00FC1D31">
        <w:rPr>
          <w:rFonts w:ascii="Garamond" w:hAnsi="Garamond" w:cs="Arial"/>
          <w:sz w:val="24"/>
          <w:szCs w:val="24"/>
        </w:rPr>
        <w:t xml:space="preserve"> seen as </w:t>
      </w:r>
      <w:r w:rsidR="00921B5A" w:rsidRPr="00FC1D31">
        <w:rPr>
          <w:rFonts w:ascii="Garamond" w:hAnsi="Garamond" w:cs="Arial"/>
          <w:sz w:val="24"/>
          <w:szCs w:val="24"/>
        </w:rPr>
        <w:t xml:space="preserve">conferring </w:t>
      </w:r>
      <w:r w:rsidR="00047B61" w:rsidRPr="00FC1D31">
        <w:rPr>
          <w:rFonts w:ascii="Garamond" w:hAnsi="Garamond" w:cs="Arial"/>
          <w:sz w:val="24"/>
          <w:szCs w:val="24"/>
        </w:rPr>
        <w:t xml:space="preserve">considerable advantage </w:t>
      </w:r>
      <w:r w:rsidR="00921B5A" w:rsidRPr="00FC1D31">
        <w:rPr>
          <w:rFonts w:ascii="Garamond" w:hAnsi="Garamond" w:cs="Arial"/>
          <w:sz w:val="24"/>
          <w:szCs w:val="24"/>
        </w:rPr>
        <w:t xml:space="preserve">and </w:t>
      </w:r>
      <w:r w:rsidR="00047B61" w:rsidRPr="00FC1D31">
        <w:rPr>
          <w:rFonts w:ascii="Garamond" w:hAnsi="Garamond" w:cs="Arial"/>
          <w:sz w:val="24"/>
          <w:szCs w:val="24"/>
        </w:rPr>
        <w:t xml:space="preserve">enabling </w:t>
      </w:r>
      <w:r w:rsidR="000E0CCA" w:rsidRPr="00FC1D31">
        <w:rPr>
          <w:rFonts w:ascii="Garamond" w:hAnsi="Garamond" w:cs="Arial"/>
          <w:sz w:val="24"/>
          <w:szCs w:val="24"/>
        </w:rPr>
        <w:t xml:space="preserve">foreign </w:t>
      </w:r>
      <w:r w:rsidR="00047B61" w:rsidRPr="00FC1D31">
        <w:rPr>
          <w:rFonts w:ascii="Garamond" w:hAnsi="Garamond" w:cs="Arial"/>
          <w:sz w:val="24"/>
          <w:szCs w:val="24"/>
        </w:rPr>
        <w:t>state-owned investors to pay more than other domestic investors</w:t>
      </w:r>
      <w:r w:rsidR="00B165F8" w:rsidRPr="00FC1D31">
        <w:rPr>
          <w:rFonts w:ascii="Garamond" w:hAnsi="Garamond" w:cs="Arial"/>
          <w:sz w:val="24"/>
          <w:szCs w:val="24"/>
        </w:rPr>
        <w:t xml:space="preserve"> when buying stakes in European companies</w:t>
      </w:r>
      <w:r w:rsidR="00047B61" w:rsidRPr="00FC1D31">
        <w:rPr>
          <w:rFonts w:ascii="Garamond" w:hAnsi="Garamond" w:cs="Arial"/>
          <w:sz w:val="24"/>
          <w:szCs w:val="24"/>
        </w:rPr>
        <w:t>.</w:t>
      </w:r>
      <w:r w:rsidR="00047B61" w:rsidRPr="00FC1D31">
        <w:rPr>
          <w:rStyle w:val="FootnoteReference"/>
          <w:rFonts w:ascii="Garamond" w:hAnsi="Garamond" w:cs="Arial"/>
          <w:sz w:val="24"/>
          <w:szCs w:val="24"/>
        </w:rPr>
        <w:footnoteReference w:id="26"/>
      </w:r>
      <w:r w:rsidR="00B46265" w:rsidRPr="00FC1D31">
        <w:rPr>
          <w:rFonts w:ascii="Garamond" w:hAnsi="Garamond" w:cs="Arial"/>
          <w:sz w:val="24"/>
          <w:szCs w:val="24"/>
        </w:rPr>
        <w:t xml:space="preserve"> As a result of the combined effect of EU state aid rules and WTO disciplines on subsidies, foreign investors have long been able to buy European businesses with support from their own governments. By contrast, European firms do not enjoy the same advantage in their foreign acquisitions.</w:t>
      </w:r>
    </w:p>
    <w:p w14:paraId="7C44C6E4" w14:textId="50241604" w:rsidR="00B165F8" w:rsidRPr="00FC1D31" w:rsidRDefault="00B46265" w:rsidP="00EB0FC1">
      <w:pPr>
        <w:jc w:val="both"/>
        <w:rPr>
          <w:rFonts w:ascii="Garamond" w:hAnsi="Garamond"/>
          <w:sz w:val="24"/>
          <w:szCs w:val="24"/>
        </w:rPr>
      </w:pPr>
      <w:r w:rsidRPr="00FC1D31">
        <w:rPr>
          <w:rFonts w:ascii="Garamond" w:hAnsi="Garamond" w:cs="Arial"/>
          <w:sz w:val="24"/>
          <w:szCs w:val="24"/>
        </w:rPr>
        <w:t xml:space="preserve">The concern over detrimental effects of foreign investment subsidies on a level-playing field for European firms was so strong that the European Parliament’s resolution of 5 July 2017 urged the Commission to tackle </w:t>
      </w:r>
      <w:r w:rsidR="00D95A33" w:rsidRPr="00FC1D31">
        <w:rPr>
          <w:rFonts w:ascii="Garamond" w:hAnsi="Garamond" w:cs="Arial"/>
          <w:sz w:val="24"/>
          <w:szCs w:val="24"/>
        </w:rPr>
        <w:t xml:space="preserve">the </w:t>
      </w:r>
      <w:r w:rsidRPr="00FC1D31">
        <w:rPr>
          <w:rFonts w:ascii="Garamond" w:hAnsi="Garamond" w:cs="Arial"/>
          <w:sz w:val="24"/>
          <w:szCs w:val="24"/>
        </w:rPr>
        <w:t>subsidisation of foreign state-owned investors.</w:t>
      </w:r>
      <w:r w:rsidRPr="00FC1D31">
        <w:rPr>
          <w:rStyle w:val="FootnoteReference"/>
          <w:rFonts w:ascii="Garamond" w:hAnsi="Garamond" w:cs="Arial"/>
          <w:sz w:val="24"/>
          <w:szCs w:val="24"/>
        </w:rPr>
        <w:footnoteReference w:id="27"/>
      </w:r>
      <w:r w:rsidR="00832228" w:rsidRPr="00FC1D31">
        <w:rPr>
          <w:rFonts w:ascii="Garamond" w:hAnsi="Garamond" w:cs="Arial"/>
          <w:sz w:val="24"/>
          <w:szCs w:val="24"/>
        </w:rPr>
        <w:t xml:space="preserve"> The result is the </w:t>
      </w:r>
      <w:r w:rsidR="00830253" w:rsidRPr="00FC1D31">
        <w:rPr>
          <w:rFonts w:ascii="Garamond" w:hAnsi="Garamond" w:cs="Arial"/>
          <w:sz w:val="24"/>
          <w:szCs w:val="24"/>
        </w:rPr>
        <w:t xml:space="preserve">proposed </w:t>
      </w:r>
      <w:r w:rsidR="00832228" w:rsidRPr="00FC1D31">
        <w:rPr>
          <w:rFonts w:ascii="Garamond" w:hAnsi="Garamond" w:cs="Arial"/>
          <w:sz w:val="24"/>
          <w:szCs w:val="24"/>
        </w:rPr>
        <w:t xml:space="preserve">2022 EU Foreign Subsidies Regulation (FSR), a new legislative mechanism that </w:t>
      </w:r>
      <w:r w:rsidR="00830253" w:rsidRPr="00FC1D31">
        <w:rPr>
          <w:rFonts w:ascii="Garamond" w:hAnsi="Garamond" w:cs="Arial"/>
          <w:sz w:val="24"/>
          <w:szCs w:val="24"/>
        </w:rPr>
        <w:t xml:space="preserve">seeks to </w:t>
      </w:r>
      <w:r w:rsidR="00832228" w:rsidRPr="00FC1D31">
        <w:rPr>
          <w:rFonts w:ascii="Garamond" w:hAnsi="Garamond" w:cs="Arial"/>
          <w:sz w:val="24"/>
          <w:szCs w:val="24"/>
        </w:rPr>
        <w:t>empower the Commission to review investment transactions, including mergers and acquisitions, affected by foreign subsidies.</w:t>
      </w:r>
      <w:r w:rsidR="00A411F4" w:rsidRPr="00FC1D31">
        <w:rPr>
          <w:rStyle w:val="FootnoteReference"/>
          <w:rFonts w:ascii="Garamond" w:hAnsi="Garamond" w:cs="Arial"/>
          <w:sz w:val="24"/>
          <w:szCs w:val="24"/>
        </w:rPr>
        <w:footnoteReference w:id="28"/>
      </w:r>
      <w:r w:rsidR="00832228" w:rsidRPr="00FC1D31">
        <w:rPr>
          <w:rFonts w:ascii="Garamond" w:hAnsi="Garamond" w:cs="Arial"/>
          <w:sz w:val="24"/>
          <w:szCs w:val="24"/>
        </w:rPr>
        <w:t xml:space="preserve"> </w:t>
      </w:r>
      <w:r w:rsidR="00780ADA" w:rsidRPr="00FC1D31">
        <w:rPr>
          <w:rFonts w:ascii="Garamond" w:hAnsi="Garamond" w:cs="Arial"/>
          <w:sz w:val="24"/>
          <w:szCs w:val="24"/>
        </w:rPr>
        <w:t>Notably</w:t>
      </w:r>
      <w:r w:rsidR="00832228" w:rsidRPr="00FC1D31">
        <w:rPr>
          <w:rFonts w:ascii="Garamond" w:hAnsi="Garamond" w:cs="Arial"/>
          <w:sz w:val="24"/>
          <w:szCs w:val="24"/>
        </w:rPr>
        <w:t xml:space="preserve">, while apparently driven by the desire to prevent the distortion of the internal market and </w:t>
      </w:r>
      <w:r w:rsidR="00D95A33" w:rsidRPr="00FC1D31">
        <w:rPr>
          <w:rFonts w:ascii="Garamond" w:hAnsi="Garamond" w:cs="Arial"/>
          <w:sz w:val="24"/>
          <w:szCs w:val="24"/>
        </w:rPr>
        <w:t xml:space="preserve">to </w:t>
      </w:r>
      <w:r w:rsidR="00832228" w:rsidRPr="00FC1D31">
        <w:rPr>
          <w:rFonts w:ascii="Garamond" w:hAnsi="Garamond" w:cs="Arial"/>
          <w:sz w:val="24"/>
          <w:szCs w:val="24"/>
        </w:rPr>
        <w:t>ensur</w:t>
      </w:r>
      <w:r w:rsidR="00D95A33" w:rsidRPr="00FC1D31">
        <w:rPr>
          <w:rFonts w:ascii="Garamond" w:hAnsi="Garamond" w:cs="Arial"/>
          <w:sz w:val="24"/>
          <w:szCs w:val="24"/>
        </w:rPr>
        <w:t>e</w:t>
      </w:r>
      <w:r w:rsidR="00832228" w:rsidRPr="00FC1D31">
        <w:rPr>
          <w:rFonts w:ascii="Garamond" w:hAnsi="Garamond" w:cs="Arial"/>
          <w:sz w:val="24"/>
          <w:szCs w:val="24"/>
        </w:rPr>
        <w:t xml:space="preserve"> the level-playing field</w:t>
      </w:r>
      <w:r w:rsidR="000E3CE9" w:rsidRPr="00FC1D31">
        <w:rPr>
          <w:rFonts w:ascii="Garamond" w:hAnsi="Garamond" w:cs="Arial"/>
          <w:sz w:val="24"/>
          <w:szCs w:val="24"/>
        </w:rPr>
        <w:t xml:space="preserve"> across all economic sectors</w:t>
      </w:r>
      <w:r w:rsidR="00832228" w:rsidRPr="00FC1D31">
        <w:rPr>
          <w:rFonts w:ascii="Garamond" w:hAnsi="Garamond" w:cs="Arial"/>
          <w:sz w:val="24"/>
          <w:szCs w:val="24"/>
        </w:rPr>
        <w:t xml:space="preserve">, the </w:t>
      </w:r>
      <w:r w:rsidR="00BE7FDF" w:rsidRPr="00FC1D31">
        <w:rPr>
          <w:rFonts w:ascii="Garamond" w:hAnsi="Garamond" w:cs="Arial"/>
          <w:sz w:val="24"/>
          <w:szCs w:val="24"/>
        </w:rPr>
        <w:t xml:space="preserve">proposed regulation </w:t>
      </w:r>
      <w:r w:rsidR="00832228" w:rsidRPr="00FC1D31">
        <w:rPr>
          <w:rFonts w:ascii="Garamond" w:hAnsi="Garamond" w:cs="Arial"/>
          <w:sz w:val="24"/>
          <w:szCs w:val="24"/>
        </w:rPr>
        <w:t xml:space="preserve">makes reference to </w:t>
      </w:r>
      <w:r w:rsidR="000E3CE9" w:rsidRPr="00FC1D31">
        <w:rPr>
          <w:rFonts w:ascii="Garamond" w:hAnsi="Garamond" w:cs="Arial"/>
          <w:sz w:val="24"/>
          <w:szCs w:val="24"/>
        </w:rPr>
        <w:t xml:space="preserve">the need to </w:t>
      </w:r>
      <w:r w:rsidR="00830253" w:rsidRPr="00FC1D31">
        <w:rPr>
          <w:rFonts w:ascii="Garamond" w:hAnsi="Garamond" w:cs="Arial"/>
          <w:sz w:val="24"/>
          <w:szCs w:val="24"/>
        </w:rPr>
        <w:t xml:space="preserve">also </w:t>
      </w:r>
      <w:r w:rsidR="000E3CE9" w:rsidRPr="00FC1D31">
        <w:rPr>
          <w:rFonts w:ascii="Garamond" w:hAnsi="Garamond" w:cs="Arial"/>
          <w:sz w:val="24"/>
          <w:szCs w:val="24"/>
        </w:rPr>
        <w:t xml:space="preserve">scrutinise foreign investment in </w:t>
      </w:r>
      <w:r w:rsidR="000E3CE9" w:rsidRPr="00FC1D31">
        <w:rPr>
          <w:rFonts w:ascii="Garamond" w:hAnsi="Garamond"/>
          <w:sz w:val="24"/>
          <w:szCs w:val="24"/>
        </w:rPr>
        <w:t>strategic assets such as critical infrastructure and innovative technologies</w:t>
      </w:r>
      <w:r w:rsidR="00D95A33" w:rsidRPr="00FC1D31">
        <w:rPr>
          <w:rFonts w:ascii="Garamond" w:hAnsi="Garamond"/>
          <w:sz w:val="24"/>
          <w:szCs w:val="24"/>
        </w:rPr>
        <w:t>.</w:t>
      </w:r>
      <w:r w:rsidR="00BE7FDF" w:rsidRPr="00FC1D31">
        <w:rPr>
          <w:rStyle w:val="FootnoteReference"/>
          <w:rFonts w:ascii="Garamond" w:hAnsi="Garamond"/>
          <w:sz w:val="24"/>
          <w:szCs w:val="24"/>
        </w:rPr>
        <w:footnoteReference w:id="29"/>
      </w:r>
      <w:r w:rsidR="00D95A33" w:rsidRPr="00FC1D31">
        <w:rPr>
          <w:rFonts w:ascii="Garamond" w:hAnsi="Garamond"/>
          <w:sz w:val="24"/>
          <w:szCs w:val="24"/>
        </w:rPr>
        <w:t xml:space="preserve"> This highlights the way in which the EU’s approach to investment subsidisation complements and reinforces its approach to FDI screening. It is also evident that </w:t>
      </w:r>
      <w:r w:rsidR="000E3CE9" w:rsidRPr="00FC1D31">
        <w:rPr>
          <w:rFonts w:ascii="Garamond" w:hAnsi="Garamond"/>
          <w:sz w:val="24"/>
          <w:szCs w:val="24"/>
        </w:rPr>
        <w:t>the</w:t>
      </w:r>
      <w:r w:rsidR="00D95A33" w:rsidRPr="00FC1D31">
        <w:rPr>
          <w:rFonts w:ascii="Garamond" w:hAnsi="Garamond"/>
          <w:sz w:val="24"/>
          <w:szCs w:val="24"/>
        </w:rPr>
        <w:t xml:space="preserve"> </w:t>
      </w:r>
      <w:r w:rsidR="00830253" w:rsidRPr="00FC1D31">
        <w:rPr>
          <w:rFonts w:ascii="Garamond" w:hAnsi="Garamond"/>
          <w:sz w:val="24"/>
          <w:szCs w:val="24"/>
        </w:rPr>
        <w:t xml:space="preserve">draft </w:t>
      </w:r>
      <w:r w:rsidR="00D95A33" w:rsidRPr="00FC1D31">
        <w:rPr>
          <w:rFonts w:ascii="Garamond" w:hAnsi="Garamond"/>
          <w:sz w:val="24"/>
          <w:szCs w:val="24"/>
        </w:rPr>
        <w:t>Foreign Subsidies Regulation shares some of its origins with the</w:t>
      </w:r>
      <w:r w:rsidR="000E3CE9" w:rsidRPr="00FC1D31">
        <w:rPr>
          <w:rFonts w:ascii="Garamond" w:hAnsi="Garamond"/>
          <w:sz w:val="24"/>
          <w:szCs w:val="24"/>
        </w:rPr>
        <w:t xml:space="preserve"> FDI screening framework.</w:t>
      </w:r>
      <w:r w:rsidR="00B165F8" w:rsidRPr="00FC1D31">
        <w:rPr>
          <w:rFonts w:ascii="Garamond" w:hAnsi="Garamond"/>
          <w:sz w:val="24"/>
          <w:szCs w:val="24"/>
        </w:rPr>
        <w:t xml:space="preserve"> Echoing the same foundational concerns </w:t>
      </w:r>
      <w:r w:rsidR="0017081B" w:rsidRPr="00FC1D31">
        <w:rPr>
          <w:rFonts w:ascii="Garamond" w:hAnsi="Garamond"/>
          <w:sz w:val="24"/>
          <w:szCs w:val="24"/>
        </w:rPr>
        <w:t>over the loss of market leadership</w:t>
      </w:r>
      <w:r w:rsidR="00BE7FDF" w:rsidRPr="00FC1D31">
        <w:rPr>
          <w:rFonts w:ascii="Garamond" w:hAnsi="Garamond"/>
          <w:sz w:val="24"/>
          <w:szCs w:val="24"/>
        </w:rPr>
        <w:t xml:space="preserve"> and competitiveness</w:t>
      </w:r>
      <w:r w:rsidR="0017081B" w:rsidRPr="00FC1D31">
        <w:rPr>
          <w:rFonts w:ascii="Garamond" w:hAnsi="Garamond"/>
          <w:sz w:val="24"/>
          <w:szCs w:val="24"/>
        </w:rPr>
        <w:t xml:space="preserve"> </w:t>
      </w:r>
      <w:r w:rsidR="00B165F8" w:rsidRPr="00FC1D31">
        <w:rPr>
          <w:rFonts w:ascii="Garamond" w:hAnsi="Garamond"/>
          <w:sz w:val="24"/>
          <w:szCs w:val="24"/>
        </w:rPr>
        <w:t>that lay behind the move towards tighter screening of foreign investment, the Commission’s White Paper</w:t>
      </w:r>
      <w:r w:rsidR="0017081B" w:rsidRPr="00FC1D31">
        <w:rPr>
          <w:rFonts w:ascii="Garamond" w:hAnsi="Garamond"/>
          <w:sz w:val="24"/>
          <w:szCs w:val="24"/>
        </w:rPr>
        <w:t xml:space="preserve"> stressed the importance of tackling ‘state </w:t>
      </w:r>
      <w:r w:rsidR="0017081B" w:rsidRPr="00FC1D31">
        <w:rPr>
          <w:rFonts w:ascii="Garamond" w:hAnsi="Garamond"/>
          <w:sz w:val="24"/>
          <w:szCs w:val="24"/>
        </w:rPr>
        <w:lastRenderedPageBreak/>
        <w:t>sponsored unfair trading practices, which disregard market forces and abuse existing international rules, with a view to building up dominance across various sectors of economic activity.’</w:t>
      </w:r>
      <w:r w:rsidR="0017081B" w:rsidRPr="00FC1D31">
        <w:rPr>
          <w:rStyle w:val="FootnoteReference"/>
          <w:rFonts w:ascii="Garamond" w:hAnsi="Garamond"/>
          <w:sz w:val="24"/>
          <w:szCs w:val="24"/>
        </w:rPr>
        <w:footnoteReference w:id="30"/>
      </w:r>
    </w:p>
    <w:p w14:paraId="117AF53F" w14:textId="68276159" w:rsidR="00422820" w:rsidRPr="00FC1D31" w:rsidRDefault="00B165F8" w:rsidP="00EB0FC1">
      <w:pPr>
        <w:jc w:val="both"/>
        <w:rPr>
          <w:rFonts w:ascii="Garamond" w:hAnsi="Garamond"/>
          <w:sz w:val="24"/>
          <w:szCs w:val="24"/>
        </w:rPr>
      </w:pPr>
      <w:r w:rsidRPr="00FC1D31">
        <w:rPr>
          <w:rFonts w:ascii="Garamond" w:hAnsi="Garamond"/>
          <w:sz w:val="24"/>
          <w:szCs w:val="24"/>
        </w:rPr>
        <w:t xml:space="preserve">Yet compared with </w:t>
      </w:r>
      <w:r w:rsidR="004623DC" w:rsidRPr="00FC1D31">
        <w:rPr>
          <w:rFonts w:ascii="Garamond" w:hAnsi="Garamond"/>
          <w:sz w:val="24"/>
          <w:szCs w:val="24"/>
        </w:rPr>
        <w:t>the new FDI screening framework</w:t>
      </w:r>
      <w:r w:rsidRPr="00FC1D31">
        <w:rPr>
          <w:rFonts w:ascii="Garamond" w:hAnsi="Garamond"/>
          <w:sz w:val="24"/>
          <w:szCs w:val="24"/>
        </w:rPr>
        <w:t>, the Foreign Subsidies Regulation reaches further and deeper in its effort to</w:t>
      </w:r>
      <w:r w:rsidR="0017081B" w:rsidRPr="00FC1D31">
        <w:rPr>
          <w:rFonts w:ascii="Garamond" w:hAnsi="Garamond"/>
          <w:sz w:val="24"/>
          <w:szCs w:val="24"/>
        </w:rPr>
        <w:t xml:space="preserve"> institute new and effective</w:t>
      </w:r>
      <w:r w:rsidRPr="00FC1D31">
        <w:rPr>
          <w:rFonts w:ascii="Garamond" w:hAnsi="Garamond"/>
          <w:sz w:val="24"/>
          <w:szCs w:val="24"/>
        </w:rPr>
        <w:t xml:space="preserve"> control</w:t>
      </w:r>
      <w:r w:rsidR="0017081B" w:rsidRPr="00FC1D31">
        <w:rPr>
          <w:rFonts w:ascii="Garamond" w:hAnsi="Garamond"/>
          <w:sz w:val="24"/>
          <w:szCs w:val="24"/>
        </w:rPr>
        <w:t>s on</w:t>
      </w:r>
      <w:r w:rsidRPr="00FC1D31">
        <w:rPr>
          <w:rFonts w:ascii="Garamond" w:hAnsi="Garamond"/>
          <w:sz w:val="24"/>
          <w:szCs w:val="24"/>
        </w:rPr>
        <w:t xml:space="preserve"> inward foreign investment in the EU.</w:t>
      </w:r>
      <w:r w:rsidR="0017081B" w:rsidRPr="00FC1D31">
        <w:rPr>
          <w:rFonts w:ascii="Garamond" w:hAnsi="Garamond"/>
          <w:sz w:val="24"/>
          <w:szCs w:val="24"/>
        </w:rPr>
        <w:t xml:space="preserve"> </w:t>
      </w:r>
      <w:r w:rsidR="00C451AD" w:rsidRPr="00FC1D31">
        <w:rPr>
          <w:rFonts w:ascii="Garamond" w:hAnsi="Garamond"/>
          <w:sz w:val="24"/>
          <w:szCs w:val="24"/>
        </w:rPr>
        <w:t xml:space="preserve">Closer analysis of the scope of new monitoring and investigative powers </w:t>
      </w:r>
      <w:r w:rsidR="00FC1D31">
        <w:rPr>
          <w:rFonts w:ascii="Garamond" w:hAnsi="Garamond"/>
          <w:sz w:val="24"/>
          <w:szCs w:val="24"/>
        </w:rPr>
        <w:t xml:space="preserve">to be </w:t>
      </w:r>
      <w:r w:rsidR="00C451AD" w:rsidRPr="00FC1D31">
        <w:rPr>
          <w:rFonts w:ascii="Garamond" w:hAnsi="Garamond"/>
          <w:sz w:val="24"/>
          <w:szCs w:val="24"/>
        </w:rPr>
        <w:t>vested in the Commission shows that t</w:t>
      </w:r>
      <w:r w:rsidR="0017081B" w:rsidRPr="00FC1D31">
        <w:rPr>
          <w:rFonts w:ascii="Garamond" w:hAnsi="Garamond"/>
          <w:sz w:val="24"/>
          <w:szCs w:val="24"/>
        </w:rPr>
        <w:t>he regulation creates what is effectively another screening instrument, but this time</w:t>
      </w:r>
      <w:r w:rsidR="00D95A33" w:rsidRPr="00FC1D31">
        <w:rPr>
          <w:rFonts w:ascii="Garamond" w:hAnsi="Garamond"/>
          <w:sz w:val="24"/>
          <w:szCs w:val="24"/>
        </w:rPr>
        <w:t xml:space="preserve"> it focuses</w:t>
      </w:r>
      <w:r w:rsidR="0017081B" w:rsidRPr="00FC1D31">
        <w:rPr>
          <w:rFonts w:ascii="Garamond" w:hAnsi="Garamond"/>
          <w:sz w:val="24"/>
          <w:szCs w:val="24"/>
        </w:rPr>
        <w:t xml:space="preserve"> exclusively on mergers and acquisitions. I</w:t>
      </w:r>
      <w:r w:rsidR="00830253" w:rsidRPr="00FC1D31">
        <w:rPr>
          <w:rFonts w:ascii="Garamond" w:hAnsi="Garamond"/>
          <w:sz w:val="24"/>
          <w:szCs w:val="24"/>
        </w:rPr>
        <w:t xml:space="preserve">f adopted, </w:t>
      </w:r>
      <w:r w:rsidR="0017081B" w:rsidRPr="00FC1D31">
        <w:rPr>
          <w:rFonts w:ascii="Garamond" w:hAnsi="Garamond"/>
          <w:sz w:val="24"/>
          <w:szCs w:val="24"/>
        </w:rPr>
        <w:t>t</w:t>
      </w:r>
      <w:r w:rsidR="00830253" w:rsidRPr="00FC1D31">
        <w:rPr>
          <w:rFonts w:ascii="Garamond" w:hAnsi="Garamond"/>
          <w:sz w:val="24"/>
          <w:szCs w:val="24"/>
        </w:rPr>
        <w:t>he new mechanism will</w:t>
      </w:r>
      <w:r w:rsidR="0017081B" w:rsidRPr="00FC1D31">
        <w:rPr>
          <w:rFonts w:ascii="Garamond" w:hAnsi="Garamond"/>
          <w:sz w:val="24"/>
          <w:szCs w:val="24"/>
        </w:rPr>
        <w:t xml:space="preserve"> empower the Commission to investigate foreign businesses suspected </w:t>
      </w:r>
      <w:r w:rsidR="004623DC" w:rsidRPr="00FC1D31">
        <w:rPr>
          <w:rFonts w:ascii="Garamond" w:hAnsi="Garamond"/>
          <w:sz w:val="24"/>
          <w:szCs w:val="24"/>
        </w:rPr>
        <w:t>of</w:t>
      </w:r>
      <w:r w:rsidR="0017081B" w:rsidRPr="00FC1D31">
        <w:rPr>
          <w:rFonts w:ascii="Garamond" w:hAnsi="Garamond"/>
          <w:sz w:val="24"/>
          <w:szCs w:val="24"/>
        </w:rPr>
        <w:t xml:space="preserve"> being supported with subsidies when investing in the EU and thus</w:t>
      </w:r>
      <w:r w:rsidR="006D5599" w:rsidRPr="00FC1D31">
        <w:rPr>
          <w:rFonts w:ascii="Garamond" w:hAnsi="Garamond"/>
          <w:sz w:val="24"/>
          <w:szCs w:val="24"/>
        </w:rPr>
        <w:t xml:space="preserve"> contributing to the</w:t>
      </w:r>
      <w:r w:rsidR="0017081B" w:rsidRPr="00FC1D31">
        <w:rPr>
          <w:rFonts w:ascii="Garamond" w:hAnsi="Garamond"/>
          <w:sz w:val="24"/>
          <w:szCs w:val="24"/>
        </w:rPr>
        <w:t xml:space="preserve"> distorti</w:t>
      </w:r>
      <w:r w:rsidR="006D5599" w:rsidRPr="00FC1D31">
        <w:rPr>
          <w:rFonts w:ascii="Garamond" w:hAnsi="Garamond"/>
          <w:sz w:val="24"/>
          <w:szCs w:val="24"/>
        </w:rPr>
        <w:t>on of</w:t>
      </w:r>
      <w:r w:rsidR="0017081B" w:rsidRPr="00FC1D31">
        <w:rPr>
          <w:rFonts w:ascii="Garamond" w:hAnsi="Garamond"/>
          <w:sz w:val="24"/>
          <w:szCs w:val="24"/>
        </w:rPr>
        <w:t xml:space="preserve"> the level-playing field. Foreign investors wishing to acquire a stake in a European business </w:t>
      </w:r>
      <w:r w:rsidR="00A32195" w:rsidRPr="00FC1D31">
        <w:rPr>
          <w:rFonts w:ascii="Garamond" w:hAnsi="Garamond"/>
          <w:sz w:val="24"/>
          <w:szCs w:val="24"/>
        </w:rPr>
        <w:t xml:space="preserve">or seeking to participate in a public procurement procedure in the Union </w:t>
      </w:r>
      <w:r w:rsidR="0017081B" w:rsidRPr="00FC1D31">
        <w:rPr>
          <w:rFonts w:ascii="Garamond" w:hAnsi="Garamond"/>
          <w:sz w:val="24"/>
          <w:szCs w:val="24"/>
        </w:rPr>
        <w:t>would be subject to checks</w:t>
      </w:r>
      <w:r w:rsidR="008A1FB7" w:rsidRPr="00FC1D31">
        <w:rPr>
          <w:rFonts w:ascii="Garamond" w:hAnsi="Garamond"/>
          <w:sz w:val="24"/>
          <w:szCs w:val="24"/>
        </w:rPr>
        <w:t xml:space="preserve"> and notification requirements</w:t>
      </w:r>
      <w:r w:rsidR="0017081B" w:rsidRPr="00FC1D31">
        <w:rPr>
          <w:rFonts w:ascii="Garamond" w:hAnsi="Garamond"/>
          <w:sz w:val="24"/>
          <w:szCs w:val="24"/>
        </w:rPr>
        <w:t xml:space="preserve"> to ascertain whether they are using subsidies in financing </w:t>
      </w:r>
      <w:r w:rsidR="006D5599" w:rsidRPr="00FC1D31">
        <w:rPr>
          <w:rFonts w:ascii="Garamond" w:hAnsi="Garamond"/>
          <w:sz w:val="24"/>
          <w:szCs w:val="24"/>
        </w:rPr>
        <w:t>these</w:t>
      </w:r>
      <w:r w:rsidR="0017081B" w:rsidRPr="00FC1D31">
        <w:rPr>
          <w:rFonts w:ascii="Garamond" w:hAnsi="Garamond"/>
          <w:sz w:val="24"/>
          <w:szCs w:val="24"/>
        </w:rPr>
        <w:t xml:space="preserve"> </w:t>
      </w:r>
      <w:r w:rsidR="00A32195" w:rsidRPr="00FC1D31">
        <w:rPr>
          <w:rFonts w:ascii="Garamond" w:hAnsi="Garamond"/>
          <w:sz w:val="24"/>
          <w:szCs w:val="24"/>
        </w:rPr>
        <w:t>deals</w:t>
      </w:r>
      <w:r w:rsidR="0017081B" w:rsidRPr="00FC1D31">
        <w:rPr>
          <w:rFonts w:ascii="Garamond" w:hAnsi="Garamond"/>
          <w:sz w:val="24"/>
          <w:szCs w:val="24"/>
        </w:rPr>
        <w:t>.</w:t>
      </w:r>
      <w:r w:rsidR="00A32195" w:rsidRPr="00FC1D31">
        <w:rPr>
          <w:rFonts w:ascii="Garamond" w:hAnsi="Garamond"/>
          <w:sz w:val="24"/>
          <w:szCs w:val="24"/>
        </w:rPr>
        <w:t xml:space="preserve"> If </w:t>
      </w:r>
      <w:r w:rsidR="006D5599" w:rsidRPr="00FC1D31">
        <w:rPr>
          <w:rFonts w:ascii="Garamond" w:hAnsi="Garamond"/>
          <w:sz w:val="24"/>
          <w:szCs w:val="24"/>
        </w:rPr>
        <w:t xml:space="preserve">it is </w:t>
      </w:r>
      <w:r w:rsidR="00A32195" w:rsidRPr="00FC1D31">
        <w:rPr>
          <w:rFonts w:ascii="Garamond" w:hAnsi="Garamond"/>
          <w:sz w:val="24"/>
          <w:szCs w:val="24"/>
        </w:rPr>
        <w:t xml:space="preserve">found that foreign investors are using subsidies, the Commission will have recourse to a broad </w:t>
      </w:r>
      <w:r w:rsidR="008D7CAB" w:rsidRPr="00FC1D31">
        <w:rPr>
          <w:rFonts w:ascii="Garamond" w:hAnsi="Garamond"/>
          <w:sz w:val="24"/>
          <w:szCs w:val="24"/>
        </w:rPr>
        <w:t>spectrum</w:t>
      </w:r>
      <w:r w:rsidR="00A32195" w:rsidRPr="00FC1D31">
        <w:rPr>
          <w:rFonts w:ascii="Garamond" w:hAnsi="Garamond"/>
          <w:sz w:val="24"/>
          <w:szCs w:val="24"/>
        </w:rPr>
        <w:t xml:space="preserve"> of </w:t>
      </w:r>
      <w:r w:rsidR="008D7CAB" w:rsidRPr="00FC1D31">
        <w:rPr>
          <w:rFonts w:ascii="Garamond" w:hAnsi="Garamond"/>
          <w:sz w:val="24"/>
          <w:szCs w:val="24"/>
        </w:rPr>
        <w:t>remedies</w:t>
      </w:r>
      <w:r w:rsidR="00A32195" w:rsidRPr="00FC1D31">
        <w:rPr>
          <w:rFonts w:ascii="Garamond" w:hAnsi="Garamond"/>
          <w:sz w:val="24"/>
          <w:szCs w:val="24"/>
        </w:rPr>
        <w:t xml:space="preserve"> to address the distortive effect of such subsidies, </w:t>
      </w:r>
      <w:r w:rsidR="008D7CAB" w:rsidRPr="00FC1D31">
        <w:rPr>
          <w:rFonts w:ascii="Garamond" w:hAnsi="Garamond"/>
          <w:sz w:val="24"/>
          <w:szCs w:val="24"/>
        </w:rPr>
        <w:t xml:space="preserve">ranging </w:t>
      </w:r>
      <w:r w:rsidR="00A32195" w:rsidRPr="00FC1D31">
        <w:rPr>
          <w:rFonts w:ascii="Garamond" w:hAnsi="Garamond"/>
          <w:sz w:val="24"/>
          <w:szCs w:val="24"/>
        </w:rPr>
        <w:t>from blocking the transaction to demanding the repayment of a subsidy, a temporary commercial activity restriction</w:t>
      </w:r>
      <w:r w:rsidR="008D7CAB" w:rsidRPr="00FC1D31">
        <w:rPr>
          <w:rFonts w:ascii="Garamond" w:hAnsi="Garamond"/>
          <w:sz w:val="24"/>
          <w:szCs w:val="24"/>
        </w:rPr>
        <w:t>, and divestment.</w:t>
      </w:r>
      <w:r w:rsidR="008D7CAB" w:rsidRPr="00FC1D31">
        <w:rPr>
          <w:rStyle w:val="FootnoteReference"/>
          <w:rFonts w:ascii="Garamond" w:hAnsi="Garamond"/>
          <w:sz w:val="24"/>
          <w:szCs w:val="24"/>
        </w:rPr>
        <w:footnoteReference w:id="31"/>
      </w:r>
    </w:p>
    <w:p w14:paraId="727E8293" w14:textId="45BFA46E" w:rsidR="00E80548" w:rsidRPr="00FC1D31" w:rsidRDefault="00FB5085" w:rsidP="00EB0FC1">
      <w:pPr>
        <w:jc w:val="both"/>
        <w:rPr>
          <w:rFonts w:ascii="Garamond" w:hAnsi="Garamond"/>
          <w:sz w:val="24"/>
          <w:szCs w:val="24"/>
        </w:rPr>
      </w:pPr>
      <w:r w:rsidRPr="00FC1D31">
        <w:rPr>
          <w:rFonts w:ascii="Garamond" w:hAnsi="Garamond" w:cs="Arial"/>
          <w:sz w:val="24"/>
          <w:szCs w:val="24"/>
        </w:rPr>
        <w:t>An in-depth analysis of the</w:t>
      </w:r>
      <w:r w:rsidR="00830253" w:rsidRPr="00FC1D31">
        <w:rPr>
          <w:rFonts w:ascii="Garamond" w:hAnsi="Garamond" w:cs="Arial"/>
          <w:sz w:val="24"/>
          <w:szCs w:val="24"/>
        </w:rPr>
        <w:t xml:space="preserve"> proposed</w:t>
      </w:r>
      <w:r w:rsidRPr="00FC1D31">
        <w:rPr>
          <w:rFonts w:ascii="Garamond" w:hAnsi="Garamond" w:cs="Arial"/>
          <w:sz w:val="24"/>
          <w:szCs w:val="24"/>
        </w:rPr>
        <w:t xml:space="preserve"> text also reveals that, in</w:t>
      </w:r>
      <w:r w:rsidR="00422820" w:rsidRPr="00FC1D31">
        <w:rPr>
          <w:rFonts w:ascii="Garamond" w:hAnsi="Garamond" w:cs="Arial"/>
          <w:sz w:val="24"/>
          <w:szCs w:val="24"/>
        </w:rPr>
        <w:t xml:space="preserve"> addition to granting the Commission n</w:t>
      </w:r>
      <w:r w:rsidR="009442A1" w:rsidRPr="00FC1D31">
        <w:rPr>
          <w:rFonts w:ascii="Garamond" w:hAnsi="Garamond" w:cs="Arial"/>
          <w:sz w:val="24"/>
          <w:szCs w:val="24"/>
        </w:rPr>
        <w:t>ovel</w:t>
      </w:r>
      <w:r w:rsidR="00422820" w:rsidRPr="00FC1D31">
        <w:rPr>
          <w:rFonts w:ascii="Garamond" w:hAnsi="Garamond" w:cs="Arial"/>
          <w:sz w:val="24"/>
          <w:szCs w:val="24"/>
        </w:rPr>
        <w:t xml:space="preserve"> and substantive powers</w:t>
      </w:r>
      <w:r w:rsidR="009442A1" w:rsidRPr="00FC1D31">
        <w:rPr>
          <w:rFonts w:ascii="Garamond" w:hAnsi="Garamond" w:cs="Arial"/>
          <w:sz w:val="24"/>
          <w:szCs w:val="24"/>
        </w:rPr>
        <w:t xml:space="preserve"> vis-à-vis foreign investors, the </w:t>
      </w:r>
      <w:r w:rsidR="00830253" w:rsidRPr="00FC1D31">
        <w:rPr>
          <w:rFonts w:ascii="Garamond" w:hAnsi="Garamond" w:cs="Arial"/>
          <w:sz w:val="24"/>
          <w:szCs w:val="24"/>
        </w:rPr>
        <w:t xml:space="preserve">draft </w:t>
      </w:r>
      <w:r w:rsidR="009442A1" w:rsidRPr="00FC1D31">
        <w:rPr>
          <w:rFonts w:ascii="Garamond" w:hAnsi="Garamond" w:cs="Arial"/>
          <w:sz w:val="24"/>
          <w:szCs w:val="24"/>
        </w:rPr>
        <w:t xml:space="preserve">Foreign Subsidies Regulation seeks to address </w:t>
      </w:r>
      <w:r w:rsidR="00FC1D31">
        <w:rPr>
          <w:rFonts w:ascii="Garamond" w:hAnsi="Garamond" w:cs="Arial"/>
          <w:sz w:val="24"/>
          <w:szCs w:val="24"/>
        </w:rPr>
        <w:t xml:space="preserve">the </w:t>
      </w:r>
      <w:r w:rsidR="009442A1" w:rsidRPr="00FC1D31">
        <w:rPr>
          <w:rFonts w:ascii="Garamond" w:hAnsi="Garamond" w:cs="Arial"/>
          <w:sz w:val="24"/>
          <w:szCs w:val="24"/>
        </w:rPr>
        <w:t xml:space="preserve">resilience and competitiveness concerns by going beyond the scenarios involving threats to national security. </w:t>
      </w:r>
      <w:r w:rsidR="008D7CAB" w:rsidRPr="00FC1D31">
        <w:rPr>
          <w:rFonts w:ascii="Garamond" w:hAnsi="Garamond" w:cs="Arial"/>
          <w:sz w:val="24"/>
          <w:szCs w:val="24"/>
        </w:rPr>
        <w:t xml:space="preserve">In contrast with FDI screening whereby </w:t>
      </w:r>
      <w:r w:rsidR="008A1FB7" w:rsidRPr="00FC1D31">
        <w:rPr>
          <w:rFonts w:ascii="Garamond" w:hAnsi="Garamond" w:cs="Arial"/>
          <w:sz w:val="24"/>
          <w:szCs w:val="24"/>
        </w:rPr>
        <w:t>m</w:t>
      </w:r>
      <w:r w:rsidR="008D7CAB" w:rsidRPr="00FC1D31">
        <w:rPr>
          <w:rFonts w:ascii="Garamond" w:hAnsi="Garamond" w:cs="Arial"/>
          <w:sz w:val="24"/>
          <w:szCs w:val="24"/>
        </w:rPr>
        <w:t xml:space="preserve">ember </w:t>
      </w:r>
      <w:r w:rsidR="008A1FB7" w:rsidRPr="00FC1D31">
        <w:rPr>
          <w:rFonts w:ascii="Garamond" w:hAnsi="Garamond" w:cs="Arial"/>
          <w:sz w:val="24"/>
          <w:szCs w:val="24"/>
        </w:rPr>
        <w:t>s</w:t>
      </w:r>
      <w:r w:rsidR="008D7CAB" w:rsidRPr="00FC1D31">
        <w:rPr>
          <w:rFonts w:ascii="Garamond" w:hAnsi="Garamond" w:cs="Arial"/>
          <w:sz w:val="24"/>
          <w:szCs w:val="24"/>
        </w:rPr>
        <w:t>tates have the powers to scrutinise and</w:t>
      </w:r>
      <w:r w:rsidR="0034244A" w:rsidRPr="00FC1D31">
        <w:rPr>
          <w:rFonts w:ascii="Garamond" w:hAnsi="Garamond" w:cs="Arial"/>
          <w:sz w:val="24"/>
          <w:szCs w:val="24"/>
        </w:rPr>
        <w:t>,</w:t>
      </w:r>
      <w:r w:rsidR="008D7CAB" w:rsidRPr="00FC1D31">
        <w:rPr>
          <w:rFonts w:ascii="Garamond" w:hAnsi="Garamond" w:cs="Arial"/>
          <w:sz w:val="24"/>
          <w:szCs w:val="24"/>
        </w:rPr>
        <w:t xml:space="preserve"> if necessary</w:t>
      </w:r>
      <w:r w:rsidR="0034244A" w:rsidRPr="00FC1D31">
        <w:rPr>
          <w:rFonts w:ascii="Garamond" w:hAnsi="Garamond" w:cs="Arial"/>
          <w:sz w:val="24"/>
          <w:szCs w:val="24"/>
        </w:rPr>
        <w:t>,</w:t>
      </w:r>
      <w:r w:rsidR="008D7CAB" w:rsidRPr="00FC1D31">
        <w:rPr>
          <w:rFonts w:ascii="Garamond" w:hAnsi="Garamond" w:cs="Arial"/>
          <w:sz w:val="24"/>
          <w:szCs w:val="24"/>
        </w:rPr>
        <w:t xml:space="preserve"> block foreign investments in a range of strategic or sensitive sectors, </w:t>
      </w:r>
      <w:r w:rsidR="009442A1" w:rsidRPr="00FC1D31">
        <w:rPr>
          <w:rFonts w:ascii="Garamond" w:hAnsi="Garamond" w:cs="Arial"/>
          <w:sz w:val="24"/>
          <w:szCs w:val="24"/>
        </w:rPr>
        <w:t xml:space="preserve">the Foreign Subsidies </w:t>
      </w:r>
      <w:r w:rsidR="00FC1D31">
        <w:rPr>
          <w:rFonts w:ascii="Garamond" w:hAnsi="Garamond" w:cs="Arial"/>
          <w:sz w:val="24"/>
          <w:szCs w:val="24"/>
        </w:rPr>
        <w:t>R</w:t>
      </w:r>
      <w:r w:rsidR="009442A1" w:rsidRPr="00FC1D31">
        <w:rPr>
          <w:rFonts w:ascii="Garamond" w:hAnsi="Garamond" w:cs="Arial"/>
          <w:sz w:val="24"/>
          <w:szCs w:val="24"/>
        </w:rPr>
        <w:t xml:space="preserve">egulation </w:t>
      </w:r>
      <w:r w:rsidR="00830253" w:rsidRPr="00FC1D31">
        <w:rPr>
          <w:rFonts w:ascii="Garamond" w:hAnsi="Garamond" w:cs="Arial"/>
          <w:sz w:val="24"/>
          <w:szCs w:val="24"/>
        </w:rPr>
        <w:t xml:space="preserve">aims to </w:t>
      </w:r>
      <w:r w:rsidR="008D7CAB" w:rsidRPr="00FC1D31">
        <w:rPr>
          <w:rFonts w:ascii="Garamond" w:hAnsi="Garamond" w:cs="Arial"/>
          <w:sz w:val="24"/>
          <w:szCs w:val="24"/>
        </w:rPr>
        <w:t xml:space="preserve">create an extra layer of control of inward foreign investment, this time across </w:t>
      </w:r>
      <w:r w:rsidR="008D7CAB" w:rsidRPr="00FC1D31">
        <w:rPr>
          <w:rFonts w:ascii="Garamond" w:hAnsi="Garamond" w:cs="Arial"/>
          <w:i/>
          <w:sz w:val="24"/>
          <w:szCs w:val="24"/>
        </w:rPr>
        <w:t>all sectors</w:t>
      </w:r>
      <w:r w:rsidR="008D7CAB" w:rsidRPr="00FC1D31">
        <w:rPr>
          <w:rFonts w:ascii="Garamond" w:hAnsi="Garamond" w:cs="Arial"/>
          <w:sz w:val="24"/>
          <w:szCs w:val="24"/>
        </w:rPr>
        <w:t xml:space="preserve"> of economic activity. Another crucial difference is that, unlike the FDI </w:t>
      </w:r>
      <w:r w:rsidR="006D5599" w:rsidRPr="00FC1D31">
        <w:rPr>
          <w:rFonts w:ascii="Garamond" w:hAnsi="Garamond" w:cs="Arial"/>
          <w:sz w:val="24"/>
          <w:szCs w:val="24"/>
        </w:rPr>
        <w:t>S</w:t>
      </w:r>
      <w:r w:rsidR="008D7CAB" w:rsidRPr="00FC1D31">
        <w:rPr>
          <w:rFonts w:ascii="Garamond" w:hAnsi="Garamond" w:cs="Arial"/>
          <w:sz w:val="24"/>
          <w:szCs w:val="24"/>
        </w:rPr>
        <w:t xml:space="preserve">creening </w:t>
      </w:r>
      <w:r w:rsidR="006D5599" w:rsidRPr="00FC1D31">
        <w:rPr>
          <w:rFonts w:ascii="Garamond" w:hAnsi="Garamond" w:cs="Arial"/>
          <w:sz w:val="24"/>
          <w:szCs w:val="24"/>
        </w:rPr>
        <w:t>R</w:t>
      </w:r>
      <w:r w:rsidR="008D7CAB" w:rsidRPr="00FC1D31">
        <w:rPr>
          <w:rFonts w:ascii="Garamond" w:hAnsi="Garamond" w:cs="Arial"/>
          <w:sz w:val="24"/>
          <w:szCs w:val="24"/>
        </w:rPr>
        <w:t>egulation where the powers to design and enforce investment scrutiny remain in the hands of Member States, the F</w:t>
      </w:r>
      <w:r w:rsidR="0034244A" w:rsidRPr="00FC1D31">
        <w:rPr>
          <w:rFonts w:ascii="Garamond" w:hAnsi="Garamond" w:cs="Arial"/>
          <w:sz w:val="24"/>
          <w:szCs w:val="24"/>
        </w:rPr>
        <w:t xml:space="preserve">oreign </w:t>
      </w:r>
      <w:r w:rsidR="008D7CAB" w:rsidRPr="00FC1D31">
        <w:rPr>
          <w:rFonts w:ascii="Garamond" w:hAnsi="Garamond" w:cs="Arial"/>
          <w:sz w:val="24"/>
          <w:szCs w:val="24"/>
        </w:rPr>
        <w:t>S</w:t>
      </w:r>
      <w:r w:rsidR="0034244A" w:rsidRPr="00FC1D31">
        <w:rPr>
          <w:rFonts w:ascii="Garamond" w:hAnsi="Garamond" w:cs="Arial"/>
          <w:sz w:val="24"/>
          <w:szCs w:val="24"/>
        </w:rPr>
        <w:t xml:space="preserve">ubsidies </w:t>
      </w:r>
      <w:r w:rsidR="008D7CAB" w:rsidRPr="00FC1D31">
        <w:rPr>
          <w:rFonts w:ascii="Garamond" w:hAnsi="Garamond" w:cs="Arial"/>
          <w:sz w:val="24"/>
          <w:szCs w:val="24"/>
        </w:rPr>
        <w:t>R</w:t>
      </w:r>
      <w:r w:rsidR="0034244A" w:rsidRPr="00FC1D31">
        <w:rPr>
          <w:rFonts w:ascii="Garamond" w:hAnsi="Garamond" w:cs="Arial"/>
          <w:sz w:val="24"/>
          <w:szCs w:val="24"/>
        </w:rPr>
        <w:t>egulation</w:t>
      </w:r>
      <w:r w:rsidR="008D7CAB" w:rsidRPr="00FC1D31">
        <w:rPr>
          <w:rFonts w:ascii="Garamond" w:hAnsi="Garamond" w:cs="Arial"/>
          <w:sz w:val="24"/>
          <w:szCs w:val="24"/>
        </w:rPr>
        <w:t xml:space="preserve"> affords a considerably greater role for the EU by vesting the Commission with new centralised powers in relation to a certain </w:t>
      </w:r>
      <w:r w:rsidR="008A1FB7" w:rsidRPr="00FC1D31">
        <w:rPr>
          <w:rFonts w:ascii="Garamond" w:hAnsi="Garamond" w:cs="Arial"/>
          <w:sz w:val="24"/>
          <w:szCs w:val="24"/>
        </w:rPr>
        <w:t xml:space="preserve">(and broad) </w:t>
      </w:r>
      <w:r w:rsidR="008D7CAB" w:rsidRPr="00FC1D31">
        <w:rPr>
          <w:rFonts w:ascii="Garamond" w:hAnsi="Garamond" w:cs="Arial"/>
          <w:sz w:val="24"/>
          <w:szCs w:val="24"/>
        </w:rPr>
        <w:t>category of foreign investment.</w:t>
      </w:r>
      <w:r w:rsidR="002615A1" w:rsidRPr="00FC1D31">
        <w:rPr>
          <w:rFonts w:ascii="Garamond" w:hAnsi="Garamond" w:cs="Arial"/>
          <w:sz w:val="24"/>
          <w:szCs w:val="24"/>
        </w:rPr>
        <w:t xml:space="preserve"> It is akin to extra-territorial extension of EU state aid rules to foreign investors subsidised by their home governments.</w:t>
      </w:r>
    </w:p>
    <w:p w14:paraId="04E6C78A" w14:textId="7DB51B02" w:rsidR="00093977" w:rsidRPr="00FC1D31" w:rsidRDefault="00093977" w:rsidP="002646F7">
      <w:pPr>
        <w:pStyle w:val="ListParagraph"/>
        <w:numPr>
          <w:ilvl w:val="1"/>
          <w:numId w:val="3"/>
        </w:numPr>
        <w:jc w:val="both"/>
        <w:rPr>
          <w:rFonts w:ascii="Garamond" w:hAnsi="Garamond"/>
          <w:sz w:val="24"/>
          <w:szCs w:val="24"/>
        </w:rPr>
      </w:pPr>
      <w:r w:rsidRPr="00FC1D31">
        <w:rPr>
          <w:rFonts w:ascii="Garamond" w:hAnsi="Garamond"/>
          <w:sz w:val="24"/>
          <w:szCs w:val="24"/>
        </w:rPr>
        <w:t>Promoting and enforcing EU values on sustainability</w:t>
      </w:r>
      <w:r w:rsidR="00A0126A" w:rsidRPr="00FC1D31">
        <w:rPr>
          <w:rFonts w:ascii="Garamond" w:hAnsi="Garamond"/>
          <w:sz w:val="24"/>
          <w:szCs w:val="24"/>
        </w:rPr>
        <w:t>: mandatory corporate due diligence</w:t>
      </w:r>
    </w:p>
    <w:p w14:paraId="47D0CB02" w14:textId="4D426212" w:rsidR="002E3ABA" w:rsidRPr="00FC1D31" w:rsidRDefault="000A6B68" w:rsidP="002E3ABA">
      <w:pPr>
        <w:jc w:val="both"/>
        <w:rPr>
          <w:rFonts w:ascii="Garamond" w:hAnsi="Garamond"/>
          <w:sz w:val="24"/>
          <w:szCs w:val="24"/>
        </w:rPr>
      </w:pPr>
      <w:r w:rsidRPr="00FC1D31">
        <w:rPr>
          <w:rFonts w:ascii="Garamond" w:hAnsi="Garamond" w:cs="Times New Roman"/>
          <w:color w:val="000000"/>
          <w:sz w:val="24"/>
          <w:szCs w:val="24"/>
        </w:rPr>
        <w:t>Despite their prominence</w:t>
      </w:r>
      <w:r w:rsidR="003348C5" w:rsidRPr="00FC1D31">
        <w:rPr>
          <w:rFonts w:ascii="Garamond" w:hAnsi="Garamond" w:cs="Times New Roman"/>
          <w:color w:val="000000"/>
          <w:sz w:val="24"/>
          <w:szCs w:val="24"/>
        </w:rPr>
        <w:t xml:space="preserve"> in the emerging defensive policy instruments</w:t>
      </w:r>
      <w:r w:rsidRPr="00FC1D31">
        <w:rPr>
          <w:rFonts w:ascii="Garamond" w:hAnsi="Garamond" w:cs="Times New Roman"/>
          <w:color w:val="000000"/>
          <w:sz w:val="24"/>
          <w:szCs w:val="24"/>
        </w:rPr>
        <w:t xml:space="preserve">, resilience and competitiveness are not the only </w:t>
      </w:r>
      <w:r w:rsidR="003348C5" w:rsidRPr="00FC1D31">
        <w:rPr>
          <w:rFonts w:ascii="Garamond" w:hAnsi="Garamond" w:cs="Times New Roman"/>
          <w:color w:val="000000"/>
          <w:sz w:val="24"/>
          <w:szCs w:val="24"/>
        </w:rPr>
        <w:t>objectives</w:t>
      </w:r>
      <w:r w:rsidRPr="00FC1D31">
        <w:rPr>
          <w:rFonts w:ascii="Garamond" w:hAnsi="Garamond" w:cs="Times New Roman"/>
          <w:color w:val="000000"/>
          <w:sz w:val="24"/>
          <w:szCs w:val="24"/>
        </w:rPr>
        <w:t xml:space="preserve"> foregrounded in </w:t>
      </w:r>
      <w:r w:rsidR="003348C5" w:rsidRPr="00FC1D31">
        <w:rPr>
          <w:rFonts w:ascii="Garamond" w:hAnsi="Garamond" w:cs="Times New Roman"/>
          <w:color w:val="000000"/>
          <w:sz w:val="24"/>
          <w:szCs w:val="24"/>
        </w:rPr>
        <w:t xml:space="preserve">the EU’s new approach to trade and investment. </w:t>
      </w:r>
      <w:r w:rsidR="00E11728" w:rsidRPr="00FC1D31">
        <w:rPr>
          <w:rFonts w:ascii="Garamond" w:hAnsi="Garamond" w:cs="Times New Roman"/>
          <w:color w:val="000000"/>
          <w:sz w:val="24"/>
          <w:szCs w:val="24"/>
        </w:rPr>
        <w:t xml:space="preserve">The </w:t>
      </w:r>
      <w:r w:rsidR="00E11728" w:rsidRPr="00FC1D31">
        <w:rPr>
          <w:rFonts w:ascii="Garamond" w:hAnsi="Garamond" w:cs="Times New Roman"/>
          <w:bCs/>
          <w:color w:val="000000"/>
          <w:sz w:val="24"/>
          <w:szCs w:val="24"/>
        </w:rPr>
        <w:t>openness</w:t>
      </w:r>
      <w:r w:rsidR="00E11728" w:rsidRPr="00FC1D31">
        <w:rPr>
          <w:rFonts w:ascii="Garamond" w:hAnsi="Garamond" w:cs="Times New Roman"/>
          <w:color w:val="000000"/>
          <w:sz w:val="24"/>
          <w:szCs w:val="24"/>
        </w:rPr>
        <w:t xml:space="preserve"> element of the EU’s </w:t>
      </w:r>
      <w:r w:rsidRPr="00FC1D31">
        <w:rPr>
          <w:rFonts w:ascii="Garamond" w:hAnsi="Garamond" w:cs="Times New Roman"/>
          <w:color w:val="000000"/>
          <w:sz w:val="24"/>
          <w:szCs w:val="24"/>
        </w:rPr>
        <w:t>open strategic autonomy</w:t>
      </w:r>
      <w:r w:rsidR="00E11728" w:rsidRPr="00FC1D31">
        <w:rPr>
          <w:rFonts w:ascii="Garamond" w:hAnsi="Garamond" w:cs="Times New Roman"/>
          <w:color w:val="000000"/>
          <w:sz w:val="24"/>
          <w:szCs w:val="24"/>
        </w:rPr>
        <w:t xml:space="preserve"> goes beyond the traditional commitment to open trade but also encompasses </w:t>
      </w:r>
      <w:r w:rsidR="00E11728" w:rsidRPr="00FC1D31">
        <w:rPr>
          <w:rFonts w:ascii="Garamond" w:hAnsi="Garamond" w:cs="Times New Roman"/>
          <w:bCs/>
          <w:color w:val="000000"/>
          <w:sz w:val="24"/>
          <w:szCs w:val="24"/>
        </w:rPr>
        <w:t>sustainability and fairness.</w:t>
      </w:r>
      <w:r w:rsidR="00E11728" w:rsidRPr="00FC1D31">
        <w:rPr>
          <w:rStyle w:val="FootnoteReference"/>
          <w:rFonts w:ascii="Garamond" w:hAnsi="Garamond" w:cs="Times New Roman"/>
          <w:bCs/>
          <w:color w:val="000000"/>
          <w:sz w:val="24"/>
          <w:szCs w:val="24"/>
        </w:rPr>
        <w:footnoteReference w:id="32"/>
      </w:r>
      <w:r w:rsidR="00E11728" w:rsidRPr="00FC1D31">
        <w:rPr>
          <w:rFonts w:ascii="Garamond" w:hAnsi="Garamond" w:cs="Times New Roman"/>
          <w:bCs/>
          <w:color w:val="000000"/>
          <w:sz w:val="24"/>
          <w:szCs w:val="24"/>
        </w:rPr>
        <w:t xml:space="preserve"> In the Commission’s vision, </w:t>
      </w:r>
      <w:r w:rsidR="006D5599" w:rsidRPr="00FC1D31">
        <w:rPr>
          <w:rFonts w:ascii="Garamond" w:hAnsi="Garamond" w:cs="Times New Roman"/>
          <w:bCs/>
          <w:color w:val="000000"/>
          <w:sz w:val="24"/>
          <w:szCs w:val="24"/>
        </w:rPr>
        <w:t>‘</w:t>
      </w:r>
      <w:r w:rsidR="00E11728" w:rsidRPr="00FC1D31">
        <w:rPr>
          <w:rFonts w:ascii="Garamond" w:hAnsi="Garamond" w:cs="Times New Roman"/>
          <w:bCs/>
          <w:color w:val="000000"/>
          <w:sz w:val="24"/>
          <w:szCs w:val="24"/>
        </w:rPr>
        <w:t>openness</w:t>
      </w:r>
      <w:r w:rsidR="006D5599" w:rsidRPr="00FC1D31">
        <w:rPr>
          <w:rFonts w:ascii="Garamond" w:hAnsi="Garamond" w:cs="Times New Roman"/>
          <w:bCs/>
          <w:color w:val="000000"/>
          <w:sz w:val="24"/>
          <w:szCs w:val="24"/>
        </w:rPr>
        <w:t>’</w:t>
      </w:r>
      <w:r w:rsidR="00E11728" w:rsidRPr="00FC1D31">
        <w:rPr>
          <w:rFonts w:ascii="Garamond" w:hAnsi="Garamond" w:cs="Times New Roman"/>
          <w:bCs/>
          <w:color w:val="000000"/>
          <w:sz w:val="24"/>
          <w:szCs w:val="24"/>
        </w:rPr>
        <w:t xml:space="preserve"> means </w:t>
      </w:r>
      <w:r w:rsidR="006D5599" w:rsidRPr="00FC1D31">
        <w:rPr>
          <w:rFonts w:ascii="Garamond" w:hAnsi="Garamond" w:cs="Times New Roman"/>
          <w:bCs/>
          <w:color w:val="000000"/>
          <w:sz w:val="24"/>
          <w:szCs w:val="24"/>
        </w:rPr>
        <w:t xml:space="preserve">the </w:t>
      </w:r>
      <w:r w:rsidR="00E11728" w:rsidRPr="00FC1D31">
        <w:rPr>
          <w:rFonts w:ascii="Garamond" w:hAnsi="Garamond"/>
          <w:sz w:val="24"/>
          <w:szCs w:val="24"/>
        </w:rPr>
        <w:t>adherence to universal values, including human rights</w:t>
      </w:r>
      <w:r w:rsidR="002E3ABA" w:rsidRPr="00FC1D31">
        <w:rPr>
          <w:rFonts w:ascii="Garamond" w:hAnsi="Garamond"/>
          <w:sz w:val="24"/>
          <w:szCs w:val="24"/>
        </w:rPr>
        <w:t xml:space="preserve">, </w:t>
      </w:r>
      <w:r w:rsidR="00E11728" w:rsidRPr="00FC1D31">
        <w:rPr>
          <w:rFonts w:ascii="Garamond" w:hAnsi="Garamond"/>
          <w:sz w:val="24"/>
          <w:szCs w:val="24"/>
        </w:rPr>
        <w:t>core labour standards, the fight against climate change and biodiversity loss.</w:t>
      </w:r>
      <w:r w:rsidR="002E3ABA" w:rsidRPr="00FC1D31">
        <w:rPr>
          <w:rStyle w:val="FootnoteReference"/>
          <w:rFonts w:ascii="Garamond" w:hAnsi="Garamond"/>
          <w:sz w:val="24"/>
          <w:szCs w:val="24"/>
        </w:rPr>
        <w:footnoteReference w:id="33"/>
      </w:r>
      <w:r w:rsidRPr="00FC1D31">
        <w:rPr>
          <w:rFonts w:ascii="Garamond" w:hAnsi="Garamond"/>
          <w:sz w:val="24"/>
          <w:szCs w:val="24"/>
        </w:rPr>
        <w:t xml:space="preserve"> </w:t>
      </w:r>
      <w:r w:rsidR="002E3ABA" w:rsidRPr="00FC1D31">
        <w:rPr>
          <w:rFonts w:ascii="Garamond" w:hAnsi="Garamond" w:cs="Times New Roman"/>
          <w:bCs/>
          <w:color w:val="000000"/>
          <w:sz w:val="24"/>
          <w:szCs w:val="24"/>
        </w:rPr>
        <w:t xml:space="preserve">To promote and enforce these values, one of the core objectives of EU trade policy in the medium term is to </w:t>
      </w:r>
      <w:r w:rsidR="002E3ABA" w:rsidRPr="00FC1D31">
        <w:rPr>
          <w:rFonts w:ascii="Garamond" w:hAnsi="Garamond"/>
          <w:bCs/>
          <w:sz w:val="24"/>
          <w:szCs w:val="24"/>
        </w:rPr>
        <w:t>shape</w:t>
      </w:r>
      <w:r w:rsidR="002E3ABA" w:rsidRPr="00FC1D31">
        <w:rPr>
          <w:rFonts w:ascii="Garamond" w:hAnsi="Garamond"/>
          <w:i/>
          <w:iCs/>
          <w:sz w:val="24"/>
          <w:szCs w:val="24"/>
        </w:rPr>
        <w:t xml:space="preserve"> ‘</w:t>
      </w:r>
      <w:r w:rsidR="002E3ABA" w:rsidRPr="00FC1D31">
        <w:rPr>
          <w:rFonts w:ascii="Garamond" w:hAnsi="Garamond"/>
          <w:bCs/>
          <w:iCs/>
          <w:sz w:val="24"/>
          <w:szCs w:val="24"/>
        </w:rPr>
        <w:t>global rules for a more sustainable and fairer globalisation.’</w:t>
      </w:r>
      <w:r w:rsidR="002E3ABA" w:rsidRPr="00FC1D31">
        <w:rPr>
          <w:rStyle w:val="FootnoteReference"/>
          <w:rFonts w:ascii="Garamond" w:hAnsi="Garamond"/>
          <w:bCs/>
          <w:iCs/>
          <w:sz w:val="24"/>
          <w:szCs w:val="24"/>
        </w:rPr>
        <w:footnoteReference w:id="34"/>
      </w:r>
      <w:r w:rsidR="002E3ABA" w:rsidRPr="00FC1D31">
        <w:rPr>
          <w:rFonts w:ascii="Garamond" w:hAnsi="Garamond"/>
          <w:sz w:val="24"/>
          <w:szCs w:val="24"/>
        </w:rPr>
        <w:t xml:space="preserve"> A crucial dimension of the EU’s open strategic autonomy with immediate relevance to its investment policy is the </w:t>
      </w:r>
      <w:r w:rsidR="00830253" w:rsidRPr="00FC1D31">
        <w:rPr>
          <w:rFonts w:ascii="Garamond" w:hAnsi="Garamond"/>
          <w:sz w:val="24"/>
          <w:szCs w:val="24"/>
        </w:rPr>
        <w:t>proposed new</w:t>
      </w:r>
      <w:r w:rsidR="002E3ABA" w:rsidRPr="00FC1D31">
        <w:rPr>
          <w:rFonts w:ascii="Garamond" w:hAnsi="Garamond"/>
          <w:sz w:val="24"/>
          <w:szCs w:val="24"/>
        </w:rPr>
        <w:t xml:space="preserve"> mechanism to promote, implement and enforce EU values on sustainability, including human </w:t>
      </w:r>
      <w:r w:rsidR="002E3ABA" w:rsidRPr="00FC1D31">
        <w:rPr>
          <w:rFonts w:ascii="Garamond" w:hAnsi="Garamond"/>
          <w:sz w:val="24"/>
          <w:szCs w:val="24"/>
        </w:rPr>
        <w:lastRenderedPageBreak/>
        <w:t>rights and labour standards</w:t>
      </w:r>
      <w:r w:rsidR="00BC4472" w:rsidRPr="00FC1D31">
        <w:rPr>
          <w:rFonts w:ascii="Garamond" w:hAnsi="Garamond"/>
          <w:sz w:val="24"/>
          <w:szCs w:val="24"/>
        </w:rPr>
        <w:t>.</w:t>
      </w:r>
      <w:r w:rsidR="002E3ABA" w:rsidRPr="00FC1D31">
        <w:rPr>
          <w:rFonts w:ascii="Garamond" w:hAnsi="Garamond"/>
          <w:sz w:val="24"/>
          <w:szCs w:val="24"/>
        </w:rPr>
        <w:t xml:space="preserve"> To some, the relationship between these </w:t>
      </w:r>
      <w:r w:rsidR="00830253" w:rsidRPr="00FC1D31">
        <w:rPr>
          <w:rFonts w:ascii="Garamond" w:hAnsi="Garamond"/>
          <w:sz w:val="24"/>
          <w:szCs w:val="24"/>
        </w:rPr>
        <w:t>endeavours</w:t>
      </w:r>
      <w:r w:rsidR="002E3ABA" w:rsidRPr="00FC1D31">
        <w:rPr>
          <w:rFonts w:ascii="Garamond" w:hAnsi="Garamond"/>
          <w:sz w:val="24"/>
          <w:szCs w:val="24"/>
        </w:rPr>
        <w:t xml:space="preserve"> and international investment policy may not be immediately apparent. Yet the articulation of this strand of open strategic autonomy by the Commission reveals its significance for shaping the evolving investment policy both in the EU and beyond its borders.</w:t>
      </w:r>
    </w:p>
    <w:p w14:paraId="1C62FF02" w14:textId="773659F9" w:rsidR="003740C3" w:rsidRPr="00FC1D31" w:rsidRDefault="00C007D8" w:rsidP="00BC4472">
      <w:pPr>
        <w:autoSpaceDE w:val="0"/>
        <w:autoSpaceDN w:val="0"/>
        <w:adjustRightInd w:val="0"/>
        <w:spacing w:after="0" w:line="240" w:lineRule="auto"/>
        <w:jc w:val="both"/>
        <w:rPr>
          <w:rFonts w:ascii="Garamond" w:hAnsi="Garamond" w:cs="AdvOT833fb896"/>
          <w:sz w:val="24"/>
          <w:szCs w:val="24"/>
        </w:rPr>
      </w:pPr>
      <w:r w:rsidRPr="00FC1D31">
        <w:rPr>
          <w:rFonts w:ascii="Garamond" w:hAnsi="Garamond"/>
          <w:sz w:val="24"/>
          <w:szCs w:val="24"/>
        </w:rPr>
        <w:t>To begin with, o</w:t>
      </w:r>
      <w:r w:rsidR="00093977" w:rsidRPr="00FC1D31">
        <w:rPr>
          <w:rFonts w:ascii="Garamond" w:hAnsi="Garamond"/>
          <w:sz w:val="24"/>
          <w:szCs w:val="24"/>
        </w:rPr>
        <w:t xml:space="preserve">n 23 February 2022, the Commission adopted a proposal for a Directive on corporate sustainability due diligence. The </w:t>
      </w:r>
      <w:r w:rsidRPr="00FC1D31">
        <w:rPr>
          <w:rFonts w:ascii="Garamond" w:hAnsi="Garamond"/>
          <w:sz w:val="24"/>
          <w:szCs w:val="24"/>
        </w:rPr>
        <w:t xml:space="preserve">principal </w:t>
      </w:r>
      <w:r w:rsidR="00093977" w:rsidRPr="00FC1D31">
        <w:rPr>
          <w:rFonts w:ascii="Garamond" w:hAnsi="Garamond"/>
          <w:sz w:val="24"/>
          <w:szCs w:val="24"/>
        </w:rPr>
        <w:t>aim of th</w:t>
      </w:r>
      <w:r w:rsidRPr="00FC1D31">
        <w:rPr>
          <w:rFonts w:ascii="Garamond" w:hAnsi="Garamond"/>
          <w:sz w:val="24"/>
          <w:szCs w:val="24"/>
        </w:rPr>
        <w:t>e</w:t>
      </w:r>
      <w:r w:rsidR="00093977" w:rsidRPr="00FC1D31">
        <w:rPr>
          <w:rFonts w:ascii="Garamond" w:hAnsi="Garamond"/>
          <w:sz w:val="24"/>
          <w:szCs w:val="24"/>
        </w:rPr>
        <w:t xml:space="preserve"> Directive is to </w:t>
      </w:r>
      <w:r w:rsidRPr="00FC1D31">
        <w:rPr>
          <w:rFonts w:ascii="Garamond" w:hAnsi="Garamond"/>
          <w:sz w:val="24"/>
          <w:szCs w:val="24"/>
        </w:rPr>
        <w:t>‘</w:t>
      </w:r>
      <w:r w:rsidR="00093977" w:rsidRPr="00FC1D31">
        <w:rPr>
          <w:rFonts w:ascii="Garamond" w:hAnsi="Garamond"/>
          <w:sz w:val="24"/>
          <w:szCs w:val="24"/>
        </w:rPr>
        <w:t>foster sustainable and responsible corporate behaviour and to anchor human rights and environmental considerations in companies’ operations and corporate governance.</w:t>
      </w:r>
      <w:r w:rsidRPr="00FC1D31">
        <w:rPr>
          <w:rFonts w:ascii="Garamond" w:hAnsi="Garamond"/>
          <w:sz w:val="24"/>
          <w:szCs w:val="24"/>
        </w:rPr>
        <w:t>’</w:t>
      </w:r>
      <w:r w:rsidRPr="00FC1D31">
        <w:rPr>
          <w:rStyle w:val="FootnoteReference"/>
          <w:rFonts w:ascii="Garamond" w:hAnsi="Garamond"/>
          <w:sz w:val="24"/>
          <w:szCs w:val="24"/>
        </w:rPr>
        <w:footnoteReference w:id="35"/>
      </w:r>
      <w:r w:rsidR="002E3ABA" w:rsidRPr="00FC1D31">
        <w:rPr>
          <w:rFonts w:ascii="Garamond" w:hAnsi="Garamond" w:cs="Arial"/>
          <w:sz w:val="24"/>
          <w:szCs w:val="24"/>
        </w:rPr>
        <w:t xml:space="preserve"> </w:t>
      </w:r>
      <w:r w:rsidRPr="00FC1D31">
        <w:rPr>
          <w:rFonts w:ascii="Garamond" w:hAnsi="Garamond"/>
          <w:sz w:val="24"/>
          <w:szCs w:val="24"/>
        </w:rPr>
        <w:t>Th</w:t>
      </w:r>
      <w:r w:rsidR="00E80548" w:rsidRPr="00FC1D31">
        <w:rPr>
          <w:rFonts w:ascii="Garamond" w:hAnsi="Garamond"/>
          <w:sz w:val="24"/>
          <w:szCs w:val="24"/>
        </w:rPr>
        <w:t>e</w:t>
      </w:r>
      <w:r w:rsidRPr="00FC1D31">
        <w:rPr>
          <w:rFonts w:ascii="Garamond" w:hAnsi="Garamond"/>
          <w:sz w:val="24"/>
          <w:szCs w:val="24"/>
        </w:rPr>
        <w:t xml:space="preserve"> </w:t>
      </w:r>
      <w:r w:rsidR="00830253" w:rsidRPr="00FC1D31">
        <w:rPr>
          <w:rFonts w:ascii="Garamond" w:hAnsi="Garamond"/>
          <w:sz w:val="24"/>
          <w:szCs w:val="24"/>
        </w:rPr>
        <w:t xml:space="preserve">proposed </w:t>
      </w:r>
      <w:r w:rsidRPr="00FC1D31">
        <w:rPr>
          <w:rFonts w:ascii="Garamond" w:hAnsi="Garamond"/>
          <w:sz w:val="24"/>
          <w:szCs w:val="24"/>
        </w:rPr>
        <w:t xml:space="preserve">Directive establishes a </w:t>
      </w:r>
      <w:r w:rsidRPr="00FC1D31">
        <w:rPr>
          <w:rStyle w:val="Strong"/>
          <w:rFonts w:ascii="Garamond" w:hAnsi="Garamond"/>
          <w:b w:val="0"/>
          <w:bCs w:val="0"/>
          <w:sz w:val="24"/>
          <w:szCs w:val="24"/>
        </w:rPr>
        <w:t>corporate due diligence duty</w:t>
      </w:r>
      <w:r w:rsidR="006A464F" w:rsidRPr="00FC1D31">
        <w:rPr>
          <w:rFonts w:ascii="Garamond" w:hAnsi="Garamond"/>
          <w:sz w:val="24"/>
          <w:szCs w:val="24"/>
        </w:rPr>
        <w:t xml:space="preserve"> the core elements of which are ascertaining, </w:t>
      </w:r>
      <w:r w:rsidRPr="00FC1D31">
        <w:rPr>
          <w:rFonts w:ascii="Garamond" w:hAnsi="Garamond"/>
          <w:sz w:val="24"/>
          <w:szCs w:val="24"/>
        </w:rPr>
        <w:t xml:space="preserve">bringing to an end, </w:t>
      </w:r>
      <w:r w:rsidR="00E93994" w:rsidRPr="00FC1D31">
        <w:rPr>
          <w:rFonts w:ascii="Garamond" w:hAnsi="Garamond"/>
          <w:sz w:val="24"/>
          <w:szCs w:val="24"/>
        </w:rPr>
        <w:t>averting</w:t>
      </w:r>
      <w:r w:rsidRPr="00FC1D31">
        <w:rPr>
          <w:rFonts w:ascii="Garamond" w:hAnsi="Garamond"/>
          <w:sz w:val="24"/>
          <w:szCs w:val="24"/>
        </w:rPr>
        <w:t xml:space="preserve">, mitigating and accounting for negative human rights and environmental impacts in the company’s own operations, their subsidiaries and their value chains. </w:t>
      </w:r>
      <w:r w:rsidR="00E93994" w:rsidRPr="00FC1D31">
        <w:rPr>
          <w:rFonts w:ascii="Garamond" w:hAnsi="Garamond"/>
          <w:sz w:val="24"/>
          <w:szCs w:val="24"/>
        </w:rPr>
        <w:t xml:space="preserve">The </w:t>
      </w:r>
      <w:r w:rsidR="00FC1D31">
        <w:rPr>
          <w:rFonts w:ascii="Garamond" w:hAnsi="Garamond"/>
          <w:sz w:val="24"/>
          <w:szCs w:val="24"/>
        </w:rPr>
        <w:t xml:space="preserve">draft </w:t>
      </w:r>
      <w:r w:rsidR="00E80548" w:rsidRPr="00FC1D31">
        <w:rPr>
          <w:rFonts w:ascii="Garamond" w:hAnsi="Garamond"/>
          <w:sz w:val="24"/>
          <w:szCs w:val="24"/>
        </w:rPr>
        <w:t>D</w:t>
      </w:r>
      <w:r w:rsidR="00E93994" w:rsidRPr="00FC1D31">
        <w:rPr>
          <w:rFonts w:ascii="Garamond" w:hAnsi="Garamond"/>
          <w:sz w:val="24"/>
          <w:szCs w:val="24"/>
        </w:rPr>
        <w:t>irective also requires certain</w:t>
      </w:r>
      <w:r w:rsidRPr="00FC1D31">
        <w:rPr>
          <w:rFonts w:ascii="Garamond" w:hAnsi="Garamond"/>
          <w:sz w:val="24"/>
          <w:szCs w:val="24"/>
        </w:rPr>
        <w:t xml:space="preserve"> large companies </w:t>
      </w:r>
      <w:r w:rsidR="00E93994" w:rsidRPr="00FC1D31">
        <w:rPr>
          <w:rFonts w:ascii="Garamond" w:hAnsi="Garamond"/>
          <w:sz w:val="24"/>
          <w:szCs w:val="24"/>
        </w:rPr>
        <w:t xml:space="preserve">to put in place mechanisms </w:t>
      </w:r>
      <w:r w:rsidRPr="00FC1D31">
        <w:rPr>
          <w:rFonts w:ascii="Garamond" w:hAnsi="Garamond"/>
          <w:sz w:val="24"/>
          <w:szCs w:val="24"/>
        </w:rPr>
        <w:t xml:space="preserve">to ensure that their business strategy is compatible with </w:t>
      </w:r>
      <w:r w:rsidR="00E93994" w:rsidRPr="00FC1D31">
        <w:rPr>
          <w:rFonts w:ascii="Garamond" w:hAnsi="Garamond"/>
          <w:sz w:val="24"/>
          <w:szCs w:val="24"/>
        </w:rPr>
        <w:t>climate commitments</w:t>
      </w:r>
      <w:r w:rsidRPr="00FC1D31">
        <w:rPr>
          <w:rFonts w:ascii="Garamond" w:hAnsi="Garamond"/>
          <w:sz w:val="24"/>
          <w:szCs w:val="24"/>
        </w:rPr>
        <w:t xml:space="preserve"> in line with the Paris Agreement.</w:t>
      </w:r>
      <w:r w:rsidR="00E93994" w:rsidRPr="00FC1D31">
        <w:rPr>
          <w:rFonts w:ascii="Garamond" w:hAnsi="Garamond"/>
          <w:sz w:val="24"/>
          <w:szCs w:val="24"/>
        </w:rPr>
        <w:t xml:space="preserve"> It applies to EU companies but also, importantly, to non-EU companies active in the EU with turnover above certain thresholds. </w:t>
      </w:r>
      <w:r w:rsidR="003740C3" w:rsidRPr="00FC1D31">
        <w:rPr>
          <w:rFonts w:ascii="Garamond" w:hAnsi="Garamond"/>
          <w:sz w:val="24"/>
          <w:szCs w:val="24"/>
        </w:rPr>
        <w:t>A failure to comply w</w:t>
      </w:r>
      <w:r w:rsidR="00E93994" w:rsidRPr="00FC1D31">
        <w:rPr>
          <w:rFonts w:ascii="Garamond" w:hAnsi="Garamond"/>
          <w:sz w:val="24"/>
          <w:szCs w:val="24"/>
        </w:rPr>
        <w:t xml:space="preserve">ith </w:t>
      </w:r>
      <w:r w:rsidR="003740C3" w:rsidRPr="00FC1D31">
        <w:rPr>
          <w:rFonts w:ascii="Garamond" w:hAnsi="Garamond"/>
          <w:sz w:val="24"/>
          <w:szCs w:val="24"/>
        </w:rPr>
        <w:t xml:space="preserve">corporate </w:t>
      </w:r>
      <w:r w:rsidR="00E93994" w:rsidRPr="00FC1D31">
        <w:rPr>
          <w:rFonts w:ascii="Garamond" w:hAnsi="Garamond"/>
          <w:sz w:val="24"/>
          <w:szCs w:val="24"/>
        </w:rPr>
        <w:t xml:space="preserve">due diligence duties </w:t>
      </w:r>
      <w:r w:rsidR="003740C3" w:rsidRPr="00FC1D31">
        <w:rPr>
          <w:rFonts w:ascii="Garamond" w:hAnsi="Garamond"/>
          <w:sz w:val="24"/>
          <w:szCs w:val="24"/>
        </w:rPr>
        <w:t xml:space="preserve">could result in sanctions ranging from </w:t>
      </w:r>
      <w:r w:rsidR="003740C3" w:rsidRPr="00FC1D31">
        <w:rPr>
          <w:rFonts w:ascii="Garamond" w:eastAsia="Times New Roman" w:hAnsi="Garamond" w:cs="Times New Roman"/>
          <w:sz w:val="24"/>
          <w:szCs w:val="24"/>
          <w:lang w:eastAsia="en-GB"/>
        </w:rPr>
        <w:t>a requirement from a supervising authority to cease or not to repeat the infringement</w:t>
      </w:r>
      <w:r w:rsidR="00E11728" w:rsidRPr="00FC1D31">
        <w:rPr>
          <w:rFonts w:ascii="Garamond" w:eastAsia="Times New Roman" w:hAnsi="Garamond" w:cs="Times New Roman"/>
          <w:sz w:val="24"/>
          <w:szCs w:val="24"/>
          <w:lang w:eastAsia="en-GB"/>
        </w:rPr>
        <w:t>,</w:t>
      </w:r>
      <w:r w:rsidR="003740C3" w:rsidRPr="00FC1D31">
        <w:rPr>
          <w:rFonts w:ascii="Garamond" w:eastAsia="Times New Roman" w:hAnsi="Garamond" w:cs="Times New Roman"/>
          <w:sz w:val="24"/>
          <w:szCs w:val="24"/>
          <w:lang w:eastAsia="en-GB"/>
        </w:rPr>
        <w:t xml:space="preserve"> </w:t>
      </w:r>
      <w:r w:rsidR="00FC1D31">
        <w:rPr>
          <w:rFonts w:ascii="Garamond" w:eastAsia="Times New Roman" w:hAnsi="Garamond" w:cs="Times New Roman"/>
          <w:sz w:val="24"/>
          <w:szCs w:val="24"/>
          <w:lang w:eastAsia="en-GB"/>
        </w:rPr>
        <w:t xml:space="preserve">to </w:t>
      </w:r>
      <w:r w:rsidR="003740C3" w:rsidRPr="00FC1D31">
        <w:rPr>
          <w:rFonts w:ascii="Garamond" w:eastAsia="Times New Roman" w:hAnsi="Garamond" w:cs="Times New Roman"/>
          <w:sz w:val="24"/>
          <w:szCs w:val="24"/>
          <w:lang w:eastAsia="en-GB"/>
        </w:rPr>
        <w:t xml:space="preserve">sanctions and </w:t>
      </w:r>
      <w:r w:rsidR="00E11728" w:rsidRPr="00FC1D31">
        <w:rPr>
          <w:rFonts w:ascii="Garamond" w:eastAsia="Times New Roman" w:hAnsi="Garamond" w:cs="Times New Roman"/>
          <w:sz w:val="24"/>
          <w:szCs w:val="24"/>
          <w:lang w:eastAsia="en-GB"/>
        </w:rPr>
        <w:t>civil liability</w:t>
      </w:r>
      <w:r w:rsidR="003740C3" w:rsidRPr="00FC1D31">
        <w:rPr>
          <w:rFonts w:ascii="Garamond" w:eastAsia="Times New Roman" w:hAnsi="Garamond" w:cs="Times New Roman"/>
          <w:sz w:val="24"/>
          <w:szCs w:val="24"/>
          <w:lang w:eastAsia="en-GB"/>
        </w:rPr>
        <w:t>.</w:t>
      </w:r>
      <w:r w:rsidR="002615A1" w:rsidRPr="00FC1D31">
        <w:rPr>
          <w:rFonts w:ascii="Garamond" w:eastAsia="Times New Roman" w:hAnsi="Garamond" w:cs="Times New Roman"/>
          <w:sz w:val="24"/>
          <w:szCs w:val="24"/>
          <w:lang w:eastAsia="en-GB"/>
        </w:rPr>
        <w:t xml:space="preserve"> Investment lawyers may not necessarily recognise the relevance of this new mechanism for international investment law, but just as is the case with the Foreign Subsidies Regulation the </w:t>
      </w:r>
      <w:r w:rsidR="00830253" w:rsidRPr="00FC1D31">
        <w:rPr>
          <w:rFonts w:ascii="Garamond" w:eastAsia="Times New Roman" w:hAnsi="Garamond" w:cs="Times New Roman"/>
          <w:sz w:val="24"/>
          <w:szCs w:val="24"/>
          <w:lang w:eastAsia="en-GB"/>
        </w:rPr>
        <w:t>proposed mechanism for</w:t>
      </w:r>
      <w:r w:rsidR="002615A1" w:rsidRPr="00FC1D31">
        <w:rPr>
          <w:rFonts w:ascii="Garamond" w:eastAsia="Times New Roman" w:hAnsi="Garamond" w:cs="Times New Roman"/>
          <w:sz w:val="24"/>
          <w:szCs w:val="24"/>
          <w:lang w:eastAsia="en-GB"/>
        </w:rPr>
        <w:t xml:space="preserve"> corporate due diligence in effect represents an extra-territorial application of EU standards on human rights, environment and labour to foreign investors.</w:t>
      </w:r>
      <w:r w:rsidR="00BC4472" w:rsidRPr="00FC1D31">
        <w:rPr>
          <w:rFonts w:ascii="Garamond" w:eastAsia="Times New Roman" w:hAnsi="Garamond" w:cs="Times New Roman"/>
          <w:sz w:val="24"/>
          <w:szCs w:val="24"/>
          <w:lang w:eastAsia="en-GB"/>
        </w:rPr>
        <w:t xml:space="preserve"> As one of the giants on the trade scene, </w:t>
      </w:r>
      <w:r w:rsidR="00BC4472" w:rsidRPr="00FC1D31">
        <w:rPr>
          <w:rFonts w:ascii="Garamond" w:hAnsi="Garamond" w:cs="AdvOT833fb896"/>
          <w:sz w:val="24"/>
          <w:szCs w:val="24"/>
        </w:rPr>
        <w:t>the EU aspires to increase is global power and to ensure that its in</w:t>
      </w:r>
      <w:r w:rsidR="00BC4472" w:rsidRPr="00FC1D31">
        <w:rPr>
          <w:rFonts w:ascii="Garamond" w:hAnsi="Garamond" w:cs="AdvOT833fb896+fb"/>
          <w:sz w:val="24"/>
          <w:szCs w:val="24"/>
        </w:rPr>
        <w:t>fl</w:t>
      </w:r>
      <w:r w:rsidR="00BC4472" w:rsidRPr="00FC1D31">
        <w:rPr>
          <w:rFonts w:ascii="Garamond" w:hAnsi="Garamond" w:cs="AdvOT833fb896"/>
          <w:sz w:val="24"/>
          <w:szCs w:val="24"/>
        </w:rPr>
        <w:t>uence extend beyond its borders.</w:t>
      </w:r>
      <w:r w:rsidR="00BC4472" w:rsidRPr="00FC1D31">
        <w:rPr>
          <w:rStyle w:val="FootnoteReference"/>
          <w:rFonts w:ascii="Garamond" w:hAnsi="Garamond" w:cs="AdvOT833fb896"/>
          <w:sz w:val="24"/>
          <w:szCs w:val="24"/>
        </w:rPr>
        <w:footnoteReference w:id="36"/>
      </w:r>
    </w:p>
    <w:p w14:paraId="747C6F1E" w14:textId="77777777" w:rsidR="00BC4472" w:rsidRPr="00FC1D31" w:rsidRDefault="00BC4472" w:rsidP="00BC4472">
      <w:pPr>
        <w:autoSpaceDE w:val="0"/>
        <w:autoSpaceDN w:val="0"/>
        <w:adjustRightInd w:val="0"/>
        <w:spacing w:after="0" w:line="240" w:lineRule="auto"/>
        <w:jc w:val="both"/>
        <w:rPr>
          <w:rFonts w:ascii="Garamond" w:hAnsi="Garamond" w:cs="AdvOT833fb896"/>
          <w:sz w:val="24"/>
          <w:szCs w:val="24"/>
        </w:rPr>
      </w:pPr>
    </w:p>
    <w:p w14:paraId="127C58F7" w14:textId="7B269625" w:rsidR="00900EF9" w:rsidRPr="00FC1D31" w:rsidRDefault="00FC1D31" w:rsidP="00E11728">
      <w:pPr>
        <w:jc w:val="both"/>
        <w:rPr>
          <w:rFonts w:ascii="Garamond" w:hAnsi="Garamond"/>
          <w:sz w:val="24"/>
          <w:szCs w:val="24"/>
        </w:rPr>
      </w:pPr>
      <w:r>
        <w:rPr>
          <w:rFonts w:ascii="Garamond" w:hAnsi="Garamond" w:cs="Arial"/>
          <w:sz w:val="24"/>
          <w:szCs w:val="24"/>
        </w:rPr>
        <w:t>Since</w:t>
      </w:r>
      <w:r w:rsidRPr="00FC1D31">
        <w:rPr>
          <w:rFonts w:ascii="Garamond" w:hAnsi="Garamond" w:cs="Arial"/>
          <w:sz w:val="24"/>
          <w:szCs w:val="24"/>
        </w:rPr>
        <w:t xml:space="preserve"> </w:t>
      </w:r>
      <w:r w:rsidR="00E80548" w:rsidRPr="00FC1D31">
        <w:rPr>
          <w:rFonts w:ascii="Garamond" w:hAnsi="Garamond" w:cs="Arial"/>
          <w:sz w:val="24"/>
          <w:szCs w:val="24"/>
        </w:rPr>
        <w:t>the Commission recognised that the pursuit of open strategic autonomy requires both internal and external action, it is perhaps unsurprising that its trade policy objectives concerning sustainability</w:t>
      </w:r>
      <w:r w:rsidR="00604385" w:rsidRPr="00FC1D31">
        <w:rPr>
          <w:rFonts w:ascii="Garamond" w:hAnsi="Garamond" w:cs="Arial"/>
          <w:sz w:val="24"/>
          <w:szCs w:val="24"/>
        </w:rPr>
        <w:t xml:space="preserve"> </w:t>
      </w:r>
      <w:r w:rsidR="008E1F56" w:rsidRPr="00FC1D31">
        <w:rPr>
          <w:rFonts w:ascii="Garamond" w:hAnsi="Garamond" w:cs="Arial"/>
          <w:sz w:val="24"/>
          <w:szCs w:val="24"/>
        </w:rPr>
        <w:t xml:space="preserve">go beyond directives for the internal market but also </w:t>
      </w:r>
      <w:r w:rsidR="00604385" w:rsidRPr="00FC1D31">
        <w:rPr>
          <w:rFonts w:ascii="Garamond" w:hAnsi="Garamond" w:cs="Arial"/>
          <w:sz w:val="24"/>
          <w:szCs w:val="24"/>
        </w:rPr>
        <w:t xml:space="preserve">foreground </w:t>
      </w:r>
      <w:r w:rsidR="00604385" w:rsidRPr="00FC1D31">
        <w:rPr>
          <w:rFonts w:ascii="Garamond" w:hAnsi="Garamond"/>
          <w:sz w:val="24"/>
          <w:szCs w:val="24"/>
        </w:rPr>
        <w:t>trade agreements as a vehicle to both create economic opportunities and promote sustainability. The EU’s vast network of trade agreements is seen as ‘an essential platform to engage’ with partners on issues such as climate change, biodiversity but also to promote respect for core human and labour rights.</w:t>
      </w:r>
      <w:r w:rsidR="00604385" w:rsidRPr="00FC1D31">
        <w:rPr>
          <w:rStyle w:val="FootnoteReference"/>
          <w:rFonts w:ascii="Garamond" w:hAnsi="Garamond"/>
          <w:sz w:val="24"/>
          <w:szCs w:val="24"/>
        </w:rPr>
        <w:footnoteReference w:id="37"/>
      </w:r>
      <w:r w:rsidR="00604385" w:rsidRPr="00FC1D31">
        <w:rPr>
          <w:rFonts w:ascii="Garamond" w:hAnsi="Garamond"/>
          <w:sz w:val="24"/>
          <w:szCs w:val="24"/>
        </w:rPr>
        <w:t xml:space="preserve"> </w:t>
      </w:r>
      <w:r w:rsidR="00900EF9" w:rsidRPr="00FC1D31">
        <w:rPr>
          <w:rFonts w:ascii="Garamond" w:hAnsi="Garamond"/>
          <w:sz w:val="24"/>
          <w:szCs w:val="24"/>
        </w:rPr>
        <w:t xml:space="preserve">The signing of the EU-China Comprehensive Agreement on Investment (CAI) in 2021 </w:t>
      </w:r>
      <w:r w:rsidR="008E1F56" w:rsidRPr="00FC1D31">
        <w:rPr>
          <w:rFonts w:ascii="Garamond" w:hAnsi="Garamond"/>
          <w:sz w:val="24"/>
          <w:szCs w:val="24"/>
        </w:rPr>
        <w:t xml:space="preserve">is </w:t>
      </w:r>
      <w:r w:rsidR="00900EF9" w:rsidRPr="00FC1D31">
        <w:rPr>
          <w:rFonts w:ascii="Garamond" w:hAnsi="Garamond"/>
          <w:sz w:val="24"/>
          <w:szCs w:val="24"/>
        </w:rPr>
        <w:t xml:space="preserve">an illuminating example of open strategic autonomy in action. On the one hand, the CAI was hailed for securing certain commitments from China in respect of labour, human rights and sustainability. In what was seen as an unprecedented move, China undertook to make ‘continued and sustained efforts’ to ratify the fundamental conventions of the International </w:t>
      </w:r>
      <w:r w:rsidR="002615A1" w:rsidRPr="00FC1D31">
        <w:rPr>
          <w:rFonts w:ascii="Garamond" w:hAnsi="Garamond"/>
          <w:sz w:val="24"/>
          <w:szCs w:val="24"/>
        </w:rPr>
        <w:t>L</w:t>
      </w:r>
      <w:r w:rsidR="00900EF9" w:rsidRPr="00FC1D31">
        <w:rPr>
          <w:rFonts w:ascii="Garamond" w:hAnsi="Garamond"/>
          <w:sz w:val="24"/>
          <w:szCs w:val="24"/>
        </w:rPr>
        <w:t>ab</w:t>
      </w:r>
      <w:r w:rsidR="0086709B" w:rsidRPr="00FC1D31">
        <w:rPr>
          <w:rFonts w:ascii="Garamond" w:hAnsi="Garamond"/>
          <w:sz w:val="24"/>
          <w:szCs w:val="24"/>
        </w:rPr>
        <w:t>our Organization (ILO</w:t>
      </w:r>
      <w:proofErr w:type="gramStart"/>
      <w:r w:rsidR="0086709B" w:rsidRPr="00FC1D31">
        <w:rPr>
          <w:rFonts w:ascii="Garamond" w:hAnsi="Garamond"/>
          <w:sz w:val="24"/>
          <w:szCs w:val="24"/>
        </w:rPr>
        <w:t>), and</w:t>
      </w:r>
      <w:proofErr w:type="gramEnd"/>
      <w:r w:rsidR="0086709B" w:rsidRPr="00FC1D31">
        <w:rPr>
          <w:rFonts w:ascii="Garamond" w:hAnsi="Garamond"/>
          <w:sz w:val="24"/>
          <w:szCs w:val="24"/>
        </w:rPr>
        <w:t xml:space="preserve"> agreed to a neutral and open scrutiny of labour abuses. On the other hand, following the introduction in March 2021 of sanctions targeting Chinese officials implicated in the human rights abuses in Xinjiang and the immediate retaliatory sanctions from China, the ratification of the CAI ha</w:t>
      </w:r>
      <w:r w:rsidR="006D5599" w:rsidRPr="00FC1D31">
        <w:rPr>
          <w:rFonts w:ascii="Garamond" w:hAnsi="Garamond"/>
          <w:sz w:val="24"/>
          <w:szCs w:val="24"/>
        </w:rPr>
        <w:t>s</w:t>
      </w:r>
      <w:r w:rsidR="0086709B" w:rsidRPr="00FC1D31">
        <w:rPr>
          <w:rFonts w:ascii="Garamond" w:hAnsi="Garamond"/>
          <w:sz w:val="24"/>
          <w:szCs w:val="24"/>
        </w:rPr>
        <w:t xml:space="preserve"> been ‘justifiably frozen.’</w:t>
      </w:r>
      <w:r w:rsidR="008E1F56" w:rsidRPr="00FC1D31">
        <w:rPr>
          <w:rStyle w:val="FootnoteReference"/>
          <w:rFonts w:ascii="Garamond" w:hAnsi="Garamond"/>
          <w:sz w:val="24"/>
          <w:szCs w:val="24"/>
        </w:rPr>
        <w:footnoteReference w:id="38"/>
      </w:r>
      <w:r w:rsidR="0086709B" w:rsidRPr="00FC1D31">
        <w:rPr>
          <w:rFonts w:ascii="Garamond" w:hAnsi="Garamond"/>
          <w:sz w:val="24"/>
          <w:szCs w:val="24"/>
        </w:rPr>
        <w:t xml:space="preserve"> Still, the CAI provides an early example of the pursuit by the EU of open strategic autonomy through the parallel deployment of bilateral trade agreements and autonomous sanctions</w:t>
      </w:r>
      <w:r w:rsidR="008E1F56" w:rsidRPr="00FC1D31">
        <w:rPr>
          <w:rFonts w:ascii="Garamond" w:hAnsi="Garamond"/>
          <w:sz w:val="24"/>
          <w:szCs w:val="24"/>
        </w:rPr>
        <w:t xml:space="preserve">. It also illustrates the pitfalls of open strategic autonomy: the CAI ratification stalemate </w:t>
      </w:r>
      <w:r w:rsidR="007855D5" w:rsidRPr="00FC1D31">
        <w:rPr>
          <w:rFonts w:ascii="Garamond" w:hAnsi="Garamond"/>
          <w:sz w:val="24"/>
          <w:szCs w:val="24"/>
        </w:rPr>
        <w:t xml:space="preserve">raises the questions whether it is feasible for the EU to </w:t>
      </w:r>
      <w:r w:rsidR="007855D5" w:rsidRPr="00FC1D31">
        <w:rPr>
          <w:rFonts w:ascii="Garamond" w:hAnsi="Garamond"/>
          <w:sz w:val="24"/>
          <w:szCs w:val="24"/>
        </w:rPr>
        <w:lastRenderedPageBreak/>
        <w:t>assertively pursue further market openings in countries such as China whilst simultaneously defending and promoting human rights and labour standards.</w:t>
      </w:r>
    </w:p>
    <w:p w14:paraId="62FD1247" w14:textId="6F2D79C7" w:rsidR="007B007F" w:rsidRPr="00FC1D31" w:rsidRDefault="007B007F" w:rsidP="007B007F">
      <w:pPr>
        <w:autoSpaceDE w:val="0"/>
        <w:autoSpaceDN w:val="0"/>
        <w:adjustRightInd w:val="0"/>
        <w:spacing w:after="0" w:line="240" w:lineRule="auto"/>
        <w:jc w:val="both"/>
        <w:rPr>
          <w:rFonts w:ascii="Garamond" w:hAnsi="Garamond"/>
          <w:sz w:val="24"/>
          <w:szCs w:val="24"/>
        </w:rPr>
      </w:pPr>
    </w:p>
    <w:p w14:paraId="3EA5C8B2" w14:textId="25DDBFB4" w:rsidR="005A5514" w:rsidRPr="00FC1D31" w:rsidRDefault="00F12F0E" w:rsidP="002646F7">
      <w:pPr>
        <w:pStyle w:val="ListParagraph"/>
        <w:numPr>
          <w:ilvl w:val="0"/>
          <w:numId w:val="3"/>
        </w:numPr>
        <w:autoSpaceDE w:val="0"/>
        <w:autoSpaceDN w:val="0"/>
        <w:adjustRightInd w:val="0"/>
        <w:spacing w:after="0" w:line="240" w:lineRule="auto"/>
        <w:jc w:val="both"/>
        <w:rPr>
          <w:rFonts w:ascii="Garamond" w:hAnsi="Garamond" w:cs="StoneSerifStd-Medium"/>
          <w:sz w:val="24"/>
          <w:szCs w:val="24"/>
        </w:rPr>
      </w:pPr>
      <w:r w:rsidRPr="00FC1D31">
        <w:rPr>
          <w:rFonts w:ascii="Garamond" w:hAnsi="Garamond" w:cs="StoneSerifStd-Medium"/>
          <w:sz w:val="24"/>
          <w:szCs w:val="24"/>
        </w:rPr>
        <w:t>The genesis of defensive investment policy: defending which values?</w:t>
      </w:r>
    </w:p>
    <w:p w14:paraId="2F33104F" w14:textId="77777777" w:rsidR="005A5514" w:rsidRPr="00FC1D31" w:rsidRDefault="005A5514" w:rsidP="007B007F">
      <w:pPr>
        <w:autoSpaceDE w:val="0"/>
        <w:autoSpaceDN w:val="0"/>
        <w:adjustRightInd w:val="0"/>
        <w:spacing w:after="0" w:line="240" w:lineRule="auto"/>
        <w:jc w:val="both"/>
        <w:rPr>
          <w:rFonts w:ascii="Garamond" w:hAnsi="Garamond" w:cs="StoneSerifStd-Medium"/>
          <w:sz w:val="24"/>
          <w:szCs w:val="24"/>
        </w:rPr>
      </w:pPr>
    </w:p>
    <w:p w14:paraId="71635DA5" w14:textId="3AF385CD" w:rsidR="002A18DF" w:rsidRPr="00FC1D31" w:rsidRDefault="00BF31D5" w:rsidP="00075342">
      <w:pPr>
        <w:autoSpaceDE w:val="0"/>
        <w:autoSpaceDN w:val="0"/>
        <w:adjustRightInd w:val="0"/>
        <w:spacing w:after="0" w:line="240" w:lineRule="auto"/>
        <w:jc w:val="both"/>
        <w:rPr>
          <w:rFonts w:ascii="Garamond" w:hAnsi="Garamond" w:cs="AdvOTab62ddd15"/>
          <w:color w:val="000000"/>
          <w:sz w:val="24"/>
          <w:szCs w:val="24"/>
        </w:rPr>
      </w:pPr>
      <w:r w:rsidRPr="00FC1D31">
        <w:rPr>
          <w:rFonts w:ascii="Garamond" w:hAnsi="Garamond"/>
          <w:sz w:val="24"/>
          <w:szCs w:val="24"/>
        </w:rPr>
        <w:t xml:space="preserve">Why the shift towards </w:t>
      </w:r>
      <w:r w:rsidR="0025257E" w:rsidRPr="00FC1D31">
        <w:rPr>
          <w:rFonts w:ascii="Garamond" w:hAnsi="Garamond"/>
          <w:sz w:val="24"/>
          <w:szCs w:val="24"/>
        </w:rPr>
        <w:t xml:space="preserve">open strategic autonomy </w:t>
      </w:r>
      <w:r w:rsidR="004623DC" w:rsidRPr="00FC1D31">
        <w:rPr>
          <w:rFonts w:ascii="Garamond" w:hAnsi="Garamond"/>
          <w:sz w:val="24"/>
          <w:szCs w:val="24"/>
        </w:rPr>
        <w:t xml:space="preserve">and why </w:t>
      </w:r>
      <w:r w:rsidRPr="00FC1D31">
        <w:rPr>
          <w:rFonts w:ascii="Garamond" w:hAnsi="Garamond"/>
          <w:sz w:val="24"/>
          <w:szCs w:val="24"/>
        </w:rPr>
        <w:t>now</w:t>
      </w:r>
      <w:r w:rsidR="004623DC" w:rsidRPr="00FC1D31">
        <w:rPr>
          <w:rFonts w:ascii="Garamond" w:hAnsi="Garamond"/>
          <w:sz w:val="24"/>
          <w:szCs w:val="24"/>
        </w:rPr>
        <w:t>?</w:t>
      </w:r>
      <w:r w:rsidRPr="00FC1D31">
        <w:rPr>
          <w:rFonts w:ascii="Garamond" w:hAnsi="Garamond"/>
          <w:sz w:val="24"/>
          <w:szCs w:val="24"/>
        </w:rPr>
        <w:t xml:space="preserve"> </w:t>
      </w:r>
      <w:r w:rsidR="004623DC" w:rsidRPr="00FC1D31">
        <w:rPr>
          <w:rFonts w:ascii="Garamond" w:hAnsi="Garamond"/>
          <w:sz w:val="24"/>
          <w:szCs w:val="24"/>
        </w:rPr>
        <w:t>D</w:t>
      </w:r>
      <w:r w:rsidR="0025257E" w:rsidRPr="00FC1D31">
        <w:rPr>
          <w:rFonts w:ascii="Garamond" w:hAnsi="Garamond"/>
          <w:sz w:val="24"/>
          <w:szCs w:val="24"/>
        </w:rPr>
        <w:t>oes</w:t>
      </w:r>
      <w:r w:rsidRPr="00FC1D31">
        <w:rPr>
          <w:rFonts w:ascii="Garamond" w:hAnsi="Garamond"/>
          <w:sz w:val="24"/>
          <w:szCs w:val="24"/>
        </w:rPr>
        <w:t xml:space="preserve"> </w:t>
      </w:r>
      <w:r w:rsidR="0025257E" w:rsidRPr="00FC1D31">
        <w:rPr>
          <w:rFonts w:ascii="Garamond" w:hAnsi="Garamond"/>
          <w:sz w:val="24"/>
          <w:szCs w:val="24"/>
        </w:rPr>
        <w:t xml:space="preserve">the pursuit of more assertive and defensive investment policy </w:t>
      </w:r>
      <w:r w:rsidRPr="00FC1D31">
        <w:rPr>
          <w:rFonts w:ascii="Garamond" w:hAnsi="Garamond"/>
          <w:sz w:val="24"/>
          <w:szCs w:val="24"/>
        </w:rPr>
        <w:t>mean</w:t>
      </w:r>
      <w:r w:rsidR="0025257E" w:rsidRPr="00FC1D31">
        <w:rPr>
          <w:rFonts w:ascii="Garamond" w:hAnsi="Garamond"/>
          <w:sz w:val="24"/>
          <w:szCs w:val="24"/>
        </w:rPr>
        <w:t xml:space="preserve"> </w:t>
      </w:r>
      <w:r w:rsidRPr="00FC1D31">
        <w:rPr>
          <w:rFonts w:ascii="Garamond" w:hAnsi="Garamond"/>
          <w:sz w:val="24"/>
          <w:szCs w:val="24"/>
        </w:rPr>
        <w:t xml:space="preserve">a turn to protectionism – something that </w:t>
      </w:r>
      <w:r w:rsidR="00526C9E" w:rsidRPr="00FC1D31">
        <w:rPr>
          <w:rFonts w:ascii="Garamond" w:hAnsi="Garamond"/>
          <w:sz w:val="24"/>
          <w:szCs w:val="24"/>
        </w:rPr>
        <w:t>the EU’s multilateral and bilateral instruments on trade and investment have</w:t>
      </w:r>
      <w:r w:rsidRPr="00FC1D31">
        <w:rPr>
          <w:rFonts w:ascii="Garamond" w:hAnsi="Garamond"/>
          <w:sz w:val="24"/>
          <w:szCs w:val="24"/>
        </w:rPr>
        <w:t xml:space="preserve"> been conceived to counter and prevent?</w:t>
      </w:r>
      <w:r w:rsidR="0025257E" w:rsidRPr="00FC1D31">
        <w:rPr>
          <w:rFonts w:ascii="Garamond" w:hAnsi="Garamond"/>
          <w:sz w:val="24"/>
          <w:szCs w:val="24"/>
        </w:rPr>
        <w:t xml:space="preserve"> The genesis of</w:t>
      </w:r>
      <w:r w:rsidR="00526C9E" w:rsidRPr="00FC1D31">
        <w:rPr>
          <w:rFonts w:ascii="Garamond" w:hAnsi="Garamond"/>
          <w:sz w:val="24"/>
          <w:szCs w:val="24"/>
        </w:rPr>
        <w:t xml:space="preserve"> all three instruments</w:t>
      </w:r>
      <w:r w:rsidR="00780ADA" w:rsidRPr="00FC1D31">
        <w:rPr>
          <w:rFonts w:ascii="Garamond" w:hAnsi="Garamond"/>
          <w:sz w:val="24"/>
          <w:szCs w:val="24"/>
        </w:rPr>
        <w:t xml:space="preserve"> above—on FDI sc</w:t>
      </w:r>
      <w:r w:rsidR="00FC1D31">
        <w:rPr>
          <w:rFonts w:ascii="Garamond" w:hAnsi="Garamond"/>
          <w:sz w:val="24"/>
          <w:szCs w:val="24"/>
        </w:rPr>
        <w:t>r</w:t>
      </w:r>
      <w:r w:rsidR="00780ADA" w:rsidRPr="00FC1D31">
        <w:rPr>
          <w:rFonts w:ascii="Garamond" w:hAnsi="Garamond"/>
          <w:sz w:val="24"/>
          <w:szCs w:val="24"/>
        </w:rPr>
        <w:t xml:space="preserve">eening, foreign investment subsidies, and corporate sustainability due diligence—suggest </w:t>
      </w:r>
      <w:r w:rsidR="0025257E" w:rsidRPr="00FC1D31">
        <w:rPr>
          <w:rFonts w:ascii="Garamond" w:hAnsi="Garamond"/>
          <w:sz w:val="24"/>
          <w:szCs w:val="24"/>
        </w:rPr>
        <w:t xml:space="preserve">that, aside from </w:t>
      </w:r>
      <w:r w:rsidR="00D76B06" w:rsidRPr="00FC1D31">
        <w:rPr>
          <w:rFonts w:ascii="Garamond" w:hAnsi="Garamond"/>
          <w:sz w:val="24"/>
          <w:szCs w:val="24"/>
        </w:rPr>
        <w:t xml:space="preserve">the </w:t>
      </w:r>
      <w:r w:rsidR="0025257E" w:rsidRPr="00FC1D31">
        <w:rPr>
          <w:rFonts w:ascii="Garamond" w:hAnsi="Garamond"/>
          <w:sz w:val="24"/>
          <w:szCs w:val="24"/>
        </w:rPr>
        <w:t>concerns over national security</w:t>
      </w:r>
      <w:r w:rsidR="00526C9E" w:rsidRPr="00FC1D31">
        <w:rPr>
          <w:rFonts w:ascii="Garamond" w:hAnsi="Garamond"/>
          <w:sz w:val="24"/>
          <w:szCs w:val="24"/>
        </w:rPr>
        <w:t xml:space="preserve"> and the erosion of certain universal values</w:t>
      </w:r>
      <w:r w:rsidR="0025257E" w:rsidRPr="00FC1D31">
        <w:rPr>
          <w:rFonts w:ascii="Garamond" w:hAnsi="Garamond"/>
          <w:sz w:val="24"/>
          <w:szCs w:val="24"/>
        </w:rPr>
        <w:t>, fears over a loss of market leadership and domestic competitiveness ha</w:t>
      </w:r>
      <w:r w:rsidR="002A18DF" w:rsidRPr="00FC1D31">
        <w:rPr>
          <w:rFonts w:ascii="Garamond" w:hAnsi="Garamond"/>
          <w:sz w:val="24"/>
          <w:szCs w:val="24"/>
        </w:rPr>
        <w:t>ve</w:t>
      </w:r>
      <w:r w:rsidR="0025257E" w:rsidRPr="00FC1D31">
        <w:rPr>
          <w:rFonts w:ascii="Garamond" w:hAnsi="Garamond"/>
          <w:sz w:val="24"/>
          <w:szCs w:val="24"/>
        </w:rPr>
        <w:t xml:space="preserve"> been one of the major driving forces</w:t>
      </w:r>
      <w:r w:rsidR="00090B6A" w:rsidRPr="00FC1D31">
        <w:rPr>
          <w:rFonts w:ascii="Garamond" w:hAnsi="Garamond"/>
          <w:sz w:val="24"/>
          <w:szCs w:val="24"/>
        </w:rPr>
        <w:t xml:space="preserve"> behind the new developments in EU investment policy</w:t>
      </w:r>
      <w:r w:rsidR="0025257E" w:rsidRPr="00FC1D31">
        <w:rPr>
          <w:rFonts w:ascii="Garamond" w:hAnsi="Garamond"/>
          <w:sz w:val="24"/>
          <w:szCs w:val="24"/>
        </w:rPr>
        <w:t>.</w:t>
      </w:r>
      <w:r w:rsidR="0025257E" w:rsidRPr="00FC1D31">
        <w:rPr>
          <w:rStyle w:val="FootnoteReference"/>
          <w:rFonts w:ascii="Garamond" w:hAnsi="Garamond"/>
          <w:sz w:val="24"/>
          <w:szCs w:val="24"/>
        </w:rPr>
        <w:footnoteReference w:id="39"/>
      </w:r>
      <w:r w:rsidR="0025257E" w:rsidRPr="00FC1D31">
        <w:rPr>
          <w:rFonts w:ascii="Garamond" w:hAnsi="Garamond"/>
          <w:sz w:val="24"/>
          <w:szCs w:val="24"/>
        </w:rPr>
        <w:t xml:space="preserve"> </w:t>
      </w:r>
      <w:r w:rsidR="00D76B06" w:rsidRPr="00FC1D31">
        <w:rPr>
          <w:rFonts w:ascii="Garamond" w:hAnsi="Garamond"/>
          <w:sz w:val="24"/>
          <w:szCs w:val="24"/>
        </w:rPr>
        <w:t xml:space="preserve"> </w:t>
      </w:r>
      <w:r w:rsidR="0025257E" w:rsidRPr="00FC1D31">
        <w:rPr>
          <w:rFonts w:ascii="Garamond" w:hAnsi="Garamond" w:cs="AdvOTf9b4e953.B6"/>
          <w:sz w:val="24"/>
          <w:szCs w:val="24"/>
        </w:rPr>
        <w:t xml:space="preserve">For instance, it transpires that </w:t>
      </w:r>
      <w:r w:rsidR="0025257E" w:rsidRPr="00FC1D31">
        <w:rPr>
          <w:rFonts w:ascii="Garamond" w:hAnsi="Garamond" w:cs="AdvOTab62ddd15"/>
          <w:sz w:val="24"/>
          <w:szCs w:val="24"/>
        </w:rPr>
        <w:t>t</w:t>
      </w:r>
      <w:r w:rsidR="0025257E" w:rsidRPr="00FC1D31">
        <w:rPr>
          <w:rFonts w:ascii="Garamond" w:hAnsi="Garamond" w:cs="AdvOTab62ddd15"/>
          <w:color w:val="000000"/>
          <w:sz w:val="24"/>
          <w:szCs w:val="24"/>
        </w:rPr>
        <w:t>he federation of</w:t>
      </w:r>
      <w:r w:rsidR="0025257E" w:rsidRPr="00FC1D31">
        <w:rPr>
          <w:rFonts w:ascii="Garamond" w:hAnsi="Garamond" w:cs="AdvOTab62ddd15"/>
          <w:sz w:val="24"/>
          <w:szCs w:val="24"/>
        </w:rPr>
        <w:t xml:space="preserve"> </w:t>
      </w:r>
      <w:r w:rsidR="0025257E" w:rsidRPr="00FC1D31">
        <w:rPr>
          <w:rFonts w:ascii="Garamond" w:hAnsi="Garamond" w:cs="AdvOTab62ddd15"/>
          <w:color w:val="000000"/>
          <w:sz w:val="24"/>
          <w:szCs w:val="24"/>
        </w:rPr>
        <w:t xml:space="preserve">European trade unions, </w:t>
      </w:r>
      <w:proofErr w:type="spellStart"/>
      <w:r w:rsidR="0025257E" w:rsidRPr="00FC1D31">
        <w:rPr>
          <w:rFonts w:ascii="Garamond" w:hAnsi="Garamond" w:cs="AdvOTab62ddd15"/>
          <w:color w:val="000000"/>
          <w:sz w:val="24"/>
          <w:szCs w:val="24"/>
        </w:rPr>
        <w:t>IndustriALL</w:t>
      </w:r>
      <w:proofErr w:type="spellEnd"/>
      <w:r w:rsidR="0025257E" w:rsidRPr="00FC1D31">
        <w:rPr>
          <w:rFonts w:ascii="Garamond" w:hAnsi="Garamond" w:cs="AdvOTab62ddd15"/>
          <w:color w:val="000000"/>
          <w:sz w:val="24"/>
          <w:szCs w:val="24"/>
        </w:rPr>
        <w:t xml:space="preserve"> Europe, </w:t>
      </w:r>
      <w:r w:rsidR="00D76B06" w:rsidRPr="00FC1D31">
        <w:rPr>
          <w:rFonts w:ascii="Garamond" w:hAnsi="Garamond" w:cs="AdvOTab62ddd15"/>
          <w:color w:val="000000"/>
          <w:sz w:val="24"/>
          <w:szCs w:val="24"/>
        </w:rPr>
        <w:t>stressed its concerns over the fact that</w:t>
      </w:r>
      <w:r w:rsidR="0025257E" w:rsidRPr="00FC1D31">
        <w:rPr>
          <w:rFonts w:ascii="Garamond" w:hAnsi="Garamond" w:cs="AdvOTab62ddd15"/>
          <w:color w:val="000000"/>
          <w:sz w:val="24"/>
          <w:szCs w:val="24"/>
        </w:rPr>
        <w:t xml:space="preserve"> </w:t>
      </w:r>
      <w:r w:rsidR="00D76B06" w:rsidRPr="00FC1D31">
        <w:rPr>
          <w:rFonts w:ascii="Garamond" w:hAnsi="Garamond" w:cs="AdvOTab62ddd15"/>
          <w:color w:val="000000"/>
          <w:sz w:val="24"/>
          <w:szCs w:val="24"/>
        </w:rPr>
        <w:t>‘</w:t>
      </w:r>
      <w:r w:rsidR="0025257E" w:rsidRPr="00FC1D31">
        <w:rPr>
          <w:rFonts w:ascii="Garamond" w:hAnsi="Garamond" w:cs="AdvOTab62ddd15"/>
          <w:color w:val="000000"/>
          <w:sz w:val="24"/>
          <w:szCs w:val="24"/>
        </w:rPr>
        <w:t>state</w:t>
      </w:r>
      <w:r w:rsidR="00D76B06" w:rsidRPr="00FC1D31">
        <w:rPr>
          <w:rFonts w:ascii="Garamond" w:hAnsi="Garamond" w:cs="AdvOTab62ddd15"/>
          <w:sz w:val="24"/>
          <w:szCs w:val="24"/>
        </w:rPr>
        <w:t xml:space="preserve"> </w:t>
      </w:r>
      <w:r w:rsidR="0025257E" w:rsidRPr="00FC1D31">
        <w:rPr>
          <w:rFonts w:ascii="Garamond" w:hAnsi="Garamond" w:cs="AdvOTab62ddd15"/>
          <w:color w:val="000000"/>
          <w:sz w:val="24"/>
          <w:szCs w:val="24"/>
        </w:rPr>
        <w:t>aid and dominant positions are prohibited inside the EU but allowed in other parts of</w:t>
      </w:r>
      <w:r w:rsidR="00D76B06" w:rsidRPr="00FC1D31">
        <w:rPr>
          <w:rFonts w:ascii="Garamond" w:hAnsi="Garamond" w:cs="AdvOTab62ddd15"/>
          <w:sz w:val="24"/>
          <w:szCs w:val="24"/>
        </w:rPr>
        <w:t xml:space="preserve"> </w:t>
      </w:r>
      <w:r w:rsidR="0025257E" w:rsidRPr="00FC1D31">
        <w:rPr>
          <w:rFonts w:ascii="Garamond" w:hAnsi="Garamond" w:cs="AdvOTab62ddd15"/>
          <w:color w:val="000000"/>
          <w:sz w:val="24"/>
          <w:szCs w:val="24"/>
        </w:rPr>
        <w:t xml:space="preserve">the global economy creates an unequal playing </w:t>
      </w:r>
      <w:r w:rsidR="0025257E" w:rsidRPr="00FC1D31">
        <w:rPr>
          <w:rFonts w:ascii="Garamond" w:hAnsi="Garamond" w:cs="AdvOTab62ddd1+fb5"/>
          <w:color w:val="000000"/>
          <w:sz w:val="24"/>
          <w:szCs w:val="24"/>
        </w:rPr>
        <w:t>fi</w:t>
      </w:r>
      <w:r w:rsidR="0025257E" w:rsidRPr="00FC1D31">
        <w:rPr>
          <w:rFonts w:ascii="Garamond" w:hAnsi="Garamond" w:cs="AdvOTab62ddd15"/>
          <w:color w:val="000000"/>
          <w:sz w:val="24"/>
          <w:szCs w:val="24"/>
        </w:rPr>
        <w:t>eld as foreign companies can use</w:t>
      </w:r>
      <w:r w:rsidR="00D76B06" w:rsidRPr="00FC1D31">
        <w:rPr>
          <w:rFonts w:ascii="Garamond" w:hAnsi="Garamond" w:cs="AdvOTab62ddd15"/>
          <w:sz w:val="24"/>
          <w:szCs w:val="24"/>
        </w:rPr>
        <w:t xml:space="preserve"> </w:t>
      </w:r>
      <w:r w:rsidR="0025257E" w:rsidRPr="00FC1D31">
        <w:rPr>
          <w:rFonts w:ascii="Garamond" w:hAnsi="Garamond" w:cs="AdvOTab62ddd15"/>
          <w:color w:val="000000"/>
          <w:sz w:val="24"/>
          <w:szCs w:val="24"/>
        </w:rPr>
        <w:t>monopoly pro</w:t>
      </w:r>
      <w:r w:rsidR="0025257E" w:rsidRPr="00FC1D31">
        <w:rPr>
          <w:rFonts w:ascii="Garamond" w:hAnsi="Garamond" w:cs="AdvOTab62ddd1+fb5"/>
          <w:color w:val="000000"/>
          <w:sz w:val="24"/>
          <w:szCs w:val="24"/>
        </w:rPr>
        <w:t>fi</w:t>
      </w:r>
      <w:r w:rsidR="0025257E" w:rsidRPr="00FC1D31">
        <w:rPr>
          <w:rFonts w:ascii="Garamond" w:hAnsi="Garamond" w:cs="AdvOTab62ddd15"/>
          <w:color w:val="000000"/>
          <w:sz w:val="24"/>
          <w:szCs w:val="24"/>
        </w:rPr>
        <w:t>ts or state aid to acquire industrial assets in the EU</w:t>
      </w:r>
      <w:r w:rsidR="00D76B06" w:rsidRPr="00FC1D31">
        <w:rPr>
          <w:rFonts w:ascii="Garamond" w:hAnsi="Garamond" w:cs="AdvOTab62ddd15"/>
          <w:color w:val="000000"/>
          <w:sz w:val="24"/>
          <w:szCs w:val="24"/>
        </w:rPr>
        <w:t>.’</w:t>
      </w:r>
      <w:r w:rsidR="00D76B06" w:rsidRPr="00FC1D31">
        <w:rPr>
          <w:rStyle w:val="FootnoteReference"/>
          <w:rFonts w:ascii="Garamond" w:hAnsi="Garamond" w:cs="AdvOTab62ddd15"/>
          <w:color w:val="000000"/>
          <w:sz w:val="24"/>
          <w:szCs w:val="24"/>
        </w:rPr>
        <w:footnoteReference w:id="40"/>
      </w:r>
      <w:r w:rsidR="00D76B06" w:rsidRPr="00FC1D31">
        <w:rPr>
          <w:rFonts w:ascii="Garamond" w:hAnsi="Garamond" w:cs="AdvOTab62ddd15"/>
          <w:color w:val="000000"/>
          <w:sz w:val="24"/>
          <w:szCs w:val="24"/>
        </w:rPr>
        <w:t xml:space="preserve"> It had</w:t>
      </w:r>
      <w:r w:rsidR="0025257E" w:rsidRPr="00FC1D31">
        <w:rPr>
          <w:rFonts w:ascii="Garamond" w:hAnsi="Garamond" w:cs="AdvOTab62ddd15"/>
          <w:color w:val="000000"/>
          <w:sz w:val="24"/>
          <w:szCs w:val="24"/>
        </w:rPr>
        <w:t xml:space="preserve"> urged the Commission </w:t>
      </w:r>
      <w:r w:rsidR="00D76B06" w:rsidRPr="00FC1D31">
        <w:rPr>
          <w:rFonts w:ascii="Garamond" w:hAnsi="Garamond" w:cs="AdvOTab62ddd1+203"/>
          <w:color w:val="000000"/>
          <w:sz w:val="24"/>
          <w:szCs w:val="24"/>
        </w:rPr>
        <w:t>‘</w:t>
      </w:r>
      <w:r w:rsidR="0025257E" w:rsidRPr="00FC1D31">
        <w:rPr>
          <w:rFonts w:ascii="Garamond" w:hAnsi="Garamond" w:cs="AdvOTab62ddd15"/>
          <w:color w:val="000000"/>
          <w:sz w:val="24"/>
          <w:szCs w:val="24"/>
        </w:rPr>
        <w:t>to grant decision powers at European level in case of</w:t>
      </w:r>
      <w:r w:rsidR="00D76B06" w:rsidRPr="00FC1D31">
        <w:rPr>
          <w:rFonts w:ascii="Garamond" w:hAnsi="Garamond" w:cs="AdvOTab62ddd15"/>
          <w:color w:val="000000"/>
          <w:sz w:val="24"/>
          <w:szCs w:val="24"/>
        </w:rPr>
        <w:t xml:space="preserve"> </w:t>
      </w:r>
      <w:r w:rsidR="0025257E" w:rsidRPr="00FC1D31">
        <w:rPr>
          <w:rFonts w:ascii="Garamond" w:hAnsi="Garamond" w:cs="AdvOTab62ddd15"/>
          <w:color w:val="000000"/>
          <w:sz w:val="24"/>
          <w:szCs w:val="24"/>
        </w:rPr>
        <w:t>state-led takeovers</w:t>
      </w:r>
      <w:r w:rsidR="00D76B06" w:rsidRPr="00FC1D31">
        <w:rPr>
          <w:rFonts w:ascii="Garamond" w:hAnsi="Garamond" w:cs="AdvOTab62ddd15"/>
          <w:color w:val="000000"/>
          <w:sz w:val="24"/>
          <w:szCs w:val="24"/>
        </w:rPr>
        <w:t>.’</w:t>
      </w:r>
      <w:r w:rsidR="00D76B06" w:rsidRPr="00FC1D31">
        <w:rPr>
          <w:rStyle w:val="FootnoteReference"/>
          <w:rFonts w:ascii="Garamond" w:hAnsi="Garamond" w:cs="AdvOTab62ddd15"/>
          <w:color w:val="000000"/>
          <w:sz w:val="24"/>
          <w:szCs w:val="24"/>
        </w:rPr>
        <w:footnoteReference w:id="41"/>
      </w:r>
      <w:r w:rsidR="00D76B06" w:rsidRPr="00FC1D31">
        <w:rPr>
          <w:rFonts w:ascii="Garamond" w:hAnsi="Garamond" w:cs="AdvOTab62ddd15"/>
          <w:color w:val="000000"/>
          <w:sz w:val="24"/>
          <w:szCs w:val="24"/>
        </w:rPr>
        <w:t xml:space="preserve"> </w:t>
      </w:r>
    </w:p>
    <w:p w14:paraId="5449F40E" w14:textId="77777777" w:rsidR="002A18DF" w:rsidRPr="00FC1D31" w:rsidRDefault="002A18DF" w:rsidP="00075342">
      <w:pPr>
        <w:autoSpaceDE w:val="0"/>
        <w:autoSpaceDN w:val="0"/>
        <w:adjustRightInd w:val="0"/>
        <w:spacing w:after="0" w:line="240" w:lineRule="auto"/>
        <w:jc w:val="both"/>
        <w:rPr>
          <w:rFonts w:ascii="Garamond" w:hAnsi="Garamond" w:cs="AdvOTab62ddd15"/>
          <w:color w:val="000000"/>
          <w:sz w:val="24"/>
          <w:szCs w:val="24"/>
        </w:rPr>
      </w:pPr>
    </w:p>
    <w:p w14:paraId="3DC6D25A" w14:textId="6EA53768" w:rsidR="008C0268" w:rsidRPr="00FC1D31" w:rsidRDefault="00D76B06" w:rsidP="00075342">
      <w:pPr>
        <w:autoSpaceDE w:val="0"/>
        <w:autoSpaceDN w:val="0"/>
        <w:adjustRightInd w:val="0"/>
        <w:spacing w:after="0" w:line="240" w:lineRule="auto"/>
        <w:jc w:val="both"/>
        <w:rPr>
          <w:rFonts w:ascii="Garamond" w:hAnsi="Garamond" w:cs="AdvOTab62ddd124"/>
          <w:color w:val="000000"/>
          <w:sz w:val="24"/>
          <w:szCs w:val="24"/>
        </w:rPr>
      </w:pPr>
      <w:r w:rsidRPr="00FC1D31">
        <w:rPr>
          <w:rFonts w:ascii="Garamond" w:hAnsi="Garamond"/>
          <w:sz w:val="24"/>
          <w:szCs w:val="24"/>
        </w:rPr>
        <w:t>Elsewhere, the growing trends towards tighter scrutiny of inward foreign investment</w:t>
      </w:r>
      <w:r w:rsidR="00090B6A" w:rsidRPr="00FC1D31">
        <w:rPr>
          <w:rFonts w:ascii="Garamond" w:hAnsi="Garamond"/>
          <w:sz w:val="24"/>
          <w:szCs w:val="24"/>
        </w:rPr>
        <w:t xml:space="preserve"> across the globe</w:t>
      </w:r>
      <w:r w:rsidRPr="00FC1D31">
        <w:rPr>
          <w:rFonts w:ascii="Garamond" w:hAnsi="Garamond"/>
          <w:sz w:val="24"/>
          <w:szCs w:val="24"/>
        </w:rPr>
        <w:t xml:space="preserve"> has been explained as a combined effect of concerns relating to technological leadership, foreign control in sensitive or strategic sectors, and the proliferation of state-owned investments. </w:t>
      </w:r>
      <w:r w:rsidR="00D155AA" w:rsidRPr="00FC1D31">
        <w:rPr>
          <w:rFonts w:ascii="Garamond" w:hAnsi="Garamond"/>
          <w:sz w:val="24"/>
          <w:szCs w:val="24"/>
        </w:rPr>
        <w:t xml:space="preserve"> </w:t>
      </w:r>
      <w:r w:rsidR="006D5599" w:rsidRPr="00FC1D31">
        <w:rPr>
          <w:rFonts w:ascii="Garamond" w:hAnsi="Garamond"/>
          <w:sz w:val="24"/>
          <w:szCs w:val="24"/>
        </w:rPr>
        <w:t>A</w:t>
      </w:r>
      <w:r w:rsidR="00D155AA" w:rsidRPr="00FC1D31">
        <w:rPr>
          <w:rFonts w:ascii="Garamond" w:hAnsi="Garamond"/>
          <w:sz w:val="24"/>
          <w:szCs w:val="24"/>
        </w:rPr>
        <w:t xml:space="preserve">ccording to the UNCTAD, </w:t>
      </w:r>
      <w:r w:rsidR="00D155AA" w:rsidRPr="00FC1D31">
        <w:rPr>
          <w:rFonts w:ascii="Garamond" w:hAnsi="Garamond" w:cs="AdvOTab62ddd124"/>
          <w:color w:val="000000"/>
          <w:sz w:val="24"/>
          <w:szCs w:val="24"/>
        </w:rPr>
        <w:t>as ‘</w:t>
      </w:r>
      <w:r w:rsidRPr="00FC1D31">
        <w:rPr>
          <w:rFonts w:ascii="Garamond" w:hAnsi="Garamond" w:cs="AdvOTab62ddd124"/>
          <w:color w:val="000000"/>
          <w:sz w:val="24"/>
          <w:szCs w:val="24"/>
        </w:rPr>
        <w:t>cutting</w:t>
      </w:r>
      <w:r w:rsidR="00D155AA" w:rsidRPr="00FC1D31">
        <w:rPr>
          <w:rFonts w:ascii="Garamond" w:hAnsi="Garamond" w:cs="AdvOTab62ddd124"/>
          <w:color w:val="000000"/>
          <w:sz w:val="24"/>
          <w:szCs w:val="24"/>
        </w:rPr>
        <w:t>-</w:t>
      </w:r>
      <w:r w:rsidRPr="00FC1D31">
        <w:rPr>
          <w:rFonts w:ascii="Garamond" w:hAnsi="Garamond" w:cs="AdvOTab62ddd124"/>
          <w:color w:val="000000"/>
          <w:sz w:val="24"/>
          <w:szCs w:val="24"/>
        </w:rPr>
        <w:t>edge technologies and knowhow</w:t>
      </w:r>
      <w:r w:rsidR="00D155AA" w:rsidRPr="00FC1D31">
        <w:rPr>
          <w:rFonts w:ascii="Garamond" w:hAnsi="Garamond"/>
          <w:sz w:val="24"/>
          <w:szCs w:val="24"/>
        </w:rPr>
        <w:t xml:space="preserve"> </w:t>
      </w:r>
      <w:r w:rsidRPr="00FC1D31">
        <w:rPr>
          <w:rFonts w:ascii="Garamond" w:hAnsi="Garamond" w:cs="AdvOTab62ddd124"/>
          <w:color w:val="000000"/>
          <w:sz w:val="24"/>
          <w:szCs w:val="24"/>
        </w:rPr>
        <w:t>have become a key factor for the international competitiveness of countries</w:t>
      </w:r>
      <w:r w:rsidR="00D155AA" w:rsidRPr="00FC1D31">
        <w:rPr>
          <w:rFonts w:ascii="Garamond" w:hAnsi="Garamond" w:cs="AdvOTab62ddd124"/>
          <w:color w:val="000000"/>
          <w:sz w:val="24"/>
          <w:szCs w:val="24"/>
        </w:rPr>
        <w:t>’, some states may have</w:t>
      </w:r>
      <w:r w:rsidRPr="00FC1D31">
        <w:rPr>
          <w:rFonts w:ascii="Garamond" w:hAnsi="Garamond" w:cs="AdvOTab62ddd124"/>
          <w:color w:val="000000"/>
          <w:sz w:val="24"/>
          <w:szCs w:val="24"/>
        </w:rPr>
        <w:t xml:space="preserve"> a strong interest in ensuring that </w:t>
      </w:r>
      <w:r w:rsidR="00D155AA" w:rsidRPr="00FC1D31">
        <w:rPr>
          <w:rFonts w:ascii="Garamond" w:hAnsi="Garamond" w:cs="AdvOTab62ddd124"/>
          <w:color w:val="000000"/>
          <w:sz w:val="24"/>
          <w:szCs w:val="24"/>
        </w:rPr>
        <w:t>such assets</w:t>
      </w:r>
      <w:r w:rsidRPr="00FC1D31">
        <w:rPr>
          <w:rFonts w:ascii="Garamond" w:hAnsi="Garamond" w:cs="AdvOTab62ddd124"/>
          <w:color w:val="000000"/>
          <w:sz w:val="24"/>
          <w:szCs w:val="24"/>
        </w:rPr>
        <w:t xml:space="preserve"> remain in</w:t>
      </w:r>
      <w:r w:rsidR="00D155AA" w:rsidRPr="00FC1D31">
        <w:rPr>
          <w:rFonts w:ascii="Garamond" w:hAnsi="Garamond" w:cs="AdvOTab62ddd124"/>
          <w:color w:val="000000"/>
          <w:sz w:val="24"/>
          <w:szCs w:val="24"/>
        </w:rPr>
        <w:t xml:space="preserve"> </w:t>
      </w:r>
      <w:r w:rsidRPr="00FC1D31">
        <w:rPr>
          <w:rFonts w:ascii="Garamond" w:hAnsi="Garamond" w:cs="AdvOTab62ddd124"/>
          <w:color w:val="000000"/>
          <w:sz w:val="24"/>
          <w:szCs w:val="24"/>
        </w:rPr>
        <w:t>domestic hands</w:t>
      </w:r>
      <w:r w:rsidR="00D155AA" w:rsidRPr="00FC1D31">
        <w:rPr>
          <w:rFonts w:ascii="Garamond" w:hAnsi="Garamond" w:cs="AdvOTab62ddd124"/>
          <w:color w:val="000000"/>
          <w:sz w:val="24"/>
          <w:szCs w:val="24"/>
        </w:rPr>
        <w:t>.’</w:t>
      </w:r>
      <w:r w:rsidR="00D155AA" w:rsidRPr="00FC1D31">
        <w:rPr>
          <w:rStyle w:val="FootnoteReference"/>
          <w:rFonts w:ascii="Garamond" w:hAnsi="Garamond" w:cs="AdvOTab62ddd124"/>
          <w:color w:val="000000"/>
          <w:sz w:val="24"/>
          <w:szCs w:val="24"/>
        </w:rPr>
        <w:footnoteReference w:id="42"/>
      </w:r>
      <w:r w:rsidR="00D155AA" w:rsidRPr="00FC1D31">
        <w:rPr>
          <w:rFonts w:ascii="Garamond" w:hAnsi="Garamond" w:cs="AdvOTab62ddd124"/>
          <w:color w:val="000000"/>
          <w:sz w:val="24"/>
          <w:szCs w:val="24"/>
        </w:rPr>
        <w:t xml:space="preserve"> Besides, ‘</w:t>
      </w:r>
      <w:r w:rsidRPr="00FC1D31">
        <w:rPr>
          <w:rFonts w:ascii="Garamond" w:hAnsi="Garamond" w:cs="AdvOTab62ddd124"/>
          <w:color w:val="000000"/>
          <w:sz w:val="24"/>
          <w:szCs w:val="24"/>
        </w:rPr>
        <w:t xml:space="preserve">many countries may </w:t>
      </w:r>
      <w:r w:rsidRPr="00FC1D31">
        <w:rPr>
          <w:rFonts w:ascii="Garamond" w:hAnsi="Garamond" w:cs="AdvOTab62ddd1+fb24"/>
          <w:color w:val="000000"/>
          <w:sz w:val="24"/>
          <w:szCs w:val="24"/>
        </w:rPr>
        <w:t>fi</w:t>
      </w:r>
      <w:r w:rsidRPr="00FC1D31">
        <w:rPr>
          <w:rFonts w:ascii="Garamond" w:hAnsi="Garamond" w:cs="AdvOTab62ddd124"/>
          <w:color w:val="000000"/>
          <w:sz w:val="24"/>
          <w:szCs w:val="24"/>
        </w:rPr>
        <w:t>nd it necessary or desirable that other</w:t>
      </w:r>
      <w:r w:rsidR="00D155AA" w:rsidRPr="00FC1D31">
        <w:rPr>
          <w:rFonts w:ascii="Garamond" w:hAnsi="Garamond" w:cs="AdvOTab62ddd124"/>
          <w:color w:val="000000"/>
          <w:sz w:val="24"/>
          <w:szCs w:val="24"/>
        </w:rPr>
        <w:t xml:space="preserve"> </w:t>
      </w:r>
      <w:r w:rsidRPr="00FC1D31">
        <w:rPr>
          <w:rFonts w:ascii="Garamond" w:hAnsi="Garamond" w:cs="AdvOTab62ddd124"/>
          <w:color w:val="000000"/>
          <w:sz w:val="24"/>
          <w:szCs w:val="24"/>
        </w:rPr>
        <w:t>companies of strategic importance and critical infrastructure are not foreign controlled</w:t>
      </w:r>
      <w:r w:rsidR="00D155AA" w:rsidRPr="00FC1D31">
        <w:rPr>
          <w:rFonts w:ascii="Garamond" w:hAnsi="Garamond" w:cs="AdvOTab62ddd124"/>
          <w:color w:val="000000"/>
          <w:sz w:val="24"/>
          <w:szCs w:val="24"/>
        </w:rPr>
        <w:t>’, particularly in cases where the relevant foreign investor is state-owned or controlled.</w:t>
      </w:r>
      <w:r w:rsidR="00D155AA" w:rsidRPr="00FC1D31">
        <w:rPr>
          <w:rStyle w:val="FootnoteReference"/>
          <w:rFonts w:ascii="Garamond" w:hAnsi="Garamond" w:cs="AdvOTab62ddd124"/>
          <w:color w:val="000000"/>
          <w:sz w:val="24"/>
          <w:szCs w:val="24"/>
        </w:rPr>
        <w:footnoteReference w:id="43"/>
      </w:r>
      <w:r w:rsidR="00D155AA" w:rsidRPr="00FC1D31">
        <w:rPr>
          <w:rFonts w:ascii="Garamond" w:hAnsi="Garamond" w:cs="AdvOTab62ddd124"/>
          <w:color w:val="000000"/>
          <w:sz w:val="24"/>
          <w:szCs w:val="24"/>
        </w:rPr>
        <w:t xml:space="preserve"> Yet these explanations are not entirely convincing. Technology has been a key factor of competitiveness since the 1960s, and state-owned enterprises have existed and thrived</w:t>
      </w:r>
      <w:r w:rsidR="00412EED" w:rsidRPr="00FC1D31">
        <w:rPr>
          <w:rFonts w:ascii="Garamond" w:hAnsi="Garamond" w:cs="AdvOTab62ddd124"/>
          <w:color w:val="000000"/>
          <w:sz w:val="24"/>
          <w:szCs w:val="24"/>
        </w:rPr>
        <w:t xml:space="preserve"> as investors</w:t>
      </w:r>
      <w:r w:rsidR="00D155AA" w:rsidRPr="00FC1D31">
        <w:rPr>
          <w:rFonts w:ascii="Garamond" w:hAnsi="Garamond" w:cs="AdvOTab62ddd124"/>
          <w:color w:val="000000"/>
          <w:sz w:val="24"/>
          <w:szCs w:val="24"/>
        </w:rPr>
        <w:t xml:space="preserve"> both in the EU and beyond</w:t>
      </w:r>
      <w:r w:rsidR="006F42C9" w:rsidRPr="00FC1D31">
        <w:rPr>
          <w:rFonts w:ascii="Garamond" w:hAnsi="Garamond" w:cs="AdvOTab62ddd124"/>
          <w:color w:val="000000"/>
          <w:sz w:val="24"/>
          <w:szCs w:val="24"/>
        </w:rPr>
        <w:t xml:space="preserve"> for a long time</w:t>
      </w:r>
      <w:r w:rsidR="00D155AA" w:rsidRPr="00FC1D31">
        <w:rPr>
          <w:rFonts w:ascii="Garamond" w:hAnsi="Garamond" w:cs="AdvOTab62ddd124"/>
          <w:color w:val="000000"/>
          <w:sz w:val="24"/>
          <w:szCs w:val="24"/>
        </w:rPr>
        <w:t>.</w:t>
      </w:r>
      <w:r w:rsidR="001878CA" w:rsidRPr="00FC1D31">
        <w:rPr>
          <w:rFonts w:ascii="Garamond" w:hAnsi="Garamond" w:cs="AdvOTab62ddd124"/>
          <w:color w:val="000000"/>
          <w:sz w:val="24"/>
          <w:szCs w:val="24"/>
        </w:rPr>
        <w:t xml:space="preserve"> In fact, as far as international investment agreements are concerned, </w:t>
      </w:r>
      <w:r w:rsidR="00412EED" w:rsidRPr="00FC1D31">
        <w:rPr>
          <w:rFonts w:ascii="Garamond" w:hAnsi="Garamond" w:cs="AdvOTab62ddd124"/>
          <w:color w:val="000000"/>
          <w:sz w:val="24"/>
          <w:szCs w:val="24"/>
        </w:rPr>
        <w:t>the importance of treating</w:t>
      </w:r>
      <w:r w:rsidR="001878CA" w:rsidRPr="00FC1D31">
        <w:rPr>
          <w:rFonts w:ascii="Garamond" w:hAnsi="Garamond" w:cs="AdvOTab62ddd124"/>
          <w:color w:val="000000"/>
          <w:sz w:val="24"/>
          <w:szCs w:val="24"/>
        </w:rPr>
        <w:t xml:space="preserve"> state-owned foreign investors on par with other investors has long been acknowledged as an expression of the principle of investment neutrality such agreements were designed to safeguard.</w:t>
      </w:r>
      <w:r w:rsidR="001878CA" w:rsidRPr="00FC1D31">
        <w:rPr>
          <w:rStyle w:val="FootnoteReference"/>
          <w:rFonts w:ascii="Garamond" w:hAnsi="Garamond" w:cs="AdvOTab62ddd124"/>
          <w:color w:val="000000"/>
          <w:sz w:val="24"/>
          <w:szCs w:val="24"/>
        </w:rPr>
        <w:footnoteReference w:id="44"/>
      </w:r>
      <w:r w:rsidR="008C0268" w:rsidRPr="00FC1D31">
        <w:rPr>
          <w:rFonts w:ascii="Garamond" w:hAnsi="Garamond" w:cs="AdvOTab62ddd124"/>
          <w:color w:val="000000"/>
          <w:sz w:val="24"/>
          <w:szCs w:val="24"/>
        </w:rPr>
        <w:t xml:space="preserve"> </w:t>
      </w:r>
    </w:p>
    <w:p w14:paraId="533149BC" w14:textId="77777777" w:rsidR="008C0268" w:rsidRPr="00FC1D31" w:rsidRDefault="008C0268" w:rsidP="00075342">
      <w:pPr>
        <w:autoSpaceDE w:val="0"/>
        <w:autoSpaceDN w:val="0"/>
        <w:adjustRightInd w:val="0"/>
        <w:spacing w:after="0" w:line="240" w:lineRule="auto"/>
        <w:jc w:val="both"/>
        <w:rPr>
          <w:rFonts w:ascii="Garamond" w:hAnsi="Garamond" w:cs="AdvOTab62ddd124"/>
          <w:color w:val="000000"/>
          <w:sz w:val="24"/>
          <w:szCs w:val="24"/>
        </w:rPr>
      </w:pPr>
    </w:p>
    <w:p w14:paraId="3918EF12" w14:textId="3E979133" w:rsidR="00526C9E" w:rsidRPr="00FC1D31" w:rsidRDefault="004623DC" w:rsidP="008C0268">
      <w:pPr>
        <w:autoSpaceDE w:val="0"/>
        <w:autoSpaceDN w:val="0"/>
        <w:adjustRightInd w:val="0"/>
        <w:spacing w:after="0" w:line="240" w:lineRule="auto"/>
        <w:jc w:val="both"/>
        <w:rPr>
          <w:rFonts w:ascii="Garamond" w:hAnsi="Garamond" w:cs="AdvOTab62ddd124"/>
          <w:color w:val="000000"/>
          <w:sz w:val="24"/>
          <w:szCs w:val="24"/>
        </w:rPr>
      </w:pPr>
      <w:r w:rsidRPr="00FC1D31">
        <w:rPr>
          <w:rFonts w:ascii="Garamond" w:hAnsi="Garamond" w:cs="AdvOTab62ddd124"/>
          <w:color w:val="000000"/>
          <w:sz w:val="24"/>
          <w:szCs w:val="24"/>
        </w:rPr>
        <w:t>The history</w:t>
      </w:r>
      <w:r w:rsidR="002615A1" w:rsidRPr="00FC1D31">
        <w:rPr>
          <w:rFonts w:ascii="Garamond" w:hAnsi="Garamond" w:cs="AdvOTab62ddd124"/>
          <w:color w:val="000000"/>
          <w:sz w:val="24"/>
          <w:szCs w:val="24"/>
        </w:rPr>
        <w:t xml:space="preserve"> of investment treaty negotiations in Europe reveal that European policymakers were cogni</w:t>
      </w:r>
      <w:r w:rsidR="003E321B" w:rsidRPr="00FC1D31">
        <w:rPr>
          <w:rFonts w:ascii="Garamond" w:hAnsi="Garamond" w:cs="AdvOTab62ddd124"/>
          <w:color w:val="000000"/>
          <w:sz w:val="24"/>
          <w:szCs w:val="24"/>
        </w:rPr>
        <w:t>s</w:t>
      </w:r>
      <w:r w:rsidR="002615A1" w:rsidRPr="00FC1D31">
        <w:rPr>
          <w:rFonts w:ascii="Garamond" w:hAnsi="Garamond" w:cs="AdvOTab62ddd124"/>
          <w:color w:val="000000"/>
          <w:sz w:val="24"/>
          <w:szCs w:val="24"/>
        </w:rPr>
        <w:t xml:space="preserve">ant of the need to extend protection to sovereign investments, including investments by state-owned enterprises. A notable example is the negotiation in the 1980s of an investment protection and promotion </w:t>
      </w:r>
      <w:r w:rsidRPr="00FC1D31">
        <w:rPr>
          <w:rFonts w:ascii="Garamond" w:hAnsi="Garamond" w:cs="AdvOTab62ddd124"/>
          <w:color w:val="000000"/>
          <w:sz w:val="24"/>
          <w:szCs w:val="24"/>
        </w:rPr>
        <w:t>treaty between</w:t>
      </w:r>
      <w:r w:rsidR="002615A1" w:rsidRPr="00FC1D31">
        <w:rPr>
          <w:rFonts w:ascii="Garamond" w:hAnsi="Garamond" w:cs="AdvOTab62ddd124"/>
          <w:color w:val="000000"/>
          <w:sz w:val="24"/>
          <w:szCs w:val="24"/>
        </w:rPr>
        <w:t xml:space="preserve"> members of the European Economic Community and members of the Arab League.</w:t>
      </w:r>
      <w:r w:rsidR="002615A1" w:rsidRPr="00FC1D31">
        <w:rPr>
          <w:rStyle w:val="FootnoteReference"/>
          <w:rFonts w:ascii="Garamond" w:hAnsi="Garamond" w:cs="AdvOTab62ddd124"/>
          <w:color w:val="000000"/>
          <w:sz w:val="24"/>
          <w:szCs w:val="24"/>
        </w:rPr>
        <w:footnoteReference w:id="45"/>
      </w:r>
      <w:r w:rsidR="002615A1" w:rsidRPr="00FC1D31">
        <w:rPr>
          <w:rFonts w:ascii="Garamond" w:hAnsi="Garamond" w:cs="AdvOTab62ddd124"/>
          <w:color w:val="000000"/>
          <w:sz w:val="24"/>
          <w:szCs w:val="24"/>
        </w:rPr>
        <w:t xml:space="preserve"> </w:t>
      </w:r>
      <w:r w:rsidR="008C0268" w:rsidRPr="00FC1D31">
        <w:rPr>
          <w:rFonts w:ascii="Garamond" w:hAnsi="Garamond" w:cs="AdvOTab62ddd124"/>
          <w:color w:val="000000"/>
          <w:sz w:val="24"/>
          <w:szCs w:val="24"/>
        </w:rPr>
        <w:t>Since a high proportion of Arab investment in Europe originated from governments</w:t>
      </w:r>
      <w:r w:rsidRPr="00FC1D31">
        <w:rPr>
          <w:rFonts w:ascii="Garamond" w:hAnsi="Garamond" w:cs="AdvOTab62ddd124"/>
          <w:color w:val="000000"/>
          <w:sz w:val="24"/>
          <w:szCs w:val="24"/>
        </w:rPr>
        <w:t xml:space="preserve"> and state-owned entities</w:t>
      </w:r>
      <w:r w:rsidR="008C0268" w:rsidRPr="00FC1D31">
        <w:rPr>
          <w:rFonts w:ascii="Garamond" w:hAnsi="Garamond" w:cs="AdvOTab62ddd124"/>
          <w:color w:val="000000"/>
          <w:sz w:val="24"/>
          <w:szCs w:val="24"/>
        </w:rPr>
        <w:t xml:space="preserve">, the Arab side insisted on the inclusion of such investments within the protective scope of the agreement. ‘We know very well why the Arabs would like Government investment included,’ noted the EEC negotiator, and it was conceded that </w:t>
      </w:r>
      <w:r w:rsidR="008C0268" w:rsidRPr="00FC1D31">
        <w:rPr>
          <w:rFonts w:ascii="Garamond" w:hAnsi="Garamond" w:cs="AdvOTab62ddd124"/>
          <w:color w:val="000000"/>
          <w:sz w:val="24"/>
          <w:szCs w:val="24"/>
        </w:rPr>
        <w:lastRenderedPageBreak/>
        <w:t xml:space="preserve">‘there would be a considerable imbalance’ in the </w:t>
      </w:r>
      <w:r w:rsidRPr="00FC1D31">
        <w:rPr>
          <w:rFonts w:ascii="Garamond" w:hAnsi="Garamond" w:cs="AdvOTab62ddd124"/>
          <w:color w:val="000000"/>
          <w:sz w:val="24"/>
          <w:szCs w:val="24"/>
        </w:rPr>
        <w:t xml:space="preserve">proposed </w:t>
      </w:r>
      <w:r w:rsidR="008C0268" w:rsidRPr="00FC1D31">
        <w:rPr>
          <w:rFonts w:ascii="Garamond" w:hAnsi="Garamond" w:cs="AdvOTab62ddd124"/>
          <w:color w:val="000000"/>
          <w:sz w:val="24"/>
          <w:szCs w:val="24"/>
        </w:rPr>
        <w:t>treaty ‘if nothing at all were done’ for such investments.</w:t>
      </w:r>
      <w:r w:rsidR="008C0268" w:rsidRPr="00FC1D31">
        <w:rPr>
          <w:rStyle w:val="FootnoteReference"/>
          <w:rFonts w:ascii="Garamond" w:hAnsi="Garamond" w:cs="AdvOTab62ddd124"/>
          <w:color w:val="000000"/>
          <w:sz w:val="24"/>
          <w:szCs w:val="24"/>
        </w:rPr>
        <w:t xml:space="preserve"> </w:t>
      </w:r>
      <w:r w:rsidR="008C0268" w:rsidRPr="00FC1D31">
        <w:rPr>
          <w:rStyle w:val="FootnoteReference"/>
          <w:rFonts w:ascii="Garamond" w:hAnsi="Garamond" w:cs="AdvOTab62ddd124"/>
          <w:color w:val="000000"/>
          <w:sz w:val="24"/>
          <w:szCs w:val="24"/>
        </w:rPr>
        <w:footnoteReference w:id="46"/>
      </w:r>
      <w:r w:rsidR="008C0268" w:rsidRPr="00FC1D31">
        <w:rPr>
          <w:rFonts w:ascii="Garamond" w:hAnsi="Garamond" w:cs="AdvOTab62ddd124"/>
          <w:color w:val="000000"/>
          <w:sz w:val="24"/>
          <w:szCs w:val="24"/>
        </w:rPr>
        <w:t xml:space="preserve"> The European side were ‘not enthusiastic but ‘could probably accept in the context of a package.’</w:t>
      </w:r>
      <w:r w:rsidR="008C0268" w:rsidRPr="00FC1D31">
        <w:rPr>
          <w:rStyle w:val="FootnoteReference"/>
          <w:rFonts w:ascii="Garamond" w:hAnsi="Garamond" w:cs="AdvOTab62ddd124"/>
          <w:color w:val="000000"/>
          <w:sz w:val="24"/>
          <w:szCs w:val="24"/>
        </w:rPr>
        <w:footnoteReference w:id="47"/>
      </w:r>
      <w:r w:rsidR="008C0268" w:rsidRPr="00FC1D31">
        <w:rPr>
          <w:rFonts w:ascii="Garamond" w:hAnsi="Garamond" w:cs="AdvOTab62ddd124"/>
          <w:color w:val="000000"/>
          <w:sz w:val="24"/>
          <w:szCs w:val="24"/>
        </w:rPr>
        <w:t xml:space="preserve"> In the end, the European negotiators</w:t>
      </w:r>
      <w:r w:rsidR="0034244A" w:rsidRPr="00FC1D31">
        <w:rPr>
          <w:rFonts w:ascii="Garamond" w:hAnsi="Garamond" w:cs="AdvOTab62ddd124"/>
          <w:color w:val="000000"/>
          <w:sz w:val="24"/>
          <w:szCs w:val="24"/>
        </w:rPr>
        <w:t xml:space="preserve"> agreed to extend protection to state-owned investments</w:t>
      </w:r>
      <w:r w:rsidR="008C0268" w:rsidRPr="00FC1D31">
        <w:rPr>
          <w:rFonts w:ascii="Garamond" w:hAnsi="Garamond" w:cs="AdvOTab62ddd124"/>
          <w:color w:val="000000"/>
          <w:sz w:val="24"/>
          <w:szCs w:val="24"/>
        </w:rPr>
        <w:t>, in return for the Arab side conceding to include express reference to natural resources in the scope of the treaty.</w:t>
      </w:r>
      <w:r w:rsidR="008C0268" w:rsidRPr="00FC1D31">
        <w:rPr>
          <w:rStyle w:val="FootnoteReference"/>
          <w:rFonts w:ascii="Garamond" w:hAnsi="Garamond" w:cs="AdvOTab62ddd124"/>
          <w:color w:val="000000"/>
          <w:sz w:val="24"/>
          <w:szCs w:val="24"/>
        </w:rPr>
        <w:footnoteReference w:id="48"/>
      </w:r>
      <w:r w:rsidR="000969B2" w:rsidRPr="00FC1D31">
        <w:rPr>
          <w:rFonts w:ascii="Garamond" w:hAnsi="Garamond" w:cs="AdvOTab62ddd124"/>
          <w:color w:val="000000"/>
          <w:sz w:val="24"/>
          <w:szCs w:val="24"/>
        </w:rPr>
        <w:t xml:space="preserve"> </w:t>
      </w:r>
      <w:r w:rsidR="00526C9E" w:rsidRPr="00FC1D31">
        <w:rPr>
          <w:rFonts w:ascii="Garamond" w:hAnsi="Garamond" w:cs="AdvOTab62ddd124"/>
          <w:color w:val="000000"/>
          <w:sz w:val="24"/>
          <w:szCs w:val="24"/>
        </w:rPr>
        <w:t xml:space="preserve">Although the treaty never materialised due to the worsening of political and diplomatic relations, the negotiating history shows that state-owned investments have long been present in European markets and that the EU member states were prepared to treat them according to the principle of neutrality. </w:t>
      </w:r>
    </w:p>
    <w:p w14:paraId="49E3BCB0" w14:textId="77777777" w:rsidR="00526C9E" w:rsidRPr="00FC1D31" w:rsidRDefault="00526C9E" w:rsidP="008C0268">
      <w:pPr>
        <w:autoSpaceDE w:val="0"/>
        <w:autoSpaceDN w:val="0"/>
        <w:adjustRightInd w:val="0"/>
        <w:spacing w:after="0" w:line="240" w:lineRule="auto"/>
        <w:jc w:val="both"/>
        <w:rPr>
          <w:rFonts w:ascii="Garamond" w:hAnsi="Garamond" w:cs="AdvOTab62ddd124"/>
          <w:color w:val="000000"/>
          <w:sz w:val="24"/>
          <w:szCs w:val="24"/>
        </w:rPr>
      </w:pPr>
    </w:p>
    <w:p w14:paraId="30F0F4C6" w14:textId="08B01080" w:rsidR="000969B2" w:rsidRPr="00FC1D31" w:rsidRDefault="00526C9E" w:rsidP="008C0268">
      <w:pPr>
        <w:autoSpaceDE w:val="0"/>
        <w:autoSpaceDN w:val="0"/>
        <w:adjustRightInd w:val="0"/>
        <w:spacing w:after="0" w:line="240" w:lineRule="auto"/>
        <w:jc w:val="both"/>
        <w:rPr>
          <w:rFonts w:ascii="Garamond" w:hAnsi="Garamond" w:cs="AdvOTab62ddd124"/>
          <w:color w:val="000000"/>
          <w:sz w:val="24"/>
          <w:szCs w:val="24"/>
        </w:rPr>
      </w:pPr>
      <w:r w:rsidRPr="00FC1D31">
        <w:rPr>
          <w:rFonts w:ascii="Garamond" w:hAnsi="Garamond" w:cs="AdvOTab62ddd124"/>
          <w:color w:val="000000"/>
          <w:sz w:val="24"/>
          <w:szCs w:val="24"/>
        </w:rPr>
        <w:t>At a national level, historical records also reveal not aversion but a certain appetite, among European capitals, for foreign investment</w:t>
      </w:r>
      <w:r w:rsidR="004623DC" w:rsidRPr="00FC1D31">
        <w:rPr>
          <w:rFonts w:ascii="Garamond" w:hAnsi="Garamond" w:cs="AdvOTab62ddd124"/>
          <w:color w:val="000000"/>
          <w:sz w:val="24"/>
          <w:szCs w:val="24"/>
        </w:rPr>
        <w:t xml:space="preserve">. Crucially, this appetite included </w:t>
      </w:r>
      <w:r w:rsidRPr="00FC1D31">
        <w:rPr>
          <w:rFonts w:ascii="Garamond" w:hAnsi="Garamond" w:cs="AdvOTab62ddd124"/>
          <w:color w:val="000000"/>
          <w:sz w:val="24"/>
          <w:szCs w:val="24"/>
        </w:rPr>
        <w:t>the defence sector. In the 1980s, foreign investment from Saudi Arabia and Kuwait —both private and state-owned—in defence industries across Europe were seen as a means of invigorating exports of European equipment to Arab markets.</w:t>
      </w:r>
      <w:r w:rsidR="00385875" w:rsidRPr="00FC1D31">
        <w:rPr>
          <w:rStyle w:val="FootnoteReference"/>
          <w:rFonts w:ascii="Garamond" w:hAnsi="Garamond" w:cs="AdvOTab62ddd124"/>
          <w:color w:val="000000"/>
          <w:sz w:val="24"/>
          <w:szCs w:val="24"/>
        </w:rPr>
        <w:footnoteReference w:id="49"/>
      </w:r>
      <w:r w:rsidRPr="00FC1D31">
        <w:rPr>
          <w:rFonts w:ascii="Garamond" w:hAnsi="Garamond" w:cs="AdvOTab62ddd124"/>
          <w:color w:val="000000"/>
          <w:sz w:val="24"/>
          <w:szCs w:val="24"/>
        </w:rPr>
        <w:t xml:space="preserve"> European policymakers were cogni</w:t>
      </w:r>
      <w:r w:rsidR="004623DC" w:rsidRPr="00FC1D31">
        <w:rPr>
          <w:rFonts w:ascii="Garamond" w:hAnsi="Garamond" w:cs="AdvOTab62ddd124"/>
          <w:color w:val="000000"/>
          <w:sz w:val="24"/>
          <w:szCs w:val="24"/>
        </w:rPr>
        <w:t>s</w:t>
      </w:r>
      <w:r w:rsidRPr="00FC1D31">
        <w:rPr>
          <w:rFonts w:ascii="Garamond" w:hAnsi="Garamond" w:cs="AdvOTab62ddd124"/>
          <w:color w:val="000000"/>
          <w:sz w:val="24"/>
          <w:szCs w:val="24"/>
        </w:rPr>
        <w:t>ant that for Arab government investors such investments presented the opportunity to gain a reasonable rate of return, ‘a chance to get in on an inside track in regard to access to latest technology’ and ‘a point of pressure to help develop indigenous industry and technology transfer.’</w:t>
      </w:r>
      <w:r w:rsidRPr="00FC1D31">
        <w:rPr>
          <w:rStyle w:val="FootnoteReference"/>
          <w:rFonts w:ascii="Garamond" w:hAnsi="Garamond" w:cs="AdvOTab62ddd124"/>
          <w:color w:val="000000"/>
          <w:sz w:val="24"/>
          <w:szCs w:val="24"/>
        </w:rPr>
        <w:footnoteReference w:id="50"/>
      </w:r>
      <w:r w:rsidRPr="00FC1D31">
        <w:rPr>
          <w:rFonts w:ascii="Garamond" w:hAnsi="Garamond" w:cs="AdvOTab62ddd124"/>
          <w:color w:val="000000"/>
          <w:sz w:val="24"/>
          <w:szCs w:val="24"/>
        </w:rPr>
        <w:t xml:space="preserve"> For the host states, these investments afforded an opening to extend sales, and while competition for Arab capital was stiff, policymakers saw it</w:t>
      </w:r>
      <w:r w:rsidR="006D5599" w:rsidRPr="00FC1D31">
        <w:rPr>
          <w:rFonts w:ascii="Garamond" w:hAnsi="Garamond" w:cs="AdvOTab62ddd124"/>
          <w:color w:val="000000"/>
          <w:sz w:val="24"/>
          <w:szCs w:val="24"/>
        </w:rPr>
        <w:t xml:space="preserve"> as</w:t>
      </w:r>
      <w:r w:rsidRPr="00FC1D31">
        <w:rPr>
          <w:rFonts w:ascii="Garamond" w:hAnsi="Garamond" w:cs="AdvOTab62ddd124"/>
          <w:color w:val="000000"/>
          <w:sz w:val="24"/>
          <w:szCs w:val="24"/>
        </w:rPr>
        <w:t xml:space="preserve"> ‘desirable to see such investment diluted to the extent that the shareholder was not in a position to influence overseas marketing policy’ of the relevant defence firms.’</w:t>
      </w:r>
      <w:r w:rsidRPr="00FC1D31">
        <w:rPr>
          <w:rStyle w:val="FootnoteReference"/>
          <w:rFonts w:ascii="Garamond" w:hAnsi="Garamond" w:cs="AdvOTab62ddd124"/>
          <w:color w:val="000000"/>
          <w:sz w:val="24"/>
          <w:szCs w:val="24"/>
        </w:rPr>
        <w:footnoteReference w:id="51"/>
      </w:r>
    </w:p>
    <w:p w14:paraId="37C8F850" w14:textId="33EAE72F" w:rsidR="00526C9E" w:rsidRPr="00FC1D31" w:rsidRDefault="00526C9E" w:rsidP="008C0268">
      <w:pPr>
        <w:autoSpaceDE w:val="0"/>
        <w:autoSpaceDN w:val="0"/>
        <w:adjustRightInd w:val="0"/>
        <w:spacing w:after="0" w:line="240" w:lineRule="auto"/>
        <w:jc w:val="both"/>
        <w:rPr>
          <w:rFonts w:ascii="Garamond" w:hAnsi="Garamond" w:cs="AdvOTab62ddd124"/>
          <w:color w:val="000000"/>
          <w:sz w:val="24"/>
          <w:szCs w:val="24"/>
        </w:rPr>
      </w:pPr>
    </w:p>
    <w:p w14:paraId="29F7865E" w14:textId="2B60D12E" w:rsidR="00F24C88" w:rsidRPr="00FC1D31" w:rsidRDefault="0095164D" w:rsidP="006C7FF7">
      <w:pPr>
        <w:autoSpaceDE w:val="0"/>
        <w:autoSpaceDN w:val="0"/>
        <w:adjustRightInd w:val="0"/>
        <w:spacing w:after="0" w:line="240" w:lineRule="auto"/>
        <w:jc w:val="both"/>
        <w:rPr>
          <w:rFonts w:ascii="Garamond" w:hAnsi="Garamond"/>
          <w:sz w:val="24"/>
          <w:szCs w:val="24"/>
        </w:rPr>
      </w:pPr>
      <w:r w:rsidRPr="00FC1D31">
        <w:rPr>
          <w:rFonts w:ascii="Garamond" w:hAnsi="Garamond" w:cs="AdvOTab62ddd124"/>
          <w:color w:val="000000"/>
          <w:sz w:val="24"/>
          <w:szCs w:val="24"/>
        </w:rPr>
        <w:t>At an international level, f</w:t>
      </w:r>
      <w:r w:rsidR="00090B6A" w:rsidRPr="00FC1D31">
        <w:rPr>
          <w:rFonts w:ascii="Garamond" w:hAnsi="Garamond" w:cs="AdvOTab62ddd124"/>
          <w:color w:val="000000"/>
          <w:sz w:val="24"/>
          <w:szCs w:val="24"/>
        </w:rPr>
        <w:t xml:space="preserve">ears over </w:t>
      </w:r>
      <w:r w:rsidR="001878CA" w:rsidRPr="00FC1D31">
        <w:rPr>
          <w:rFonts w:ascii="Garamond" w:hAnsi="Garamond" w:cs="AdvOTab62ddd124"/>
          <w:color w:val="000000"/>
          <w:sz w:val="24"/>
          <w:szCs w:val="24"/>
        </w:rPr>
        <w:t xml:space="preserve">foreign control in sensitive or strategic sectors of </w:t>
      </w:r>
      <w:r w:rsidR="004623DC" w:rsidRPr="00FC1D31">
        <w:rPr>
          <w:rFonts w:ascii="Garamond" w:hAnsi="Garamond" w:cs="AdvOTab62ddd124"/>
          <w:color w:val="000000"/>
          <w:sz w:val="24"/>
          <w:szCs w:val="24"/>
        </w:rPr>
        <w:t xml:space="preserve">national </w:t>
      </w:r>
      <w:r w:rsidR="001878CA" w:rsidRPr="00FC1D31">
        <w:rPr>
          <w:rFonts w:ascii="Garamond" w:hAnsi="Garamond" w:cs="AdvOTab62ddd124"/>
          <w:color w:val="000000"/>
          <w:sz w:val="24"/>
          <w:szCs w:val="24"/>
        </w:rPr>
        <w:t>econom</w:t>
      </w:r>
      <w:r w:rsidR="004623DC" w:rsidRPr="00FC1D31">
        <w:rPr>
          <w:rFonts w:ascii="Garamond" w:hAnsi="Garamond" w:cs="AdvOTab62ddd124"/>
          <w:color w:val="000000"/>
          <w:sz w:val="24"/>
          <w:szCs w:val="24"/>
        </w:rPr>
        <w:t>ies</w:t>
      </w:r>
      <w:r w:rsidR="001878CA" w:rsidRPr="00FC1D31">
        <w:rPr>
          <w:rFonts w:ascii="Garamond" w:hAnsi="Garamond" w:cs="AdvOTab62ddd124"/>
          <w:color w:val="000000"/>
          <w:sz w:val="24"/>
          <w:szCs w:val="24"/>
        </w:rPr>
        <w:t xml:space="preserve"> ha</w:t>
      </w:r>
      <w:r w:rsidR="00526C9E" w:rsidRPr="00FC1D31">
        <w:rPr>
          <w:rFonts w:ascii="Garamond" w:hAnsi="Garamond" w:cs="AdvOTab62ddd124"/>
          <w:color w:val="000000"/>
          <w:sz w:val="24"/>
          <w:szCs w:val="24"/>
        </w:rPr>
        <w:t xml:space="preserve">ve </w:t>
      </w:r>
      <w:r w:rsidR="001878CA" w:rsidRPr="00FC1D31">
        <w:rPr>
          <w:rFonts w:ascii="Garamond" w:hAnsi="Garamond" w:cs="AdvOTab62ddd124"/>
          <w:color w:val="000000"/>
          <w:sz w:val="24"/>
          <w:szCs w:val="24"/>
        </w:rPr>
        <w:t xml:space="preserve">long been an animating </w:t>
      </w:r>
      <w:r w:rsidR="00090B6A" w:rsidRPr="00FC1D31">
        <w:rPr>
          <w:rFonts w:ascii="Garamond" w:hAnsi="Garamond" w:cs="AdvOTab62ddd124"/>
          <w:color w:val="000000"/>
          <w:sz w:val="24"/>
          <w:szCs w:val="24"/>
        </w:rPr>
        <w:t xml:space="preserve">force in </w:t>
      </w:r>
      <w:r w:rsidR="00075342" w:rsidRPr="00FC1D31">
        <w:rPr>
          <w:rFonts w:ascii="Garamond" w:hAnsi="Garamond" w:cs="AdvOTab62ddd124"/>
          <w:color w:val="000000"/>
          <w:sz w:val="24"/>
          <w:szCs w:val="24"/>
        </w:rPr>
        <w:t xml:space="preserve">policy </w:t>
      </w:r>
      <w:r w:rsidR="001878CA" w:rsidRPr="00FC1D31">
        <w:rPr>
          <w:rFonts w:ascii="Garamond" w:hAnsi="Garamond" w:cs="AdvOTab62ddd124"/>
          <w:color w:val="000000"/>
          <w:sz w:val="24"/>
          <w:szCs w:val="24"/>
        </w:rPr>
        <w:t xml:space="preserve">debates </w:t>
      </w:r>
      <w:r w:rsidRPr="00FC1D31">
        <w:rPr>
          <w:rFonts w:ascii="Garamond" w:hAnsi="Garamond" w:cs="AdvOTab62ddd124"/>
          <w:color w:val="000000"/>
          <w:sz w:val="24"/>
          <w:szCs w:val="24"/>
        </w:rPr>
        <w:t>in multilateral settings</w:t>
      </w:r>
      <w:r w:rsidR="001878CA" w:rsidRPr="00FC1D31">
        <w:rPr>
          <w:rFonts w:ascii="Garamond" w:hAnsi="Garamond" w:cs="AdvOTab62ddd124"/>
          <w:color w:val="000000"/>
          <w:sz w:val="24"/>
          <w:szCs w:val="24"/>
        </w:rPr>
        <w:t>.</w:t>
      </w:r>
      <w:r w:rsidR="00C60ED5" w:rsidRPr="00FC1D31">
        <w:rPr>
          <w:rFonts w:ascii="Garamond" w:hAnsi="Garamond" w:cs="AdvOTab62ddd124"/>
          <w:color w:val="000000"/>
          <w:sz w:val="24"/>
          <w:szCs w:val="24"/>
        </w:rPr>
        <w:t xml:space="preserve"> So strong was the sentiment that</w:t>
      </w:r>
      <w:r w:rsidR="00BC4472" w:rsidRPr="00FC1D31">
        <w:rPr>
          <w:rFonts w:ascii="Garamond" w:hAnsi="Garamond" w:cs="AdvOTab62ddd124"/>
          <w:color w:val="000000"/>
          <w:sz w:val="24"/>
          <w:szCs w:val="24"/>
        </w:rPr>
        <w:t xml:space="preserve"> in 1947</w:t>
      </w:r>
      <w:r w:rsidR="00C60ED5" w:rsidRPr="00FC1D31">
        <w:rPr>
          <w:rFonts w:ascii="Garamond" w:hAnsi="Garamond" w:cs="AdvOTab62ddd124"/>
          <w:color w:val="000000"/>
          <w:sz w:val="24"/>
          <w:szCs w:val="24"/>
        </w:rPr>
        <w:t xml:space="preserve"> the final text of the Charter of the International Trade Organization</w:t>
      </w:r>
      <w:r w:rsidR="00BC4472" w:rsidRPr="00FC1D31">
        <w:rPr>
          <w:rFonts w:ascii="Garamond" w:hAnsi="Garamond" w:cs="AdvOTab62ddd124"/>
          <w:color w:val="000000"/>
          <w:sz w:val="24"/>
          <w:szCs w:val="24"/>
        </w:rPr>
        <w:t xml:space="preserve"> </w:t>
      </w:r>
      <w:r w:rsidR="00C60ED5" w:rsidRPr="00FC1D31">
        <w:rPr>
          <w:rFonts w:ascii="Garamond" w:hAnsi="Garamond" w:cs="AdvOTab62ddd124"/>
          <w:color w:val="000000"/>
          <w:sz w:val="24"/>
          <w:szCs w:val="24"/>
        </w:rPr>
        <w:t xml:space="preserve">codified the right </w:t>
      </w:r>
      <w:r w:rsidR="00FC1D31">
        <w:rPr>
          <w:rFonts w:ascii="Garamond" w:hAnsi="Garamond" w:cs="AdvOTab62ddd124"/>
          <w:color w:val="000000"/>
          <w:sz w:val="24"/>
          <w:szCs w:val="24"/>
        </w:rPr>
        <w:t>of</w:t>
      </w:r>
      <w:r w:rsidR="00FC1D31" w:rsidRPr="00FC1D31">
        <w:rPr>
          <w:rFonts w:ascii="Garamond" w:hAnsi="Garamond" w:cs="AdvOTab62ddd124"/>
          <w:color w:val="000000"/>
          <w:sz w:val="24"/>
          <w:szCs w:val="24"/>
        </w:rPr>
        <w:t xml:space="preserve"> </w:t>
      </w:r>
      <w:r w:rsidR="00C60ED5" w:rsidRPr="00FC1D31">
        <w:rPr>
          <w:rFonts w:ascii="Garamond" w:hAnsi="Garamond" w:cs="AdvOTab62ddd124"/>
          <w:color w:val="000000"/>
          <w:sz w:val="24"/>
          <w:szCs w:val="24"/>
        </w:rPr>
        <w:t xml:space="preserve">any member state ‘to take any appropriate safeguards necessary to ensure that foreign investment is not used as a basis for interference in its internal affairs or national policies’ </w:t>
      </w:r>
      <w:r w:rsidR="009837DC" w:rsidRPr="00FC1D31">
        <w:rPr>
          <w:rFonts w:ascii="Garamond" w:hAnsi="Garamond" w:cs="AdvOTab62ddd124"/>
          <w:color w:val="000000"/>
          <w:sz w:val="24"/>
          <w:szCs w:val="24"/>
        </w:rPr>
        <w:t>and ‘to prescribe and give effect to other reasonable requirements with respect to existing and future investments.’</w:t>
      </w:r>
      <w:r w:rsidR="00C60ED5" w:rsidRPr="00FC1D31">
        <w:rPr>
          <w:rStyle w:val="FootnoteReference"/>
          <w:rFonts w:ascii="Garamond" w:hAnsi="Garamond" w:cs="AdvOTab62ddd124"/>
          <w:color w:val="000000"/>
          <w:sz w:val="24"/>
          <w:szCs w:val="24"/>
        </w:rPr>
        <w:footnoteReference w:id="52"/>
      </w:r>
      <w:r w:rsidR="00C60ED5" w:rsidRPr="00FC1D31">
        <w:rPr>
          <w:rFonts w:ascii="Garamond" w:hAnsi="Garamond" w:cs="AdvOTab62ddd124"/>
          <w:color w:val="000000"/>
          <w:sz w:val="24"/>
          <w:szCs w:val="24"/>
        </w:rPr>
        <w:t xml:space="preserve"> </w:t>
      </w:r>
      <w:r w:rsidR="009837DC" w:rsidRPr="00FC1D31">
        <w:rPr>
          <w:rFonts w:ascii="Garamond" w:hAnsi="Garamond" w:cs="AdvOTab62ddd124"/>
          <w:color w:val="000000"/>
          <w:sz w:val="24"/>
          <w:szCs w:val="24"/>
        </w:rPr>
        <w:t>Fearing that corporate entities can be used by some countries</w:t>
      </w:r>
      <w:r w:rsidR="00FC1D31">
        <w:rPr>
          <w:rFonts w:ascii="Garamond" w:hAnsi="Garamond" w:cs="AdvOTab62ddd124"/>
          <w:color w:val="000000"/>
          <w:sz w:val="24"/>
          <w:szCs w:val="24"/>
        </w:rPr>
        <w:t xml:space="preserve"> to</w:t>
      </w:r>
      <w:r w:rsidR="009837DC" w:rsidRPr="00FC1D31">
        <w:rPr>
          <w:rFonts w:ascii="Garamond" w:hAnsi="Garamond" w:cs="AdvOTab62ddd124"/>
          <w:color w:val="000000"/>
          <w:sz w:val="24"/>
          <w:szCs w:val="24"/>
        </w:rPr>
        <w:t xml:space="preserve"> pursue their interests, US treaty-makers ensured that a generation of post-1946 Friendship, Commerce and Navigation Treaties provided for piercing the corporate veil</w:t>
      </w:r>
      <w:r w:rsidR="009837DC" w:rsidRPr="00FC1D31">
        <w:rPr>
          <w:rStyle w:val="FootnoteReference"/>
          <w:rFonts w:ascii="Garamond" w:hAnsi="Garamond" w:cs="AdvOTab62ddd124"/>
          <w:color w:val="000000"/>
          <w:sz w:val="24"/>
          <w:szCs w:val="24"/>
        </w:rPr>
        <w:footnoteReference w:id="53"/>
      </w:r>
      <w:r w:rsidR="009837DC" w:rsidRPr="00FC1D31">
        <w:rPr>
          <w:rFonts w:ascii="Garamond" w:hAnsi="Garamond" w:cs="AdvOTab62ddd124"/>
          <w:color w:val="000000"/>
          <w:sz w:val="24"/>
          <w:szCs w:val="24"/>
        </w:rPr>
        <w:t xml:space="preserve"> – something that was subsequently abandoned in contemporary investment treaties.</w:t>
      </w:r>
      <w:r w:rsidR="000430FB" w:rsidRPr="00FC1D31">
        <w:rPr>
          <w:rFonts w:ascii="Garamond" w:hAnsi="Garamond" w:cs="AdvOTab62ddd124"/>
          <w:color w:val="000000"/>
          <w:sz w:val="24"/>
          <w:szCs w:val="24"/>
        </w:rPr>
        <w:t xml:space="preserve"> In the 1970s, a number of US and UK scholars highlighted the growing trend among Western multinational corporations to move away from exporting commodities to controlling key sectors in domestic economies of host states and their preference for monopolising rather than diffusing technology and know-how.</w:t>
      </w:r>
      <w:r w:rsidR="000430FB" w:rsidRPr="00FC1D31">
        <w:rPr>
          <w:rStyle w:val="FootnoteReference"/>
          <w:rFonts w:ascii="Garamond" w:hAnsi="Garamond" w:cs="AdvOTab62ddd124"/>
          <w:color w:val="000000"/>
          <w:sz w:val="24"/>
          <w:szCs w:val="24"/>
        </w:rPr>
        <w:footnoteReference w:id="54"/>
      </w:r>
      <w:r w:rsidR="000430FB" w:rsidRPr="00FC1D31">
        <w:rPr>
          <w:rFonts w:ascii="Garamond" w:hAnsi="Garamond" w:cs="AdvOTab62ddd124"/>
          <w:color w:val="000000"/>
          <w:sz w:val="24"/>
          <w:szCs w:val="24"/>
        </w:rPr>
        <w:t xml:space="preserve"> As one of these authors put it, foreign investment ‘created transnational interdependence that groups of governments (host and home) could attempt to manipulate for their own political purposes.’</w:t>
      </w:r>
      <w:r w:rsidR="000430FB" w:rsidRPr="00FC1D31">
        <w:rPr>
          <w:rStyle w:val="FootnoteReference"/>
          <w:rFonts w:ascii="Garamond" w:hAnsi="Garamond" w:cs="AdvOTab62ddd124"/>
          <w:color w:val="000000"/>
          <w:sz w:val="24"/>
          <w:szCs w:val="24"/>
        </w:rPr>
        <w:footnoteReference w:id="55"/>
      </w:r>
      <w:r w:rsidR="000430FB" w:rsidRPr="00FC1D31">
        <w:rPr>
          <w:rFonts w:ascii="Garamond" w:hAnsi="Garamond" w:cs="AdvOTab62ddd124"/>
          <w:color w:val="000000"/>
          <w:sz w:val="24"/>
          <w:szCs w:val="24"/>
        </w:rPr>
        <w:t xml:space="preserve"> </w:t>
      </w:r>
      <w:r w:rsidR="006C7FF7" w:rsidRPr="00FC1D31">
        <w:rPr>
          <w:rFonts w:ascii="Garamond" w:hAnsi="Garamond" w:cs="AdvOTab62ddd124"/>
          <w:color w:val="000000"/>
          <w:sz w:val="24"/>
          <w:szCs w:val="24"/>
        </w:rPr>
        <w:t xml:space="preserve">Reports by investigative </w:t>
      </w:r>
      <w:r w:rsidR="00090B6A" w:rsidRPr="00FC1D31">
        <w:rPr>
          <w:rFonts w:ascii="Garamond" w:hAnsi="Garamond" w:cs="AdvOTab62ddd124"/>
          <w:color w:val="000000"/>
          <w:sz w:val="24"/>
          <w:szCs w:val="24"/>
        </w:rPr>
        <w:t xml:space="preserve">American </w:t>
      </w:r>
      <w:r w:rsidR="006C7FF7" w:rsidRPr="00FC1D31">
        <w:rPr>
          <w:rFonts w:ascii="Garamond" w:hAnsi="Garamond" w:cs="AdvOTab62ddd124"/>
          <w:color w:val="000000"/>
          <w:sz w:val="24"/>
          <w:szCs w:val="24"/>
        </w:rPr>
        <w:t xml:space="preserve">journalists in March 1972 revealed what subsequently became one of the most infamous instance of political interference by a foreign investor in the host state: the involvement of a US-headquartered International Telephone and Telegraph Company (ITT) in a </w:t>
      </w:r>
      <w:r w:rsidR="00075342" w:rsidRPr="00FC1D31">
        <w:rPr>
          <w:rFonts w:ascii="Garamond" w:hAnsi="Garamond"/>
          <w:sz w:val="24"/>
          <w:szCs w:val="24"/>
        </w:rPr>
        <w:t>CIA plot to thwart the election of Salvador Allende following his threats to nationalise ITT’s foreign investment in Chile.</w:t>
      </w:r>
      <w:r w:rsidR="00075342" w:rsidRPr="00FC1D31">
        <w:rPr>
          <w:rStyle w:val="FootnoteReference"/>
          <w:rFonts w:ascii="Garamond" w:hAnsi="Garamond"/>
          <w:sz w:val="24"/>
          <w:szCs w:val="24"/>
        </w:rPr>
        <w:footnoteReference w:id="56"/>
      </w:r>
      <w:r w:rsidR="00075342" w:rsidRPr="00FC1D31">
        <w:rPr>
          <w:rFonts w:ascii="Garamond" w:hAnsi="Garamond"/>
          <w:sz w:val="24"/>
          <w:szCs w:val="24"/>
        </w:rPr>
        <w:t xml:space="preserve"> </w:t>
      </w:r>
    </w:p>
    <w:p w14:paraId="1AD091B8" w14:textId="77777777" w:rsidR="00F24C88" w:rsidRPr="00FC1D31" w:rsidRDefault="00F24C88" w:rsidP="006C7FF7">
      <w:pPr>
        <w:autoSpaceDE w:val="0"/>
        <w:autoSpaceDN w:val="0"/>
        <w:adjustRightInd w:val="0"/>
        <w:spacing w:after="0" w:line="240" w:lineRule="auto"/>
        <w:jc w:val="both"/>
        <w:rPr>
          <w:rFonts w:ascii="Garamond" w:hAnsi="Garamond"/>
          <w:sz w:val="24"/>
          <w:szCs w:val="24"/>
        </w:rPr>
      </w:pPr>
    </w:p>
    <w:p w14:paraId="39068A0D" w14:textId="17EA83D7" w:rsidR="001761E6" w:rsidRPr="00FC1D31" w:rsidRDefault="00075342" w:rsidP="006C7FF7">
      <w:pPr>
        <w:autoSpaceDE w:val="0"/>
        <w:autoSpaceDN w:val="0"/>
        <w:adjustRightInd w:val="0"/>
        <w:spacing w:after="0" w:line="240" w:lineRule="auto"/>
        <w:jc w:val="both"/>
        <w:rPr>
          <w:rFonts w:ascii="Garamond" w:hAnsi="Garamond"/>
          <w:sz w:val="24"/>
          <w:szCs w:val="24"/>
        </w:rPr>
      </w:pPr>
      <w:r w:rsidRPr="00FC1D31">
        <w:rPr>
          <w:rFonts w:ascii="Garamond" w:hAnsi="Garamond"/>
          <w:sz w:val="24"/>
          <w:szCs w:val="24"/>
        </w:rPr>
        <w:t>In response to a complaint filed by Chile, the UN Social and Economic Council admitted that the international community had yet to ‘establish effective machinery for dealing with issues raised by the activities of these corporations.’</w:t>
      </w:r>
      <w:r w:rsidRPr="00FC1D31">
        <w:rPr>
          <w:rStyle w:val="FootnoteReference"/>
          <w:rFonts w:ascii="Garamond" w:hAnsi="Garamond"/>
          <w:sz w:val="24"/>
          <w:szCs w:val="24"/>
        </w:rPr>
        <w:footnoteReference w:id="57"/>
      </w:r>
      <w:r w:rsidRPr="00FC1D31">
        <w:rPr>
          <w:rFonts w:ascii="Garamond" w:hAnsi="Garamond"/>
          <w:sz w:val="24"/>
          <w:szCs w:val="24"/>
        </w:rPr>
        <w:t xml:space="preserve"> </w:t>
      </w:r>
      <w:r w:rsidR="00744A46" w:rsidRPr="00FC1D31">
        <w:rPr>
          <w:rFonts w:ascii="Garamond" w:hAnsi="Garamond"/>
          <w:sz w:val="24"/>
          <w:szCs w:val="24"/>
        </w:rPr>
        <w:t>An initial resolution was to work towards ‘a general agreement on multinational corporations having the force of an international treaty and containing provisions for machinery and sanctions,’ but at the time it was felt that serious negotiations on such an agreement were premature.</w:t>
      </w:r>
      <w:r w:rsidR="00744A46" w:rsidRPr="00FC1D31">
        <w:rPr>
          <w:rStyle w:val="FootnoteReference"/>
          <w:rFonts w:ascii="Garamond" w:hAnsi="Garamond"/>
          <w:sz w:val="24"/>
          <w:szCs w:val="24"/>
        </w:rPr>
        <w:footnoteReference w:id="58"/>
      </w:r>
      <w:r w:rsidR="00744A46" w:rsidRPr="00FC1D31">
        <w:rPr>
          <w:rFonts w:ascii="Garamond" w:hAnsi="Garamond"/>
          <w:sz w:val="24"/>
          <w:szCs w:val="24"/>
        </w:rPr>
        <w:t xml:space="preserve"> </w:t>
      </w:r>
      <w:r w:rsidR="00B12580" w:rsidRPr="00FC1D31">
        <w:rPr>
          <w:rFonts w:ascii="Garamond" w:hAnsi="Garamond"/>
          <w:sz w:val="24"/>
          <w:szCs w:val="24"/>
        </w:rPr>
        <w:t xml:space="preserve">In the language echoing contemporary concerns over foreign investments in the EU, </w:t>
      </w:r>
      <w:r w:rsidR="001761E6" w:rsidRPr="00FC1D31">
        <w:rPr>
          <w:rFonts w:ascii="Garamond" w:hAnsi="Garamond"/>
          <w:sz w:val="24"/>
          <w:szCs w:val="24"/>
        </w:rPr>
        <w:t xml:space="preserve">a </w:t>
      </w:r>
      <w:r w:rsidR="00B12580" w:rsidRPr="00FC1D31">
        <w:rPr>
          <w:rFonts w:ascii="Garamond" w:hAnsi="Garamond"/>
          <w:sz w:val="24"/>
          <w:szCs w:val="24"/>
        </w:rPr>
        <w:t>coalition of developing countries demanded</w:t>
      </w:r>
      <w:r w:rsidR="001761E6" w:rsidRPr="00FC1D31">
        <w:rPr>
          <w:rFonts w:ascii="Garamond" w:hAnsi="Garamond"/>
          <w:sz w:val="24"/>
          <w:szCs w:val="24"/>
        </w:rPr>
        <w:t>, in their 1974 resolutions establishing a New International Economic Order,</w:t>
      </w:r>
      <w:r w:rsidR="00B12580" w:rsidRPr="00FC1D31">
        <w:rPr>
          <w:rFonts w:ascii="Garamond" w:hAnsi="Garamond"/>
          <w:sz w:val="24"/>
          <w:szCs w:val="24"/>
        </w:rPr>
        <w:t xml:space="preserve"> the sovereign right ‘to regulate and supervise activities of transnational corporations within its national jurisdictions and to take measures to ensure that such activities comply with its laws, rules, and regulations and conform</w:t>
      </w:r>
      <w:r w:rsidR="001761E6" w:rsidRPr="00FC1D31">
        <w:rPr>
          <w:rFonts w:ascii="Garamond" w:hAnsi="Garamond"/>
          <w:sz w:val="24"/>
          <w:szCs w:val="24"/>
        </w:rPr>
        <w:t xml:space="preserve"> with its economic and social policies.’</w:t>
      </w:r>
      <w:r w:rsidR="001761E6" w:rsidRPr="00FC1D31">
        <w:rPr>
          <w:rStyle w:val="FootnoteReference"/>
          <w:rFonts w:ascii="Garamond" w:hAnsi="Garamond"/>
          <w:sz w:val="24"/>
          <w:szCs w:val="24"/>
        </w:rPr>
        <w:footnoteReference w:id="59"/>
      </w:r>
    </w:p>
    <w:p w14:paraId="12A9A9C1" w14:textId="6424DD6B" w:rsidR="003F16CD" w:rsidRPr="00FC1D31" w:rsidRDefault="003F16CD" w:rsidP="002E6747">
      <w:pPr>
        <w:autoSpaceDE w:val="0"/>
        <w:autoSpaceDN w:val="0"/>
        <w:adjustRightInd w:val="0"/>
        <w:spacing w:after="0" w:line="240" w:lineRule="auto"/>
        <w:jc w:val="both"/>
        <w:rPr>
          <w:rFonts w:ascii="Garamond" w:hAnsi="Garamond"/>
          <w:sz w:val="24"/>
          <w:szCs w:val="24"/>
        </w:rPr>
      </w:pPr>
    </w:p>
    <w:p w14:paraId="5DFB3F9A" w14:textId="5D745B17" w:rsidR="00075342" w:rsidRPr="00FC1D31" w:rsidRDefault="00551717" w:rsidP="002E6747">
      <w:pPr>
        <w:autoSpaceDE w:val="0"/>
        <w:autoSpaceDN w:val="0"/>
        <w:adjustRightInd w:val="0"/>
        <w:spacing w:after="0" w:line="240" w:lineRule="auto"/>
        <w:jc w:val="both"/>
        <w:rPr>
          <w:rFonts w:ascii="Garamond" w:hAnsi="Garamond"/>
          <w:sz w:val="24"/>
          <w:szCs w:val="24"/>
        </w:rPr>
      </w:pPr>
      <w:r w:rsidRPr="00FC1D31">
        <w:rPr>
          <w:rFonts w:ascii="Garamond" w:hAnsi="Garamond"/>
          <w:sz w:val="24"/>
          <w:szCs w:val="24"/>
        </w:rPr>
        <w:t>Yet the historical efforts to reach consensus on the rule</w:t>
      </w:r>
      <w:r w:rsidR="00FD2DD5" w:rsidRPr="00FC1D31">
        <w:rPr>
          <w:rFonts w:ascii="Garamond" w:hAnsi="Garamond"/>
          <w:sz w:val="24"/>
          <w:szCs w:val="24"/>
        </w:rPr>
        <w:t>s</w:t>
      </w:r>
      <w:r w:rsidRPr="00FC1D31">
        <w:rPr>
          <w:rFonts w:ascii="Garamond" w:hAnsi="Garamond"/>
          <w:sz w:val="24"/>
          <w:szCs w:val="24"/>
        </w:rPr>
        <w:t xml:space="preserve"> governing foreign investors were thwarted by layers of disagreement both within developed countries, and between developed and developing countries. </w:t>
      </w:r>
      <w:r w:rsidR="00E42387" w:rsidRPr="00FC1D31">
        <w:rPr>
          <w:rFonts w:ascii="Garamond" w:hAnsi="Garamond"/>
          <w:sz w:val="24"/>
          <w:szCs w:val="24"/>
        </w:rPr>
        <w:t>Western industry associations, including the International Chamber of Commerce, considered the UN ‘an enemy accomplice’ of developing states which had been vocal in raising concerns over foreign investor domination and called for a radical overhaul of international rules governing foreign investment.</w:t>
      </w:r>
      <w:r w:rsidR="00E42387" w:rsidRPr="00FC1D31">
        <w:rPr>
          <w:rStyle w:val="FootnoteReference"/>
          <w:rFonts w:ascii="Garamond" w:hAnsi="Garamond"/>
          <w:sz w:val="24"/>
          <w:szCs w:val="24"/>
        </w:rPr>
        <w:footnoteReference w:id="60"/>
      </w:r>
      <w:r w:rsidR="00E42387" w:rsidRPr="00FC1D31">
        <w:rPr>
          <w:rFonts w:ascii="Garamond" w:hAnsi="Garamond"/>
          <w:sz w:val="24"/>
          <w:szCs w:val="24"/>
        </w:rPr>
        <w:t xml:space="preserve"> </w:t>
      </w:r>
      <w:r w:rsidR="001761E6" w:rsidRPr="00FC1D31">
        <w:rPr>
          <w:rFonts w:ascii="Garamond" w:hAnsi="Garamond"/>
          <w:sz w:val="24"/>
          <w:szCs w:val="24"/>
        </w:rPr>
        <w:t>The NIEO agenda</w:t>
      </w:r>
      <w:r w:rsidR="002E6747" w:rsidRPr="00FC1D31">
        <w:rPr>
          <w:rFonts w:ascii="Garamond" w:hAnsi="Garamond"/>
          <w:sz w:val="24"/>
          <w:szCs w:val="24"/>
        </w:rPr>
        <w:t xml:space="preserve"> was met with staunch opposition from major capital exporting countries, including European states such as Belgium, Denmark Belgium, Denmark, the Federal Republic of Germany,  Luxembourg, and the United Kingdom.</w:t>
      </w:r>
      <w:r w:rsidR="002E6747" w:rsidRPr="00FC1D31">
        <w:rPr>
          <w:rStyle w:val="FootnoteReference"/>
          <w:rFonts w:ascii="Garamond" w:hAnsi="Garamond"/>
          <w:sz w:val="24"/>
          <w:szCs w:val="24"/>
        </w:rPr>
        <w:footnoteReference w:id="61"/>
      </w:r>
      <w:r w:rsidR="002E6747" w:rsidRPr="00FC1D31">
        <w:rPr>
          <w:rFonts w:ascii="Garamond" w:hAnsi="Garamond"/>
          <w:sz w:val="24"/>
          <w:szCs w:val="24"/>
        </w:rPr>
        <w:t xml:space="preserve"> </w:t>
      </w:r>
      <w:r w:rsidR="00E42387" w:rsidRPr="00FC1D31">
        <w:rPr>
          <w:rFonts w:ascii="Garamond" w:hAnsi="Garamond"/>
          <w:sz w:val="24"/>
          <w:szCs w:val="24"/>
        </w:rPr>
        <w:t>UN-led discussions of a draft code of conduct for transnational corporations took almost two decades but were ultimately abandoned in 1992.</w:t>
      </w:r>
      <w:r w:rsidR="00E42387" w:rsidRPr="00FC1D31">
        <w:rPr>
          <w:rStyle w:val="FootnoteReference"/>
          <w:rFonts w:ascii="Garamond" w:hAnsi="Garamond"/>
          <w:sz w:val="24"/>
          <w:szCs w:val="24"/>
        </w:rPr>
        <w:footnoteReference w:id="62"/>
      </w:r>
      <w:r w:rsidR="00E42387" w:rsidRPr="00FC1D31">
        <w:rPr>
          <w:rFonts w:ascii="Garamond" w:hAnsi="Garamond"/>
          <w:sz w:val="24"/>
          <w:szCs w:val="24"/>
        </w:rPr>
        <w:t xml:space="preserve"> At the same time, as the multilateral debates about the need to reign in powerful foreign investors came to a halt, bilateral investment treaties were in ascendance. Actively promoted by the World Bank and the IMF,</w:t>
      </w:r>
      <w:r w:rsidR="00722915" w:rsidRPr="00FC1D31">
        <w:rPr>
          <w:rStyle w:val="FootnoteReference"/>
          <w:rFonts w:ascii="Garamond" w:hAnsi="Garamond"/>
          <w:sz w:val="24"/>
          <w:szCs w:val="24"/>
        </w:rPr>
        <w:footnoteReference w:id="63"/>
      </w:r>
      <w:r w:rsidR="00E42387" w:rsidRPr="00FC1D31">
        <w:rPr>
          <w:rFonts w:ascii="Garamond" w:hAnsi="Garamond"/>
          <w:sz w:val="24"/>
          <w:szCs w:val="24"/>
        </w:rPr>
        <w:t xml:space="preserve"> investment treaties were conceived not to curb the</w:t>
      </w:r>
      <w:r w:rsidR="00722915" w:rsidRPr="00FC1D31">
        <w:rPr>
          <w:rFonts w:ascii="Garamond" w:hAnsi="Garamond"/>
          <w:sz w:val="24"/>
          <w:szCs w:val="24"/>
        </w:rPr>
        <w:t xml:space="preserve"> powers of foreign investors and their ability to interfere in political affairs of host states, but instead </w:t>
      </w:r>
      <w:r w:rsidR="000B5F68" w:rsidRPr="00FC1D31">
        <w:rPr>
          <w:rFonts w:ascii="Garamond" w:hAnsi="Garamond"/>
          <w:sz w:val="24"/>
          <w:szCs w:val="24"/>
        </w:rPr>
        <w:t>to</w:t>
      </w:r>
      <w:r w:rsidR="00722915" w:rsidRPr="00FC1D31">
        <w:rPr>
          <w:rFonts w:ascii="Garamond" w:hAnsi="Garamond"/>
          <w:sz w:val="24"/>
          <w:szCs w:val="24"/>
        </w:rPr>
        <w:t xml:space="preserve"> curb </w:t>
      </w:r>
      <w:r w:rsidR="00FD2DD5" w:rsidRPr="00FC1D31">
        <w:rPr>
          <w:rFonts w:ascii="Garamond" w:hAnsi="Garamond"/>
          <w:sz w:val="24"/>
          <w:szCs w:val="24"/>
        </w:rPr>
        <w:t xml:space="preserve">host states’ </w:t>
      </w:r>
      <w:r w:rsidR="00722915" w:rsidRPr="00FC1D31">
        <w:rPr>
          <w:rFonts w:ascii="Garamond" w:hAnsi="Garamond"/>
          <w:sz w:val="24"/>
          <w:szCs w:val="24"/>
        </w:rPr>
        <w:t xml:space="preserve">powers to </w:t>
      </w:r>
      <w:r w:rsidR="00FD2DD5" w:rsidRPr="00FC1D31">
        <w:rPr>
          <w:rFonts w:ascii="Garamond" w:hAnsi="Garamond"/>
          <w:sz w:val="24"/>
          <w:szCs w:val="24"/>
        </w:rPr>
        <w:t>adopt</w:t>
      </w:r>
      <w:r w:rsidR="00722915" w:rsidRPr="00FC1D31">
        <w:rPr>
          <w:rFonts w:ascii="Garamond" w:hAnsi="Garamond"/>
          <w:sz w:val="24"/>
          <w:szCs w:val="24"/>
        </w:rPr>
        <w:t xml:space="preserve"> any measure that would undermine the sanctity of investors’ property and contractual rights and, ultimately, ‘the sanctity of capital mobility.’</w:t>
      </w:r>
      <w:r w:rsidR="00722915" w:rsidRPr="00FC1D31">
        <w:rPr>
          <w:rStyle w:val="FootnoteReference"/>
          <w:rFonts w:ascii="Garamond" w:hAnsi="Garamond"/>
          <w:sz w:val="24"/>
          <w:szCs w:val="24"/>
        </w:rPr>
        <w:footnoteReference w:id="64"/>
      </w:r>
      <w:r w:rsidR="00526C9E" w:rsidRPr="00FC1D31">
        <w:rPr>
          <w:rFonts w:ascii="Garamond" w:hAnsi="Garamond"/>
          <w:sz w:val="24"/>
          <w:szCs w:val="24"/>
        </w:rPr>
        <w:t xml:space="preserve"> EU member states have been among the most active </w:t>
      </w:r>
      <w:r w:rsidR="00FC1D31">
        <w:rPr>
          <w:rFonts w:ascii="Garamond" w:hAnsi="Garamond"/>
          <w:sz w:val="24"/>
          <w:szCs w:val="24"/>
        </w:rPr>
        <w:t>players</w:t>
      </w:r>
      <w:r w:rsidR="00526C9E" w:rsidRPr="00FC1D31">
        <w:rPr>
          <w:rFonts w:ascii="Garamond" w:hAnsi="Garamond"/>
          <w:sz w:val="24"/>
          <w:szCs w:val="24"/>
        </w:rPr>
        <w:t xml:space="preserve"> on the scene, collectively responsible for creating a vast spaghetti bowl of investment treaties. Notably, </w:t>
      </w:r>
      <w:proofErr w:type="gramStart"/>
      <w:r w:rsidR="00526C9E" w:rsidRPr="00FC1D31">
        <w:rPr>
          <w:rFonts w:ascii="Garamond" w:hAnsi="Garamond"/>
          <w:sz w:val="24"/>
          <w:szCs w:val="24"/>
        </w:rPr>
        <w:t>the majority of</w:t>
      </w:r>
      <w:proofErr w:type="gramEnd"/>
      <w:r w:rsidR="00526C9E" w:rsidRPr="00FC1D31">
        <w:rPr>
          <w:rFonts w:ascii="Garamond" w:hAnsi="Garamond"/>
          <w:sz w:val="24"/>
          <w:szCs w:val="24"/>
        </w:rPr>
        <w:t xml:space="preserve"> these agreements implicitly extend their protections to state-owned investors.</w:t>
      </w:r>
      <w:r w:rsidR="00526C9E" w:rsidRPr="00FC1D31">
        <w:rPr>
          <w:rStyle w:val="FootnoteReference"/>
          <w:rFonts w:ascii="Garamond" w:hAnsi="Garamond"/>
          <w:sz w:val="24"/>
          <w:szCs w:val="24"/>
        </w:rPr>
        <w:footnoteReference w:id="65"/>
      </w:r>
    </w:p>
    <w:p w14:paraId="5013EC0A" w14:textId="27530956" w:rsidR="008C0268" w:rsidRPr="00FC1D31" w:rsidRDefault="008C0268" w:rsidP="002E6747">
      <w:pPr>
        <w:autoSpaceDE w:val="0"/>
        <w:autoSpaceDN w:val="0"/>
        <w:adjustRightInd w:val="0"/>
        <w:spacing w:after="0" w:line="240" w:lineRule="auto"/>
        <w:jc w:val="both"/>
        <w:rPr>
          <w:rFonts w:ascii="Garamond" w:hAnsi="Garamond"/>
          <w:sz w:val="24"/>
          <w:szCs w:val="24"/>
        </w:rPr>
      </w:pPr>
    </w:p>
    <w:p w14:paraId="2BA7CDFF" w14:textId="01C5C300" w:rsidR="001A5AAC" w:rsidRPr="00FC1D31" w:rsidRDefault="0091112B" w:rsidP="001A5AAC">
      <w:pPr>
        <w:autoSpaceDE w:val="0"/>
        <w:autoSpaceDN w:val="0"/>
        <w:adjustRightInd w:val="0"/>
        <w:spacing w:after="0" w:line="240" w:lineRule="auto"/>
        <w:jc w:val="both"/>
        <w:rPr>
          <w:rFonts w:ascii="Garamond" w:hAnsi="Garamond"/>
          <w:sz w:val="24"/>
          <w:szCs w:val="24"/>
        </w:rPr>
      </w:pPr>
      <w:r w:rsidRPr="00FC1D31">
        <w:rPr>
          <w:rFonts w:ascii="Garamond" w:hAnsi="Garamond"/>
          <w:sz w:val="24"/>
          <w:szCs w:val="24"/>
        </w:rPr>
        <w:t>Strongly resonating with the 1970s debates, the shared core of the three initiatives introduced by the Commission in pursuit of open and strategic autonomy in EU</w:t>
      </w:r>
      <w:r w:rsidR="002A18DF" w:rsidRPr="00FC1D31">
        <w:rPr>
          <w:rFonts w:ascii="Garamond" w:hAnsi="Garamond"/>
          <w:sz w:val="24"/>
          <w:szCs w:val="24"/>
        </w:rPr>
        <w:t xml:space="preserve"> investment</w:t>
      </w:r>
      <w:r w:rsidRPr="00FC1D31">
        <w:rPr>
          <w:rFonts w:ascii="Garamond" w:hAnsi="Garamond"/>
          <w:sz w:val="24"/>
          <w:szCs w:val="24"/>
        </w:rPr>
        <w:t xml:space="preserve"> policy </w:t>
      </w:r>
      <w:r w:rsidR="00F51FE6" w:rsidRPr="00FC1D31">
        <w:rPr>
          <w:rFonts w:ascii="Garamond" w:hAnsi="Garamond"/>
          <w:sz w:val="24"/>
          <w:szCs w:val="24"/>
        </w:rPr>
        <w:t>is</w:t>
      </w:r>
      <w:r w:rsidR="00FD2DD5" w:rsidRPr="00FC1D31">
        <w:rPr>
          <w:rFonts w:ascii="Garamond" w:hAnsi="Garamond"/>
          <w:sz w:val="24"/>
          <w:szCs w:val="24"/>
        </w:rPr>
        <w:t xml:space="preserve"> a renewed appetite for</w:t>
      </w:r>
      <w:r w:rsidRPr="00FC1D31">
        <w:rPr>
          <w:rFonts w:ascii="Garamond" w:hAnsi="Garamond"/>
          <w:sz w:val="24"/>
          <w:szCs w:val="24"/>
        </w:rPr>
        <w:t xml:space="preserve"> </w:t>
      </w:r>
      <w:r w:rsidR="00FD2DD5" w:rsidRPr="00FC1D31">
        <w:rPr>
          <w:rFonts w:ascii="Garamond" w:hAnsi="Garamond"/>
          <w:sz w:val="24"/>
          <w:szCs w:val="24"/>
        </w:rPr>
        <w:t xml:space="preserve">subjecting </w:t>
      </w:r>
      <w:r w:rsidRPr="00FC1D31">
        <w:rPr>
          <w:rFonts w:ascii="Garamond" w:hAnsi="Garamond"/>
          <w:sz w:val="24"/>
          <w:szCs w:val="24"/>
        </w:rPr>
        <w:t xml:space="preserve">foreign investment to rigorous scrutiny and controls domestically. </w:t>
      </w:r>
      <w:r w:rsidR="001A5AAC" w:rsidRPr="00FC1D31">
        <w:rPr>
          <w:rFonts w:ascii="Garamond" w:hAnsi="Garamond"/>
          <w:sz w:val="24"/>
          <w:szCs w:val="24"/>
        </w:rPr>
        <w:t xml:space="preserve">The echoes of NIEO-era </w:t>
      </w:r>
      <w:proofErr w:type="gramStart"/>
      <w:r w:rsidR="001A5AAC" w:rsidRPr="00FC1D31">
        <w:rPr>
          <w:rFonts w:ascii="Garamond" w:hAnsi="Garamond"/>
          <w:sz w:val="24"/>
          <w:szCs w:val="24"/>
        </w:rPr>
        <w:t>demands</w:t>
      </w:r>
      <w:proofErr w:type="gramEnd"/>
      <w:r w:rsidR="001A5AAC" w:rsidRPr="00FC1D31">
        <w:rPr>
          <w:rFonts w:ascii="Garamond" w:hAnsi="Garamond"/>
          <w:sz w:val="24"/>
          <w:szCs w:val="24"/>
        </w:rPr>
        <w:t xml:space="preserve"> for the sovereign rights to reign in the powerful foreign investors can certainly be detected in then President of the European Commission, J</w:t>
      </w:r>
      <w:r w:rsidR="00C718D5" w:rsidRPr="00FC1D31">
        <w:rPr>
          <w:rFonts w:ascii="Garamond" w:hAnsi="Garamond"/>
          <w:sz w:val="24"/>
          <w:szCs w:val="24"/>
        </w:rPr>
        <w:t>e</w:t>
      </w:r>
      <w:r w:rsidR="001A5AAC" w:rsidRPr="00FC1D31">
        <w:rPr>
          <w:rFonts w:ascii="Garamond" w:hAnsi="Garamond"/>
          <w:sz w:val="24"/>
          <w:szCs w:val="24"/>
        </w:rPr>
        <w:t>an</w:t>
      </w:r>
      <w:r w:rsidR="00C718D5" w:rsidRPr="00FC1D31">
        <w:rPr>
          <w:rFonts w:ascii="Garamond" w:hAnsi="Garamond"/>
          <w:sz w:val="24"/>
          <w:szCs w:val="24"/>
        </w:rPr>
        <w:t>-</w:t>
      </w:r>
      <w:r w:rsidR="001A5AAC" w:rsidRPr="00FC1D31">
        <w:rPr>
          <w:rFonts w:ascii="Garamond" w:hAnsi="Garamond"/>
          <w:sz w:val="24"/>
          <w:szCs w:val="24"/>
        </w:rPr>
        <w:t>Claud</w:t>
      </w:r>
      <w:r w:rsidR="00C718D5" w:rsidRPr="00FC1D31">
        <w:rPr>
          <w:rFonts w:ascii="Garamond" w:hAnsi="Garamond"/>
          <w:sz w:val="24"/>
          <w:szCs w:val="24"/>
        </w:rPr>
        <w:t>e</w:t>
      </w:r>
      <w:r w:rsidR="001A5AAC" w:rsidRPr="00FC1D31">
        <w:rPr>
          <w:rFonts w:ascii="Garamond" w:hAnsi="Garamond"/>
          <w:sz w:val="24"/>
          <w:szCs w:val="24"/>
        </w:rPr>
        <w:t xml:space="preserve"> Juncker’s </w:t>
      </w:r>
      <w:r w:rsidR="001A5AAC" w:rsidRPr="00FC1D31">
        <w:rPr>
          <w:rFonts w:ascii="Garamond" w:hAnsi="Garamond" w:cs="AdvOTab62ddd16"/>
          <w:sz w:val="24"/>
          <w:szCs w:val="24"/>
        </w:rPr>
        <w:t xml:space="preserve">annual State of the Union address in 2017 </w:t>
      </w:r>
      <w:r w:rsidR="002A18DF" w:rsidRPr="00FC1D31">
        <w:rPr>
          <w:rFonts w:ascii="Garamond" w:hAnsi="Garamond" w:cs="AdvOTab62ddd16"/>
          <w:sz w:val="24"/>
          <w:szCs w:val="24"/>
        </w:rPr>
        <w:t>where</w:t>
      </w:r>
      <w:r w:rsidR="001A5AAC" w:rsidRPr="00FC1D31">
        <w:rPr>
          <w:rFonts w:ascii="Garamond" w:hAnsi="Garamond" w:cs="AdvOTab62ddd16"/>
          <w:sz w:val="24"/>
          <w:szCs w:val="24"/>
        </w:rPr>
        <w:t xml:space="preserve"> he stressed that</w:t>
      </w:r>
    </w:p>
    <w:p w14:paraId="23011E10" w14:textId="77777777" w:rsidR="00FD2DD5" w:rsidRPr="00FC1D31" w:rsidRDefault="00FD2DD5" w:rsidP="001A5AAC">
      <w:pPr>
        <w:autoSpaceDE w:val="0"/>
        <w:autoSpaceDN w:val="0"/>
        <w:adjustRightInd w:val="0"/>
        <w:spacing w:after="0" w:line="240" w:lineRule="auto"/>
        <w:ind w:left="720"/>
        <w:jc w:val="both"/>
        <w:rPr>
          <w:rFonts w:ascii="Garamond" w:hAnsi="Garamond" w:cs="AdvOTc0286d31.I6"/>
          <w:sz w:val="24"/>
          <w:szCs w:val="24"/>
        </w:rPr>
      </w:pPr>
    </w:p>
    <w:p w14:paraId="5F968C2C" w14:textId="52019D6C" w:rsidR="001A5AAC" w:rsidRPr="00FC1D31" w:rsidRDefault="001A5AAC" w:rsidP="001A5AAC">
      <w:pPr>
        <w:autoSpaceDE w:val="0"/>
        <w:autoSpaceDN w:val="0"/>
        <w:adjustRightInd w:val="0"/>
        <w:spacing w:after="0" w:line="240" w:lineRule="auto"/>
        <w:ind w:left="720"/>
        <w:jc w:val="both"/>
        <w:rPr>
          <w:rFonts w:ascii="Garamond" w:hAnsi="Garamond" w:cs="AdvOTab62ddd16"/>
          <w:sz w:val="24"/>
          <w:szCs w:val="24"/>
        </w:rPr>
      </w:pPr>
      <w:r w:rsidRPr="00FC1D31">
        <w:rPr>
          <w:rFonts w:ascii="Garamond" w:hAnsi="Garamond" w:cs="AdvOTc0286d31.I6"/>
          <w:sz w:val="24"/>
          <w:szCs w:val="24"/>
        </w:rPr>
        <w:lastRenderedPageBreak/>
        <w:t xml:space="preserve">Europe must always defend its strategic interests. … If a foreign, state-owned, company wants to purchase a European harbour, part of our energy infrastructure or a defence technology </w:t>
      </w:r>
      <w:r w:rsidRPr="00FC1D31">
        <w:rPr>
          <w:rFonts w:ascii="Garamond" w:hAnsi="Garamond" w:cs="AdvOTc0286d31.I+fb3"/>
          <w:sz w:val="24"/>
          <w:szCs w:val="24"/>
        </w:rPr>
        <w:t>fi</w:t>
      </w:r>
      <w:r w:rsidRPr="00FC1D31">
        <w:rPr>
          <w:rFonts w:ascii="Garamond" w:hAnsi="Garamond" w:cs="AdvOTc0286d31.I6"/>
          <w:sz w:val="24"/>
          <w:szCs w:val="24"/>
        </w:rPr>
        <w:t>rm, this should only happen in transparency, with scrutiny and debate. It is a political responsibility to know what is going on in our own backyard so that we can protect our collective security if needed</w:t>
      </w:r>
      <w:r w:rsidRPr="00FC1D31">
        <w:rPr>
          <w:rFonts w:ascii="Garamond" w:hAnsi="Garamond" w:cs="AdvOTab62ddd16"/>
          <w:sz w:val="24"/>
          <w:szCs w:val="24"/>
        </w:rPr>
        <w:t>.</w:t>
      </w:r>
      <w:r w:rsidRPr="00FC1D31">
        <w:rPr>
          <w:rStyle w:val="FootnoteReference"/>
          <w:rFonts w:ascii="Garamond" w:hAnsi="Garamond" w:cs="AdvOTab62ddd16"/>
          <w:sz w:val="24"/>
          <w:szCs w:val="24"/>
        </w:rPr>
        <w:footnoteReference w:id="66"/>
      </w:r>
    </w:p>
    <w:p w14:paraId="7969345A" w14:textId="77777777" w:rsidR="001A5AAC" w:rsidRPr="00FC1D31" w:rsidRDefault="001A5AAC" w:rsidP="001A5AAC">
      <w:pPr>
        <w:autoSpaceDE w:val="0"/>
        <w:autoSpaceDN w:val="0"/>
        <w:adjustRightInd w:val="0"/>
        <w:spacing w:after="0" w:line="240" w:lineRule="auto"/>
        <w:ind w:left="720"/>
        <w:jc w:val="both"/>
        <w:rPr>
          <w:rFonts w:ascii="Garamond" w:hAnsi="Garamond" w:cs="AdvOTc0286d31.I6"/>
          <w:sz w:val="24"/>
          <w:szCs w:val="24"/>
        </w:rPr>
      </w:pPr>
    </w:p>
    <w:p w14:paraId="0AE3E5E2" w14:textId="53D77BB6" w:rsidR="002A18DF" w:rsidRPr="00FC1D31" w:rsidRDefault="00574331" w:rsidP="00796CC7">
      <w:pPr>
        <w:autoSpaceDE w:val="0"/>
        <w:autoSpaceDN w:val="0"/>
        <w:adjustRightInd w:val="0"/>
        <w:spacing w:after="0" w:line="240" w:lineRule="auto"/>
        <w:jc w:val="both"/>
        <w:rPr>
          <w:rFonts w:ascii="Garamond" w:hAnsi="Garamond"/>
          <w:sz w:val="24"/>
          <w:szCs w:val="24"/>
        </w:rPr>
      </w:pPr>
      <w:r w:rsidRPr="00FC1D31">
        <w:rPr>
          <w:rFonts w:ascii="Garamond" w:hAnsi="Garamond" w:cs="AdvOTab62ddd124"/>
          <w:color w:val="000000"/>
          <w:sz w:val="24"/>
          <w:szCs w:val="24"/>
        </w:rPr>
        <w:t xml:space="preserve">The EU’s move towards open strategic autonomy in its foreign investment policy is, in some respects, a welcome development as it signifies a departure from the old orthodoxies which </w:t>
      </w:r>
      <w:r w:rsidR="00FC1D31" w:rsidRPr="00FC1D31">
        <w:rPr>
          <w:rFonts w:ascii="Garamond" w:hAnsi="Garamond" w:cs="AdvOTab62ddd124"/>
          <w:color w:val="000000"/>
          <w:sz w:val="24"/>
          <w:szCs w:val="24"/>
        </w:rPr>
        <w:t>ha</w:t>
      </w:r>
      <w:r w:rsidR="00FC1D31">
        <w:rPr>
          <w:rFonts w:ascii="Garamond" w:hAnsi="Garamond" w:cs="AdvOTab62ddd124"/>
          <w:color w:val="000000"/>
          <w:sz w:val="24"/>
          <w:szCs w:val="24"/>
        </w:rPr>
        <w:t>ve</w:t>
      </w:r>
      <w:r w:rsidR="00FC1D31" w:rsidRPr="00FC1D31">
        <w:rPr>
          <w:rFonts w:ascii="Garamond" w:hAnsi="Garamond" w:cs="AdvOTab62ddd124"/>
          <w:color w:val="000000"/>
          <w:sz w:val="24"/>
          <w:szCs w:val="24"/>
        </w:rPr>
        <w:t xml:space="preserve"> </w:t>
      </w:r>
      <w:r w:rsidRPr="00FC1D31">
        <w:rPr>
          <w:rFonts w:ascii="Garamond" w:hAnsi="Garamond" w:cs="AdvOTab62ddd124"/>
          <w:color w:val="000000"/>
          <w:sz w:val="24"/>
          <w:szCs w:val="24"/>
        </w:rPr>
        <w:t>long portrayed foreign direct investment exclusively through the lens of its benefits for the host economies and societies. Ever since their inception in the post-war period, much of investment treaty texts and caselaw converged in describing foreign investment as an uncontested common good, a source of prosperity and societal advancement.</w:t>
      </w:r>
      <w:r w:rsidRPr="00FC1D31">
        <w:rPr>
          <w:rStyle w:val="FootnoteReference"/>
          <w:rFonts w:ascii="Garamond" w:hAnsi="Garamond" w:cs="AdvOTab62ddd124"/>
          <w:color w:val="000000"/>
          <w:sz w:val="24"/>
          <w:szCs w:val="24"/>
        </w:rPr>
        <w:footnoteReference w:id="67"/>
      </w:r>
      <w:r w:rsidRPr="00FC1D31">
        <w:rPr>
          <w:rFonts w:ascii="Garamond" w:hAnsi="Garamond" w:cs="AdvOTab62ddd124"/>
          <w:color w:val="000000"/>
          <w:sz w:val="24"/>
          <w:szCs w:val="24"/>
        </w:rPr>
        <w:t xml:space="preserve"> The heated debates at the UN about the implications of foreign control in strategic sectors and the impact of foreign investment on domestic competitiveness seem to have been forgotten as a relic of the turbulent post-war history. </w:t>
      </w:r>
      <w:r w:rsidRPr="00FC1D31">
        <w:rPr>
          <w:rFonts w:ascii="Garamond" w:hAnsi="Garamond"/>
          <w:sz w:val="24"/>
          <w:szCs w:val="24"/>
        </w:rPr>
        <w:t>As the direction of investment flows changed at the turn of the century and</w:t>
      </w:r>
      <w:proofErr w:type="gramStart"/>
      <w:r w:rsidRPr="00FC1D31">
        <w:rPr>
          <w:rFonts w:ascii="Garamond" w:hAnsi="Garamond"/>
          <w:sz w:val="24"/>
          <w:szCs w:val="24"/>
        </w:rPr>
        <w:t>, in particular, with</w:t>
      </w:r>
      <w:proofErr w:type="gramEnd"/>
      <w:r w:rsidRPr="00FC1D31">
        <w:rPr>
          <w:rFonts w:ascii="Garamond" w:hAnsi="Garamond"/>
          <w:sz w:val="24"/>
          <w:szCs w:val="24"/>
        </w:rPr>
        <w:t xml:space="preserve"> the proliferation of investment from third countries and the rise of new economic powers, including China, Russia and the Gulf states, there has been a discernible shift in the prevailing narratives. ‘We wouldn’t transfer title to the devil’ was how some in the United States Congress reacted to the earlier foreign investments of this kind, including </w:t>
      </w:r>
      <w:r w:rsidRPr="00FC1D31">
        <w:rPr>
          <w:rFonts w:ascii="Garamond" w:hAnsi="Garamond" w:cs="Times New Roman"/>
          <w:sz w:val="24"/>
          <w:szCs w:val="24"/>
          <w:lang w:val="en-US"/>
        </w:rPr>
        <w:t>a proposal by Dubai Ports World, a UAE government-controlled enterprise, to acquire a British company that controlled a number of United States ports, and the attempt by the China National Offshore Oil Corporation to acquire a stake in the American energy company UNOCAL.</w:t>
      </w:r>
      <w:r w:rsidRPr="00FC1D31">
        <w:rPr>
          <w:rStyle w:val="FootnoteReference"/>
          <w:rFonts w:ascii="Garamond" w:hAnsi="Garamond" w:cs="Times New Roman"/>
          <w:sz w:val="24"/>
          <w:szCs w:val="24"/>
          <w:lang w:val="en-US"/>
        </w:rPr>
        <w:footnoteReference w:id="68"/>
      </w:r>
      <w:r w:rsidRPr="00FC1D31">
        <w:rPr>
          <w:rFonts w:ascii="Garamond" w:hAnsi="Garamond" w:cs="Times New Roman"/>
          <w:sz w:val="24"/>
          <w:szCs w:val="24"/>
          <w:lang w:val="en-US"/>
        </w:rPr>
        <w:t xml:space="preserve"> </w:t>
      </w:r>
      <w:r w:rsidRPr="00FC1D31">
        <w:rPr>
          <w:rFonts w:ascii="Garamond" w:hAnsi="Garamond" w:cs="AdvOTab62ddd124"/>
          <w:color w:val="000000"/>
          <w:sz w:val="24"/>
          <w:szCs w:val="24"/>
        </w:rPr>
        <w:t>If until recently a foreign investor has been frequently portrayed</w:t>
      </w:r>
      <w:r w:rsidRPr="00FC1D31">
        <w:rPr>
          <w:rFonts w:ascii="Garamond" w:hAnsi="Garamond"/>
          <w:sz w:val="24"/>
          <w:szCs w:val="24"/>
        </w:rPr>
        <w:t xml:space="preserve"> as ‘the pre-eminent world citizen’</w:t>
      </w:r>
      <w:r w:rsidRPr="00FC1D31">
        <w:rPr>
          <w:rStyle w:val="FootnoteReference"/>
          <w:rFonts w:ascii="Garamond" w:hAnsi="Garamond"/>
          <w:sz w:val="24"/>
          <w:szCs w:val="24"/>
        </w:rPr>
        <w:footnoteReference w:id="69"/>
      </w:r>
      <w:r w:rsidRPr="00FC1D31">
        <w:rPr>
          <w:rFonts w:ascii="Garamond" w:hAnsi="Garamond"/>
          <w:sz w:val="24"/>
          <w:szCs w:val="24"/>
        </w:rPr>
        <w:t xml:space="preserve"> deserving of extensive protections from host governments, today’s narratives concede that foreign investment can be a source of threat, instability and economic and political disruption. As one official from the Commission commented on the introduction of the FDI screening framework, although ‘foreign direct investment is an important source of economic growth’, ‘sometimes it can be a valid concern for our citizens.’</w:t>
      </w:r>
      <w:r w:rsidRPr="00FC1D31">
        <w:rPr>
          <w:rStyle w:val="FootnoteReference"/>
          <w:rFonts w:ascii="Garamond" w:hAnsi="Garamond" w:cs="AdvOTab62ddd16"/>
          <w:sz w:val="24"/>
          <w:szCs w:val="24"/>
        </w:rPr>
        <w:footnoteReference w:id="70"/>
      </w:r>
    </w:p>
    <w:p w14:paraId="19B4A771" w14:textId="77777777" w:rsidR="00574331" w:rsidRPr="00FC1D31" w:rsidRDefault="00574331" w:rsidP="00796CC7">
      <w:pPr>
        <w:autoSpaceDE w:val="0"/>
        <w:autoSpaceDN w:val="0"/>
        <w:adjustRightInd w:val="0"/>
        <w:spacing w:after="0" w:line="240" w:lineRule="auto"/>
        <w:jc w:val="both"/>
        <w:rPr>
          <w:rFonts w:ascii="Garamond" w:hAnsi="Garamond"/>
          <w:sz w:val="24"/>
          <w:szCs w:val="24"/>
        </w:rPr>
      </w:pPr>
    </w:p>
    <w:p w14:paraId="5C918267" w14:textId="0CB1E6B6" w:rsidR="002646F7" w:rsidRPr="00FC1D31" w:rsidRDefault="002646F7" w:rsidP="002646F7">
      <w:pPr>
        <w:pStyle w:val="ListParagraph"/>
        <w:numPr>
          <w:ilvl w:val="0"/>
          <w:numId w:val="3"/>
        </w:numPr>
        <w:autoSpaceDE w:val="0"/>
        <w:autoSpaceDN w:val="0"/>
        <w:adjustRightInd w:val="0"/>
        <w:spacing w:after="0" w:line="240" w:lineRule="auto"/>
        <w:jc w:val="both"/>
        <w:rPr>
          <w:rFonts w:ascii="Garamond" w:hAnsi="Garamond"/>
          <w:sz w:val="24"/>
          <w:szCs w:val="24"/>
        </w:rPr>
      </w:pPr>
      <w:r w:rsidRPr="00FC1D31">
        <w:rPr>
          <w:rFonts w:ascii="Garamond" w:hAnsi="Garamond"/>
          <w:sz w:val="24"/>
          <w:szCs w:val="24"/>
        </w:rPr>
        <w:t xml:space="preserve">Defensive or protectionist? The making of investment policy in times of </w:t>
      </w:r>
      <w:r w:rsidR="00EB2107" w:rsidRPr="00FC1D31">
        <w:rPr>
          <w:rFonts w:ascii="Garamond" w:hAnsi="Garamond"/>
          <w:sz w:val="24"/>
          <w:szCs w:val="24"/>
        </w:rPr>
        <w:t>heightened security concerns</w:t>
      </w:r>
    </w:p>
    <w:p w14:paraId="33491EF8" w14:textId="77777777" w:rsidR="00C718D5" w:rsidRPr="00FC1D31" w:rsidRDefault="00C718D5" w:rsidP="002646F7">
      <w:pPr>
        <w:autoSpaceDE w:val="0"/>
        <w:autoSpaceDN w:val="0"/>
        <w:adjustRightInd w:val="0"/>
        <w:spacing w:after="0" w:line="240" w:lineRule="auto"/>
        <w:jc w:val="both"/>
        <w:rPr>
          <w:rFonts w:ascii="Garamond" w:hAnsi="Garamond"/>
          <w:sz w:val="24"/>
          <w:szCs w:val="24"/>
        </w:rPr>
      </w:pPr>
    </w:p>
    <w:p w14:paraId="51C00390" w14:textId="6EA5958C" w:rsidR="004F4E05" w:rsidRPr="00FC1D31" w:rsidRDefault="002A18DF" w:rsidP="002646F7">
      <w:pPr>
        <w:autoSpaceDE w:val="0"/>
        <w:autoSpaceDN w:val="0"/>
        <w:adjustRightInd w:val="0"/>
        <w:spacing w:after="0" w:line="240" w:lineRule="auto"/>
        <w:jc w:val="both"/>
        <w:rPr>
          <w:rFonts w:ascii="Garamond" w:hAnsi="Garamond"/>
          <w:sz w:val="24"/>
          <w:szCs w:val="24"/>
        </w:rPr>
      </w:pPr>
      <w:r w:rsidRPr="00FC1D31">
        <w:rPr>
          <w:rFonts w:ascii="Garamond" w:hAnsi="Garamond"/>
          <w:sz w:val="24"/>
          <w:szCs w:val="24"/>
        </w:rPr>
        <w:t xml:space="preserve">It could be argued, </w:t>
      </w:r>
      <w:r w:rsidR="008C0268" w:rsidRPr="00FC1D31">
        <w:rPr>
          <w:rFonts w:ascii="Garamond" w:hAnsi="Garamond"/>
          <w:sz w:val="24"/>
          <w:szCs w:val="24"/>
        </w:rPr>
        <w:t>as some have done in their</w:t>
      </w:r>
      <w:r w:rsidRPr="00FC1D31">
        <w:rPr>
          <w:rFonts w:ascii="Garamond" w:hAnsi="Garamond"/>
          <w:sz w:val="24"/>
          <w:szCs w:val="24"/>
        </w:rPr>
        <w:t xml:space="preserve"> criticisms levelled against the Commission’s proposals on FDI screening and foreign investment subsidies, that the introduction of tighter and more extensive scrutiny of inward foreign investment is an expression of protectionism.</w:t>
      </w:r>
      <w:r w:rsidRPr="00FC1D31">
        <w:rPr>
          <w:rStyle w:val="FootnoteReference"/>
          <w:rFonts w:ascii="Garamond" w:hAnsi="Garamond"/>
          <w:sz w:val="24"/>
          <w:szCs w:val="24"/>
        </w:rPr>
        <w:footnoteReference w:id="71"/>
      </w:r>
      <w:r w:rsidRPr="00FC1D31">
        <w:rPr>
          <w:rFonts w:ascii="Garamond" w:hAnsi="Garamond"/>
          <w:sz w:val="24"/>
          <w:szCs w:val="24"/>
        </w:rPr>
        <w:t xml:space="preserve"> Although much of the commentary surrounding the developments in EU investment policy primarily focus on China, the Commission was at pains to point out that a threat to national </w:t>
      </w:r>
      <w:r w:rsidRPr="00FC1D31">
        <w:rPr>
          <w:rFonts w:ascii="Garamond" w:hAnsi="Garamond"/>
          <w:sz w:val="24"/>
          <w:szCs w:val="24"/>
        </w:rPr>
        <w:lastRenderedPageBreak/>
        <w:t xml:space="preserve">security and competitiveness </w:t>
      </w:r>
      <w:r w:rsidR="000969B2" w:rsidRPr="00FC1D31">
        <w:rPr>
          <w:rFonts w:ascii="Garamond" w:hAnsi="Garamond"/>
          <w:sz w:val="24"/>
          <w:szCs w:val="24"/>
        </w:rPr>
        <w:t>does</w:t>
      </w:r>
      <w:r w:rsidRPr="00FC1D31">
        <w:rPr>
          <w:rFonts w:ascii="Garamond" w:hAnsi="Garamond"/>
          <w:sz w:val="24"/>
          <w:szCs w:val="24"/>
        </w:rPr>
        <w:t xml:space="preserve"> not </w:t>
      </w:r>
      <w:r w:rsidR="00005899" w:rsidRPr="00FC1D31">
        <w:rPr>
          <w:rFonts w:ascii="Garamond" w:hAnsi="Garamond"/>
          <w:sz w:val="24"/>
          <w:szCs w:val="24"/>
        </w:rPr>
        <w:t>exclusivel</w:t>
      </w:r>
      <w:r w:rsidRPr="00FC1D31">
        <w:rPr>
          <w:rFonts w:ascii="Garamond" w:hAnsi="Garamond"/>
          <w:sz w:val="24"/>
          <w:szCs w:val="24"/>
        </w:rPr>
        <w:t xml:space="preserve">y </w:t>
      </w:r>
      <w:r w:rsidR="000969B2" w:rsidRPr="00FC1D31">
        <w:rPr>
          <w:rFonts w:ascii="Garamond" w:hAnsi="Garamond"/>
          <w:sz w:val="24"/>
          <w:szCs w:val="24"/>
        </w:rPr>
        <w:t>emanate from</w:t>
      </w:r>
      <w:r w:rsidRPr="00FC1D31">
        <w:rPr>
          <w:rFonts w:ascii="Garamond" w:hAnsi="Garamond"/>
          <w:sz w:val="24"/>
          <w:szCs w:val="24"/>
        </w:rPr>
        <w:t xml:space="preserve"> certain countries, in particular non-market economies and those favouring state-owned enterprises and sovereign wealth funds to invest abroad. </w:t>
      </w:r>
      <w:r w:rsidR="00A62720" w:rsidRPr="00FC1D31">
        <w:rPr>
          <w:rFonts w:ascii="Garamond" w:hAnsi="Garamond"/>
          <w:sz w:val="24"/>
          <w:szCs w:val="24"/>
        </w:rPr>
        <w:t>Yet some might point out that, until the recent emergence of new players from what were hitherto capital-importing states, fears over inward foreign direct investment had never quite become a matter of serious political concern and regulatory action in the EU. For a long time, international investment law and</w:t>
      </w:r>
      <w:r w:rsidR="000969B2" w:rsidRPr="00FC1D31">
        <w:rPr>
          <w:rFonts w:ascii="Garamond" w:hAnsi="Garamond"/>
          <w:sz w:val="24"/>
          <w:szCs w:val="24"/>
        </w:rPr>
        <w:t xml:space="preserve"> European investment treaties </w:t>
      </w:r>
      <w:proofErr w:type="gramStart"/>
      <w:r w:rsidR="000969B2" w:rsidRPr="00FC1D31">
        <w:rPr>
          <w:rFonts w:ascii="Garamond" w:hAnsi="Garamond"/>
          <w:sz w:val="24"/>
          <w:szCs w:val="24"/>
        </w:rPr>
        <w:t xml:space="preserve">in particular </w:t>
      </w:r>
      <w:r w:rsidR="00A62720" w:rsidRPr="00FC1D31">
        <w:rPr>
          <w:rFonts w:ascii="Garamond" w:hAnsi="Garamond"/>
          <w:sz w:val="24"/>
          <w:szCs w:val="24"/>
        </w:rPr>
        <w:t>promoted</w:t>
      </w:r>
      <w:proofErr w:type="gramEnd"/>
      <w:r w:rsidR="00A62720" w:rsidRPr="00FC1D31">
        <w:rPr>
          <w:rFonts w:ascii="Garamond" w:hAnsi="Garamond"/>
          <w:sz w:val="24"/>
          <w:szCs w:val="24"/>
        </w:rPr>
        <w:t xml:space="preserve"> the ideals of liberalisation, neutrality and investment protection precisely because it was believed that investments would flow according to the familiar pattern, from industrialised countries of the global North to the developing countries of the global South. The introduction of investment screening and other controls on FDI from erstwhile capital-importing states can be interpreted as a sign of the EU’s disenchantment with the idea of neutrality and open markets and its desire to look inward and protect domestic economic actors. Is the EU’s new investment policy </w:t>
      </w:r>
      <w:r w:rsidR="008C0268" w:rsidRPr="00FC1D31">
        <w:rPr>
          <w:rFonts w:ascii="Garamond" w:hAnsi="Garamond"/>
          <w:sz w:val="24"/>
          <w:szCs w:val="24"/>
        </w:rPr>
        <w:t>indeed</w:t>
      </w:r>
      <w:r w:rsidR="00A62720" w:rsidRPr="00FC1D31">
        <w:rPr>
          <w:rFonts w:ascii="Garamond" w:hAnsi="Garamond"/>
          <w:sz w:val="24"/>
          <w:szCs w:val="24"/>
        </w:rPr>
        <w:t xml:space="preserve"> protectionist?</w:t>
      </w:r>
    </w:p>
    <w:p w14:paraId="172875C7" w14:textId="3828D17B" w:rsidR="00E205FE" w:rsidRPr="00FC1D31" w:rsidRDefault="00526C9E" w:rsidP="00704EFA">
      <w:pPr>
        <w:pStyle w:val="NormalWeb"/>
        <w:jc w:val="both"/>
        <w:rPr>
          <w:rFonts w:ascii="Garamond" w:hAnsi="Garamond"/>
        </w:rPr>
      </w:pPr>
      <w:r w:rsidRPr="00FC1D31">
        <w:rPr>
          <w:rFonts w:ascii="Garamond" w:hAnsi="Garamond"/>
        </w:rPr>
        <w:t xml:space="preserve">The notion of protectionism so often invoked in condemning the move towards a tighter and more rigorous scrutiny of investment is too crude a </w:t>
      </w:r>
      <w:r w:rsidR="00005899" w:rsidRPr="00FC1D31">
        <w:rPr>
          <w:rFonts w:ascii="Garamond" w:hAnsi="Garamond"/>
        </w:rPr>
        <w:t>descriptor</w:t>
      </w:r>
      <w:r w:rsidRPr="00FC1D31">
        <w:rPr>
          <w:rFonts w:ascii="Garamond" w:hAnsi="Garamond"/>
        </w:rPr>
        <w:t xml:space="preserve"> to capture the multitude of forces behind the relevant political and regulatory shifts. These shifts reflect a recognition of the fact that even though it can be a force for good, foreign investment needs to be regulated, subjected to checks and conditions and indeed, harnessed to serve broader societal welfare. </w:t>
      </w:r>
      <w:r w:rsidR="00A62720" w:rsidRPr="00FC1D31">
        <w:rPr>
          <w:rFonts w:ascii="Garamond" w:hAnsi="Garamond"/>
        </w:rPr>
        <w:t xml:space="preserve">If the traditional </w:t>
      </w:r>
      <w:r w:rsidR="00364884" w:rsidRPr="00FC1D31">
        <w:rPr>
          <w:rFonts w:ascii="Garamond" w:hAnsi="Garamond"/>
        </w:rPr>
        <w:t xml:space="preserve">international </w:t>
      </w:r>
      <w:r w:rsidR="00A62720" w:rsidRPr="00FC1D31">
        <w:rPr>
          <w:rFonts w:ascii="Garamond" w:hAnsi="Garamond"/>
        </w:rPr>
        <w:t xml:space="preserve">investment law and policy called for </w:t>
      </w:r>
      <w:proofErr w:type="spellStart"/>
      <w:r w:rsidR="00A62720" w:rsidRPr="00FC1D31">
        <w:rPr>
          <w:rFonts w:ascii="Garamond" w:hAnsi="Garamond"/>
        </w:rPr>
        <w:t>depolitici</w:t>
      </w:r>
      <w:r w:rsidR="003E321B" w:rsidRPr="00FC1D31">
        <w:rPr>
          <w:rFonts w:ascii="Garamond" w:hAnsi="Garamond"/>
        </w:rPr>
        <w:t>s</w:t>
      </w:r>
      <w:r w:rsidR="00A62720" w:rsidRPr="00FC1D31">
        <w:rPr>
          <w:rFonts w:ascii="Garamond" w:hAnsi="Garamond"/>
        </w:rPr>
        <w:t>ation</w:t>
      </w:r>
      <w:proofErr w:type="spellEnd"/>
      <w:r w:rsidR="00B36286" w:rsidRPr="00FC1D31">
        <w:rPr>
          <w:rFonts w:ascii="Garamond" w:hAnsi="Garamond"/>
        </w:rPr>
        <w:t>—less</w:t>
      </w:r>
      <w:r w:rsidR="00A62720" w:rsidRPr="00FC1D31">
        <w:rPr>
          <w:rFonts w:ascii="Garamond" w:hAnsi="Garamond"/>
        </w:rPr>
        <w:t xml:space="preserve"> government and more markets</w:t>
      </w:r>
      <w:r w:rsidR="00B36286" w:rsidRPr="00FC1D31">
        <w:rPr>
          <w:rFonts w:ascii="Garamond" w:hAnsi="Garamond"/>
        </w:rPr>
        <w:t>—the</w:t>
      </w:r>
      <w:r w:rsidR="00A62720" w:rsidRPr="00FC1D31">
        <w:rPr>
          <w:rFonts w:ascii="Garamond" w:hAnsi="Garamond"/>
        </w:rPr>
        <w:t xml:space="preserve"> </w:t>
      </w:r>
      <w:r w:rsidR="0085743B" w:rsidRPr="00FC1D31">
        <w:rPr>
          <w:rFonts w:ascii="Garamond" w:hAnsi="Garamond"/>
        </w:rPr>
        <w:t>push for</w:t>
      </w:r>
      <w:r w:rsidR="00A62720" w:rsidRPr="00FC1D31">
        <w:rPr>
          <w:rFonts w:ascii="Garamond" w:hAnsi="Garamond"/>
        </w:rPr>
        <w:t xml:space="preserve"> open strategic autonomy in </w:t>
      </w:r>
      <w:r w:rsidR="00364884" w:rsidRPr="00FC1D31">
        <w:rPr>
          <w:rFonts w:ascii="Garamond" w:hAnsi="Garamond"/>
        </w:rPr>
        <w:t xml:space="preserve">EU </w:t>
      </w:r>
      <w:r w:rsidR="00A62720" w:rsidRPr="00FC1D31">
        <w:rPr>
          <w:rFonts w:ascii="Garamond" w:hAnsi="Garamond"/>
        </w:rPr>
        <w:t xml:space="preserve">investment policy is a response to increasing politicisation </w:t>
      </w:r>
      <w:r w:rsidR="0085743B" w:rsidRPr="00FC1D31">
        <w:rPr>
          <w:rFonts w:ascii="Garamond" w:hAnsi="Garamond"/>
        </w:rPr>
        <w:t xml:space="preserve">and </w:t>
      </w:r>
      <w:proofErr w:type="spellStart"/>
      <w:r w:rsidR="0085743B" w:rsidRPr="00FC1D31">
        <w:rPr>
          <w:rFonts w:ascii="Garamond" w:hAnsi="Garamond"/>
        </w:rPr>
        <w:t>geopoliticisation</w:t>
      </w:r>
      <w:proofErr w:type="spellEnd"/>
      <w:r w:rsidR="0085743B" w:rsidRPr="00FC1D31">
        <w:rPr>
          <w:rFonts w:ascii="Garamond" w:hAnsi="Garamond"/>
        </w:rPr>
        <w:t xml:space="preserve"> </w:t>
      </w:r>
      <w:r w:rsidR="00A62720" w:rsidRPr="00FC1D31">
        <w:rPr>
          <w:rFonts w:ascii="Garamond" w:hAnsi="Garamond"/>
        </w:rPr>
        <w:t>of trade</w:t>
      </w:r>
      <w:r w:rsidR="0085743B" w:rsidRPr="00FC1D31">
        <w:rPr>
          <w:rFonts w:ascii="Garamond" w:hAnsi="Garamond"/>
        </w:rPr>
        <w:t>.</w:t>
      </w:r>
      <w:r w:rsidR="0085743B" w:rsidRPr="00FC1D31">
        <w:rPr>
          <w:rStyle w:val="FootnoteReference"/>
          <w:rFonts w:ascii="Garamond" w:hAnsi="Garamond"/>
        </w:rPr>
        <w:footnoteReference w:id="72"/>
      </w:r>
      <w:r w:rsidR="0085743B" w:rsidRPr="00FC1D31">
        <w:rPr>
          <w:rFonts w:ascii="Garamond" w:hAnsi="Garamond"/>
        </w:rPr>
        <w:t xml:space="preserve"> </w:t>
      </w:r>
      <w:r w:rsidR="00A62720" w:rsidRPr="00FC1D31">
        <w:rPr>
          <w:rFonts w:ascii="Garamond" w:hAnsi="Garamond"/>
        </w:rPr>
        <w:t xml:space="preserve"> </w:t>
      </w:r>
      <w:r w:rsidR="0085743B" w:rsidRPr="00FC1D31">
        <w:rPr>
          <w:rFonts w:ascii="Garamond" w:hAnsi="Garamond"/>
        </w:rPr>
        <w:t>T</w:t>
      </w:r>
      <w:r w:rsidR="00A62720" w:rsidRPr="00FC1D31">
        <w:rPr>
          <w:rFonts w:ascii="Garamond" w:hAnsi="Garamond"/>
        </w:rPr>
        <w:t>he latter</w:t>
      </w:r>
      <w:r w:rsidR="0085743B" w:rsidRPr="00FC1D31">
        <w:rPr>
          <w:rFonts w:ascii="Garamond" w:hAnsi="Garamond"/>
        </w:rPr>
        <w:t>, in turn,</w:t>
      </w:r>
      <w:r w:rsidR="00A62720" w:rsidRPr="00FC1D31">
        <w:rPr>
          <w:rFonts w:ascii="Garamond" w:hAnsi="Garamond"/>
        </w:rPr>
        <w:t xml:space="preserve"> </w:t>
      </w:r>
      <w:r w:rsidR="0085743B" w:rsidRPr="00FC1D31">
        <w:rPr>
          <w:rFonts w:ascii="Garamond" w:hAnsi="Garamond"/>
        </w:rPr>
        <w:t xml:space="preserve">has its roots in </w:t>
      </w:r>
      <w:r w:rsidR="00A62720" w:rsidRPr="00FC1D31">
        <w:rPr>
          <w:rFonts w:ascii="Garamond" w:hAnsi="Garamond"/>
        </w:rPr>
        <w:t>growing inequalit</w:t>
      </w:r>
      <w:r w:rsidR="0085743B" w:rsidRPr="00FC1D31">
        <w:rPr>
          <w:rFonts w:ascii="Garamond" w:hAnsi="Garamond"/>
        </w:rPr>
        <w:t xml:space="preserve">ies within the EU and globally. </w:t>
      </w:r>
      <w:r w:rsidR="00E205FE" w:rsidRPr="00FC1D31">
        <w:rPr>
          <w:rFonts w:ascii="Garamond" w:hAnsi="Garamond"/>
        </w:rPr>
        <w:t>As Cohen put it, ‘Many are unhappy with how wealth and power have been allocated and anxious how these changes will allocate and reallocate them in the future.’</w:t>
      </w:r>
      <w:r w:rsidR="00E205FE" w:rsidRPr="00FC1D31">
        <w:rPr>
          <w:rStyle w:val="FootnoteReference"/>
          <w:rFonts w:ascii="Garamond" w:hAnsi="Garamond"/>
        </w:rPr>
        <w:footnoteReference w:id="73"/>
      </w:r>
      <w:r w:rsidR="00E205FE" w:rsidRPr="00FC1D31">
        <w:rPr>
          <w:rFonts w:ascii="Garamond" w:hAnsi="Garamond"/>
        </w:rPr>
        <w:t xml:space="preserve"> </w:t>
      </w:r>
      <w:r w:rsidR="0085743B" w:rsidRPr="00FC1D31">
        <w:rPr>
          <w:rFonts w:ascii="Garamond" w:hAnsi="Garamond"/>
        </w:rPr>
        <w:t xml:space="preserve">The exclusion from the dividends of globalisation felt by certain demographic groups </w:t>
      </w:r>
      <w:r w:rsidR="00E205FE" w:rsidRPr="00FC1D31">
        <w:rPr>
          <w:rFonts w:ascii="Garamond" w:hAnsi="Garamond"/>
        </w:rPr>
        <w:t xml:space="preserve">across the globe </w:t>
      </w:r>
      <w:r w:rsidR="0085743B" w:rsidRPr="00FC1D31">
        <w:rPr>
          <w:rFonts w:ascii="Garamond" w:hAnsi="Garamond"/>
        </w:rPr>
        <w:t>has brought trade and investment back into domestic political discourse</w:t>
      </w:r>
      <w:r w:rsidR="000969B2" w:rsidRPr="00FC1D31">
        <w:rPr>
          <w:rFonts w:ascii="Garamond" w:hAnsi="Garamond"/>
        </w:rPr>
        <w:t xml:space="preserve"> in the EU and other developed economies</w:t>
      </w:r>
      <w:r w:rsidR="0085743B" w:rsidRPr="00FC1D31">
        <w:rPr>
          <w:rFonts w:ascii="Garamond" w:hAnsi="Garamond"/>
        </w:rPr>
        <w:t xml:space="preserve">, </w:t>
      </w:r>
      <w:r w:rsidR="00B36286" w:rsidRPr="00FC1D31">
        <w:rPr>
          <w:rFonts w:ascii="Garamond" w:hAnsi="Garamond"/>
        </w:rPr>
        <w:t>relentlessly</w:t>
      </w:r>
      <w:r w:rsidR="0085743B" w:rsidRPr="00FC1D31">
        <w:rPr>
          <w:rFonts w:ascii="Garamond" w:hAnsi="Garamond"/>
        </w:rPr>
        <w:t xml:space="preserve"> pitting the traditional defenders of open markets against an increasingly vocal calls for more restrictions, redistribution and re-orientation in global economic relations.</w:t>
      </w:r>
      <w:r w:rsidR="0085743B" w:rsidRPr="00FC1D31">
        <w:rPr>
          <w:rStyle w:val="FootnoteReference"/>
          <w:rFonts w:ascii="Garamond" w:hAnsi="Garamond"/>
        </w:rPr>
        <w:footnoteReference w:id="74"/>
      </w:r>
      <w:r w:rsidR="00F10ED7" w:rsidRPr="00FC1D31">
        <w:rPr>
          <w:rFonts w:ascii="Garamond" w:hAnsi="Garamond"/>
        </w:rPr>
        <w:t xml:space="preserve"> </w:t>
      </w:r>
    </w:p>
    <w:p w14:paraId="6DDDF7FC" w14:textId="52370B94" w:rsidR="003A2008" w:rsidRPr="00FC1D31" w:rsidRDefault="00F10ED7" w:rsidP="00704EFA">
      <w:pPr>
        <w:pStyle w:val="NormalWeb"/>
        <w:jc w:val="both"/>
        <w:rPr>
          <w:rFonts w:ascii="Garamond" w:hAnsi="Garamond"/>
        </w:rPr>
      </w:pPr>
      <w:r w:rsidRPr="00FC1D31">
        <w:rPr>
          <w:rFonts w:ascii="Garamond" w:hAnsi="Garamond"/>
        </w:rPr>
        <w:t>EU trade policy has always been a product of an evolving compromise between different factions: those seeking to remove all obstacles to trade, those advocating for strategic protections of European companies, and those calling for market correcting mechanisms to safeguard social, environmental and human rights standards.</w:t>
      </w:r>
      <w:r w:rsidRPr="00FC1D31">
        <w:rPr>
          <w:rStyle w:val="FootnoteReference"/>
          <w:rFonts w:ascii="Garamond" w:hAnsi="Garamond"/>
        </w:rPr>
        <w:footnoteReference w:id="75"/>
      </w:r>
      <w:r w:rsidRPr="00FC1D31">
        <w:rPr>
          <w:rFonts w:ascii="Garamond" w:hAnsi="Garamond"/>
        </w:rPr>
        <w:t xml:space="preserve"> </w:t>
      </w:r>
      <w:r w:rsidR="00E205FE" w:rsidRPr="00FC1D31">
        <w:rPr>
          <w:rFonts w:ascii="Garamond" w:hAnsi="Garamond"/>
        </w:rPr>
        <w:t xml:space="preserve">Yet the defining feature of </w:t>
      </w:r>
      <w:r w:rsidRPr="00FC1D31">
        <w:rPr>
          <w:rFonts w:ascii="Garamond" w:hAnsi="Garamond"/>
        </w:rPr>
        <w:t xml:space="preserve">EU international trade policy </w:t>
      </w:r>
      <w:r w:rsidR="00E205FE" w:rsidRPr="00FC1D31">
        <w:rPr>
          <w:rFonts w:ascii="Garamond" w:hAnsi="Garamond"/>
        </w:rPr>
        <w:t>since the 1980s was its commitment to neoliberal consensus</w:t>
      </w:r>
      <w:r w:rsidR="00C25239" w:rsidRPr="00FC1D31">
        <w:rPr>
          <w:rStyle w:val="FootnoteReference"/>
          <w:rFonts w:ascii="Garamond" w:hAnsi="Garamond"/>
        </w:rPr>
        <w:footnoteReference w:id="76"/>
      </w:r>
      <w:r w:rsidR="00E205FE" w:rsidRPr="00FC1D31">
        <w:rPr>
          <w:rFonts w:ascii="Garamond" w:hAnsi="Garamond"/>
        </w:rPr>
        <w:t xml:space="preserve"> which presented</w:t>
      </w:r>
      <w:r w:rsidRPr="00FC1D31">
        <w:rPr>
          <w:rFonts w:ascii="Garamond" w:hAnsi="Garamond"/>
        </w:rPr>
        <w:t xml:space="preserve"> market openings and competitive</w:t>
      </w:r>
      <w:r w:rsidR="00B36286" w:rsidRPr="00FC1D31">
        <w:rPr>
          <w:rFonts w:ascii="Garamond" w:hAnsi="Garamond"/>
        </w:rPr>
        <w:t xml:space="preserve"> liberalisation</w:t>
      </w:r>
      <w:r w:rsidRPr="00FC1D31">
        <w:rPr>
          <w:rFonts w:ascii="Garamond" w:hAnsi="Garamond"/>
        </w:rPr>
        <w:t xml:space="preserve"> as something benefitting both business and citizens.</w:t>
      </w:r>
      <w:r w:rsidR="00E205FE" w:rsidRPr="00FC1D31">
        <w:rPr>
          <w:rStyle w:val="FootnoteReference"/>
          <w:rFonts w:ascii="Garamond" w:hAnsi="Garamond"/>
        </w:rPr>
        <w:footnoteReference w:id="77"/>
      </w:r>
      <w:r w:rsidRPr="00FC1D31">
        <w:rPr>
          <w:rFonts w:ascii="Garamond" w:hAnsi="Garamond"/>
        </w:rPr>
        <w:t xml:space="preserve"> While later iterations of trade strategy, particularly under Commissioner Lamy, placed more emphasis on social justice and sustainable development, both internal and external investment policy has never questioned the free trade orthodoxy.</w:t>
      </w:r>
      <w:r w:rsidRPr="00FC1D31">
        <w:rPr>
          <w:rStyle w:val="FootnoteReference"/>
          <w:rFonts w:ascii="Garamond" w:hAnsi="Garamond"/>
        </w:rPr>
        <w:footnoteReference w:id="78"/>
      </w:r>
      <w:r w:rsidRPr="00FC1D31">
        <w:rPr>
          <w:rFonts w:ascii="Garamond" w:hAnsi="Garamond"/>
        </w:rPr>
        <w:t xml:space="preserve"> However, the </w:t>
      </w:r>
      <w:r w:rsidR="00BE7FDF" w:rsidRPr="00FC1D31">
        <w:rPr>
          <w:rFonts w:ascii="Garamond" w:hAnsi="Garamond"/>
        </w:rPr>
        <w:t xml:space="preserve">deepening </w:t>
      </w:r>
      <w:r w:rsidRPr="00FC1D31">
        <w:rPr>
          <w:rFonts w:ascii="Garamond" w:hAnsi="Garamond"/>
        </w:rPr>
        <w:t xml:space="preserve">of inequalities and the recent intensification of political and economic tensions globally— </w:t>
      </w:r>
      <w:r w:rsidR="00BE7FDF" w:rsidRPr="00FC1D31">
        <w:rPr>
          <w:rFonts w:ascii="Garamond" w:hAnsi="Garamond"/>
        </w:rPr>
        <w:t xml:space="preserve">and the growing sense of </w:t>
      </w:r>
      <w:r w:rsidR="00BE7FDF" w:rsidRPr="00FC1D31">
        <w:rPr>
          <w:rFonts w:ascii="Garamond" w:hAnsi="Garamond"/>
        </w:rPr>
        <w:lastRenderedPageBreak/>
        <w:t>insecurity</w:t>
      </w:r>
      <w:r w:rsidRPr="00FC1D31">
        <w:rPr>
          <w:rFonts w:ascii="Garamond" w:hAnsi="Garamond"/>
        </w:rPr>
        <w:t xml:space="preserve"> – increasingly cast doubt on </w:t>
      </w:r>
      <w:r w:rsidR="00B36286" w:rsidRPr="00FC1D31">
        <w:rPr>
          <w:rFonts w:ascii="Garamond" w:hAnsi="Garamond"/>
        </w:rPr>
        <w:t>‘</w:t>
      </w:r>
      <w:r w:rsidRPr="00FC1D31">
        <w:rPr>
          <w:rFonts w:ascii="Garamond" w:hAnsi="Garamond"/>
        </w:rPr>
        <w:t>openness being an unalloyed good and economic efficiency being the only relevant goal.’</w:t>
      </w:r>
      <w:r w:rsidRPr="00FC1D31">
        <w:rPr>
          <w:rStyle w:val="FootnoteReference"/>
          <w:rFonts w:ascii="Garamond" w:hAnsi="Garamond"/>
        </w:rPr>
        <w:footnoteReference w:id="79"/>
      </w:r>
      <w:r w:rsidRPr="00FC1D31">
        <w:rPr>
          <w:rFonts w:ascii="Garamond" w:hAnsi="Garamond"/>
        </w:rPr>
        <w:t xml:space="preserve"> </w:t>
      </w:r>
      <w:r w:rsidR="003A2008" w:rsidRPr="00FC1D31">
        <w:rPr>
          <w:rFonts w:ascii="Garamond" w:hAnsi="Garamond"/>
        </w:rPr>
        <w:t>While the relentless pursuit of competitive liberalisation and open markets created efficiencies and economic growth, the Commission’s 2021 trade policy acknowledges that ‘these developments sometimes have had a strong disruptive effect leading to growing inequalities and leaving some individuals and communities behind.’</w:t>
      </w:r>
      <w:r w:rsidR="003A2008" w:rsidRPr="00FC1D31">
        <w:rPr>
          <w:rStyle w:val="FootnoteReference"/>
          <w:rFonts w:ascii="Garamond" w:hAnsi="Garamond"/>
        </w:rPr>
        <w:footnoteReference w:id="80"/>
      </w:r>
    </w:p>
    <w:p w14:paraId="0FFACB2C" w14:textId="249EABAC" w:rsidR="00E205FE" w:rsidRPr="00FC1D31" w:rsidRDefault="00F10ED7" w:rsidP="00704EFA">
      <w:pPr>
        <w:pStyle w:val="NormalWeb"/>
        <w:jc w:val="both"/>
        <w:rPr>
          <w:rFonts w:ascii="Garamond" w:hAnsi="Garamond"/>
        </w:rPr>
      </w:pPr>
      <w:r w:rsidRPr="00FC1D31">
        <w:rPr>
          <w:rFonts w:ascii="Garamond" w:hAnsi="Garamond"/>
        </w:rPr>
        <w:t>The making of the Commission’s trade policy in 2020 reveal the dominance of two coalitions: one that opposes rolling back the EU’s commitment to free trade and the one that argues for more assertive and interventionist trade policy.</w:t>
      </w:r>
      <w:r w:rsidRPr="00FC1D31">
        <w:rPr>
          <w:rStyle w:val="FootnoteReference"/>
          <w:rFonts w:ascii="Garamond" w:hAnsi="Garamond"/>
        </w:rPr>
        <w:footnoteReference w:id="81"/>
      </w:r>
      <w:r w:rsidRPr="00FC1D31">
        <w:rPr>
          <w:rFonts w:ascii="Garamond" w:hAnsi="Garamond"/>
        </w:rPr>
        <w:t xml:space="preserve"> What these erstwhile rival factions seem to increasingly converge on is ‘the need for a bigger role of the state, on an end to equating protections with protectionism, and on understanding trade policy as being about more than liberalization.’</w:t>
      </w:r>
      <w:r w:rsidRPr="00FC1D31">
        <w:rPr>
          <w:rStyle w:val="FootnoteReference"/>
          <w:rFonts w:ascii="Garamond" w:hAnsi="Garamond"/>
        </w:rPr>
        <w:t xml:space="preserve"> </w:t>
      </w:r>
      <w:r w:rsidRPr="00FC1D31">
        <w:rPr>
          <w:rStyle w:val="FootnoteReference"/>
          <w:rFonts w:ascii="Garamond" w:hAnsi="Garamond"/>
        </w:rPr>
        <w:footnoteReference w:id="82"/>
      </w:r>
      <w:r w:rsidRPr="00FC1D31">
        <w:rPr>
          <w:rFonts w:ascii="Garamond" w:hAnsi="Garamond"/>
        </w:rPr>
        <w:t xml:space="preserve"> The introduction of the new frameworks on </w:t>
      </w:r>
      <w:r w:rsidR="00704EFA" w:rsidRPr="00FC1D31">
        <w:rPr>
          <w:rFonts w:ascii="Garamond" w:hAnsi="Garamond"/>
        </w:rPr>
        <w:t xml:space="preserve">foreign investment—from screening to policing the level-playing field and enforcing corporate </w:t>
      </w:r>
      <w:r w:rsidR="00C718D5" w:rsidRPr="00FC1D31">
        <w:rPr>
          <w:rFonts w:ascii="Garamond" w:hAnsi="Garamond"/>
        </w:rPr>
        <w:t xml:space="preserve">sustainability </w:t>
      </w:r>
      <w:r w:rsidR="00704EFA" w:rsidRPr="00FC1D31">
        <w:rPr>
          <w:rFonts w:ascii="Garamond" w:hAnsi="Garamond"/>
        </w:rPr>
        <w:t xml:space="preserve">due diligence—thus </w:t>
      </w:r>
      <w:r w:rsidRPr="00FC1D31">
        <w:rPr>
          <w:rFonts w:ascii="Garamond" w:hAnsi="Garamond"/>
        </w:rPr>
        <w:t xml:space="preserve">reflect a departure from the </w:t>
      </w:r>
      <w:r w:rsidR="00B36286" w:rsidRPr="00FC1D31">
        <w:rPr>
          <w:rFonts w:ascii="Garamond" w:hAnsi="Garamond"/>
        </w:rPr>
        <w:t xml:space="preserve">neoliberal </w:t>
      </w:r>
      <w:r w:rsidRPr="00FC1D31">
        <w:rPr>
          <w:rFonts w:ascii="Garamond" w:hAnsi="Garamond"/>
        </w:rPr>
        <w:t xml:space="preserve">orthodoxies </w:t>
      </w:r>
      <w:r w:rsidR="00B36286" w:rsidRPr="00FC1D31">
        <w:rPr>
          <w:rFonts w:ascii="Garamond" w:hAnsi="Garamond"/>
        </w:rPr>
        <w:t xml:space="preserve">towards </w:t>
      </w:r>
      <w:r w:rsidRPr="00FC1D31">
        <w:rPr>
          <w:rFonts w:ascii="Garamond" w:hAnsi="Garamond"/>
        </w:rPr>
        <w:t xml:space="preserve">a </w:t>
      </w:r>
      <w:r w:rsidR="00B36286" w:rsidRPr="00FC1D31">
        <w:rPr>
          <w:rFonts w:ascii="Garamond" w:hAnsi="Garamond"/>
        </w:rPr>
        <w:t>different</w:t>
      </w:r>
      <w:r w:rsidRPr="00FC1D31">
        <w:rPr>
          <w:rFonts w:ascii="Garamond" w:hAnsi="Garamond"/>
        </w:rPr>
        <w:t xml:space="preserve"> understanding of </w:t>
      </w:r>
      <w:r w:rsidR="00E205FE" w:rsidRPr="00FC1D31">
        <w:rPr>
          <w:rFonts w:ascii="Garamond" w:hAnsi="Garamond"/>
        </w:rPr>
        <w:t xml:space="preserve">the role of markets in regulating investors’ behaviour and their impact </w:t>
      </w:r>
      <w:r w:rsidRPr="00FC1D31">
        <w:rPr>
          <w:rFonts w:ascii="Garamond" w:hAnsi="Garamond"/>
        </w:rPr>
        <w:t xml:space="preserve">on the economy and society. </w:t>
      </w:r>
      <w:r w:rsidR="00704EFA" w:rsidRPr="00FC1D31">
        <w:rPr>
          <w:rFonts w:ascii="Garamond" w:hAnsi="Garamond"/>
        </w:rPr>
        <w:t xml:space="preserve">It </w:t>
      </w:r>
      <w:r w:rsidR="00E205FE" w:rsidRPr="00FC1D31">
        <w:rPr>
          <w:rFonts w:ascii="Garamond" w:hAnsi="Garamond"/>
        </w:rPr>
        <w:t>is a re</w:t>
      </w:r>
      <w:r w:rsidR="00704EFA" w:rsidRPr="00FC1D31">
        <w:rPr>
          <w:rFonts w:ascii="Garamond" w:hAnsi="Garamond"/>
        </w:rPr>
        <w:t>flect</w:t>
      </w:r>
      <w:r w:rsidR="00E205FE" w:rsidRPr="00FC1D31">
        <w:rPr>
          <w:rFonts w:ascii="Garamond" w:hAnsi="Garamond"/>
        </w:rPr>
        <w:t>ion of</w:t>
      </w:r>
      <w:r w:rsidR="00704EFA" w:rsidRPr="00FC1D31">
        <w:rPr>
          <w:rFonts w:ascii="Garamond" w:hAnsi="Garamond"/>
        </w:rPr>
        <w:t xml:space="preserve"> a </w:t>
      </w:r>
      <w:r w:rsidR="00B36286" w:rsidRPr="00FC1D31">
        <w:rPr>
          <w:rFonts w:ascii="Garamond" w:hAnsi="Garamond"/>
        </w:rPr>
        <w:t xml:space="preserve">shift in the balance between different competing policy concerns and drivers behind EU investment policy, a shift which is gradually transforming </w:t>
      </w:r>
      <w:r w:rsidR="00704EFA" w:rsidRPr="00FC1D31">
        <w:rPr>
          <w:rFonts w:ascii="Garamond" w:hAnsi="Garamond"/>
        </w:rPr>
        <w:t xml:space="preserve">the </w:t>
      </w:r>
      <w:r w:rsidR="00B36286" w:rsidRPr="00FC1D31">
        <w:rPr>
          <w:rFonts w:ascii="Garamond" w:hAnsi="Garamond"/>
        </w:rPr>
        <w:t>contemporary policy debates</w:t>
      </w:r>
      <w:r w:rsidR="00704EFA" w:rsidRPr="00FC1D31">
        <w:rPr>
          <w:rFonts w:ascii="Garamond" w:hAnsi="Garamond"/>
        </w:rPr>
        <w:t xml:space="preserve"> about a fundamental choice ‘between the logic of markets and the logic of state.’</w:t>
      </w:r>
      <w:r w:rsidR="00704EFA" w:rsidRPr="00FC1D31">
        <w:rPr>
          <w:rStyle w:val="FootnoteReference"/>
          <w:rFonts w:ascii="Garamond" w:hAnsi="Garamond"/>
        </w:rPr>
        <w:footnoteReference w:id="83"/>
      </w:r>
      <w:r w:rsidR="00E205FE" w:rsidRPr="00FC1D31">
        <w:rPr>
          <w:rFonts w:ascii="Garamond" w:hAnsi="Garamond"/>
        </w:rPr>
        <w:t xml:space="preserve"> </w:t>
      </w:r>
      <w:r w:rsidR="00B36286" w:rsidRPr="00FC1D31">
        <w:rPr>
          <w:rFonts w:ascii="Garamond" w:hAnsi="Garamond"/>
        </w:rPr>
        <w:t xml:space="preserve">The reorientation of EU investment policy is </w:t>
      </w:r>
      <w:r w:rsidR="00E205FE" w:rsidRPr="00FC1D31">
        <w:rPr>
          <w:rFonts w:ascii="Garamond" w:hAnsi="Garamond"/>
        </w:rPr>
        <w:t>a consequence of ‘deepening disaffection over the allocation of wealth and resources punctuated by the global financial crisis, growing recognition of the crisis posed by climate change, and anxiety about the revolutionary changes of new technologies.’</w:t>
      </w:r>
      <w:r w:rsidR="00E205FE" w:rsidRPr="00FC1D31">
        <w:rPr>
          <w:rStyle w:val="FootnoteReference"/>
          <w:rFonts w:ascii="Garamond" w:hAnsi="Garamond"/>
        </w:rPr>
        <w:footnoteReference w:id="84"/>
      </w:r>
      <w:r w:rsidR="00E205FE" w:rsidRPr="00FC1D31">
        <w:rPr>
          <w:rFonts w:ascii="Garamond" w:hAnsi="Garamond"/>
        </w:rPr>
        <w:t xml:space="preserve">  </w:t>
      </w:r>
    </w:p>
    <w:p w14:paraId="56DDB188" w14:textId="16C9759F" w:rsidR="00AC50D8" w:rsidRPr="00FC1D31" w:rsidRDefault="002646F7" w:rsidP="00C718D5">
      <w:pPr>
        <w:pStyle w:val="NormalWeb"/>
        <w:numPr>
          <w:ilvl w:val="0"/>
          <w:numId w:val="3"/>
        </w:numPr>
        <w:rPr>
          <w:rFonts w:ascii="Garamond" w:hAnsi="Garamond"/>
        </w:rPr>
      </w:pPr>
      <w:r w:rsidRPr="00FC1D31">
        <w:rPr>
          <w:rFonts w:ascii="Garamond" w:hAnsi="Garamond"/>
        </w:rPr>
        <w:t xml:space="preserve">Two faces of EU investment policy: </w:t>
      </w:r>
      <w:r w:rsidR="00AC50D8" w:rsidRPr="00FC1D31">
        <w:rPr>
          <w:rFonts w:ascii="Garamond" w:hAnsi="Garamond"/>
        </w:rPr>
        <w:t>the perils of adding new frameworks to an old edifice</w:t>
      </w:r>
    </w:p>
    <w:p w14:paraId="49B20EE8" w14:textId="77777777" w:rsidR="00C718D5" w:rsidRPr="00FC1D31" w:rsidRDefault="00C718D5" w:rsidP="00C718D5">
      <w:pPr>
        <w:pStyle w:val="NormalWeb"/>
        <w:ind w:left="720"/>
        <w:rPr>
          <w:rFonts w:ascii="Garamond" w:hAnsi="Garamond"/>
        </w:rPr>
      </w:pPr>
    </w:p>
    <w:p w14:paraId="79A09D3A" w14:textId="70A32579" w:rsidR="00AC50D8" w:rsidRPr="00FC1D31" w:rsidRDefault="00AC50D8" w:rsidP="00AC50D8">
      <w:pPr>
        <w:pStyle w:val="ListParagraph"/>
        <w:numPr>
          <w:ilvl w:val="1"/>
          <w:numId w:val="3"/>
        </w:numPr>
        <w:jc w:val="both"/>
        <w:rPr>
          <w:rFonts w:ascii="Garamond" w:hAnsi="Garamond"/>
          <w:sz w:val="24"/>
          <w:szCs w:val="24"/>
        </w:rPr>
      </w:pPr>
      <w:r w:rsidRPr="00FC1D31">
        <w:rPr>
          <w:rFonts w:ascii="Garamond" w:hAnsi="Garamond"/>
          <w:sz w:val="24"/>
          <w:szCs w:val="24"/>
        </w:rPr>
        <w:t>Investment treaty law: the promise of open markets and investment neutrality</w:t>
      </w:r>
    </w:p>
    <w:p w14:paraId="5BCC52F6" w14:textId="42A20BDE" w:rsidR="00704EFA" w:rsidRPr="00FC1D31" w:rsidRDefault="006E18B6" w:rsidP="00AC50D8">
      <w:pPr>
        <w:jc w:val="both"/>
        <w:rPr>
          <w:rFonts w:ascii="Garamond" w:hAnsi="Garamond"/>
          <w:sz w:val="24"/>
          <w:szCs w:val="24"/>
        </w:rPr>
      </w:pPr>
      <w:r w:rsidRPr="00FC1D31">
        <w:rPr>
          <w:rFonts w:ascii="Garamond" w:hAnsi="Garamond"/>
          <w:sz w:val="24"/>
          <w:szCs w:val="24"/>
        </w:rPr>
        <w:t>The problem</w:t>
      </w:r>
      <w:r w:rsidR="00F10ED7" w:rsidRPr="00FC1D31">
        <w:rPr>
          <w:rFonts w:ascii="Garamond" w:hAnsi="Garamond"/>
          <w:sz w:val="24"/>
          <w:szCs w:val="24"/>
        </w:rPr>
        <w:t xml:space="preserve"> is that the emerging consensus between the rival ideological factions on the role of the state in mediating the effects of globalisation on domestic companies and communities is not evenly reflected in the EU’s new investment policy</w:t>
      </w:r>
      <w:r w:rsidR="009776E1" w:rsidRPr="00FC1D31">
        <w:rPr>
          <w:rFonts w:ascii="Garamond" w:hAnsi="Garamond"/>
          <w:sz w:val="24"/>
          <w:szCs w:val="24"/>
        </w:rPr>
        <w:t>. The EU’s approach to foreign investment</w:t>
      </w:r>
      <w:r w:rsidR="00F10ED7" w:rsidRPr="00FC1D31">
        <w:rPr>
          <w:rFonts w:ascii="Garamond" w:hAnsi="Garamond"/>
          <w:sz w:val="24"/>
          <w:szCs w:val="24"/>
        </w:rPr>
        <w:t xml:space="preserve"> is increasingly interventionist at the supranational level</w:t>
      </w:r>
      <w:r w:rsidR="00E205FE" w:rsidRPr="00FC1D31">
        <w:rPr>
          <w:rFonts w:ascii="Garamond" w:hAnsi="Garamond"/>
          <w:sz w:val="24"/>
          <w:szCs w:val="24"/>
        </w:rPr>
        <w:t xml:space="preserve"> </w:t>
      </w:r>
      <w:r w:rsidR="00F10ED7" w:rsidRPr="00FC1D31">
        <w:rPr>
          <w:rFonts w:ascii="Garamond" w:hAnsi="Garamond"/>
          <w:sz w:val="24"/>
          <w:szCs w:val="24"/>
        </w:rPr>
        <w:t xml:space="preserve">and </w:t>
      </w:r>
      <w:r w:rsidR="00B36286" w:rsidRPr="00FC1D31">
        <w:rPr>
          <w:rFonts w:ascii="Garamond" w:hAnsi="Garamond"/>
          <w:sz w:val="24"/>
          <w:szCs w:val="24"/>
        </w:rPr>
        <w:t>staunchly</w:t>
      </w:r>
      <w:r w:rsidRPr="00FC1D31">
        <w:rPr>
          <w:rFonts w:ascii="Garamond" w:hAnsi="Garamond"/>
          <w:sz w:val="24"/>
          <w:szCs w:val="24"/>
        </w:rPr>
        <w:t xml:space="preserve"> </w:t>
      </w:r>
      <w:r w:rsidR="00F10ED7" w:rsidRPr="00FC1D31">
        <w:rPr>
          <w:rFonts w:ascii="Garamond" w:hAnsi="Garamond"/>
          <w:sz w:val="24"/>
          <w:szCs w:val="24"/>
        </w:rPr>
        <w:t xml:space="preserve">committed to </w:t>
      </w:r>
      <w:r w:rsidRPr="00FC1D31">
        <w:rPr>
          <w:rFonts w:ascii="Garamond" w:hAnsi="Garamond"/>
          <w:sz w:val="24"/>
          <w:szCs w:val="24"/>
        </w:rPr>
        <w:t xml:space="preserve">strident </w:t>
      </w:r>
      <w:r w:rsidR="00F10ED7" w:rsidRPr="00FC1D31">
        <w:rPr>
          <w:rFonts w:ascii="Garamond" w:hAnsi="Garamond"/>
          <w:sz w:val="24"/>
          <w:szCs w:val="24"/>
        </w:rPr>
        <w:t>economic liberalisation at the international level.</w:t>
      </w:r>
      <w:r w:rsidR="00BE7FDF" w:rsidRPr="00FC1D31">
        <w:rPr>
          <w:rFonts w:ascii="Garamond" w:hAnsi="Garamond"/>
          <w:sz w:val="24"/>
          <w:szCs w:val="24"/>
        </w:rPr>
        <w:t xml:space="preserve"> While the EU policy innovations on screening, investment subsidies and corporate due diligence  are underpinned by a sober and more nuanced vision of the impact of foreign investment on the economy and society, its international investment agreements reflect the long-held beliefs in foreign investments as an uncontested common good warranting the removal of all barriers to capital flows.</w:t>
      </w:r>
      <w:r w:rsidR="00F10ED7" w:rsidRPr="00FC1D31">
        <w:rPr>
          <w:rStyle w:val="FootnoteReference"/>
          <w:rFonts w:ascii="Garamond" w:hAnsi="Garamond"/>
          <w:sz w:val="24"/>
          <w:szCs w:val="24"/>
        </w:rPr>
        <w:t xml:space="preserve"> </w:t>
      </w:r>
      <w:r w:rsidR="00E205FE" w:rsidRPr="00FC1D31">
        <w:rPr>
          <w:rFonts w:ascii="Garamond" w:hAnsi="Garamond"/>
          <w:sz w:val="24"/>
          <w:szCs w:val="24"/>
        </w:rPr>
        <w:t>Accommodation of</w:t>
      </w:r>
      <w:r w:rsidR="00F10ED7" w:rsidRPr="00FC1D31">
        <w:rPr>
          <w:rFonts w:ascii="Garamond" w:hAnsi="Garamond"/>
          <w:sz w:val="24"/>
          <w:szCs w:val="24"/>
        </w:rPr>
        <w:t xml:space="preserve"> socially-oriented non-economic concerns is where EU investment policy is most glaringly divided between its external and internal dimensions: the recent move towards stronger </w:t>
      </w:r>
      <w:r w:rsidR="00F10ED7" w:rsidRPr="00FC1D31">
        <w:rPr>
          <w:rFonts w:ascii="Garamond" w:hAnsi="Garamond"/>
          <w:i/>
          <w:iCs/>
          <w:sz w:val="24"/>
          <w:szCs w:val="24"/>
        </w:rPr>
        <w:t>enforcement</w:t>
      </w:r>
      <w:r w:rsidR="00F10ED7" w:rsidRPr="00FC1D31">
        <w:rPr>
          <w:rFonts w:ascii="Garamond" w:hAnsi="Garamond"/>
          <w:sz w:val="24"/>
          <w:szCs w:val="24"/>
        </w:rPr>
        <w:t xml:space="preserve"> of human rights, environment and labour standards – despite its extraterritorial implications—remains an area </w:t>
      </w:r>
      <w:r w:rsidR="00B36286" w:rsidRPr="00FC1D31">
        <w:rPr>
          <w:rFonts w:ascii="Garamond" w:hAnsi="Garamond"/>
          <w:sz w:val="24"/>
          <w:szCs w:val="24"/>
        </w:rPr>
        <w:t xml:space="preserve">for </w:t>
      </w:r>
      <w:r w:rsidR="00F10ED7" w:rsidRPr="00FC1D31">
        <w:rPr>
          <w:rFonts w:ascii="Garamond" w:hAnsi="Garamond"/>
          <w:sz w:val="24"/>
          <w:szCs w:val="24"/>
        </w:rPr>
        <w:t>internal action, whereas externally the EU’s international investment policy is still defined by its almost undiluted adherence to the free trade</w:t>
      </w:r>
      <w:r w:rsidR="00334DC1" w:rsidRPr="00FC1D31">
        <w:rPr>
          <w:rFonts w:ascii="Garamond" w:hAnsi="Garamond"/>
          <w:sz w:val="24"/>
          <w:szCs w:val="24"/>
        </w:rPr>
        <w:t xml:space="preserve"> and open markets</w:t>
      </w:r>
      <w:r w:rsidR="00F10ED7" w:rsidRPr="00FC1D31">
        <w:rPr>
          <w:rFonts w:ascii="Garamond" w:hAnsi="Garamond"/>
          <w:sz w:val="24"/>
          <w:szCs w:val="24"/>
        </w:rPr>
        <w:t xml:space="preserve"> orthodoxy.</w:t>
      </w:r>
      <w:r w:rsidR="00B36286" w:rsidRPr="00FC1D31">
        <w:rPr>
          <w:rFonts w:ascii="Garamond" w:hAnsi="Garamond"/>
          <w:sz w:val="24"/>
          <w:szCs w:val="24"/>
        </w:rPr>
        <w:t xml:space="preserve"> </w:t>
      </w:r>
      <w:r w:rsidR="00704EFA" w:rsidRPr="00FC1D31">
        <w:rPr>
          <w:rFonts w:ascii="Garamond" w:hAnsi="Garamond"/>
          <w:sz w:val="24"/>
          <w:szCs w:val="24"/>
        </w:rPr>
        <w:t xml:space="preserve">The underlying </w:t>
      </w:r>
      <w:r w:rsidR="00704EFA" w:rsidRPr="00FC1D31">
        <w:rPr>
          <w:rFonts w:ascii="Garamond" w:hAnsi="Garamond"/>
          <w:sz w:val="24"/>
          <w:szCs w:val="24"/>
        </w:rPr>
        <w:lastRenderedPageBreak/>
        <w:t>assumption of the EU’s international investment regime is that ‘markets will make better decisions in the global allocation of goods, labour, and investment than states would.’</w:t>
      </w:r>
      <w:r w:rsidR="00704EFA" w:rsidRPr="00FC1D31">
        <w:rPr>
          <w:rStyle w:val="FootnoteReference"/>
          <w:rFonts w:ascii="Garamond" w:hAnsi="Garamond"/>
          <w:sz w:val="24"/>
          <w:szCs w:val="24"/>
        </w:rPr>
        <w:footnoteReference w:id="85"/>
      </w:r>
    </w:p>
    <w:p w14:paraId="3117C075" w14:textId="10F93FA4" w:rsidR="00E205FE" w:rsidRPr="00FC1D31" w:rsidRDefault="009776E1" w:rsidP="009776E1">
      <w:pPr>
        <w:autoSpaceDE w:val="0"/>
        <w:autoSpaceDN w:val="0"/>
        <w:adjustRightInd w:val="0"/>
        <w:spacing w:after="0" w:line="240" w:lineRule="auto"/>
        <w:jc w:val="both"/>
        <w:rPr>
          <w:rFonts w:ascii="Garamond" w:hAnsi="Garamond"/>
          <w:sz w:val="24"/>
          <w:szCs w:val="24"/>
        </w:rPr>
      </w:pPr>
      <w:r w:rsidRPr="00FC1D31">
        <w:rPr>
          <w:rFonts w:ascii="Garamond" w:hAnsi="Garamond"/>
          <w:sz w:val="24"/>
          <w:szCs w:val="24"/>
        </w:rPr>
        <w:t xml:space="preserve">Indeed, the need to rethink and adapt international investment agreements to </w:t>
      </w:r>
      <w:r w:rsidR="0007319C" w:rsidRPr="00FC1D31">
        <w:rPr>
          <w:rFonts w:ascii="Garamond" w:hAnsi="Garamond"/>
          <w:sz w:val="24"/>
          <w:szCs w:val="24"/>
        </w:rPr>
        <w:t xml:space="preserve">the </w:t>
      </w:r>
      <w:r w:rsidRPr="00FC1D31">
        <w:rPr>
          <w:rFonts w:ascii="Garamond" w:hAnsi="Garamond"/>
          <w:sz w:val="24"/>
          <w:szCs w:val="24"/>
        </w:rPr>
        <w:t xml:space="preserve">new geopolitical and economic realities </w:t>
      </w:r>
      <w:r w:rsidR="00364884" w:rsidRPr="00FC1D31">
        <w:rPr>
          <w:rFonts w:ascii="Garamond" w:hAnsi="Garamond"/>
          <w:sz w:val="24"/>
          <w:szCs w:val="24"/>
        </w:rPr>
        <w:t>remains entirely unacknowledged</w:t>
      </w:r>
      <w:r w:rsidRPr="00FC1D31">
        <w:rPr>
          <w:rFonts w:ascii="Garamond" w:hAnsi="Garamond"/>
          <w:sz w:val="24"/>
          <w:szCs w:val="24"/>
        </w:rPr>
        <w:t xml:space="preserve"> in the recent iteration of the EU’s new trade strategy. While </w:t>
      </w:r>
      <w:r w:rsidR="00364884" w:rsidRPr="00FC1D31">
        <w:rPr>
          <w:rFonts w:ascii="Garamond" w:hAnsi="Garamond"/>
          <w:sz w:val="24"/>
          <w:szCs w:val="24"/>
        </w:rPr>
        <w:t>recognising</w:t>
      </w:r>
      <w:r w:rsidRPr="00FC1D31">
        <w:rPr>
          <w:rFonts w:ascii="Garamond" w:hAnsi="Garamond"/>
          <w:sz w:val="24"/>
          <w:szCs w:val="24"/>
        </w:rPr>
        <w:t xml:space="preserve"> that ‘[g]l</w:t>
      </w:r>
      <w:r w:rsidRPr="00FC1D31">
        <w:rPr>
          <w:rFonts w:ascii="Garamond" w:hAnsi="Garamond" w:cs="Times New Roman"/>
          <w:color w:val="000000"/>
          <w:sz w:val="24"/>
          <w:szCs w:val="24"/>
        </w:rPr>
        <w:t>obal trade rules are in urgent need of being updated to reflect today’s economic environment and the challenges the global community faces’ and that ‘making globalisation more sustainable and fairer should be the underlying driver of trade policy, delivering on the expectations of Europeans and other people around the world’,</w:t>
      </w:r>
      <w:r w:rsidRPr="00FC1D31">
        <w:rPr>
          <w:rStyle w:val="FootnoteReference"/>
          <w:rFonts w:ascii="Garamond" w:hAnsi="Garamond" w:cs="Times New Roman"/>
          <w:color w:val="000000"/>
          <w:sz w:val="24"/>
          <w:szCs w:val="24"/>
        </w:rPr>
        <w:footnoteReference w:id="86"/>
      </w:r>
      <w:r w:rsidRPr="00FC1D31">
        <w:rPr>
          <w:rFonts w:ascii="Garamond" w:hAnsi="Garamond" w:cs="Times New Roman"/>
          <w:color w:val="000000"/>
          <w:sz w:val="24"/>
          <w:szCs w:val="24"/>
        </w:rPr>
        <w:t xml:space="preserve"> </w:t>
      </w:r>
      <w:r w:rsidR="00364884" w:rsidRPr="00FC1D31">
        <w:rPr>
          <w:rFonts w:ascii="Garamond" w:hAnsi="Garamond" w:cs="Times New Roman"/>
          <w:color w:val="000000"/>
          <w:sz w:val="24"/>
          <w:szCs w:val="24"/>
        </w:rPr>
        <w:t>the Commission</w:t>
      </w:r>
      <w:r w:rsidR="00364884" w:rsidRPr="00FC1D31">
        <w:rPr>
          <w:rFonts w:ascii="Garamond" w:hAnsi="Garamond"/>
          <w:sz w:val="24"/>
          <w:szCs w:val="24"/>
        </w:rPr>
        <w:t xml:space="preserve">’s plans to pursue open strategic autonomy </w:t>
      </w:r>
      <w:r w:rsidR="00364884" w:rsidRPr="00FC1D31">
        <w:rPr>
          <w:rFonts w:ascii="Garamond" w:hAnsi="Garamond" w:cs="Times New Roman"/>
          <w:color w:val="000000"/>
          <w:sz w:val="24"/>
          <w:szCs w:val="24"/>
        </w:rPr>
        <w:t xml:space="preserve">are conspicuously silent on </w:t>
      </w:r>
      <w:r w:rsidRPr="00FC1D31">
        <w:rPr>
          <w:rFonts w:ascii="Garamond" w:hAnsi="Garamond" w:cs="Times New Roman"/>
          <w:color w:val="000000"/>
          <w:sz w:val="24"/>
          <w:szCs w:val="24"/>
        </w:rPr>
        <w:t>international investment agreements</w:t>
      </w:r>
      <w:r w:rsidR="00364884" w:rsidRPr="00FC1D31">
        <w:rPr>
          <w:rFonts w:ascii="Garamond" w:hAnsi="Garamond" w:cs="Times New Roman"/>
          <w:color w:val="000000"/>
          <w:sz w:val="24"/>
          <w:szCs w:val="24"/>
        </w:rPr>
        <w:t xml:space="preserve">. </w:t>
      </w:r>
      <w:r w:rsidRPr="00FC1D31">
        <w:rPr>
          <w:rFonts w:ascii="Garamond" w:hAnsi="Garamond"/>
          <w:sz w:val="24"/>
          <w:szCs w:val="24"/>
        </w:rPr>
        <w:t>If EU trade policy has never been a single coherent project but</w:t>
      </w:r>
      <w:r w:rsidR="00704EFA" w:rsidRPr="00FC1D31">
        <w:rPr>
          <w:rFonts w:ascii="Garamond" w:hAnsi="Garamond"/>
          <w:sz w:val="24"/>
          <w:szCs w:val="24"/>
        </w:rPr>
        <w:t xml:space="preserve"> rather</w:t>
      </w:r>
      <w:r w:rsidRPr="00FC1D31">
        <w:rPr>
          <w:rFonts w:ascii="Garamond" w:hAnsi="Garamond"/>
          <w:sz w:val="24"/>
          <w:szCs w:val="24"/>
        </w:rPr>
        <w:t xml:space="preserve"> the outcome of competing projects, nowhere else </w:t>
      </w:r>
      <w:r w:rsidR="00364884" w:rsidRPr="00FC1D31">
        <w:rPr>
          <w:rFonts w:ascii="Garamond" w:hAnsi="Garamond"/>
          <w:sz w:val="24"/>
          <w:szCs w:val="24"/>
        </w:rPr>
        <w:t xml:space="preserve">is </w:t>
      </w:r>
      <w:r w:rsidRPr="00FC1D31">
        <w:rPr>
          <w:rFonts w:ascii="Garamond" w:hAnsi="Garamond"/>
          <w:sz w:val="24"/>
          <w:szCs w:val="24"/>
        </w:rPr>
        <w:t>th</w:t>
      </w:r>
      <w:r w:rsidR="00364884" w:rsidRPr="00FC1D31">
        <w:rPr>
          <w:rFonts w:ascii="Garamond" w:hAnsi="Garamond"/>
          <w:sz w:val="24"/>
          <w:szCs w:val="24"/>
        </w:rPr>
        <w:t>is</w:t>
      </w:r>
      <w:r w:rsidRPr="00FC1D31">
        <w:rPr>
          <w:rFonts w:ascii="Garamond" w:hAnsi="Garamond"/>
          <w:sz w:val="24"/>
          <w:szCs w:val="24"/>
        </w:rPr>
        <w:t xml:space="preserve"> incoherence so pronounced as in the EU’s approach to investment.</w:t>
      </w:r>
      <w:r w:rsidR="00E205FE" w:rsidRPr="00FC1D31">
        <w:rPr>
          <w:rFonts w:ascii="Garamond" w:hAnsi="Garamond"/>
          <w:sz w:val="24"/>
          <w:szCs w:val="24"/>
        </w:rPr>
        <w:t xml:space="preserve"> In practice, this omission has significant implications for the EU’s ability to achieve the aims of its open strategic autonomy. International investment agreements may significantly hinder the enforcement of the EU’s new investment policy.</w:t>
      </w:r>
    </w:p>
    <w:p w14:paraId="29E4C842" w14:textId="48E35568" w:rsidR="00F24C88" w:rsidRPr="00FC1D31" w:rsidRDefault="00F24C88" w:rsidP="009776E1">
      <w:pPr>
        <w:autoSpaceDE w:val="0"/>
        <w:autoSpaceDN w:val="0"/>
        <w:adjustRightInd w:val="0"/>
        <w:spacing w:after="0" w:line="240" w:lineRule="auto"/>
        <w:jc w:val="both"/>
        <w:rPr>
          <w:rFonts w:ascii="Garamond" w:hAnsi="Garamond"/>
          <w:sz w:val="24"/>
          <w:szCs w:val="24"/>
        </w:rPr>
      </w:pPr>
    </w:p>
    <w:p w14:paraId="283D34EB" w14:textId="362459F0" w:rsidR="00F24C88" w:rsidRPr="00FC1D31" w:rsidRDefault="00F24C88" w:rsidP="00F24C88">
      <w:pPr>
        <w:autoSpaceDE w:val="0"/>
        <w:autoSpaceDN w:val="0"/>
        <w:adjustRightInd w:val="0"/>
        <w:spacing w:after="0" w:line="240" w:lineRule="auto"/>
        <w:jc w:val="both"/>
        <w:rPr>
          <w:rFonts w:ascii="Garamond" w:hAnsi="Garamond" w:cs="AdvOT1ef757c0"/>
          <w:color w:val="000000"/>
          <w:sz w:val="24"/>
          <w:szCs w:val="24"/>
        </w:rPr>
      </w:pPr>
      <w:r w:rsidRPr="00FC1D31">
        <w:rPr>
          <w:rFonts w:ascii="Garamond" w:hAnsi="Garamond"/>
          <w:sz w:val="24"/>
          <w:szCs w:val="24"/>
        </w:rPr>
        <w:t xml:space="preserve">When examined against the backdrop of international investment agreements major European economies have keenly pursued over the last five decades, the new emphasis on strategic autonomy, unilateral measures and stronger domestic controls can be seen as an almost tectonic shift in EU investment policy. Ever since acquiring competence over FDI under the Lisbon Treaty, the EU has followed the well-trodden footsteps of its member states, viewing investment as a source of prosperity, with its international investment policy seeking to remove any obstacles to free movement of capital, technology and know-how. International investment agreements of the EU, much like those of Member States, reflect an unwavering commitment to open, liberalised frameworks for international investment. Conceived after the end of the World War II, international investment agreements—then primarily in the form of bilateral investment treaties—were premised on the ideas of economic liberalism. Core to the idea of liberal international investment policy were the principles of investment neutrality and investment security, that is the idea that that </w:t>
      </w:r>
      <w:r w:rsidRPr="00FC1D31">
        <w:rPr>
          <w:rFonts w:ascii="Garamond" w:hAnsi="Garamond" w:cs="AdvOT1ef757c0"/>
          <w:sz w:val="24"/>
          <w:szCs w:val="24"/>
        </w:rPr>
        <w:t>the market rather than the state should allocate capital, that the state should protect property and contract rights of investors</w:t>
      </w:r>
      <w:r w:rsidRPr="00FC1D31">
        <w:rPr>
          <w:rFonts w:ascii="Garamond" w:hAnsi="Garamond"/>
          <w:sz w:val="24"/>
          <w:szCs w:val="24"/>
        </w:rPr>
        <w:t>.</w:t>
      </w:r>
      <w:r w:rsidRPr="00FC1D31">
        <w:rPr>
          <w:rStyle w:val="FootnoteReference"/>
          <w:rFonts w:ascii="Garamond" w:hAnsi="Garamond"/>
          <w:sz w:val="24"/>
          <w:szCs w:val="24"/>
        </w:rPr>
        <w:footnoteReference w:id="87"/>
      </w:r>
      <w:r w:rsidRPr="00FC1D31">
        <w:rPr>
          <w:rFonts w:ascii="Garamond" w:hAnsi="Garamond"/>
          <w:sz w:val="24"/>
          <w:szCs w:val="24"/>
        </w:rPr>
        <w:t xml:space="preserve"> </w:t>
      </w:r>
    </w:p>
    <w:p w14:paraId="4F23E447" w14:textId="77777777" w:rsidR="00F24C88" w:rsidRPr="00FC1D31" w:rsidRDefault="00F24C88" w:rsidP="00F24C88">
      <w:pPr>
        <w:autoSpaceDE w:val="0"/>
        <w:autoSpaceDN w:val="0"/>
        <w:adjustRightInd w:val="0"/>
        <w:spacing w:after="0" w:line="240" w:lineRule="auto"/>
        <w:jc w:val="both"/>
        <w:rPr>
          <w:rFonts w:ascii="Garamond" w:hAnsi="Garamond" w:cs="StoneSerifStd-Medium"/>
          <w:sz w:val="24"/>
          <w:szCs w:val="24"/>
        </w:rPr>
      </w:pPr>
    </w:p>
    <w:p w14:paraId="26FD75DF" w14:textId="425563A7" w:rsidR="00574331" w:rsidRPr="00FC1D31" w:rsidRDefault="00F24C88" w:rsidP="00F24C88">
      <w:pPr>
        <w:autoSpaceDE w:val="0"/>
        <w:autoSpaceDN w:val="0"/>
        <w:adjustRightInd w:val="0"/>
        <w:spacing w:after="0" w:line="240" w:lineRule="auto"/>
        <w:jc w:val="both"/>
        <w:rPr>
          <w:rFonts w:ascii="Garamond" w:hAnsi="Garamond"/>
          <w:sz w:val="24"/>
          <w:szCs w:val="24"/>
        </w:rPr>
      </w:pPr>
      <w:r w:rsidRPr="00FC1D31">
        <w:rPr>
          <w:rFonts w:ascii="Garamond" w:hAnsi="Garamond" w:cs="StoneSerifStd-Medium"/>
          <w:sz w:val="24"/>
          <w:szCs w:val="24"/>
        </w:rPr>
        <w:t>Following the collapse of the Soviet Union and the spread of neoliberal economic policy calling for less government and more markets,</w:t>
      </w:r>
      <w:r w:rsidRPr="00FC1D31">
        <w:rPr>
          <w:rStyle w:val="FootnoteReference"/>
          <w:rFonts w:ascii="Garamond" w:hAnsi="Garamond" w:cs="StoneSerifStd-Medium"/>
          <w:sz w:val="24"/>
          <w:szCs w:val="24"/>
        </w:rPr>
        <w:footnoteReference w:id="88"/>
      </w:r>
      <w:r w:rsidRPr="00FC1D31">
        <w:rPr>
          <w:rFonts w:ascii="Garamond" w:hAnsi="Garamond" w:cs="StoneSerifStd-Medium"/>
          <w:sz w:val="24"/>
          <w:szCs w:val="24"/>
        </w:rPr>
        <w:t xml:space="preserve"> the number of international investment agreements globally grew exponentially, with the newer stock of treaties foregrounding the principles of investment security and investment neutrality and severely curtailing the state’s right to regulate for the common good.</w:t>
      </w:r>
      <w:r w:rsidRPr="00FC1D31">
        <w:rPr>
          <w:rStyle w:val="FootnoteReference"/>
          <w:rFonts w:ascii="Garamond" w:hAnsi="Garamond" w:cs="StoneSerifStd-Medium"/>
          <w:sz w:val="24"/>
          <w:szCs w:val="24"/>
        </w:rPr>
        <w:footnoteReference w:id="89"/>
      </w:r>
      <w:r w:rsidRPr="00FC1D31">
        <w:rPr>
          <w:rFonts w:ascii="Garamond" w:hAnsi="Garamond" w:cs="StoneSerifStd-Medium"/>
          <w:sz w:val="24"/>
          <w:szCs w:val="24"/>
        </w:rPr>
        <w:t xml:space="preserve"> </w:t>
      </w:r>
      <w:r w:rsidRPr="00FC1D31">
        <w:rPr>
          <w:rFonts w:ascii="Garamond" w:hAnsi="Garamond"/>
          <w:sz w:val="24"/>
          <w:szCs w:val="24"/>
        </w:rPr>
        <w:t>Their principal objective became increasingly articulated as the need to place ‘legal limits on the authority of government, isolating economic from political power, and assigning to investment interests the highest possible protection</w:t>
      </w:r>
      <w:r w:rsidRPr="00FC1D31">
        <w:rPr>
          <w:rFonts w:ascii="Garamond" w:hAnsi="Garamond" w:cs="StoneSerifStd-Medium"/>
          <w:sz w:val="24"/>
          <w:szCs w:val="24"/>
        </w:rPr>
        <w:t>.’</w:t>
      </w:r>
      <w:r w:rsidRPr="00FC1D31">
        <w:rPr>
          <w:rStyle w:val="FootnoteReference"/>
          <w:rFonts w:ascii="Garamond" w:hAnsi="Garamond" w:cs="StoneSerifStd-Medium"/>
          <w:sz w:val="24"/>
          <w:szCs w:val="24"/>
        </w:rPr>
        <w:footnoteReference w:id="90"/>
      </w:r>
      <w:r w:rsidRPr="00FC1D31">
        <w:rPr>
          <w:rFonts w:ascii="Garamond" w:hAnsi="Garamond" w:cs="StoneSerifStd-Medium"/>
          <w:sz w:val="24"/>
          <w:szCs w:val="24"/>
        </w:rPr>
        <w:t xml:space="preserve"> Investment treaties of the EU member states </w:t>
      </w:r>
      <w:r w:rsidRPr="00FC1D31">
        <w:rPr>
          <w:rFonts w:ascii="Garamond" w:hAnsi="Garamond" w:cs="AdvOT1ef757c0"/>
          <w:sz w:val="24"/>
          <w:szCs w:val="24"/>
        </w:rPr>
        <w:t>not only never expressly require states to exercise their regulatory powers, but they rather constrain states’ ability to take action to address inadequacies or failures in the market.</w:t>
      </w:r>
      <w:r w:rsidRPr="00FC1D31">
        <w:rPr>
          <w:rStyle w:val="FootnoteReference"/>
          <w:rFonts w:ascii="Garamond" w:hAnsi="Garamond" w:cs="AdvOT1ef757c0"/>
          <w:sz w:val="24"/>
          <w:szCs w:val="24"/>
        </w:rPr>
        <w:footnoteReference w:id="91"/>
      </w:r>
      <w:r w:rsidRPr="00FC1D31">
        <w:rPr>
          <w:rFonts w:ascii="Garamond" w:hAnsi="Garamond" w:cs="AdvOT1ef757c0"/>
          <w:sz w:val="24"/>
          <w:szCs w:val="24"/>
        </w:rPr>
        <w:t xml:space="preserve"> </w:t>
      </w:r>
      <w:r w:rsidRPr="00FC1D31">
        <w:rPr>
          <w:rFonts w:ascii="Garamond" w:hAnsi="Garamond"/>
          <w:sz w:val="24"/>
          <w:szCs w:val="24"/>
        </w:rPr>
        <w:t>Neoliberal economic policy ha</w:t>
      </w:r>
      <w:r w:rsidR="00005899" w:rsidRPr="00FC1D31">
        <w:rPr>
          <w:rFonts w:ascii="Garamond" w:hAnsi="Garamond"/>
          <w:sz w:val="24"/>
          <w:szCs w:val="24"/>
        </w:rPr>
        <w:t>s</w:t>
      </w:r>
      <w:r w:rsidRPr="00FC1D31">
        <w:rPr>
          <w:rFonts w:ascii="Garamond" w:hAnsi="Garamond"/>
          <w:sz w:val="24"/>
          <w:szCs w:val="24"/>
        </w:rPr>
        <w:t xml:space="preserve"> traditionally denounced economic nationalism and its ‘misguided goals of national self-sufficiency, autarky, insulation and autonomy.’</w:t>
      </w:r>
      <w:r w:rsidRPr="00FC1D31">
        <w:rPr>
          <w:rStyle w:val="FootnoteReference"/>
          <w:rFonts w:ascii="Garamond" w:hAnsi="Garamond"/>
          <w:sz w:val="24"/>
          <w:szCs w:val="24"/>
        </w:rPr>
        <w:footnoteReference w:id="92"/>
      </w:r>
      <w:r w:rsidRPr="00FC1D31">
        <w:rPr>
          <w:rFonts w:ascii="Garamond" w:hAnsi="Garamond"/>
          <w:sz w:val="24"/>
          <w:szCs w:val="24"/>
        </w:rPr>
        <w:t xml:space="preserve"> As one of the key pillars in </w:t>
      </w:r>
      <w:r w:rsidRPr="00FC1D31">
        <w:rPr>
          <w:rFonts w:ascii="Garamond" w:hAnsi="Garamond"/>
          <w:sz w:val="24"/>
          <w:szCs w:val="24"/>
        </w:rPr>
        <w:lastRenderedPageBreak/>
        <w:t>the neoliberal architecture of international mechanisms designed to encase and enforce market freedoms</w:t>
      </w:r>
      <w:r w:rsidR="00574331" w:rsidRPr="00FC1D31">
        <w:rPr>
          <w:rStyle w:val="FootnoteReference"/>
          <w:rFonts w:ascii="Garamond" w:hAnsi="Garamond"/>
          <w:sz w:val="24"/>
          <w:szCs w:val="24"/>
        </w:rPr>
        <w:footnoteReference w:id="93"/>
      </w:r>
      <w:r w:rsidRPr="00FC1D31">
        <w:rPr>
          <w:rFonts w:ascii="Garamond" w:hAnsi="Garamond"/>
          <w:sz w:val="24"/>
          <w:szCs w:val="24"/>
        </w:rPr>
        <w:t>, the aim of international investment law was to sap nations of ‘their power to disrupt the world economy.’</w:t>
      </w:r>
      <w:r w:rsidRPr="00FC1D31">
        <w:rPr>
          <w:rStyle w:val="FootnoteReference"/>
          <w:rFonts w:ascii="Garamond" w:hAnsi="Garamond"/>
          <w:sz w:val="24"/>
          <w:szCs w:val="24"/>
        </w:rPr>
        <w:footnoteReference w:id="94"/>
      </w:r>
      <w:r w:rsidRPr="00FC1D31">
        <w:rPr>
          <w:rFonts w:ascii="Garamond" w:hAnsi="Garamond"/>
          <w:sz w:val="24"/>
          <w:szCs w:val="24"/>
        </w:rPr>
        <w:t xml:space="preserve"> </w:t>
      </w:r>
    </w:p>
    <w:p w14:paraId="5D17B4AA" w14:textId="77777777" w:rsidR="00574331" w:rsidRPr="00FC1D31" w:rsidRDefault="00574331" w:rsidP="00F24C88">
      <w:pPr>
        <w:autoSpaceDE w:val="0"/>
        <w:autoSpaceDN w:val="0"/>
        <w:adjustRightInd w:val="0"/>
        <w:spacing w:after="0" w:line="240" w:lineRule="auto"/>
        <w:jc w:val="both"/>
        <w:rPr>
          <w:rFonts w:ascii="Garamond" w:hAnsi="Garamond"/>
          <w:sz w:val="24"/>
          <w:szCs w:val="24"/>
        </w:rPr>
      </w:pPr>
    </w:p>
    <w:p w14:paraId="4B4DBA79" w14:textId="24C3FEAA" w:rsidR="00334DC1" w:rsidRPr="00FC1D31" w:rsidRDefault="00F24C88" w:rsidP="00F24C88">
      <w:pPr>
        <w:autoSpaceDE w:val="0"/>
        <w:autoSpaceDN w:val="0"/>
        <w:adjustRightInd w:val="0"/>
        <w:spacing w:after="0" w:line="240" w:lineRule="auto"/>
        <w:jc w:val="both"/>
        <w:rPr>
          <w:rFonts w:ascii="Garamond" w:hAnsi="Garamond" w:cs="AdvOT1ef757c0"/>
          <w:color w:val="000000"/>
          <w:sz w:val="24"/>
          <w:szCs w:val="24"/>
        </w:rPr>
      </w:pPr>
      <w:r w:rsidRPr="00FC1D31">
        <w:rPr>
          <w:rFonts w:ascii="Garamond" w:hAnsi="Garamond"/>
          <w:sz w:val="24"/>
          <w:szCs w:val="24"/>
        </w:rPr>
        <w:t xml:space="preserve">In contemporary investment treaty law the primary role of nation states </w:t>
      </w:r>
      <w:r w:rsidR="00334DC1" w:rsidRPr="00FC1D31">
        <w:rPr>
          <w:rFonts w:ascii="Garamond" w:hAnsi="Garamond"/>
          <w:sz w:val="24"/>
          <w:szCs w:val="24"/>
        </w:rPr>
        <w:t>has been</w:t>
      </w:r>
      <w:r w:rsidRPr="00FC1D31">
        <w:rPr>
          <w:rFonts w:ascii="Garamond" w:hAnsi="Garamond"/>
          <w:sz w:val="24"/>
          <w:szCs w:val="24"/>
        </w:rPr>
        <w:t xml:space="preserve"> to guarantee legal security of investment, and to ensure that ‘the law of property and contract the world over was unified and administered on uniform principles.’</w:t>
      </w:r>
      <w:r w:rsidRPr="00FC1D31">
        <w:rPr>
          <w:rStyle w:val="FootnoteReference"/>
          <w:rFonts w:ascii="Garamond" w:hAnsi="Garamond"/>
          <w:sz w:val="24"/>
          <w:szCs w:val="24"/>
        </w:rPr>
        <w:footnoteReference w:id="95"/>
      </w:r>
      <w:r w:rsidRPr="00FC1D31">
        <w:rPr>
          <w:rFonts w:ascii="Garamond" w:hAnsi="Garamond"/>
          <w:sz w:val="24"/>
          <w:szCs w:val="24"/>
        </w:rPr>
        <w:t xml:space="preserve"> Investment treaties were designed to serve as part of an international authority that is able to say ‘no to obstacles to the movement of goods, capital, and people, and thus, no to protections for infant industries.’</w:t>
      </w:r>
      <w:r w:rsidRPr="00FC1D31">
        <w:rPr>
          <w:rStyle w:val="FootnoteReference"/>
          <w:rFonts w:ascii="Garamond" w:hAnsi="Garamond"/>
          <w:sz w:val="24"/>
          <w:szCs w:val="24"/>
        </w:rPr>
        <w:footnoteReference w:id="96"/>
      </w:r>
      <w:r w:rsidRPr="00FC1D31">
        <w:rPr>
          <w:rFonts w:ascii="Garamond" w:hAnsi="Garamond"/>
          <w:sz w:val="24"/>
          <w:szCs w:val="24"/>
        </w:rPr>
        <w:t xml:space="preserve"> International investment law was part of a wider enabling environment that would lure mobile capital flows in</w:t>
      </w:r>
      <w:r w:rsidRPr="00FC1D31">
        <w:rPr>
          <w:rStyle w:val="FootnoteReference"/>
          <w:rFonts w:ascii="Garamond" w:hAnsi="Garamond"/>
          <w:sz w:val="24"/>
          <w:szCs w:val="24"/>
        </w:rPr>
        <w:footnoteReference w:id="97"/>
      </w:r>
      <w:r w:rsidRPr="00FC1D31">
        <w:rPr>
          <w:rFonts w:ascii="Garamond" w:hAnsi="Garamond"/>
          <w:sz w:val="24"/>
          <w:szCs w:val="24"/>
        </w:rPr>
        <w:t>.</w:t>
      </w:r>
      <w:r w:rsidR="00574331" w:rsidRPr="00FC1D31">
        <w:rPr>
          <w:rFonts w:ascii="Garamond" w:hAnsi="Garamond"/>
          <w:sz w:val="24"/>
          <w:szCs w:val="24"/>
        </w:rPr>
        <w:t xml:space="preserve"> These ideas took the shape of legal obligations guaranteeing investors </w:t>
      </w:r>
      <w:r w:rsidR="00574331" w:rsidRPr="00FC1D31">
        <w:rPr>
          <w:rFonts w:ascii="Garamond" w:hAnsi="Garamond" w:cs="AdvOT1ef757c0"/>
          <w:color w:val="000000"/>
          <w:sz w:val="24"/>
          <w:szCs w:val="24"/>
        </w:rPr>
        <w:t>fair and equitable treatment, most constant protection and security, national and most-favoured nation (MFN) treatment, the prohibition of arbitrary or discriminatory treatment, the guarantee against prompt, adequate, and e</w:t>
      </w:r>
      <w:r w:rsidR="00574331" w:rsidRPr="00FC1D31">
        <w:rPr>
          <w:rFonts w:ascii="Garamond" w:hAnsi="Garamond" w:cs="AdvOT1ef757c0+fb"/>
          <w:color w:val="000000"/>
          <w:sz w:val="24"/>
          <w:szCs w:val="24"/>
        </w:rPr>
        <w:t>ff</w:t>
      </w:r>
      <w:r w:rsidR="00574331" w:rsidRPr="00FC1D31">
        <w:rPr>
          <w:rFonts w:ascii="Garamond" w:hAnsi="Garamond" w:cs="AdvOT1ef757c0"/>
          <w:color w:val="000000"/>
          <w:sz w:val="24"/>
          <w:szCs w:val="24"/>
        </w:rPr>
        <w:t>ective compensation for expropriation, and restrictions on the host state</w:t>
      </w:r>
      <w:r w:rsidR="00574331" w:rsidRPr="00FC1D31">
        <w:rPr>
          <w:rFonts w:ascii="Garamond" w:hAnsi="Garamond" w:cs="AdvOT1ef757c0+20"/>
          <w:color w:val="000000"/>
          <w:sz w:val="24"/>
          <w:szCs w:val="24"/>
        </w:rPr>
        <w:t>’</w:t>
      </w:r>
      <w:r w:rsidR="00574331" w:rsidRPr="00FC1D31">
        <w:rPr>
          <w:rFonts w:ascii="Garamond" w:hAnsi="Garamond" w:cs="AdvOT1ef757c0"/>
          <w:color w:val="000000"/>
          <w:sz w:val="24"/>
          <w:szCs w:val="24"/>
        </w:rPr>
        <w:t>s power to impose exchange controls.</w:t>
      </w:r>
      <w:r w:rsidR="00574331" w:rsidRPr="00FC1D31">
        <w:rPr>
          <w:rStyle w:val="FootnoteReference"/>
          <w:rFonts w:ascii="Garamond" w:hAnsi="Garamond" w:cs="AdvOT1ef757c0"/>
          <w:color w:val="000000"/>
          <w:sz w:val="24"/>
          <w:szCs w:val="24"/>
        </w:rPr>
        <w:footnoteReference w:id="98"/>
      </w:r>
      <w:r w:rsidR="00CF7112" w:rsidRPr="00FC1D31">
        <w:rPr>
          <w:rFonts w:ascii="Garamond" w:hAnsi="Garamond" w:cs="AdvOT1ef757c0"/>
          <w:color w:val="000000"/>
          <w:sz w:val="24"/>
          <w:szCs w:val="24"/>
        </w:rPr>
        <w:t xml:space="preserve"> </w:t>
      </w:r>
    </w:p>
    <w:p w14:paraId="58B9A940" w14:textId="77777777" w:rsidR="00334DC1" w:rsidRPr="00FC1D31" w:rsidRDefault="00334DC1" w:rsidP="00F24C88">
      <w:pPr>
        <w:autoSpaceDE w:val="0"/>
        <w:autoSpaceDN w:val="0"/>
        <w:adjustRightInd w:val="0"/>
        <w:spacing w:after="0" w:line="240" w:lineRule="auto"/>
        <w:jc w:val="both"/>
        <w:rPr>
          <w:rFonts w:ascii="Garamond" w:hAnsi="Garamond" w:cs="AdvOT1ef757c0"/>
          <w:color w:val="000000"/>
          <w:sz w:val="24"/>
          <w:szCs w:val="24"/>
        </w:rPr>
      </w:pPr>
    </w:p>
    <w:p w14:paraId="533BC45C" w14:textId="5155CAF6" w:rsidR="00AC50D8" w:rsidRPr="00FC1D31" w:rsidRDefault="00B35292" w:rsidP="00AC50D8">
      <w:pPr>
        <w:pStyle w:val="ListParagraph"/>
        <w:numPr>
          <w:ilvl w:val="1"/>
          <w:numId w:val="3"/>
        </w:numPr>
        <w:autoSpaceDE w:val="0"/>
        <w:autoSpaceDN w:val="0"/>
        <w:adjustRightInd w:val="0"/>
        <w:spacing w:after="0" w:line="240" w:lineRule="auto"/>
        <w:jc w:val="both"/>
        <w:rPr>
          <w:rFonts w:ascii="Garamond" w:hAnsi="Garamond" w:cs="AdvOT1ef757c0"/>
          <w:color w:val="000000"/>
          <w:sz w:val="24"/>
          <w:szCs w:val="24"/>
        </w:rPr>
      </w:pPr>
      <w:r w:rsidRPr="00FC1D31">
        <w:rPr>
          <w:rFonts w:ascii="Garamond" w:hAnsi="Garamond" w:cs="AdvOT1ef757c0"/>
          <w:color w:val="000000"/>
          <w:sz w:val="24"/>
          <w:szCs w:val="24"/>
        </w:rPr>
        <w:t>When the worlds collide</w:t>
      </w:r>
      <w:r w:rsidR="00AC50D8" w:rsidRPr="00FC1D31">
        <w:rPr>
          <w:rFonts w:ascii="Garamond" w:hAnsi="Garamond" w:cs="AdvOT1ef757c0"/>
          <w:color w:val="000000"/>
          <w:sz w:val="24"/>
          <w:szCs w:val="24"/>
        </w:rPr>
        <w:t xml:space="preserve">: investment treaties and </w:t>
      </w:r>
      <w:r w:rsidRPr="00FC1D31">
        <w:rPr>
          <w:rFonts w:ascii="Garamond" w:hAnsi="Garamond" w:cs="AdvOT1ef757c0"/>
          <w:color w:val="000000"/>
          <w:sz w:val="24"/>
          <w:szCs w:val="24"/>
        </w:rPr>
        <w:t xml:space="preserve">the thorny issue of </w:t>
      </w:r>
      <w:r w:rsidR="00E66A33" w:rsidRPr="00FC1D31">
        <w:rPr>
          <w:rFonts w:ascii="Garamond" w:hAnsi="Garamond" w:cs="AdvOT1ef757c0"/>
          <w:color w:val="000000"/>
          <w:sz w:val="24"/>
          <w:szCs w:val="24"/>
        </w:rPr>
        <w:t>policy</w:t>
      </w:r>
      <w:r w:rsidR="00AC50D8" w:rsidRPr="00FC1D31">
        <w:rPr>
          <w:rFonts w:ascii="Garamond" w:hAnsi="Garamond" w:cs="AdvOT1ef757c0"/>
          <w:color w:val="000000"/>
          <w:sz w:val="24"/>
          <w:szCs w:val="24"/>
        </w:rPr>
        <w:t xml:space="preserve"> space</w:t>
      </w:r>
    </w:p>
    <w:p w14:paraId="7C3281C0" w14:textId="77777777" w:rsidR="00AC50D8" w:rsidRPr="00FC1D31" w:rsidRDefault="00AC50D8" w:rsidP="00AC50D8">
      <w:pPr>
        <w:autoSpaceDE w:val="0"/>
        <w:autoSpaceDN w:val="0"/>
        <w:adjustRightInd w:val="0"/>
        <w:spacing w:after="0" w:line="240" w:lineRule="auto"/>
        <w:jc w:val="both"/>
        <w:rPr>
          <w:rFonts w:ascii="Garamond" w:hAnsi="Garamond" w:cs="AdvOT1ef757c0"/>
          <w:color w:val="000000"/>
          <w:sz w:val="24"/>
          <w:szCs w:val="24"/>
        </w:rPr>
      </w:pPr>
    </w:p>
    <w:p w14:paraId="2EF94785" w14:textId="5B7D97B9" w:rsidR="00F24C88" w:rsidRPr="00FC1D31" w:rsidRDefault="00CF7112" w:rsidP="00AC50D8">
      <w:pPr>
        <w:autoSpaceDE w:val="0"/>
        <w:autoSpaceDN w:val="0"/>
        <w:adjustRightInd w:val="0"/>
        <w:spacing w:after="0" w:line="240" w:lineRule="auto"/>
        <w:jc w:val="both"/>
        <w:rPr>
          <w:rFonts w:ascii="Garamond" w:hAnsi="Garamond" w:cs="AdvOT1ef757c0"/>
          <w:color w:val="000000"/>
          <w:sz w:val="24"/>
          <w:szCs w:val="24"/>
        </w:rPr>
      </w:pPr>
      <w:r w:rsidRPr="00FC1D31">
        <w:rPr>
          <w:rFonts w:ascii="Garamond" w:hAnsi="Garamond" w:cs="AdvOT1ef757c0"/>
          <w:color w:val="000000"/>
          <w:sz w:val="24"/>
          <w:szCs w:val="24"/>
        </w:rPr>
        <w:t xml:space="preserve">Given the time and circumstances of their birth, investment treaties did not envisage the need to accommodate national security—or, for that matter, economic security and sustainability concerns. The defensive instruments of investment policy, from investment screening to the scrutiny of foreign subsidies and the enforcement of corporate due diligence, enter the corpus of investment treaty law only in the form of exceptions and carve-outs. </w:t>
      </w:r>
      <w:r w:rsidR="00617D7C" w:rsidRPr="00FC1D31">
        <w:rPr>
          <w:rFonts w:ascii="Garamond" w:hAnsi="Garamond" w:cs="AdvOT1ef757c0"/>
          <w:color w:val="000000"/>
          <w:sz w:val="24"/>
          <w:szCs w:val="24"/>
        </w:rPr>
        <w:t>Crucially, t</w:t>
      </w:r>
      <w:r w:rsidRPr="00FC1D31">
        <w:rPr>
          <w:rFonts w:ascii="Garamond" w:hAnsi="Garamond" w:cs="AdvOT1ef757c0"/>
          <w:color w:val="000000"/>
          <w:sz w:val="24"/>
          <w:szCs w:val="24"/>
        </w:rPr>
        <w:t>he bulk of investment treaties of EU member states do not contain such exceptions</w:t>
      </w:r>
      <w:r w:rsidR="00617D7C" w:rsidRPr="00FC1D31">
        <w:rPr>
          <w:rFonts w:ascii="Garamond" w:hAnsi="Garamond" w:cs="AdvOT1ef757c0"/>
          <w:color w:val="000000"/>
          <w:sz w:val="24"/>
          <w:szCs w:val="24"/>
        </w:rPr>
        <w:t>.</w:t>
      </w:r>
      <w:r w:rsidR="00B46B41" w:rsidRPr="00FC1D31">
        <w:rPr>
          <w:rFonts w:ascii="Garamond" w:hAnsi="Garamond" w:cs="AdvOT1ef757c0"/>
          <w:color w:val="000000"/>
          <w:sz w:val="24"/>
          <w:szCs w:val="24"/>
        </w:rPr>
        <w:t xml:space="preserve"> Neither do such provisions feature in the Energy Charter Treaty, a sectoral agreement containing the traditional arsenal of investment protections that have recently been deployed by investors against </w:t>
      </w:r>
      <w:proofErr w:type="gramStart"/>
      <w:r w:rsidR="00B46B41" w:rsidRPr="00FC1D31">
        <w:rPr>
          <w:rFonts w:ascii="Garamond" w:hAnsi="Garamond" w:cs="AdvOT1ef757c0"/>
          <w:color w:val="000000"/>
          <w:sz w:val="24"/>
          <w:szCs w:val="24"/>
        </w:rPr>
        <w:t>a number of</w:t>
      </w:r>
      <w:proofErr w:type="gramEnd"/>
      <w:r w:rsidR="00B46B41" w:rsidRPr="00FC1D31">
        <w:rPr>
          <w:rFonts w:ascii="Garamond" w:hAnsi="Garamond" w:cs="AdvOT1ef757c0"/>
          <w:color w:val="000000"/>
          <w:sz w:val="24"/>
          <w:szCs w:val="24"/>
        </w:rPr>
        <w:t xml:space="preserve"> EU member states.</w:t>
      </w:r>
      <w:r w:rsidR="00617D7C" w:rsidRPr="00FC1D31">
        <w:rPr>
          <w:rFonts w:ascii="Garamond" w:hAnsi="Garamond" w:cs="AdvOT1ef757c0"/>
          <w:color w:val="000000"/>
          <w:sz w:val="24"/>
          <w:szCs w:val="24"/>
        </w:rPr>
        <w:t xml:space="preserve"> Some provisions for the right to regulate have been incorporated in the </w:t>
      </w:r>
      <w:r w:rsidR="00B46B41" w:rsidRPr="00FC1D31">
        <w:rPr>
          <w:rFonts w:ascii="Garamond" w:hAnsi="Garamond" w:cs="AdvOT1ef757c0"/>
          <w:color w:val="000000"/>
          <w:sz w:val="24"/>
          <w:szCs w:val="24"/>
        </w:rPr>
        <w:t xml:space="preserve">more </w:t>
      </w:r>
      <w:r w:rsidR="00617D7C" w:rsidRPr="00FC1D31">
        <w:rPr>
          <w:rFonts w:ascii="Garamond" w:hAnsi="Garamond" w:cs="AdvOT1ef757c0"/>
          <w:color w:val="000000"/>
          <w:sz w:val="24"/>
          <w:szCs w:val="24"/>
        </w:rPr>
        <w:t xml:space="preserve">recent EU investment agreements, </w:t>
      </w:r>
      <w:r w:rsidR="00B46B41" w:rsidRPr="00FC1D31">
        <w:rPr>
          <w:rFonts w:ascii="Garamond" w:hAnsi="Garamond" w:cs="AdvOT1ef757c0"/>
          <w:color w:val="000000"/>
          <w:sz w:val="24"/>
          <w:szCs w:val="24"/>
        </w:rPr>
        <w:t xml:space="preserve">in particular the investment chapter of the EU-Canada Comprehensive and Economic Trade Agreement (CETA), </w:t>
      </w:r>
      <w:r w:rsidR="00617D7C" w:rsidRPr="00FC1D31">
        <w:rPr>
          <w:rFonts w:ascii="Garamond" w:hAnsi="Garamond" w:cs="AdvOT1ef757c0"/>
          <w:color w:val="000000"/>
          <w:sz w:val="24"/>
          <w:szCs w:val="24"/>
        </w:rPr>
        <w:t xml:space="preserve">yet strong doubts remain over their overall effectiveness. </w:t>
      </w:r>
    </w:p>
    <w:p w14:paraId="6595A11A" w14:textId="38524514" w:rsidR="00617D7C" w:rsidRPr="00FC1D31" w:rsidRDefault="00617D7C" w:rsidP="00F24C88">
      <w:pPr>
        <w:autoSpaceDE w:val="0"/>
        <w:autoSpaceDN w:val="0"/>
        <w:adjustRightInd w:val="0"/>
        <w:spacing w:after="0" w:line="240" w:lineRule="auto"/>
        <w:jc w:val="both"/>
        <w:rPr>
          <w:rFonts w:ascii="Garamond" w:hAnsi="Garamond" w:cs="AdvOT1ef757c0"/>
          <w:color w:val="000000"/>
          <w:sz w:val="24"/>
          <w:szCs w:val="24"/>
        </w:rPr>
      </w:pPr>
    </w:p>
    <w:p w14:paraId="5D4668A1" w14:textId="513EB820" w:rsidR="00617D7C" w:rsidRPr="00FC1D31" w:rsidRDefault="00617D7C" w:rsidP="007E652A">
      <w:pPr>
        <w:autoSpaceDE w:val="0"/>
        <w:autoSpaceDN w:val="0"/>
        <w:adjustRightInd w:val="0"/>
        <w:spacing w:after="0" w:line="240" w:lineRule="auto"/>
        <w:jc w:val="both"/>
        <w:rPr>
          <w:rStyle w:val="markedcontent"/>
          <w:rFonts w:ascii="Garamond" w:hAnsi="Garamond" w:cs="Arial"/>
          <w:sz w:val="24"/>
          <w:szCs w:val="24"/>
        </w:rPr>
      </w:pPr>
      <w:r w:rsidRPr="00FC1D31">
        <w:rPr>
          <w:rFonts w:ascii="Garamond" w:hAnsi="Garamond" w:cs="AdvOT1ef757c0"/>
          <w:color w:val="000000"/>
          <w:sz w:val="24"/>
          <w:szCs w:val="24"/>
        </w:rPr>
        <w:t>Consider, for instance, the compatibility of the FDI screening with the obligations contained in international investment agreements</w:t>
      </w:r>
      <w:r w:rsidR="00B46B41" w:rsidRPr="00FC1D31">
        <w:rPr>
          <w:rFonts w:ascii="Garamond" w:hAnsi="Garamond" w:cs="AdvOT1ef757c0"/>
          <w:color w:val="000000"/>
          <w:sz w:val="24"/>
          <w:szCs w:val="24"/>
        </w:rPr>
        <w:t xml:space="preserve"> of EU member states</w:t>
      </w:r>
      <w:r w:rsidRPr="00FC1D31">
        <w:rPr>
          <w:rFonts w:ascii="Garamond" w:hAnsi="Garamond" w:cs="AdvOT1ef757c0"/>
          <w:color w:val="000000"/>
          <w:sz w:val="24"/>
          <w:szCs w:val="24"/>
        </w:rPr>
        <w:t xml:space="preserve">. As critics have pointed out promptly in the wake of the Commission’s proposal, ‘it </w:t>
      </w:r>
      <w:r w:rsidRPr="00FC1D31">
        <w:rPr>
          <w:rFonts w:ascii="Garamond" w:hAnsi="Garamond" w:cs="AdvOTab62ddd129"/>
          <w:sz w:val="24"/>
          <w:szCs w:val="24"/>
        </w:rPr>
        <w:t>may even be possible that screening laws would need to be redesigned to conform to treaty obligations’</w:t>
      </w:r>
      <w:r w:rsidRPr="00FC1D31">
        <w:rPr>
          <w:rStyle w:val="FootnoteReference"/>
          <w:rFonts w:ascii="Garamond" w:hAnsi="Garamond" w:cs="AdvOTab62ddd129"/>
          <w:sz w:val="24"/>
          <w:szCs w:val="24"/>
        </w:rPr>
        <w:footnoteReference w:id="99"/>
      </w:r>
      <w:r w:rsidRPr="00FC1D31">
        <w:rPr>
          <w:rFonts w:ascii="Garamond" w:hAnsi="Garamond" w:cs="AdvOTab62ddd129"/>
          <w:sz w:val="24"/>
          <w:szCs w:val="24"/>
        </w:rPr>
        <w:t xml:space="preserve"> precisely because the exercise of the right to screen foreign direct investment can clash with investment treaty obligations to provide fair and equitable treatment, to refrain from arbitrary and discriminatory treatment and otherwise guarantee the free transfer of funds.</w:t>
      </w:r>
      <w:r w:rsidR="00F433FB" w:rsidRPr="00FC1D31">
        <w:rPr>
          <w:rFonts w:ascii="Garamond" w:hAnsi="Garamond" w:cs="AdvOTab62ddd129"/>
          <w:sz w:val="24"/>
          <w:szCs w:val="24"/>
        </w:rPr>
        <w:t xml:space="preserve"> </w:t>
      </w:r>
      <w:proofErr w:type="gramStart"/>
      <w:r w:rsidR="00F433FB" w:rsidRPr="00FC1D31">
        <w:rPr>
          <w:rFonts w:ascii="Garamond" w:hAnsi="Garamond" w:cs="AdvOTab62ddd129"/>
          <w:sz w:val="24"/>
          <w:szCs w:val="24"/>
        </w:rPr>
        <w:t>A number of</w:t>
      </w:r>
      <w:proofErr w:type="gramEnd"/>
      <w:r w:rsidR="00F433FB" w:rsidRPr="00FC1D31">
        <w:rPr>
          <w:rFonts w:ascii="Garamond" w:hAnsi="Garamond" w:cs="AdvOTab62ddd129"/>
          <w:sz w:val="24"/>
          <w:szCs w:val="24"/>
        </w:rPr>
        <w:t xml:space="preserve"> investment disputes have already emerged challenging the host states’ exercise of screening powers. One such dispute is currently pending against Sweden, </w:t>
      </w:r>
      <w:r w:rsidR="006D5599" w:rsidRPr="00FC1D31">
        <w:rPr>
          <w:rFonts w:ascii="Garamond" w:hAnsi="Garamond" w:cs="AdvOTab62ddd129"/>
          <w:sz w:val="24"/>
          <w:szCs w:val="24"/>
        </w:rPr>
        <w:lastRenderedPageBreak/>
        <w:t>brought by</w:t>
      </w:r>
      <w:r w:rsidR="00F433FB" w:rsidRPr="00FC1D31">
        <w:rPr>
          <w:rFonts w:ascii="Garamond" w:hAnsi="Garamond" w:cs="AdvOTab62ddd129"/>
          <w:sz w:val="24"/>
          <w:szCs w:val="24"/>
        </w:rPr>
        <w:t xml:space="preserve"> a Chinese claimant</w:t>
      </w:r>
      <w:r w:rsidR="006D5599" w:rsidRPr="00FC1D31">
        <w:rPr>
          <w:rFonts w:ascii="Garamond" w:hAnsi="Garamond" w:cs="AdvOTab62ddd129"/>
          <w:sz w:val="24"/>
          <w:szCs w:val="24"/>
        </w:rPr>
        <w:t>,</w:t>
      </w:r>
      <w:r w:rsidR="00C1066A" w:rsidRPr="00FC1D31">
        <w:rPr>
          <w:rFonts w:ascii="Garamond" w:hAnsi="Garamond" w:cs="AdvOTab62ddd129"/>
          <w:sz w:val="24"/>
          <w:szCs w:val="24"/>
        </w:rPr>
        <w:t xml:space="preserve"> Huawei Technologies Co Ltd</w:t>
      </w:r>
      <w:r w:rsidR="006D5599" w:rsidRPr="00FC1D31">
        <w:rPr>
          <w:rFonts w:ascii="Garamond" w:hAnsi="Garamond" w:cs="AdvOTab62ddd129"/>
          <w:sz w:val="24"/>
          <w:szCs w:val="24"/>
        </w:rPr>
        <w:t>. The investor’s is disputing that</w:t>
      </w:r>
      <w:r w:rsidR="007E652A" w:rsidRPr="00FC1D31">
        <w:rPr>
          <w:rFonts w:ascii="Garamond" w:hAnsi="Garamond" w:cs="AdvOTab62ddd129"/>
          <w:sz w:val="24"/>
          <w:szCs w:val="24"/>
        </w:rPr>
        <w:t xml:space="preserve"> a decision by </w:t>
      </w:r>
      <w:r w:rsidR="00F433FB" w:rsidRPr="00FC1D31">
        <w:rPr>
          <w:rStyle w:val="markedcontent"/>
          <w:rFonts w:ascii="Garamond" w:hAnsi="Garamond" w:cs="Arial"/>
          <w:sz w:val="24"/>
          <w:szCs w:val="24"/>
        </w:rPr>
        <w:t xml:space="preserve">the Swedish </w:t>
      </w:r>
      <w:r w:rsidR="007E652A" w:rsidRPr="00FC1D31">
        <w:rPr>
          <w:rStyle w:val="markedcontent"/>
          <w:rFonts w:ascii="Garamond" w:hAnsi="Garamond" w:cs="Arial"/>
          <w:sz w:val="24"/>
          <w:szCs w:val="24"/>
        </w:rPr>
        <w:t xml:space="preserve">government to </w:t>
      </w:r>
      <w:r w:rsidR="00C1066A" w:rsidRPr="00FC1D31">
        <w:rPr>
          <w:rStyle w:val="markedcontent"/>
          <w:rFonts w:ascii="Garamond" w:hAnsi="Garamond" w:cs="Arial"/>
          <w:sz w:val="24"/>
          <w:szCs w:val="24"/>
        </w:rPr>
        <w:t>exclude Huawei equipment from the roll-out of the 5G network in Sweden</w:t>
      </w:r>
      <w:r w:rsidR="007E652A" w:rsidRPr="00FC1D31">
        <w:rPr>
          <w:rStyle w:val="markedcontent"/>
          <w:rFonts w:ascii="Garamond" w:hAnsi="Garamond" w:cs="Arial"/>
          <w:sz w:val="24"/>
          <w:szCs w:val="24"/>
        </w:rPr>
        <w:t xml:space="preserve"> is</w:t>
      </w:r>
      <w:r w:rsidR="00F433FB" w:rsidRPr="00FC1D31">
        <w:rPr>
          <w:rStyle w:val="markedcontent"/>
          <w:rFonts w:ascii="Garamond" w:hAnsi="Garamond" w:cs="Arial"/>
          <w:sz w:val="24"/>
          <w:szCs w:val="24"/>
        </w:rPr>
        <w:t xml:space="preserve"> </w:t>
      </w:r>
      <w:r w:rsidR="007E652A" w:rsidRPr="00FC1D31">
        <w:rPr>
          <w:rStyle w:val="markedcontent"/>
          <w:rFonts w:ascii="Garamond" w:hAnsi="Garamond" w:cs="Arial"/>
          <w:sz w:val="24"/>
          <w:szCs w:val="24"/>
        </w:rPr>
        <w:t>‘</w:t>
      </w:r>
      <w:r w:rsidR="00F433FB" w:rsidRPr="00FC1D31">
        <w:rPr>
          <w:rStyle w:val="markedcontent"/>
          <w:rFonts w:ascii="Garamond" w:hAnsi="Garamond" w:cs="Arial"/>
          <w:sz w:val="24"/>
          <w:szCs w:val="24"/>
        </w:rPr>
        <w:t>blatantly discriminatory</w:t>
      </w:r>
      <w:r w:rsidR="007E652A" w:rsidRPr="00FC1D31">
        <w:rPr>
          <w:rStyle w:val="markedcontent"/>
          <w:rFonts w:ascii="Garamond" w:hAnsi="Garamond" w:cs="Arial"/>
          <w:sz w:val="24"/>
          <w:szCs w:val="24"/>
        </w:rPr>
        <w:t>’, based on unfounded security allegations,</w:t>
      </w:r>
      <w:r w:rsidR="007E652A" w:rsidRPr="00FC1D31">
        <w:rPr>
          <w:rStyle w:val="FootnoteReference"/>
          <w:rFonts w:ascii="Garamond" w:hAnsi="Garamond" w:cs="Arial"/>
          <w:sz w:val="24"/>
          <w:szCs w:val="24"/>
        </w:rPr>
        <w:footnoteReference w:id="100"/>
      </w:r>
      <w:r w:rsidR="007E652A" w:rsidRPr="00FC1D31">
        <w:rPr>
          <w:rStyle w:val="markedcontent"/>
          <w:rFonts w:ascii="Garamond" w:hAnsi="Garamond" w:cs="Arial"/>
          <w:sz w:val="24"/>
          <w:szCs w:val="24"/>
        </w:rPr>
        <w:t xml:space="preserve"> and ‘</w:t>
      </w:r>
      <w:r w:rsidR="00F433FB" w:rsidRPr="00FC1D31">
        <w:rPr>
          <w:rStyle w:val="markedcontent"/>
          <w:rFonts w:ascii="Garamond" w:hAnsi="Garamond" w:cs="Arial"/>
          <w:sz w:val="24"/>
          <w:szCs w:val="24"/>
        </w:rPr>
        <w:t>deprives Huawei of the benefits of its long-term investments in the</w:t>
      </w:r>
      <w:r w:rsidR="007E652A" w:rsidRPr="00FC1D31">
        <w:rPr>
          <w:rFonts w:ascii="Garamond" w:hAnsi="Garamond"/>
          <w:sz w:val="24"/>
          <w:szCs w:val="24"/>
        </w:rPr>
        <w:t xml:space="preserve"> </w:t>
      </w:r>
      <w:r w:rsidR="00F433FB" w:rsidRPr="00FC1D31">
        <w:rPr>
          <w:rStyle w:val="markedcontent"/>
          <w:rFonts w:ascii="Garamond" w:hAnsi="Garamond" w:cs="Arial"/>
          <w:sz w:val="24"/>
          <w:szCs w:val="24"/>
        </w:rPr>
        <w:t>country</w:t>
      </w:r>
      <w:r w:rsidR="007E652A" w:rsidRPr="00FC1D31">
        <w:rPr>
          <w:rStyle w:val="markedcontent"/>
          <w:rFonts w:ascii="Garamond" w:hAnsi="Garamond" w:cs="Arial"/>
          <w:sz w:val="24"/>
          <w:szCs w:val="24"/>
        </w:rPr>
        <w:t>.</w:t>
      </w:r>
      <w:r w:rsidR="00F433FB" w:rsidRPr="00FC1D31">
        <w:rPr>
          <w:rStyle w:val="FootnoteReference"/>
          <w:rFonts w:ascii="Garamond" w:hAnsi="Garamond" w:cs="Arial"/>
          <w:sz w:val="24"/>
          <w:szCs w:val="24"/>
        </w:rPr>
        <w:footnoteReference w:id="101"/>
      </w:r>
      <w:r w:rsidR="000D1D26" w:rsidRPr="00FC1D31">
        <w:rPr>
          <w:rStyle w:val="markedcontent"/>
          <w:rFonts w:ascii="Garamond" w:hAnsi="Garamond" w:cs="Arial"/>
          <w:sz w:val="24"/>
          <w:szCs w:val="24"/>
        </w:rPr>
        <w:t xml:space="preserve"> The</w:t>
      </w:r>
      <w:r w:rsidR="006961FC" w:rsidRPr="00FC1D31">
        <w:rPr>
          <w:rStyle w:val="markedcontent"/>
          <w:rFonts w:ascii="Garamond" w:hAnsi="Garamond" w:cs="Arial"/>
          <w:sz w:val="24"/>
          <w:szCs w:val="24"/>
        </w:rPr>
        <w:t xml:space="preserve"> 1982</w:t>
      </w:r>
      <w:r w:rsidR="000D1D26" w:rsidRPr="00FC1D31">
        <w:rPr>
          <w:rStyle w:val="markedcontent"/>
          <w:rFonts w:ascii="Garamond" w:hAnsi="Garamond" w:cs="Arial"/>
          <w:sz w:val="24"/>
          <w:szCs w:val="24"/>
        </w:rPr>
        <w:t xml:space="preserve"> China-Sweden Agreement on the </w:t>
      </w:r>
      <w:r w:rsidR="005F3BFE" w:rsidRPr="00FC1D31">
        <w:rPr>
          <w:rStyle w:val="markedcontent"/>
          <w:rFonts w:ascii="Garamond" w:hAnsi="Garamond" w:cs="Arial"/>
          <w:sz w:val="24"/>
          <w:szCs w:val="24"/>
        </w:rPr>
        <w:t>M</w:t>
      </w:r>
      <w:r w:rsidR="000D1D26" w:rsidRPr="00FC1D31">
        <w:rPr>
          <w:rStyle w:val="markedcontent"/>
          <w:rFonts w:ascii="Garamond" w:hAnsi="Garamond" w:cs="Arial"/>
          <w:sz w:val="24"/>
          <w:szCs w:val="24"/>
        </w:rPr>
        <w:t xml:space="preserve">utual </w:t>
      </w:r>
      <w:r w:rsidR="005F3BFE" w:rsidRPr="00FC1D31">
        <w:rPr>
          <w:rStyle w:val="markedcontent"/>
          <w:rFonts w:ascii="Garamond" w:hAnsi="Garamond" w:cs="Arial"/>
          <w:sz w:val="24"/>
          <w:szCs w:val="24"/>
        </w:rPr>
        <w:t>P</w:t>
      </w:r>
      <w:r w:rsidR="006961FC" w:rsidRPr="00FC1D31">
        <w:rPr>
          <w:rStyle w:val="markedcontent"/>
          <w:rFonts w:ascii="Garamond" w:hAnsi="Garamond" w:cs="Arial"/>
          <w:sz w:val="24"/>
          <w:szCs w:val="24"/>
        </w:rPr>
        <w:t xml:space="preserve">rotection of </w:t>
      </w:r>
      <w:r w:rsidR="005F3BFE" w:rsidRPr="00FC1D31">
        <w:rPr>
          <w:rStyle w:val="markedcontent"/>
          <w:rFonts w:ascii="Garamond" w:hAnsi="Garamond" w:cs="Arial"/>
          <w:sz w:val="24"/>
          <w:szCs w:val="24"/>
        </w:rPr>
        <w:t>I</w:t>
      </w:r>
      <w:r w:rsidR="006961FC" w:rsidRPr="00FC1D31">
        <w:rPr>
          <w:rStyle w:val="markedcontent"/>
          <w:rFonts w:ascii="Garamond" w:hAnsi="Garamond" w:cs="Arial"/>
          <w:sz w:val="24"/>
          <w:szCs w:val="24"/>
        </w:rPr>
        <w:t>nvestments provides no explicit carve-outs or derogations to enable the state parties t</w:t>
      </w:r>
      <w:r w:rsidR="00186CFB" w:rsidRPr="00FC1D31">
        <w:rPr>
          <w:rStyle w:val="markedcontent"/>
          <w:rFonts w:ascii="Garamond" w:hAnsi="Garamond" w:cs="Arial"/>
          <w:sz w:val="24"/>
          <w:szCs w:val="24"/>
        </w:rPr>
        <w:t>o intervene with foreign investments on national security grounds.</w:t>
      </w:r>
      <w:r w:rsidR="009745B6" w:rsidRPr="00FC1D31">
        <w:rPr>
          <w:rStyle w:val="markedcontent"/>
          <w:rFonts w:ascii="Garamond" w:hAnsi="Garamond" w:cs="Arial"/>
          <w:sz w:val="24"/>
          <w:szCs w:val="24"/>
        </w:rPr>
        <w:t xml:space="preserve"> A vast majority of</w:t>
      </w:r>
      <w:r w:rsidR="005F3BFE" w:rsidRPr="00FC1D31">
        <w:rPr>
          <w:rStyle w:val="markedcontent"/>
          <w:rFonts w:ascii="Garamond" w:hAnsi="Garamond" w:cs="Arial"/>
          <w:sz w:val="24"/>
          <w:szCs w:val="24"/>
        </w:rPr>
        <w:t xml:space="preserve"> member states’ bilateral investment agreements follow a similar drafting pattern.</w:t>
      </w:r>
    </w:p>
    <w:p w14:paraId="5C062A8D" w14:textId="739B38A3" w:rsidR="005F3BFE" w:rsidRPr="00FC1D31" w:rsidRDefault="005F3BFE" w:rsidP="007E652A">
      <w:pPr>
        <w:autoSpaceDE w:val="0"/>
        <w:autoSpaceDN w:val="0"/>
        <w:adjustRightInd w:val="0"/>
        <w:spacing w:after="0" w:line="240" w:lineRule="auto"/>
        <w:jc w:val="both"/>
        <w:rPr>
          <w:rStyle w:val="markedcontent"/>
          <w:rFonts w:ascii="Garamond" w:hAnsi="Garamond" w:cs="Arial"/>
          <w:sz w:val="24"/>
          <w:szCs w:val="24"/>
        </w:rPr>
      </w:pPr>
    </w:p>
    <w:p w14:paraId="493680F9" w14:textId="4CF6F933" w:rsidR="00022CD7" w:rsidRPr="00FC1D31" w:rsidRDefault="005F3BFE" w:rsidP="00022CD7">
      <w:pPr>
        <w:jc w:val="both"/>
        <w:rPr>
          <w:rFonts w:ascii="Garamond" w:hAnsi="Garamond"/>
          <w:sz w:val="24"/>
          <w:szCs w:val="24"/>
        </w:rPr>
      </w:pPr>
      <w:r w:rsidRPr="00FC1D31">
        <w:rPr>
          <w:rStyle w:val="markedcontent"/>
          <w:rFonts w:ascii="Garamond" w:hAnsi="Garamond" w:cs="Arial"/>
          <w:sz w:val="24"/>
          <w:szCs w:val="24"/>
        </w:rPr>
        <w:t>To shield foreign investment policy from the scope of dispute</w:t>
      </w:r>
      <w:r w:rsidRPr="00FC1D31">
        <w:rPr>
          <w:rFonts w:ascii="Garamond" w:hAnsi="Garamond"/>
          <w:sz w:val="24"/>
          <w:szCs w:val="24"/>
        </w:rPr>
        <w:t xml:space="preserve"> </w:t>
      </w:r>
      <w:r w:rsidRPr="00FC1D31">
        <w:rPr>
          <w:rStyle w:val="markedcontent"/>
          <w:rFonts w:ascii="Garamond" w:hAnsi="Garamond" w:cs="Arial"/>
          <w:sz w:val="24"/>
          <w:szCs w:val="24"/>
        </w:rPr>
        <w:t xml:space="preserve">settlement provisions under investment treaties such treaties could list the relevant foreign investment policy instruments as a ‘non-conforming measure’.  </w:t>
      </w:r>
      <w:r w:rsidR="004216C2" w:rsidRPr="00FC1D31">
        <w:rPr>
          <w:rStyle w:val="markedcontent"/>
          <w:rFonts w:ascii="Garamond" w:hAnsi="Garamond" w:cs="Arial"/>
          <w:sz w:val="24"/>
          <w:szCs w:val="24"/>
        </w:rPr>
        <w:t>Although carve-outs afford considerable policy space to the screening authorities, they are rarely found in the first-generation investment treaties of EU member states</w:t>
      </w:r>
      <w:r w:rsidR="004216C2" w:rsidRPr="00FC1D31">
        <w:rPr>
          <w:rStyle w:val="FootnoteReference"/>
          <w:rFonts w:ascii="Garamond" w:hAnsi="Garamond" w:cs="Arial"/>
          <w:sz w:val="24"/>
          <w:szCs w:val="24"/>
        </w:rPr>
        <w:footnoteReference w:id="102"/>
      </w:r>
      <w:r w:rsidR="004216C2" w:rsidRPr="00FC1D31">
        <w:rPr>
          <w:rStyle w:val="markedcontent"/>
          <w:rFonts w:ascii="Garamond" w:hAnsi="Garamond" w:cs="Arial"/>
          <w:sz w:val="24"/>
          <w:szCs w:val="24"/>
        </w:rPr>
        <w:t xml:space="preserve">, that is agreements </w:t>
      </w:r>
      <w:r w:rsidR="00BC3518" w:rsidRPr="00FC1D31">
        <w:rPr>
          <w:rStyle w:val="markedcontent"/>
          <w:rFonts w:ascii="Garamond" w:hAnsi="Garamond" w:cs="Arial"/>
          <w:sz w:val="24"/>
          <w:szCs w:val="24"/>
        </w:rPr>
        <w:t xml:space="preserve">which were </w:t>
      </w:r>
      <w:r w:rsidR="004216C2" w:rsidRPr="00FC1D31">
        <w:rPr>
          <w:rStyle w:val="markedcontent"/>
          <w:rFonts w:ascii="Garamond" w:hAnsi="Garamond" w:cs="Arial"/>
          <w:sz w:val="24"/>
          <w:szCs w:val="24"/>
        </w:rPr>
        <w:t>signed between 1960s and 2008. Furthermore, the non-conforming measures clauses do not always cover all</w:t>
      </w:r>
      <w:r w:rsidR="004216C2" w:rsidRPr="00FC1D31">
        <w:rPr>
          <w:rFonts w:ascii="Garamond" w:hAnsi="Garamond"/>
          <w:sz w:val="24"/>
          <w:szCs w:val="24"/>
        </w:rPr>
        <w:t xml:space="preserve"> </w:t>
      </w:r>
      <w:r w:rsidR="004216C2" w:rsidRPr="00FC1D31">
        <w:rPr>
          <w:rStyle w:val="markedcontent"/>
          <w:rFonts w:ascii="Garamond" w:hAnsi="Garamond" w:cs="Arial"/>
          <w:sz w:val="24"/>
          <w:szCs w:val="24"/>
        </w:rPr>
        <w:t>potentially relevant obligations—i</w:t>
      </w:r>
      <w:r w:rsidR="0042012C" w:rsidRPr="00FC1D31">
        <w:rPr>
          <w:rStyle w:val="markedcontent"/>
          <w:rFonts w:ascii="Garamond" w:hAnsi="Garamond" w:cs="Arial"/>
          <w:sz w:val="24"/>
          <w:szCs w:val="24"/>
        </w:rPr>
        <w:t>t is quite common for exclusions of this kind to extend only to select obligations such as national treatment and MFN</w:t>
      </w:r>
      <w:r w:rsidR="004216C2" w:rsidRPr="00FC1D31">
        <w:rPr>
          <w:rStyle w:val="markedcontent"/>
          <w:rFonts w:ascii="Garamond" w:hAnsi="Garamond" w:cs="Arial"/>
          <w:sz w:val="24"/>
          <w:szCs w:val="24"/>
        </w:rPr>
        <w:t>.</w:t>
      </w:r>
      <w:r w:rsidR="0042012C" w:rsidRPr="00FC1D31">
        <w:rPr>
          <w:rStyle w:val="FootnoteReference"/>
          <w:rFonts w:ascii="Garamond" w:hAnsi="Garamond" w:cs="Arial"/>
          <w:sz w:val="24"/>
          <w:szCs w:val="24"/>
        </w:rPr>
        <w:footnoteReference w:id="103"/>
      </w:r>
      <w:r w:rsidR="00430F91" w:rsidRPr="00FC1D31">
        <w:rPr>
          <w:rStyle w:val="markedcontent"/>
          <w:rFonts w:ascii="Garamond" w:hAnsi="Garamond" w:cs="Arial"/>
          <w:sz w:val="24"/>
          <w:szCs w:val="24"/>
        </w:rPr>
        <w:t xml:space="preserve"> </w:t>
      </w:r>
      <w:r w:rsidR="00BD16BD" w:rsidRPr="00FC1D31">
        <w:rPr>
          <w:rStyle w:val="markedcontent"/>
          <w:rFonts w:ascii="Garamond" w:hAnsi="Garamond" w:cs="Arial"/>
          <w:sz w:val="24"/>
          <w:szCs w:val="24"/>
        </w:rPr>
        <w:t xml:space="preserve">The narrow framing of such derogations means that some of the most potent investment protections, such as the fair and equitable treatment obligation and the expropriation clause, remain available to claimant investors. </w:t>
      </w:r>
      <w:proofErr w:type="gramStart"/>
      <w:r w:rsidR="00BD16BD" w:rsidRPr="00FC1D31">
        <w:rPr>
          <w:rStyle w:val="markedcontent"/>
          <w:rFonts w:ascii="Garamond" w:hAnsi="Garamond" w:cs="Arial"/>
          <w:sz w:val="24"/>
          <w:szCs w:val="24"/>
        </w:rPr>
        <w:t>In particular, fair</w:t>
      </w:r>
      <w:proofErr w:type="gramEnd"/>
      <w:r w:rsidR="00BD16BD" w:rsidRPr="00FC1D31">
        <w:rPr>
          <w:rStyle w:val="markedcontent"/>
          <w:rFonts w:ascii="Garamond" w:hAnsi="Garamond" w:cs="Arial"/>
          <w:sz w:val="24"/>
          <w:szCs w:val="24"/>
        </w:rPr>
        <w:t xml:space="preserve"> and equitable treatment supplies ample grounds for an investment screening decision to be found in breach: although investment screening itself is not unlawful</w:t>
      </w:r>
      <w:r w:rsidR="00005F23" w:rsidRPr="00FC1D31">
        <w:rPr>
          <w:rStyle w:val="markedcontent"/>
          <w:rFonts w:ascii="Garamond" w:hAnsi="Garamond" w:cs="Arial"/>
          <w:sz w:val="24"/>
          <w:szCs w:val="24"/>
        </w:rPr>
        <w:t>, the lack of transparency, inconsistency, or evidence of arbitrariness and discrimination might give rise to a successful claim by the investor.</w:t>
      </w:r>
      <w:r w:rsidR="00005F23" w:rsidRPr="00FC1D31">
        <w:rPr>
          <w:rStyle w:val="FootnoteReference"/>
          <w:rFonts w:ascii="Garamond" w:hAnsi="Garamond" w:cs="Arial"/>
          <w:sz w:val="24"/>
          <w:szCs w:val="24"/>
        </w:rPr>
        <w:footnoteReference w:id="104"/>
      </w:r>
      <w:r w:rsidR="00022CD7" w:rsidRPr="00FC1D31">
        <w:rPr>
          <w:rFonts w:ascii="Garamond" w:hAnsi="Garamond"/>
          <w:sz w:val="24"/>
          <w:szCs w:val="24"/>
        </w:rPr>
        <w:t xml:space="preserve"> </w:t>
      </w:r>
    </w:p>
    <w:p w14:paraId="24D8C81E" w14:textId="4E3CB326" w:rsidR="005F3BFE" w:rsidRPr="00FC1D31" w:rsidRDefault="00B35292" w:rsidP="00005F23">
      <w:pPr>
        <w:jc w:val="both"/>
        <w:rPr>
          <w:rStyle w:val="markedcontent"/>
          <w:rFonts w:ascii="Garamond" w:hAnsi="Garamond"/>
          <w:sz w:val="24"/>
          <w:szCs w:val="24"/>
        </w:rPr>
      </w:pPr>
      <w:r w:rsidRPr="00FC1D31">
        <w:rPr>
          <w:rFonts w:ascii="Garamond" w:hAnsi="Garamond"/>
          <w:sz w:val="24"/>
          <w:szCs w:val="24"/>
        </w:rPr>
        <w:t xml:space="preserve">The limits of public policy exceptions and carve-outs in disputes involving national investment screening measures were demonstrated in a recent arbitral award in </w:t>
      </w:r>
      <w:r w:rsidRPr="00FC1D31">
        <w:rPr>
          <w:rFonts w:ascii="Garamond" w:hAnsi="Garamond"/>
          <w:i/>
          <w:sz w:val="24"/>
          <w:szCs w:val="24"/>
        </w:rPr>
        <w:t>Global Telecom Holding v Canada</w:t>
      </w:r>
      <w:r w:rsidRPr="00FC1D31">
        <w:rPr>
          <w:rFonts w:ascii="Garamond" w:hAnsi="Garamond"/>
          <w:sz w:val="24"/>
          <w:szCs w:val="24"/>
        </w:rPr>
        <w:t>.</w:t>
      </w:r>
      <w:r w:rsidRPr="00FC1D31">
        <w:rPr>
          <w:rStyle w:val="FootnoteReference"/>
          <w:rFonts w:ascii="Garamond" w:hAnsi="Garamond"/>
          <w:sz w:val="24"/>
          <w:szCs w:val="24"/>
        </w:rPr>
        <w:footnoteReference w:id="105"/>
      </w:r>
      <w:r w:rsidRPr="00FC1D31">
        <w:rPr>
          <w:rFonts w:ascii="Garamond" w:hAnsi="Garamond"/>
          <w:sz w:val="24"/>
          <w:szCs w:val="24"/>
        </w:rPr>
        <w:t xml:space="preserve"> </w:t>
      </w:r>
      <w:r w:rsidR="00B616B0" w:rsidRPr="00FC1D31">
        <w:rPr>
          <w:rFonts w:ascii="Garamond" w:hAnsi="Garamond"/>
          <w:sz w:val="24"/>
          <w:szCs w:val="24"/>
        </w:rPr>
        <w:t>In 2008, t</w:t>
      </w:r>
      <w:r w:rsidRPr="00FC1D31">
        <w:rPr>
          <w:rFonts w:ascii="Garamond" w:hAnsi="Garamond"/>
          <w:sz w:val="24"/>
          <w:szCs w:val="24"/>
        </w:rPr>
        <w:t xml:space="preserve">he claimant, an Egypt-based </w:t>
      </w:r>
      <w:r w:rsidR="00B616B0" w:rsidRPr="00FC1D31">
        <w:rPr>
          <w:rFonts w:ascii="Garamond" w:hAnsi="Garamond"/>
          <w:sz w:val="24"/>
          <w:szCs w:val="24"/>
        </w:rPr>
        <w:t xml:space="preserve">company GTH, </w:t>
      </w:r>
      <w:r w:rsidRPr="00FC1D31">
        <w:rPr>
          <w:rFonts w:ascii="Garamond" w:hAnsi="Garamond"/>
          <w:sz w:val="24"/>
          <w:szCs w:val="24"/>
        </w:rPr>
        <w:t>formed a joint venture with certain Canadian investors with a view to obtaining a wireless spectrum license.</w:t>
      </w:r>
      <w:r w:rsidR="00B616B0" w:rsidRPr="00FC1D31">
        <w:rPr>
          <w:rFonts w:ascii="Garamond" w:hAnsi="Garamond"/>
          <w:sz w:val="24"/>
          <w:szCs w:val="24"/>
        </w:rPr>
        <w:t xml:space="preserve"> The applicable Canadian legislation at the time the investor’s entry to the market mandated that telecoms companies be at least 80% Canadian-owned and foreign investors could not own more than one third of the controlling shares. GHT’s investment provided for an option to acquire a controlling stake in the </w:t>
      </w:r>
      <w:proofErr w:type="spellStart"/>
      <w:r w:rsidR="00B616B0" w:rsidRPr="00FC1D31">
        <w:rPr>
          <w:rFonts w:ascii="Garamond" w:hAnsi="Garamond"/>
          <w:sz w:val="24"/>
          <w:szCs w:val="24"/>
        </w:rPr>
        <w:t>join</w:t>
      </w:r>
      <w:proofErr w:type="spellEnd"/>
      <w:r w:rsidR="00B616B0" w:rsidRPr="00FC1D31">
        <w:rPr>
          <w:rFonts w:ascii="Garamond" w:hAnsi="Garamond"/>
          <w:sz w:val="24"/>
          <w:szCs w:val="24"/>
        </w:rPr>
        <w:t xml:space="preserve"> venture in case if the relevant laws on foreign investment in the telecoms sector were to be relaxed. GTH attempted to take advantage of this opportunity to convert its non-voting shares into voting shares, but its efforts were thwarted by the national security </w:t>
      </w:r>
      <w:r w:rsidR="006B1560" w:rsidRPr="00FC1D31">
        <w:rPr>
          <w:rFonts w:ascii="Garamond" w:hAnsi="Garamond"/>
          <w:sz w:val="24"/>
          <w:szCs w:val="24"/>
        </w:rPr>
        <w:t>review under the Investment Canada Act. The reasoning of the national security review was confidential but reports suggest that the authorities had concerns over the fact that the Netherlands-based and Russian owned VimpelCom became the largest shareholder in GTH.</w:t>
      </w:r>
      <w:r w:rsidR="006B1560" w:rsidRPr="00FC1D31">
        <w:rPr>
          <w:rStyle w:val="FootnoteReference"/>
          <w:rFonts w:ascii="Garamond" w:hAnsi="Garamond"/>
          <w:sz w:val="24"/>
          <w:szCs w:val="24"/>
        </w:rPr>
        <w:footnoteReference w:id="106"/>
      </w:r>
      <w:r w:rsidR="006B1560" w:rsidRPr="00FC1D31">
        <w:rPr>
          <w:rFonts w:ascii="Garamond" w:hAnsi="Garamond"/>
          <w:sz w:val="24"/>
          <w:szCs w:val="24"/>
        </w:rPr>
        <w:t xml:space="preserve"> The investor eventually exited the Canadian market and brought a case against Canada under the Egypt-Canada Bilateral Investment Treaty, arguing that </w:t>
      </w:r>
      <w:r w:rsidR="00745F37" w:rsidRPr="00FC1D31">
        <w:rPr>
          <w:rFonts w:ascii="Garamond" w:hAnsi="Garamond"/>
          <w:sz w:val="24"/>
          <w:szCs w:val="24"/>
        </w:rPr>
        <w:t>by preventing GTH from becoming a controlling stakeholder in the joint venture,</w:t>
      </w:r>
      <w:r w:rsidR="006B1560" w:rsidRPr="00FC1D31">
        <w:rPr>
          <w:rFonts w:ascii="Garamond" w:hAnsi="Garamond"/>
          <w:sz w:val="24"/>
          <w:szCs w:val="24"/>
        </w:rPr>
        <w:t xml:space="preserve"> the Canadian authorities </w:t>
      </w:r>
      <w:r w:rsidR="00745F37" w:rsidRPr="00FC1D31">
        <w:rPr>
          <w:rFonts w:ascii="Garamond" w:hAnsi="Garamond"/>
          <w:sz w:val="24"/>
          <w:szCs w:val="24"/>
        </w:rPr>
        <w:t>acted in a</w:t>
      </w:r>
      <w:r w:rsidR="006B1560" w:rsidRPr="00FC1D31">
        <w:rPr>
          <w:rFonts w:ascii="Garamond" w:hAnsi="Garamond"/>
          <w:sz w:val="24"/>
          <w:szCs w:val="24"/>
        </w:rPr>
        <w:t xml:space="preserve"> discriminatory</w:t>
      </w:r>
      <w:r w:rsidR="00745F37" w:rsidRPr="00FC1D31">
        <w:rPr>
          <w:rFonts w:ascii="Garamond" w:hAnsi="Garamond"/>
          <w:sz w:val="24"/>
          <w:szCs w:val="24"/>
        </w:rPr>
        <w:t xml:space="preserve"> manner</w:t>
      </w:r>
      <w:r w:rsidR="006B1560" w:rsidRPr="00FC1D31">
        <w:rPr>
          <w:rFonts w:ascii="Garamond" w:hAnsi="Garamond"/>
          <w:sz w:val="24"/>
          <w:szCs w:val="24"/>
        </w:rPr>
        <w:t xml:space="preserve"> and in breach of the fair and </w:t>
      </w:r>
      <w:r w:rsidR="006B1560" w:rsidRPr="00FC1D31">
        <w:rPr>
          <w:rFonts w:ascii="Garamond" w:hAnsi="Garamond"/>
          <w:sz w:val="24"/>
          <w:szCs w:val="24"/>
        </w:rPr>
        <w:lastRenderedPageBreak/>
        <w:t xml:space="preserve">equitable treatment standard. In a manner uncommon for the </w:t>
      </w:r>
      <w:proofErr w:type="gramStart"/>
      <w:r w:rsidR="006B1560" w:rsidRPr="00FC1D31">
        <w:rPr>
          <w:rFonts w:ascii="Garamond" w:hAnsi="Garamond"/>
          <w:sz w:val="24"/>
          <w:szCs w:val="24"/>
        </w:rPr>
        <w:t>first generation</w:t>
      </w:r>
      <w:proofErr w:type="gramEnd"/>
      <w:r w:rsidR="006B1560" w:rsidRPr="00FC1D31">
        <w:rPr>
          <w:rFonts w:ascii="Garamond" w:hAnsi="Garamond"/>
          <w:sz w:val="24"/>
          <w:szCs w:val="24"/>
        </w:rPr>
        <w:t xml:space="preserve"> investment treaties, the agreement at hand contained various carve-outs and reservations which Canada lent on in its defence. One such reservation precluded claims concerning the acquisition of a company or shares thereof from the scope of investment arbitration. The tribunal, however, </w:t>
      </w:r>
      <w:r w:rsidR="00745F37" w:rsidRPr="00FC1D31">
        <w:rPr>
          <w:rFonts w:ascii="Garamond" w:hAnsi="Garamond"/>
          <w:sz w:val="24"/>
          <w:szCs w:val="24"/>
        </w:rPr>
        <w:t>interpreted this carve-out narrowly: in its view, the relevant clause applied to acquisitions rather than conversion of non-voting shares into voting shares. The majority opined that carve-outs and exclusions ought not be construed broadly and that an interpretation going beyond the explicit wording of the treaty would go against its object and purpose, which was primarily to encourage and create favourable conditions for investors to make investments.</w:t>
      </w:r>
      <w:r w:rsidR="00745F37" w:rsidRPr="00FC1D31">
        <w:rPr>
          <w:rStyle w:val="FootnoteReference"/>
          <w:rFonts w:ascii="Garamond" w:hAnsi="Garamond"/>
          <w:sz w:val="24"/>
          <w:szCs w:val="24"/>
        </w:rPr>
        <w:footnoteReference w:id="107"/>
      </w:r>
      <w:r w:rsidR="00745F37" w:rsidRPr="00FC1D31">
        <w:rPr>
          <w:rFonts w:ascii="Garamond" w:hAnsi="Garamond"/>
          <w:sz w:val="24"/>
          <w:szCs w:val="24"/>
        </w:rPr>
        <w:t xml:space="preserve"> </w:t>
      </w:r>
    </w:p>
    <w:p w14:paraId="060513DD" w14:textId="640D5CBF" w:rsidR="00247C9F" w:rsidRPr="00FC1D31" w:rsidRDefault="00745F37" w:rsidP="00005F23">
      <w:pPr>
        <w:autoSpaceDE w:val="0"/>
        <w:autoSpaceDN w:val="0"/>
        <w:adjustRightInd w:val="0"/>
        <w:spacing w:after="0" w:line="240" w:lineRule="auto"/>
        <w:jc w:val="both"/>
        <w:rPr>
          <w:rFonts w:ascii="Garamond" w:eastAsia="Brill-Roman" w:hAnsi="Garamond" w:cs="Brill-Roman"/>
          <w:sz w:val="24"/>
          <w:szCs w:val="24"/>
        </w:rPr>
      </w:pPr>
      <w:r w:rsidRPr="00FC1D31">
        <w:rPr>
          <w:rStyle w:val="markedcontent"/>
          <w:rFonts w:ascii="Garamond" w:hAnsi="Garamond" w:cs="Arial"/>
          <w:sz w:val="24"/>
          <w:szCs w:val="24"/>
        </w:rPr>
        <w:t xml:space="preserve">The reasoning of the tribunal in </w:t>
      </w:r>
      <w:r w:rsidRPr="00FC1D31">
        <w:rPr>
          <w:rFonts w:ascii="Garamond" w:hAnsi="Garamond"/>
          <w:i/>
          <w:sz w:val="24"/>
          <w:szCs w:val="24"/>
        </w:rPr>
        <w:t>Global Telecom Holding v Canada</w:t>
      </w:r>
      <w:r w:rsidRPr="00FC1D31">
        <w:rPr>
          <w:rStyle w:val="markedcontent"/>
          <w:rFonts w:ascii="Garamond" w:hAnsi="Garamond" w:cs="Arial"/>
          <w:sz w:val="24"/>
          <w:szCs w:val="24"/>
        </w:rPr>
        <w:t xml:space="preserve"> is </w:t>
      </w:r>
      <w:r w:rsidR="00DF0071" w:rsidRPr="00FC1D31">
        <w:rPr>
          <w:rStyle w:val="markedcontent"/>
          <w:rFonts w:ascii="Garamond" w:hAnsi="Garamond" w:cs="Arial"/>
          <w:sz w:val="24"/>
          <w:szCs w:val="24"/>
        </w:rPr>
        <w:t xml:space="preserve">representative of the prevailing approaches in investment arbitration jurisprudence. It demonstrates the pitfalls of relying on treaty carve-outs and exclusions in a quest to reconcile investment protection with the pursuit of competing policy objectives. It is evident that even </w:t>
      </w:r>
      <w:r w:rsidR="00186CFB" w:rsidRPr="00FC1D31">
        <w:rPr>
          <w:rStyle w:val="markedcontent"/>
          <w:rFonts w:ascii="Garamond" w:hAnsi="Garamond" w:cs="Arial"/>
          <w:sz w:val="24"/>
          <w:szCs w:val="24"/>
        </w:rPr>
        <w:t xml:space="preserve">in cases where investment treaties contain security exceptions and carve-outs for investment screening, </w:t>
      </w:r>
      <w:r w:rsidR="00186CFB" w:rsidRPr="00FC1D31">
        <w:rPr>
          <w:rFonts w:ascii="Garamond" w:hAnsi="Garamond"/>
          <w:sz w:val="24"/>
          <w:szCs w:val="24"/>
        </w:rPr>
        <w:t xml:space="preserve">the scope of such clauses can be </w:t>
      </w:r>
      <w:proofErr w:type="gramStart"/>
      <w:r w:rsidR="00186CFB" w:rsidRPr="00FC1D31">
        <w:rPr>
          <w:rFonts w:ascii="Garamond" w:hAnsi="Garamond"/>
          <w:sz w:val="24"/>
          <w:szCs w:val="24"/>
        </w:rPr>
        <w:t>disputed</w:t>
      </w:r>
      <w:proofErr w:type="gramEnd"/>
      <w:r w:rsidR="00186CFB" w:rsidRPr="00FC1D31">
        <w:rPr>
          <w:rFonts w:ascii="Garamond" w:hAnsi="Garamond"/>
          <w:sz w:val="24"/>
          <w:szCs w:val="24"/>
        </w:rPr>
        <w:t xml:space="preserve"> and it is ultimately for arbitral tribunals to decide on their applicability. </w:t>
      </w:r>
      <w:r w:rsidR="005743DA" w:rsidRPr="00FC1D31">
        <w:rPr>
          <w:rFonts w:ascii="Garamond" w:hAnsi="Garamond"/>
          <w:sz w:val="24"/>
          <w:szCs w:val="24"/>
        </w:rPr>
        <w:t xml:space="preserve">The </w:t>
      </w:r>
      <w:r w:rsidR="00D61777" w:rsidRPr="00FC1D31">
        <w:rPr>
          <w:rFonts w:ascii="Garamond" w:hAnsi="Garamond"/>
          <w:sz w:val="24"/>
          <w:szCs w:val="24"/>
        </w:rPr>
        <w:t xml:space="preserve">exercise of weighing and </w:t>
      </w:r>
      <w:r w:rsidR="005743DA" w:rsidRPr="00FC1D31">
        <w:rPr>
          <w:rFonts w:ascii="Garamond" w:hAnsi="Garamond"/>
          <w:sz w:val="24"/>
          <w:szCs w:val="24"/>
        </w:rPr>
        <w:t xml:space="preserve">balancing </w:t>
      </w:r>
      <w:r w:rsidR="00D61777" w:rsidRPr="00FC1D31">
        <w:rPr>
          <w:rFonts w:ascii="Garamond" w:hAnsi="Garamond"/>
          <w:sz w:val="24"/>
          <w:szCs w:val="24"/>
        </w:rPr>
        <w:t>of</w:t>
      </w:r>
      <w:r w:rsidR="005743DA" w:rsidRPr="00FC1D31">
        <w:rPr>
          <w:rFonts w:ascii="Garamond" w:hAnsi="Garamond"/>
          <w:sz w:val="24"/>
          <w:szCs w:val="24"/>
        </w:rPr>
        <w:t xml:space="preserve"> the rights of investors and the state’s right to regulate</w:t>
      </w:r>
      <w:r w:rsidR="005723D8" w:rsidRPr="00FC1D31">
        <w:rPr>
          <w:rFonts w:ascii="Garamond" w:hAnsi="Garamond"/>
          <w:sz w:val="24"/>
          <w:szCs w:val="24"/>
        </w:rPr>
        <w:t xml:space="preserve"> in investment arbitration</w:t>
      </w:r>
      <w:r w:rsidR="005743DA" w:rsidRPr="00FC1D31">
        <w:rPr>
          <w:rFonts w:ascii="Garamond" w:hAnsi="Garamond"/>
          <w:sz w:val="24"/>
          <w:szCs w:val="24"/>
        </w:rPr>
        <w:t xml:space="preserve"> is in some respects reminiscent of </w:t>
      </w:r>
      <w:r w:rsidR="00247C9F" w:rsidRPr="00FC1D31">
        <w:rPr>
          <w:rFonts w:ascii="Garamond" w:hAnsi="Garamond"/>
          <w:sz w:val="24"/>
          <w:szCs w:val="24"/>
        </w:rPr>
        <w:t xml:space="preserve">EU </w:t>
      </w:r>
      <w:r w:rsidR="005723D8" w:rsidRPr="00FC1D31">
        <w:rPr>
          <w:rFonts w:ascii="Garamond" w:hAnsi="Garamond"/>
          <w:sz w:val="24"/>
          <w:szCs w:val="24"/>
        </w:rPr>
        <w:t>jurisprudence</w:t>
      </w:r>
      <w:r w:rsidR="005743DA" w:rsidRPr="00FC1D31">
        <w:rPr>
          <w:rFonts w:ascii="Garamond" w:hAnsi="Garamond"/>
          <w:sz w:val="24"/>
          <w:szCs w:val="24"/>
        </w:rPr>
        <w:t xml:space="preserve"> </w:t>
      </w:r>
      <w:r w:rsidR="00247C9F" w:rsidRPr="00FC1D31">
        <w:rPr>
          <w:rFonts w:ascii="Garamond" w:hAnsi="Garamond"/>
          <w:sz w:val="24"/>
          <w:szCs w:val="24"/>
        </w:rPr>
        <w:t>where economic freedoms</w:t>
      </w:r>
      <w:r w:rsidR="005743DA" w:rsidRPr="00FC1D31">
        <w:rPr>
          <w:rFonts w:ascii="Garamond" w:hAnsi="Garamond"/>
          <w:sz w:val="24"/>
          <w:szCs w:val="24"/>
        </w:rPr>
        <w:t xml:space="preserve"> have long been construed as primary rights and public policy measures as exceptions, with interpretive canons mandating that those rights be interpreted widely and exceptions defined as narrowly as possible.</w:t>
      </w:r>
      <w:r w:rsidR="005743DA" w:rsidRPr="00FC1D31">
        <w:rPr>
          <w:rStyle w:val="FootnoteReference"/>
          <w:rFonts w:ascii="Garamond" w:hAnsi="Garamond"/>
          <w:sz w:val="24"/>
          <w:szCs w:val="24"/>
        </w:rPr>
        <w:footnoteReference w:id="108"/>
      </w:r>
      <w:r w:rsidR="005743DA" w:rsidRPr="00FC1D31">
        <w:rPr>
          <w:rFonts w:ascii="Garamond" w:hAnsi="Garamond"/>
          <w:sz w:val="24"/>
          <w:szCs w:val="24"/>
        </w:rPr>
        <w:t xml:space="preserve"> </w:t>
      </w:r>
      <w:r w:rsidR="005723D8" w:rsidRPr="00FC1D31">
        <w:rPr>
          <w:rFonts w:ascii="Garamond" w:hAnsi="Garamond"/>
          <w:sz w:val="24"/>
          <w:szCs w:val="24"/>
        </w:rPr>
        <w:t xml:space="preserve">The similar emphasis on the primacy of investor rights has certainly been a feature of both investment treaty texts and arbitral jurisprudence. </w:t>
      </w:r>
      <w:r w:rsidR="005743DA" w:rsidRPr="00FC1D31">
        <w:rPr>
          <w:rFonts w:ascii="Garamond" w:hAnsi="Garamond"/>
          <w:sz w:val="24"/>
          <w:szCs w:val="24"/>
        </w:rPr>
        <w:t xml:space="preserve">As one investment tribunal put it, </w:t>
      </w:r>
      <w:r w:rsidR="00D61777" w:rsidRPr="00FC1D31">
        <w:rPr>
          <w:rFonts w:ascii="Garamond" w:hAnsi="Garamond"/>
          <w:sz w:val="24"/>
          <w:szCs w:val="24"/>
        </w:rPr>
        <w:t>there is nothing extraordinary in affording higher protection to foreign investor rights:</w:t>
      </w:r>
      <w:r w:rsidR="00D61777" w:rsidRPr="00FC1D31">
        <w:rPr>
          <w:rStyle w:val="FootnoteReference"/>
          <w:rFonts w:ascii="Garamond" w:hAnsi="Garamond"/>
          <w:sz w:val="24"/>
          <w:szCs w:val="24"/>
        </w:rPr>
        <w:footnoteReference w:id="109"/>
      </w:r>
      <w:r w:rsidR="00D61777" w:rsidRPr="00FC1D31">
        <w:rPr>
          <w:rFonts w:ascii="Garamond" w:hAnsi="Garamond"/>
          <w:sz w:val="24"/>
          <w:szCs w:val="24"/>
        </w:rPr>
        <w:t xml:space="preserve"> s</w:t>
      </w:r>
      <w:r w:rsidR="005743DA" w:rsidRPr="00FC1D31">
        <w:rPr>
          <w:rFonts w:ascii="Garamond" w:eastAsia="Brill-Roman" w:hAnsi="Garamond" w:cs="Brill-Roman"/>
          <w:sz w:val="24"/>
          <w:szCs w:val="24"/>
        </w:rPr>
        <w:t>ince investment treaties contain undertakings</w:t>
      </w:r>
      <w:r w:rsidR="00D61777" w:rsidRPr="00FC1D31">
        <w:rPr>
          <w:rFonts w:ascii="Garamond" w:eastAsia="Brill-Roman" w:hAnsi="Garamond" w:cs="Brill-Roman"/>
          <w:sz w:val="24"/>
          <w:szCs w:val="24"/>
        </w:rPr>
        <w:t xml:space="preserve"> </w:t>
      </w:r>
      <w:r w:rsidR="005743DA" w:rsidRPr="00FC1D31">
        <w:rPr>
          <w:rFonts w:ascii="Garamond" w:eastAsia="Brill-Roman" w:hAnsi="Garamond" w:cs="Brill-Roman"/>
          <w:sz w:val="24"/>
          <w:szCs w:val="24"/>
        </w:rPr>
        <w:t xml:space="preserve">which are </w:t>
      </w:r>
      <w:r w:rsidR="00D61777" w:rsidRPr="00FC1D31">
        <w:rPr>
          <w:rFonts w:ascii="Garamond" w:eastAsia="Brill-Roman" w:hAnsi="Garamond" w:cs="Brill-Roman"/>
          <w:sz w:val="24"/>
          <w:szCs w:val="24"/>
        </w:rPr>
        <w:t>‘</w:t>
      </w:r>
      <w:r w:rsidR="005743DA" w:rsidRPr="00FC1D31">
        <w:rPr>
          <w:rFonts w:ascii="Garamond" w:eastAsia="Brill-Roman" w:hAnsi="Garamond" w:cs="Brill-Roman"/>
          <w:sz w:val="24"/>
          <w:szCs w:val="24"/>
        </w:rPr>
        <w:t>explicitly designed to induce foreigners to make investments</w:t>
      </w:r>
      <w:r w:rsidR="00D61777" w:rsidRPr="00FC1D31">
        <w:rPr>
          <w:rFonts w:ascii="Garamond" w:eastAsia="Brill-Roman" w:hAnsi="Garamond" w:cs="Brill-Roman"/>
          <w:sz w:val="24"/>
          <w:szCs w:val="24"/>
        </w:rPr>
        <w:t xml:space="preserve"> </w:t>
      </w:r>
      <w:r w:rsidR="005743DA" w:rsidRPr="00FC1D31">
        <w:rPr>
          <w:rFonts w:ascii="Garamond" w:eastAsia="Brill-Roman" w:hAnsi="Garamond" w:cs="Brill-Roman"/>
          <w:sz w:val="24"/>
          <w:szCs w:val="24"/>
        </w:rPr>
        <w:t xml:space="preserve">in reliance upon them, instrument of the latter kind </w:t>
      </w:r>
      <w:r w:rsidR="005743DA" w:rsidRPr="00FC1D31">
        <w:rPr>
          <w:rFonts w:ascii="Garamond" w:eastAsia="Brill-Roman" w:hAnsi="Garamond" w:cs="Brill-Italic"/>
          <w:iCs/>
          <w:sz w:val="24"/>
          <w:szCs w:val="24"/>
        </w:rPr>
        <w:t>should not be diluted</w:t>
      </w:r>
      <w:r w:rsidR="00D61777" w:rsidRPr="00FC1D31">
        <w:rPr>
          <w:rFonts w:ascii="Garamond" w:eastAsia="Brill-Roman" w:hAnsi="Garamond" w:cs="Brill-Italic"/>
          <w:iCs/>
          <w:sz w:val="24"/>
          <w:szCs w:val="24"/>
        </w:rPr>
        <w:t>’</w:t>
      </w:r>
      <w:r w:rsidR="00D61777" w:rsidRPr="00FC1D31">
        <w:rPr>
          <w:rStyle w:val="FootnoteReference"/>
          <w:rFonts w:ascii="Garamond" w:eastAsia="Brill-Roman" w:hAnsi="Garamond" w:cs="Brill-Italic"/>
          <w:iCs/>
          <w:sz w:val="24"/>
          <w:szCs w:val="24"/>
        </w:rPr>
        <w:footnoteReference w:id="110"/>
      </w:r>
      <w:r w:rsidR="005743DA" w:rsidRPr="00FC1D31">
        <w:rPr>
          <w:rFonts w:ascii="Garamond" w:eastAsia="Brill-Roman" w:hAnsi="Garamond" w:cs="Brill-Italic"/>
          <w:i/>
          <w:iCs/>
          <w:sz w:val="24"/>
          <w:szCs w:val="24"/>
        </w:rPr>
        <w:t xml:space="preserve"> </w:t>
      </w:r>
      <w:r w:rsidR="005743DA" w:rsidRPr="00FC1D31">
        <w:rPr>
          <w:rFonts w:ascii="Garamond" w:eastAsia="Brill-Roman" w:hAnsi="Garamond" w:cs="Brill-Roman"/>
          <w:sz w:val="24"/>
          <w:szCs w:val="24"/>
        </w:rPr>
        <w:t xml:space="preserve">by the notions </w:t>
      </w:r>
      <w:r w:rsidR="00D61777" w:rsidRPr="00FC1D31">
        <w:rPr>
          <w:rFonts w:ascii="Garamond" w:eastAsia="Brill-Roman" w:hAnsi="Garamond" w:cs="Brill-Roman"/>
          <w:sz w:val="24"/>
          <w:szCs w:val="24"/>
        </w:rPr>
        <w:t>such as</w:t>
      </w:r>
      <w:r w:rsidR="005743DA" w:rsidRPr="00FC1D31">
        <w:rPr>
          <w:rFonts w:ascii="Garamond" w:eastAsia="Brill-Roman" w:hAnsi="Garamond" w:cs="Brill-Roman"/>
          <w:sz w:val="24"/>
          <w:szCs w:val="24"/>
        </w:rPr>
        <w:t xml:space="preserve"> margins of appreciation</w:t>
      </w:r>
      <w:r w:rsidR="00D61777" w:rsidRPr="00FC1D31">
        <w:rPr>
          <w:rFonts w:ascii="Garamond" w:eastAsia="Brill-Roman" w:hAnsi="Garamond" w:cs="Brill-Roman"/>
          <w:sz w:val="24"/>
          <w:szCs w:val="24"/>
        </w:rPr>
        <w:t xml:space="preserve"> or other interpretive devices utilised in other international regime</w:t>
      </w:r>
      <w:r w:rsidR="005723D8" w:rsidRPr="00FC1D31">
        <w:rPr>
          <w:rFonts w:ascii="Garamond" w:eastAsia="Brill-Roman" w:hAnsi="Garamond" w:cs="Brill-Roman"/>
          <w:sz w:val="24"/>
          <w:szCs w:val="24"/>
        </w:rPr>
        <w:t>s</w:t>
      </w:r>
      <w:r w:rsidR="00D61777" w:rsidRPr="00FC1D31">
        <w:rPr>
          <w:rFonts w:ascii="Garamond" w:eastAsia="Brill-Roman" w:hAnsi="Garamond" w:cs="Brill-Roman"/>
          <w:sz w:val="24"/>
          <w:szCs w:val="24"/>
        </w:rPr>
        <w:t>.</w:t>
      </w:r>
      <w:r w:rsidR="0042012C" w:rsidRPr="00FC1D31">
        <w:rPr>
          <w:rFonts w:ascii="Garamond" w:eastAsia="Brill-Roman" w:hAnsi="Garamond" w:cs="Brill-Roman"/>
          <w:sz w:val="24"/>
          <w:szCs w:val="24"/>
        </w:rPr>
        <w:t xml:space="preserve"> In some cases, arbitral tribunals pointed to the lack of references to public policy objectives in investment treaty texts as a ground for interpreting investment protection as a principal and overriding treaty goal, prioritising investor rights over the State’s right to regulate. In one such case, the treaty preamble listed among its objectives the intention to ‘create and maintain favourable conditions for investments by investors of one Contracting party in the territory of the other.’ </w:t>
      </w:r>
      <w:r w:rsidR="00430F91" w:rsidRPr="00FC1D31">
        <w:rPr>
          <w:rFonts w:ascii="Garamond" w:eastAsia="Brill-Roman" w:hAnsi="Garamond" w:cs="Brill-Roman"/>
          <w:sz w:val="24"/>
          <w:szCs w:val="24"/>
        </w:rPr>
        <w:t>The tribunal concluded that it was ‘legitimate to resolve uncertainties in its interpretation so as to favour the protection of covered investments.’</w:t>
      </w:r>
      <w:r w:rsidR="00430F91" w:rsidRPr="00FC1D31">
        <w:rPr>
          <w:rStyle w:val="FootnoteReference"/>
          <w:rFonts w:ascii="Garamond" w:eastAsia="Brill-Roman" w:hAnsi="Garamond" w:cs="Brill-Roman"/>
          <w:sz w:val="24"/>
          <w:szCs w:val="24"/>
        </w:rPr>
        <w:footnoteReference w:id="111"/>
      </w:r>
    </w:p>
    <w:p w14:paraId="5502FD23" w14:textId="77777777" w:rsidR="00005F23" w:rsidRPr="00FC1D31" w:rsidRDefault="00005F23" w:rsidP="00005F23">
      <w:pPr>
        <w:autoSpaceDE w:val="0"/>
        <w:autoSpaceDN w:val="0"/>
        <w:adjustRightInd w:val="0"/>
        <w:spacing w:after="0" w:line="240" w:lineRule="auto"/>
        <w:jc w:val="both"/>
        <w:rPr>
          <w:rFonts w:ascii="Garamond" w:eastAsia="Brill-Roman" w:hAnsi="Garamond" w:cs="Brill-Roman"/>
          <w:sz w:val="24"/>
          <w:szCs w:val="24"/>
        </w:rPr>
      </w:pPr>
    </w:p>
    <w:p w14:paraId="2CC58A65" w14:textId="5197EB7D" w:rsidR="00A13205" w:rsidRPr="00FC1D31" w:rsidRDefault="00B3636B" w:rsidP="00186CFB">
      <w:pPr>
        <w:jc w:val="both"/>
        <w:rPr>
          <w:rFonts w:ascii="Garamond" w:hAnsi="Garamond"/>
          <w:bCs/>
          <w:iCs/>
          <w:sz w:val="24"/>
          <w:szCs w:val="24"/>
        </w:rPr>
      </w:pPr>
      <w:r w:rsidRPr="00FC1D31">
        <w:rPr>
          <w:rFonts w:ascii="Garamond" w:hAnsi="Garamond"/>
          <w:sz w:val="24"/>
          <w:szCs w:val="24"/>
        </w:rPr>
        <w:t>The foreign subsidies regulation too, is likely to clash with investment treaty law.  The regulation seeks to address market distortions and ensure a better level playing field for EU businesses through closer monitoring and remedying of anticompetitive effect of subsidies.</w:t>
      </w:r>
      <w:r w:rsidR="00EA2537" w:rsidRPr="00FC1D31">
        <w:rPr>
          <w:rFonts w:ascii="Garamond" w:hAnsi="Garamond"/>
          <w:sz w:val="24"/>
          <w:szCs w:val="24"/>
        </w:rPr>
        <w:t xml:space="preserve"> The clash between competition law and policy and the investment treaty regime has generated a considerable body of critique, with some arguing that the two regimes are systemically incompatible.</w:t>
      </w:r>
      <w:r w:rsidR="00EA2537" w:rsidRPr="00FC1D31">
        <w:rPr>
          <w:rStyle w:val="FootnoteReference"/>
          <w:rFonts w:ascii="Garamond" w:hAnsi="Garamond"/>
          <w:sz w:val="24"/>
          <w:szCs w:val="24"/>
        </w:rPr>
        <w:footnoteReference w:id="112"/>
      </w:r>
      <w:r w:rsidR="00EA2537" w:rsidRPr="00FC1D31">
        <w:rPr>
          <w:rFonts w:ascii="Garamond" w:hAnsi="Garamond"/>
          <w:sz w:val="24"/>
          <w:szCs w:val="24"/>
        </w:rPr>
        <w:t xml:space="preserve"> </w:t>
      </w:r>
      <w:r w:rsidR="004E0BB6" w:rsidRPr="00FC1D31">
        <w:rPr>
          <w:rFonts w:ascii="Garamond" w:hAnsi="Garamond"/>
          <w:sz w:val="24"/>
          <w:szCs w:val="24"/>
        </w:rPr>
        <w:t xml:space="preserve">While </w:t>
      </w:r>
      <w:r w:rsidR="004E0BB6" w:rsidRPr="00FC1D31">
        <w:rPr>
          <w:rFonts w:ascii="Garamond" w:hAnsi="Garamond"/>
          <w:sz w:val="24"/>
          <w:szCs w:val="24"/>
        </w:rPr>
        <w:lastRenderedPageBreak/>
        <w:t>competition policy has traditionally aimed to safeguard fair market conditions for businesses,</w:t>
      </w:r>
      <w:r w:rsidR="004E0BB6" w:rsidRPr="00FC1D31">
        <w:rPr>
          <w:rStyle w:val="FootnoteReference"/>
          <w:rFonts w:ascii="Garamond" w:hAnsi="Garamond"/>
          <w:sz w:val="24"/>
          <w:szCs w:val="24"/>
        </w:rPr>
        <w:footnoteReference w:id="113"/>
      </w:r>
      <w:r w:rsidR="004E0BB6" w:rsidRPr="00FC1D31">
        <w:rPr>
          <w:rFonts w:ascii="Garamond" w:hAnsi="Garamond"/>
          <w:sz w:val="24"/>
          <w:szCs w:val="24"/>
        </w:rPr>
        <w:t xml:space="preserve"> its operation in the domestic sphere can fall afoul of investment treaty disciplines that have increasingly come to be utilised as a means of shielding foreign investors from domestic regulatory action. Under international investment law, the pursuit by host authorities of competition policy objectives constitutes a legitimate exercise of regulatory powers, except in cases involving unfair, non-transparent, inconsistent or discriminatory treatment of the investor. As arbitral caselaw and the commentary accompanying it reveal, investors have challenged measures taken by competition authorities in a considerable number of disputes.</w:t>
      </w:r>
      <w:r w:rsidR="00E570DA" w:rsidRPr="00FC1D31">
        <w:rPr>
          <w:rFonts w:ascii="Garamond" w:hAnsi="Garamond"/>
          <w:sz w:val="24"/>
          <w:szCs w:val="24"/>
        </w:rPr>
        <w:t xml:space="preserve"> While much of this caselaw has </w:t>
      </w:r>
      <w:r w:rsidR="00CC5D2A" w:rsidRPr="00FC1D31">
        <w:rPr>
          <w:rFonts w:ascii="Garamond" w:hAnsi="Garamond"/>
          <w:sz w:val="24"/>
          <w:szCs w:val="24"/>
        </w:rPr>
        <w:t xml:space="preserve">involved issues of subsidisation of a company by the host government, the exercise by the Commission of new </w:t>
      </w:r>
      <w:r w:rsidR="00334DC1" w:rsidRPr="00FC1D31">
        <w:rPr>
          <w:rFonts w:ascii="Garamond" w:hAnsi="Garamond"/>
          <w:sz w:val="24"/>
          <w:szCs w:val="24"/>
        </w:rPr>
        <w:t xml:space="preserve">investigative and </w:t>
      </w:r>
      <w:r w:rsidR="00CC5D2A" w:rsidRPr="00FC1D31">
        <w:rPr>
          <w:rFonts w:ascii="Garamond" w:hAnsi="Garamond"/>
          <w:sz w:val="24"/>
          <w:szCs w:val="24"/>
        </w:rPr>
        <w:t xml:space="preserve">enforcement powers against foreign investors subsidised by their home governments might give rise to investor claims. Arbitral jurisprudence offers examples whereby an otherwise legitimate exercise of investigative and enforcement powers by host authorities </w:t>
      </w:r>
      <w:r w:rsidR="006F0881" w:rsidRPr="00FC1D31">
        <w:rPr>
          <w:rFonts w:ascii="Garamond" w:hAnsi="Garamond"/>
          <w:sz w:val="24"/>
          <w:szCs w:val="24"/>
        </w:rPr>
        <w:t>can be disputed</w:t>
      </w:r>
      <w:r w:rsidR="00CC5D2A" w:rsidRPr="00FC1D31">
        <w:rPr>
          <w:rFonts w:ascii="Garamond" w:hAnsi="Garamond"/>
          <w:sz w:val="24"/>
          <w:szCs w:val="24"/>
        </w:rPr>
        <w:t xml:space="preserve"> in cases where a similarly situated competitor escaped enforcement.</w:t>
      </w:r>
      <w:r w:rsidR="006F0881" w:rsidRPr="00FC1D31">
        <w:rPr>
          <w:rStyle w:val="FootnoteReference"/>
          <w:rFonts w:ascii="Garamond" w:hAnsi="Garamond"/>
          <w:sz w:val="24"/>
          <w:szCs w:val="24"/>
        </w:rPr>
        <w:footnoteReference w:id="114"/>
      </w:r>
      <w:r w:rsidR="009A064B" w:rsidRPr="00FC1D31">
        <w:rPr>
          <w:rFonts w:ascii="Garamond" w:hAnsi="Garamond"/>
          <w:sz w:val="24"/>
          <w:szCs w:val="24"/>
        </w:rPr>
        <w:t xml:space="preserve"> The foreign subsidies regulation</w:t>
      </w:r>
      <w:r w:rsidR="00A13205" w:rsidRPr="00FC1D31">
        <w:rPr>
          <w:rFonts w:ascii="Garamond" w:hAnsi="Garamond"/>
          <w:sz w:val="24"/>
          <w:szCs w:val="24"/>
        </w:rPr>
        <w:t xml:space="preserve"> purportedly aims to increase ‘</w:t>
      </w:r>
      <w:r w:rsidR="00A13205" w:rsidRPr="00FC1D31">
        <w:rPr>
          <w:rFonts w:ascii="Garamond" w:hAnsi="Garamond"/>
          <w:bCs/>
          <w:iCs/>
          <w:sz w:val="24"/>
          <w:szCs w:val="24"/>
        </w:rPr>
        <w:t>the EU’s capacity to pursue its interests and enforce its rights’, yet the effect of international investment agreements has been to constrain such capacity.</w:t>
      </w:r>
    </w:p>
    <w:p w14:paraId="540C1FE1" w14:textId="4A05B63F" w:rsidR="000407D7" w:rsidRPr="00FC1D31" w:rsidRDefault="00A13205" w:rsidP="00D3260E">
      <w:pPr>
        <w:pStyle w:val="NormalWeb"/>
        <w:jc w:val="both"/>
        <w:rPr>
          <w:rFonts w:ascii="Garamond" w:hAnsi="Garamond"/>
        </w:rPr>
      </w:pPr>
      <w:r w:rsidRPr="00FC1D31">
        <w:rPr>
          <w:rFonts w:ascii="Garamond" w:hAnsi="Garamond"/>
        </w:rPr>
        <w:t>Another crucial dimension of the international investment regime that fundamentally collides with the objectives of EU investment policy, including on foreign subsidies and state-owned enterprises, is that investment treaties and arbitral caselaw have often maintained that the source of foreign capital is irrelevant in determining whether an investor is eligible to treaty protection. Such reading of investment treaties ha</w:t>
      </w:r>
      <w:r w:rsidR="001214C9" w:rsidRPr="00FC1D31">
        <w:rPr>
          <w:rFonts w:ascii="Garamond" w:hAnsi="Garamond"/>
        </w:rPr>
        <w:t>s</w:t>
      </w:r>
      <w:r w:rsidRPr="00FC1D31">
        <w:rPr>
          <w:rFonts w:ascii="Garamond" w:hAnsi="Garamond"/>
        </w:rPr>
        <w:t xml:space="preserve"> produced outcomes starkly in contrast with the Commission’s keen interest in identifying and</w:t>
      </w:r>
      <w:r w:rsidR="003700AE" w:rsidRPr="00FC1D31">
        <w:rPr>
          <w:rFonts w:ascii="Garamond" w:hAnsi="Garamond"/>
        </w:rPr>
        <w:t>,</w:t>
      </w:r>
      <w:r w:rsidRPr="00FC1D31">
        <w:rPr>
          <w:rFonts w:ascii="Garamond" w:hAnsi="Garamond"/>
        </w:rPr>
        <w:t xml:space="preserve"> where necessary</w:t>
      </w:r>
      <w:r w:rsidR="004B5851" w:rsidRPr="00FC1D31">
        <w:rPr>
          <w:rFonts w:ascii="Garamond" w:hAnsi="Garamond"/>
        </w:rPr>
        <w:t>,</w:t>
      </w:r>
      <w:r w:rsidRPr="00FC1D31">
        <w:rPr>
          <w:rFonts w:ascii="Garamond" w:hAnsi="Garamond"/>
        </w:rPr>
        <w:t xml:space="preserve"> precluding foreign investments supported with state funds. As mentioned earlier, </w:t>
      </w:r>
      <w:proofErr w:type="gramStart"/>
      <w:r w:rsidRPr="00FC1D31">
        <w:rPr>
          <w:rFonts w:ascii="Garamond" w:hAnsi="Garamond"/>
        </w:rPr>
        <w:t>the vast majority of</w:t>
      </w:r>
      <w:proofErr w:type="gramEnd"/>
      <w:r w:rsidRPr="00FC1D31">
        <w:rPr>
          <w:rFonts w:ascii="Garamond" w:hAnsi="Garamond"/>
        </w:rPr>
        <w:t xml:space="preserve"> investment treaties of EU member states implicitly grant protection to state-owned enterprises.</w:t>
      </w:r>
      <w:r w:rsidR="001214C9" w:rsidRPr="00FC1D31">
        <w:rPr>
          <w:rStyle w:val="FootnoteReference"/>
          <w:rFonts w:ascii="Garamond" w:hAnsi="Garamond"/>
        </w:rPr>
        <w:footnoteReference w:id="115"/>
      </w:r>
      <w:r w:rsidRPr="00FC1D31">
        <w:rPr>
          <w:rFonts w:ascii="Garamond" w:hAnsi="Garamond"/>
        </w:rPr>
        <w:t xml:space="preserve"> In recent arbitration practice, attempts by respondent states to deflect the claims by pointing to the source of capital </w:t>
      </w:r>
      <w:r w:rsidR="004B5851" w:rsidRPr="00FC1D31">
        <w:rPr>
          <w:rFonts w:ascii="Garamond" w:hAnsi="Garamond"/>
        </w:rPr>
        <w:t>have</w:t>
      </w:r>
      <w:r w:rsidR="001214C9" w:rsidRPr="00FC1D31">
        <w:rPr>
          <w:rFonts w:ascii="Garamond" w:hAnsi="Garamond"/>
        </w:rPr>
        <w:t xml:space="preserve"> not </w:t>
      </w:r>
      <w:r w:rsidR="004B5851" w:rsidRPr="00FC1D31">
        <w:rPr>
          <w:rFonts w:ascii="Garamond" w:hAnsi="Garamond"/>
        </w:rPr>
        <w:t xml:space="preserve">been </w:t>
      </w:r>
      <w:r w:rsidR="001214C9" w:rsidRPr="00FC1D31">
        <w:rPr>
          <w:rFonts w:ascii="Garamond" w:hAnsi="Garamond"/>
        </w:rPr>
        <w:t xml:space="preserve">successful. A notable example in </w:t>
      </w:r>
      <w:r w:rsidR="001214C9" w:rsidRPr="00FC1D31">
        <w:rPr>
          <w:rFonts w:ascii="Garamond" w:hAnsi="Garamond"/>
          <w:i/>
        </w:rPr>
        <w:t>Masdar v Spain</w:t>
      </w:r>
      <w:r w:rsidR="001214C9" w:rsidRPr="00FC1D31">
        <w:rPr>
          <w:rFonts w:ascii="Garamond" w:hAnsi="Garamond"/>
        </w:rPr>
        <w:t>,</w:t>
      </w:r>
      <w:r w:rsidR="00FB7284" w:rsidRPr="00FC1D31">
        <w:rPr>
          <w:rStyle w:val="FootnoteReference"/>
          <w:rFonts w:ascii="Garamond" w:hAnsi="Garamond"/>
        </w:rPr>
        <w:footnoteReference w:id="116"/>
      </w:r>
      <w:r w:rsidR="001214C9" w:rsidRPr="00FC1D31">
        <w:rPr>
          <w:rFonts w:ascii="Garamond" w:hAnsi="Garamond"/>
        </w:rPr>
        <w:t xml:space="preserve"> one of the cases among many brought against Spain disputing its renewable energy incentives framework</w:t>
      </w:r>
      <w:r w:rsidR="000407D7" w:rsidRPr="00FC1D31">
        <w:rPr>
          <w:rFonts w:ascii="Garamond" w:hAnsi="Garamond"/>
        </w:rPr>
        <w:t xml:space="preserve">. The investor-claimant, Masdar Solar &amp; Wind </w:t>
      </w:r>
      <w:proofErr w:type="spellStart"/>
      <w:r w:rsidR="000407D7" w:rsidRPr="00FC1D31">
        <w:rPr>
          <w:rFonts w:ascii="Garamond" w:hAnsi="Garamond"/>
        </w:rPr>
        <w:t>Cooperatif</w:t>
      </w:r>
      <w:proofErr w:type="spellEnd"/>
      <w:r w:rsidR="000407D7" w:rsidRPr="00FC1D31">
        <w:rPr>
          <w:rFonts w:ascii="Garamond" w:hAnsi="Garamond"/>
        </w:rPr>
        <w:t xml:space="preserve"> U.A., was incorporated in the Netherlands</w:t>
      </w:r>
      <w:r w:rsidR="00FB7284" w:rsidRPr="00FC1D31">
        <w:rPr>
          <w:rFonts w:ascii="Garamond" w:hAnsi="Garamond"/>
        </w:rPr>
        <w:t>, but</w:t>
      </w:r>
      <w:r w:rsidR="000407D7" w:rsidRPr="00FC1D31">
        <w:rPr>
          <w:rFonts w:ascii="Garamond" w:hAnsi="Garamond"/>
        </w:rPr>
        <w:t xml:space="preserve"> was owned and controlled by Abu Dhabi Future Energy Company (ADFEC), which </w:t>
      </w:r>
      <w:r w:rsidR="00FB7284" w:rsidRPr="00FC1D31">
        <w:rPr>
          <w:rFonts w:ascii="Garamond" w:hAnsi="Garamond"/>
        </w:rPr>
        <w:t xml:space="preserve">in turn </w:t>
      </w:r>
      <w:r w:rsidR="000407D7" w:rsidRPr="00FC1D31">
        <w:rPr>
          <w:rFonts w:ascii="Garamond" w:hAnsi="Garamond"/>
        </w:rPr>
        <w:t>was controlled by Mubadala</w:t>
      </w:r>
      <w:r w:rsidR="00D3260E" w:rsidRPr="00FC1D31">
        <w:rPr>
          <w:rFonts w:ascii="Garamond" w:hAnsi="Garamond"/>
        </w:rPr>
        <w:t xml:space="preserve"> Development Company</w:t>
      </w:r>
      <w:r w:rsidR="000407D7" w:rsidRPr="00FC1D31">
        <w:rPr>
          <w:rFonts w:ascii="Garamond" w:hAnsi="Garamond"/>
        </w:rPr>
        <w:t xml:space="preserve">, </w:t>
      </w:r>
      <w:r w:rsidR="00FB7284" w:rsidRPr="00FC1D31">
        <w:rPr>
          <w:rFonts w:ascii="Garamond" w:hAnsi="Garamond"/>
        </w:rPr>
        <w:t>an enterprise fully owned</w:t>
      </w:r>
      <w:r w:rsidR="000407D7" w:rsidRPr="00FC1D31">
        <w:rPr>
          <w:rFonts w:ascii="Garamond" w:hAnsi="Garamond"/>
        </w:rPr>
        <w:t xml:space="preserve"> the government of Abu Dhabi.</w:t>
      </w:r>
      <w:r w:rsidR="00FB7284" w:rsidRPr="00FC1D31">
        <w:rPr>
          <w:rFonts w:ascii="Garamond" w:hAnsi="Garamond"/>
        </w:rPr>
        <w:t xml:space="preserve"> The dispute concerned </w:t>
      </w:r>
      <w:r w:rsidR="000407D7" w:rsidRPr="00FC1D31">
        <w:rPr>
          <w:rFonts w:ascii="Garamond" w:hAnsi="Garamond"/>
        </w:rPr>
        <w:t xml:space="preserve">the Spanish solar power regulatory framework </w:t>
      </w:r>
      <w:r w:rsidR="00FB7284" w:rsidRPr="00FC1D31">
        <w:rPr>
          <w:rFonts w:ascii="Garamond" w:hAnsi="Garamond"/>
        </w:rPr>
        <w:t>which was amended in the aftermath of the financial crisis of 2008, with feed-in-tariffs replaced by</w:t>
      </w:r>
      <w:r w:rsidR="000407D7" w:rsidRPr="00FC1D31">
        <w:rPr>
          <w:rFonts w:ascii="Garamond" w:hAnsi="Garamond"/>
        </w:rPr>
        <w:t xml:space="preserve"> a commitment to ensure a </w:t>
      </w:r>
      <w:r w:rsidR="00FB7284" w:rsidRPr="00FC1D31">
        <w:rPr>
          <w:rFonts w:ascii="Garamond" w:hAnsi="Garamond"/>
        </w:rPr>
        <w:t>‘</w:t>
      </w:r>
      <w:r w:rsidR="000407D7" w:rsidRPr="00FC1D31">
        <w:rPr>
          <w:rFonts w:ascii="Garamond" w:hAnsi="Garamond"/>
        </w:rPr>
        <w:t>reasonable rate of return</w:t>
      </w:r>
      <w:r w:rsidR="00FB7284" w:rsidRPr="00FC1D31">
        <w:rPr>
          <w:rFonts w:ascii="Garamond" w:hAnsi="Garamond"/>
        </w:rPr>
        <w:t xml:space="preserve">.’ Masdar claimed that the changes to the regulatory framework breached the fair and equitable treatment clause and the prohibition of arbitrary measures in the Energy Charter Treaty. The government of Spain objected </w:t>
      </w:r>
      <w:r w:rsidR="00D3260E" w:rsidRPr="00FC1D31">
        <w:rPr>
          <w:rFonts w:ascii="Garamond" w:hAnsi="Garamond"/>
        </w:rPr>
        <w:t>that the claimant could not be considered as an investor having substantial economic activities in the Netherlands and</w:t>
      </w:r>
      <w:r w:rsidR="00B46B41" w:rsidRPr="00FC1D31">
        <w:rPr>
          <w:rFonts w:ascii="Garamond" w:hAnsi="Garamond"/>
        </w:rPr>
        <w:t xml:space="preserve"> as such</w:t>
      </w:r>
      <w:r w:rsidR="00D3260E" w:rsidRPr="00FC1D31">
        <w:rPr>
          <w:rFonts w:ascii="Garamond" w:hAnsi="Garamond"/>
        </w:rPr>
        <w:t xml:space="preserve"> the government was within its right to deny the claimant the benefits of investment protection. It argued that Masdar was </w:t>
      </w:r>
      <w:r w:rsidR="00D3260E" w:rsidRPr="00FC1D31">
        <w:rPr>
          <w:rStyle w:val="markedcontent"/>
          <w:rFonts w:ascii="Garamond" w:hAnsi="Garamond"/>
        </w:rPr>
        <w:t>a mere ‘shell’ or ‘mailbox’: the company</w:t>
      </w:r>
      <w:r w:rsidR="004B5851" w:rsidRPr="00FC1D31">
        <w:rPr>
          <w:rStyle w:val="markedcontent"/>
          <w:rFonts w:ascii="Garamond" w:hAnsi="Garamond"/>
        </w:rPr>
        <w:t>’s</w:t>
      </w:r>
      <w:r w:rsidR="00D3260E" w:rsidRPr="00FC1D31">
        <w:rPr>
          <w:rStyle w:val="markedcontent"/>
          <w:rFonts w:ascii="Garamond" w:hAnsi="Garamond"/>
        </w:rPr>
        <w:t xml:space="preserve"> address was at </w:t>
      </w:r>
      <w:r w:rsidR="00D3260E" w:rsidRPr="00FC1D31">
        <w:rPr>
          <w:rStyle w:val="highlight"/>
          <w:rFonts w:ascii="Garamond" w:hAnsi="Garamond"/>
        </w:rPr>
        <w:t>Schiphol</w:t>
      </w:r>
      <w:r w:rsidR="00D3260E" w:rsidRPr="00FC1D31">
        <w:rPr>
          <w:rStyle w:val="markedcontent"/>
          <w:rFonts w:ascii="Garamond" w:hAnsi="Garamond"/>
        </w:rPr>
        <w:t xml:space="preserve"> Airport, the</w:t>
      </w:r>
      <w:r w:rsidR="00D3260E" w:rsidRPr="00FC1D31">
        <w:rPr>
          <w:rFonts w:ascii="Garamond" w:hAnsi="Garamond"/>
        </w:rPr>
        <w:t xml:space="preserve"> </w:t>
      </w:r>
      <w:r w:rsidR="00D3260E" w:rsidRPr="00FC1D31">
        <w:rPr>
          <w:rStyle w:val="markedcontent"/>
          <w:rFonts w:ascii="Garamond" w:hAnsi="Garamond"/>
        </w:rPr>
        <w:t>accounts were summary, it had no employees, and was wholly</w:t>
      </w:r>
      <w:r w:rsidR="00D3260E" w:rsidRPr="00FC1D31">
        <w:rPr>
          <w:rFonts w:ascii="Garamond" w:hAnsi="Garamond"/>
        </w:rPr>
        <w:t xml:space="preserve"> </w:t>
      </w:r>
      <w:r w:rsidR="00D3260E" w:rsidRPr="00FC1D31">
        <w:rPr>
          <w:rStyle w:val="markedcontent"/>
          <w:rFonts w:ascii="Garamond" w:hAnsi="Garamond"/>
        </w:rPr>
        <w:t xml:space="preserve">financially dependent upon </w:t>
      </w:r>
      <w:r w:rsidR="004B5851" w:rsidRPr="00FC1D31">
        <w:rPr>
          <w:rStyle w:val="markedcontent"/>
          <w:rFonts w:ascii="Garamond" w:hAnsi="Garamond"/>
        </w:rPr>
        <w:t xml:space="preserve">the </w:t>
      </w:r>
      <w:r w:rsidR="00D3260E" w:rsidRPr="00FC1D31">
        <w:rPr>
          <w:rStyle w:val="markedcontent"/>
          <w:rFonts w:ascii="Garamond" w:hAnsi="Garamond"/>
        </w:rPr>
        <w:lastRenderedPageBreak/>
        <w:t>Abu Dhabi</w:t>
      </w:r>
      <w:r w:rsidR="004B5851" w:rsidRPr="00FC1D31">
        <w:rPr>
          <w:rStyle w:val="markedcontent"/>
          <w:rFonts w:ascii="Garamond" w:hAnsi="Garamond"/>
        </w:rPr>
        <w:t xml:space="preserve"> government</w:t>
      </w:r>
      <w:r w:rsidR="00D3260E" w:rsidRPr="00FC1D31">
        <w:rPr>
          <w:rStyle w:val="markedcontent"/>
          <w:rFonts w:ascii="Garamond" w:hAnsi="Garamond"/>
        </w:rPr>
        <w:t>.</w:t>
      </w:r>
      <w:r w:rsidR="00D3260E" w:rsidRPr="00FC1D31">
        <w:rPr>
          <w:rStyle w:val="FootnoteReference"/>
          <w:rFonts w:ascii="Garamond" w:hAnsi="Garamond"/>
        </w:rPr>
        <w:footnoteReference w:id="117"/>
      </w:r>
      <w:r w:rsidR="00D3260E" w:rsidRPr="00FC1D31">
        <w:rPr>
          <w:rStyle w:val="markedcontent"/>
          <w:rFonts w:ascii="Garamond" w:hAnsi="Garamond"/>
        </w:rPr>
        <w:t xml:space="preserve"> The tribunal was not persuaded as it held that </w:t>
      </w:r>
      <w:r w:rsidR="004B5851" w:rsidRPr="00FC1D31">
        <w:rPr>
          <w:rStyle w:val="markedcontent"/>
          <w:rFonts w:ascii="Garamond" w:hAnsi="Garamond"/>
        </w:rPr>
        <w:t>‘</w:t>
      </w:r>
      <w:r w:rsidR="00D3260E" w:rsidRPr="00FC1D31">
        <w:rPr>
          <w:rStyle w:val="markedcontent"/>
          <w:rFonts w:ascii="Garamond" w:hAnsi="Garamond"/>
        </w:rPr>
        <w:t>substantial business activities</w:t>
      </w:r>
      <w:r w:rsidR="004B5851" w:rsidRPr="00FC1D31">
        <w:rPr>
          <w:rStyle w:val="markedcontent"/>
          <w:rFonts w:ascii="Garamond" w:hAnsi="Garamond"/>
        </w:rPr>
        <w:t>’</w:t>
      </w:r>
      <w:r w:rsidR="00D3260E" w:rsidRPr="00FC1D31">
        <w:rPr>
          <w:rStyle w:val="markedcontent"/>
          <w:rFonts w:ascii="Garamond" w:hAnsi="Garamond"/>
        </w:rPr>
        <w:t xml:space="preserve"> </w:t>
      </w:r>
      <w:r w:rsidR="00B46B41" w:rsidRPr="00FC1D31">
        <w:rPr>
          <w:rStyle w:val="markedcontent"/>
          <w:rFonts w:ascii="Garamond" w:hAnsi="Garamond"/>
        </w:rPr>
        <w:t>implied the materiality, not the magnitude of business activities.</w:t>
      </w:r>
      <w:r w:rsidR="00B46B41" w:rsidRPr="00FC1D31">
        <w:rPr>
          <w:rStyle w:val="FootnoteReference"/>
          <w:rFonts w:ascii="Garamond" w:hAnsi="Garamond"/>
        </w:rPr>
        <w:footnoteReference w:id="118"/>
      </w:r>
      <w:r w:rsidR="00B46B41" w:rsidRPr="00FC1D31">
        <w:rPr>
          <w:rStyle w:val="markedcontent"/>
          <w:rFonts w:ascii="Garamond" w:hAnsi="Garamond"/>
        </w:rPr>
        <w:t xml:space="preserve"> The </w:t>
      </w:r>
      <w:r w:rsidR="00B46B41" w:rsidRPr="00FC1D31">
        <w:rPr>
          <w:rStyle w:val="markedcontent"/>
          <w:rFonts w:ascii="Garamond" w:hAnsi="Garamond"/>
          <w:i/>
        </w:rPr>
        <w:t>Masdar</w:t>
      </w:r>
      <w:r w:rsidR="00B46B41" w:rsidRPr="00FC1D31">
        <w:rPr>
          <w:rStyle w:val="markedcontent"/>
          <w:rFonts w:ascii="Garamond" w:hAnsi="Garamond"/>
        </w:rPr>
        <w:t xml:space="preserve"> award draws on </w:t>
      </w:r>
      <w:proofErr w:type="gramStart"/>
      <w:r w:rsidR="00B46B41" w:rsidRPr="00FC1D31">
        <w:rPr>
          <w:rStyle w:val="markedcontent"/>
          <w:rFonts w:ascii="Garamond" w:hAnsi="Garamond"/>
        </w:rPr>
        <w:t>a number of</w:t>
      </w:r>
      <w:proofErr w:type="gramEnd"/>
      <w:r w:rsidR="00B46B41" w:rsidRPr="00FC1D31">
        <w:rPr>
          <w:rStyle w:val="markedcontent"/>
          <w:rFonts w:ascii="Garamond" w:hAnsi="Garamond"/>
        </w:rPr>
        <w:t xml:space="preserve"> precedents</w:t>
      </w:r>
      <w:r w:rsidR="004B5851" w:rsidRPr="00FC1D31">
        <w:rPr>
          <w:rStyle w:val="markedcontent"/>
          <w:rFonts w:ascii="Garamond" w:hAnsi="Garamond"/>
        </w:rPr>
        <w:t xml:space="preserve"> that</w:t>
      </w:r>
      <w:r w:rsidR="00B46B41" w:rsidRPr="00FC1D31">
        <w:rPr>
          <w:rStyle w:val="markedcontent"/>
          <w:rFonts w:ascii="Garamond" w:hAnsi="Garamond"/>
        </w:rPr>
        <w:t xml:space="preserve"> follow</w:t>
      </w:r>
      <w:r w:rsidR="004B5851" w:rsidRPr="00FC1D31">
        <w:rPr>
          <w:rStyle w:val="markedcontent"/>
          <w:rFonts w:ascii="Garamond" w:hAnsi="Garamond"/>
        </w:rPr>
        <w:t>ed</w:t>
      </w:r>
      <w:r w:rsidR="00B46B41" w:rsidRPr="00FC1D31">
        <w:rPr>
          <w:rStyle w:val="markedcontent"/>
          <w:rFonts w:ascii="Garamond" w:hAnsi="Garamond"/>
        </w:rPr>
        <w:t xml:space="preserve"> the similar line of reasoning</w:t>
      </w:r>
      <w:r w:rsidR="004B49A4" w:rsidRPr="00FC1D31">
        <w:rPr>
          <w:rStyle w:val="markedcontent"/>
          <w:rFonts w:ascii="Garamond" w:hAnsi="Garamond"/>
        </w:rPr>
        <w:t>. It is one of the many</w:t>
      </w:r>
      <w:r w:rsidR="00B46B41" w:rsidRPr="00FC1D31">
        <w:rPr>
          <w:rStyle w:val="markedcontent"/>
          <w:rFonts w:ascii="Garamond" w:hAnsi="Garamond"/>
        </w:rPr>
        <w:t xml:space="preserve"> awards where tribunals </w:t>
      </w:r>
      <w:r w:rsidR="004B49A4" w:rsidRPr="00FC1D31">
        <w:rPr>
          <w:rStyle w:val="markedcontent"/>
          <w:rFonts w:ascii="Garamond" w:hAnsi="Garamond"/>
        </w:rPr>
        <w:t xml:space="preserve">similarly </w:t>
      </w:r>
      <w:r w:rsidR="00B46B41" w:rsidRPr="00FC1D31">
        <w:rPr>
          <w:rStyle w:val="markedcontent"/>
          <w:rFonts w:ascii="Garamond" w:hAnsi="Garamond"/>
        </w:rPr>
        <w:t>found the source of capital or the state ownership and control thereof to be immaterial for the application of investment treaty protections.</w:t>
      </w:r>
    </w:p>
    <w:p w14:paraId="0D1A848A" w14:textId="76863B19" w:rsidR="004B5851" w:rsidRPr="00FC1D31" w:rsidRDefault="00E66A33" w:rsidP="001324B9">
      <w:pPr>
        <w:autoSpaceDE w:val="0"/>
        <w:autoSpaceDN w:val="0"/>
        <w:adjustRightInd w:val="0"/>
        <w:spacing w:after="0" w:line="240" w:lineRule="auto"/>
        <w:jc w:val="both"/>
        <w:rPr>
          <w:rFonts w:ascii="Garamond" w:hAnsi="Garamond"/>
          <w:sz w:val="24"/>
          <w:szCs w:val="24"/>
        </w:rPr>
      </w:pPr>
      <w:r w:rsidRPr="00FC1D31">
        <w:rPr>
          <w:rStyle w:val="markedcontent"/>
          <w:rFonts w:ascii="Garamond" w:hAnsi="Garamond" w:cs="Arial"/>
          <w:sz w:val="24"/>
          <w:szCs w:val="24"/>
        </w:rPr>
        <w:t>T</w:t>
      </w:r>
      <w:r w:rsidR="00B46B41" w:rsidRPr="00FC1D31">
        <w:rPr>
          <w:rStyle w:val="markedcontent"/>
          <w:rFonts w:ascii="Garamond" w:hAnsi="Garamond" w:cs="Arial"/>
          <w:sz w:val="24"/>
          <w:szCs w:val="24"/>
        </w:rPr>
        <w:t>he proposal for mandatory corporate due diligence</w:t>
      </w:r>
      <w:r w:rsidR="001324B9" w:rsidRPr="00FC1D31">
        <w:rPr>
          <w:rStyle w:val="markedcontent"/>
          <w:rFonts w:ascii="Garamond" w:hAnsi="Garamond" w:cs="Arial"/>
          <w:sz w:val="24"/>
          <w:szCs w:val="24"/>
        </w:rPr>
        <w:t>,</w:t>
      </w:r>
      <w:r w:rsidR="00B46B41" w:rsidRPr="00FC1D31">
        <w:rPr>
          <w:rStyle w:val="markedcontent"/>
          <w:rFonts w:ascii="Garamond" w:hAnsi="Garamond" w:cs="Arial"/>
          <w:sz w:val="24"/>
          <w:szCs w:val="24"/>
        </w:rPr>
        <w:t xml:space="preserve"> too</w:t>
      </w:r>
      <w:r w:rsidR="001324B9" w:rsidRPr="00FC1D31">
        <w:rPr>
          <w:rStyle w:val="markedcontent"/>
          <w:rFonts w:ascii="Garamond" w:hAnsi="Garamond" w:cs="Arial"/>
          <w:sz w:val="24"/>
          <w:szCs w:val="24"/>
        </w:rPr>
        <w:t>, is</w:t>
      </w:r>
      <w:r w:rsidR="00B46B41" w:rsidRPr="00FC1D31">
        <w:rPr>
          <w:rStyle w:val="markedcontent"/>
          <w:rFonts w:ascii="Garamond" w:hAnsi="Garamond" w:cs="Arial"/>
          <w:sz w:val="24"/>
          <w:szCs w:val="24"/>
        </w:rPr>
        <w:t xml:space="preserve"> at odds with </w:t>
      </w:r>
      <w:r w:rsidR="00492FAB" w:rsidRPr="00FC1D31">
        <w:rPr>
          <w:rStyle w:val="markedcontent"/>
          <w:rFonts w:ascii="Garamond" w:hAnsi="Garamond" w:cs="Arial"/>
          <w:sz w:val="24"/>
          <w:szCs w:val="24"/>
        </w:rPr>
        <w:t xml:space="preserve">investment treaty law. Laudable though </w:t>
      </w:r>
      <w:r w:rsidR="001324B9" w:rsidRPr="00FC1D31">
        <w:rPr>
          <w:rStyle w:val="markedcontent"/>
          <w:rFonts w:ascii="Garamond" w:hAnsi="Garamond" w:cs="Arial"/>
          <w:sz w:val="24"/>
          <w:szCs w:val="24"/>
        </w:rPr>
        <w:t>its</w:t>
      </w:r>
      <w:r w:rsidR="00022CD7" w:rsidRPr="00FC1D31">
        <w:rPr>
          <w:rStyle w:val="markedcontent"/>
          <w:rFonts w:ascii="Garamond" w:hAnsi="Garamond" w:cs="Arial"/>
          <w:sz w:val="24"/>
          <w:szCs w:val="24"/>
        </w:rPr>
        <w:t xml:space="preserve"> aims</w:t>
      </w:r>
      <w:r w:rsidR="00492FAB" w:rsidRPr="00FC1D31">
        <w:rPr>
          <w:rStyle w:val="markedcontent"/>
          <w:rFonts w:ascii="Garamond" w:hAnsi="Garamond" w:cs="Arial"/>
          <w:sz w:val="24"/>
          <w:szCs w:val="24"/>
        </w:rPr>
        <w:t xml:space="preserve"> to enhance and enforce corporate compliance with human rights, environmental and labour standard</w:t>
      </w:r>
      <w:r w:rsidR="004B49A4" w:rsidRPr="00FC1D31">
        <w:rPr>
          <w:rStyle w:val="markedcontent"/>
          <w:rFonts w:ascii="Garamond" w:hAnsi="Garamond" w:cs="Arial"/>
          <w:sz w:val="24"/>
          <w:szCs w:val="24"/>
        </w:rPr>
        <w:t xml:space="preserve"> are</w:t>
      </w:r>
      <w:r w:rsidR="00492FAB" w:rsidRPr="00FC1D31">
        <w:rPr>
          <w:rStyle w:val="markedcontent"/>
          <w:rFonts w:ascii="Garamond" w:hAnsi="Garamond" w:cs="Arial"/>
          <w:sz w:val="24"/>
          <w:szCs w:val="24"/>
        </w:rPr>
        <w:t xml:space="preserve">, the proposal </w:t>
      </w:r>
      <w:r w:rsidR="001324B9" w:rsidRPr="00FC1D31">
        <w:rPr>
          <w:rStyle w:val="markedcontent"/>
          <w:rFonts w:ascii="Garamond" w:hAnsi="Garamond" w:cs="Arial"/>
          <w:sz w:val="24"/>
          <w:szCs w:val="24"/>
        </w:rPr>
        <w:t xml:space="preserve">ostensibly </w:t>
      </w:r>
      <w:r w:rsidR="00492FAB" w:rsidRPr="00FC1D31">
        <w:rPr>
          <w:rStyle w:val="markedcontent"/>
          <w:rFonts w:ascii="Garamond" w:hAnsi="Garamond" w:cs="Arial"/>
          <w:sz w:val="24"/>
          <w:szCs w:val="24"/>
        </w:rPr>
        <w:t xml:space="preserve">aspires to </w:t>
      </w:r>
      <w:r w:rsidR="00492FAB" w:rsidRPr="00FC1D31">
        <w:rPr>
          <w:rFonts w:ascii="Garamond" w:hAnsi="Garamond"/>
          <w:sz w:val="24"/>
          <w:szCs w:val="24"/>
        </w:rPr>
        <w:t>build ‘a more sustainable and fairer globalisation’</w:t>
      </w:r>
      <w:r w:rsidR="00492FAB" w:rsidRPr="00FC1D31">
        <w:rPr>
          <w:rStyle w:val="FootnoteReference"/>
          <w:rFonts w:ascii="Garamond" w:hAnsi="Garamond"/>
          <w:sz w:val="24"/>
          <w:szCs w:val="24"/>
        </w:rPr>
        <w:footnoteReference w:id="119"/>
      </w:r>
      <w:r w:rsidR="00492FAB" w:rsidRPr="00FC1D31">
        <w:rPr>
          <w:rFonts w:ascii="Garamond" w:hAnsi="Garamond"/>
          <w:sz w:val="24"/>
          <w:szCs w:val="24"/>
        </w:rPr>
        <w:t xml:space="preserve"> at a time when EU investment agreements, both those of its member states and those concluded by the Union, continue to resist the incorporation of enforceable obligations that could offer a basis to hold investors accountable for </w:t>
      </w:r>
      <w:r w:rsidR="00246313" w:rsidRPr="00FC1D31">
        <w:rPr>
          <w:rFonts w:ascii="Garamond" w:hAnsi="Garamond"/>
          <w:sz w:val="24"/>
          <w:szCs w:val="24"/>
        </w:rPr>
        <w:t>the negative impact of their activities on local communities and the environment. International investment law has long been criticised for its asymmetry as it grants investors enforceable rights but does not hold them to enforceable obligations.</w:t>
      </w:r>
      <w:r w:rsidR="00381FD9" w:rsidRPr="00FC1D31">
        <w:rPr>
          <w:rStyle w:val="FootnoteReference"/>
          <w:rFonts w:ascii="Garamond" w:hAnsi="Garamond"/>
          <w:sz w:val="24"/>
          <w:szCs w:val="24"/>
        </w:rPr>
        <w:footnoteReference w:id="120"/>
      </w:r>
      <w:r w:rsidR="00246313" w:rsidRPr="00FC1D31">
        <w:rPr>
          <w:rFonts w:ascii="Garamond" w:hAnsi="Garamond"/>
          <w:sz w:val="24"/>
          <w:szCs w:val="24"/>
        </w:rPr>
        <w:t xml:space="preserve"> </w:t>
      </w:r>
      <w:r w:rsidR="00BC3518" w:rsidRPr="00FC1D31">
        <w:rPr>
          <w:rFonts w:ascii="Garamond" w:hAnsi="Garamond"/>
          <w:sz w:val="24"/>
          <w:szCs w:val="24"/>
        </w:rPr>
        <w:t>Both the supporters and detractors of the</w:t>
      </w:r>
      <w:r w:rsidR="00246313" w:rsidRPr="00FC1D31">
        <w:rPr>
          <w:rFonts w:ascii="Garamond" w:hAnsi="Garamond"/>
          <w:sz w:val="24"/>
          <w:szCs w:val="24"/>
        </w:rPr>
        <w:t xml:space="preserve"> international investment regime</w:t>
      </w:r>
      <w:r w:rsidR="00BC3518" w:rsidRPr="00FC1D31">
        <w:rPr>
          <w:rFonts w:ascii="Garamond" w:hAnsi="Garamond"/>
          <w:sz w:val="24"/>
          <w:szCs w:val="24"/>
        </w:rPr>
        <w:t xml:space="preserve"> concede that it</w:t>
      </w:r>
      <w:r w:rsidR="00246313" w:rsidRPr="00FC1D31">
        <w:rPr>
          <w:rFonts w:ascii="Garamond" w:hAnsi="Garamond"/>
          <w:sz w:val="24"/>
          <w:szCs w:val="24"/>
        </w:rPr>
        <w:t xml:space="preserve"> is </w:t>
      </w:r>
      <w:r w:rsidR="00BC3518" w:rsidRPr="00FC1D31">
        <w:rPr>
          <w:rFonts w:ascii="Garamond" w:hAnsi="Garamond"/>
          <w:sz w:val="24"/>
          <w:szCs w:val="24"/>
        </w:rPr>
        <w:t>‘</w:t>
      </w:r>
      <w:r w:rsidR="00246313" w:rsidRPr="00FC1D31">
        <w:rPr>
          <w:rFonts w:ascii="Garamond" w:hAnsi="Garamond"/>
          <w:sz w:val="24"/>
          <w:szCs w:val="24"/>
        </w:rPr>
        <w:t>designed to redress the mistreatment of foreign investors, not foreign investor wrongdoing.’</w:t>
      </w:r>
      <w:r w:rsidR="00246313" w:rsidRPr="00FC1D31">
        <w:rPr>
          <w:rStyle w:val="FootnoteReference"/>
          <w:rFonts w:ascii="Garamond" w:hAnsi="Garamond"/>
          <w:sz w:val="24"/>
          <w:szCs w:val="24"/>
        </w:rPr>
        <w:footnoteReference w:id="121"/>
      </w:r>
      <w:r w:rsidR="00381FD9" w:rsidRPr="00FC1D31">
        <w:rPr>
          <w:rFonts w:ascii="Garamond" w:hAnsi="Garamond"/>
          <w:sz w:val="24"/>
          <w:szCs w:val="24"/>
        </w:rPr>
        <w:t xml:space="preserve"> To </w:t>
      </w:r>
      <w:r w:rsidR="004B5851" w:rsidRPr="00FC1D31">
        <w:rPr>
          <w:rFonts w:ascii="Garamond" w:hAnsi="Garamond"/>
          <w:sz w:val="24"/>
          <w:szCs w:val="24"/>
        </w:rPr>
        <w:t>rectify</w:t>
      </w:r>
      <w:r w:rsidR="00381FD9" w:rsidRPr="00FC1D31">
        <w:rPr>
          <w:rFonts w:ascii="Garamond" w:hAnsi="Garamond"/>
          <w:sz w:val="24"/>
          <w:szCs w:val="24"/>
        </w:rPr>
        <w:t xml:space="preserve"> this imbalance between the rights and responsibilities of investors, </w:t>
      </w:r>
      <w:r w:rsidR="00381FD9" w:rsidRPr="00FC1D31">
        <w:rPr>
          <w:rFonts w:ascii="Garamond" w:hAnsi="Garamond" w:cs="AdvOT1ef757c0"/>
          <w:sz w:val="24"/>
          <w:szCs w:val="24"/>
        </w:rPr>
        <w:t>‘as a very modest starting point, the treaties could allow states to bring claims against any foreign investor or a related company that brings a claim in circumstances where the investor has not met a speci</w:t>
      </w:r>
      <w:r w:rsidR="00381FD9" w:rsidRPr="00FC1D31">
        <w:rPr>
          <w:rFonts w:ascii="Garamond" w:hAnsi="Garamond" w:cs="AdvOT1ef757c0+fb"/>
          <w:sz w:val="24"/>
          <w:szCs w:val="24"/>
        </w:rPr>
        <w:t>fi</w:t>
      </w:r>
      <w:r w:rsidR="00381FD9" w:rsidRPr="00FC1D31">
        <w:rPr>
          <w:rFonts w:ascii="Garamond" w:hAnsi="Garamond" w:cs="AdvOT1ef757c0"/>
          <w:sz w:val="24"/>
          <w:szCs w:val="24"/>
        </w:rPr>
        <w:t>c standard of good corporate conduct.</w:t>
      </w:r>
      <w:r w:rsidR="004B5851" w:rsidRPr="00FC1D31">
        <w:rPr>
          <w:rFonts w:ascii="Garamond" w:hAnsi="Garamond" w:cs="AdvOT1ef757c0"/>
          <w:sz w:val="24"/>
          <w:szCs w:val="24"/>
        </w:rPr>
        <w:t>’</w:t>
      </w:r>
      <w:r w:rsidR="00381FD9" w:rsidRPr="00FC1D31">
        <w:rPr>
          <w:rStyle w:val="FootnoteReference"/>
          <w:rFonts w:ascii="Garamond" w:hAnsi="Garamond" w:cs="AdvOT1ef757c0"/>
          <w:sz w:val="24"/>
          <w:szCs w:val="24"/>
        </w:rPr>
        <w:footnoteReference w:id="122"/>
      </w:r>
      <w:r w:rsidR="00381FD9" w:rsidRPr="00FC1D31">
        <w:rPr>
          <w:rFonts w:ascii="Garamond" w:hAnsi="Garamond" w:cs="AdvOT1ef757c0"/>
          <w:sz w:val="24"/>
          <w:szCs w:val="24"/>
        </w:rPr>
        <w:t xml:space="preserve"> </w:t>
      </w:r>
      <w:r w:rsidR="00381FD9" w:rsidRPr="00FC1D31">
        <w:rPr>
          <w:rFonts w:ascii="Garamond" w:hAnsi="Garamond"/>
          <w:sz w:val="24"/>
          <w:szCs w:val="24"/>
        </w:rPr>
        <w:t>Yet w</w:t>
      </w:r>
      <w:r w:rsidR="00246313" w:rsidRPr="00FC1D31">
        <w:rPr>
          <w:rFonts w:ascii="Garamond" w:hAnsi="Garamond"/>
          <w:sz w:val="24"/>
          <w:szCs w:val="24"/>
        </w:rPr>
        <w:t xml:space="preserve">hen host states have attempted to use investment treaties and arbitration to challenge the misconduct of foreign investors, arbitral tribunals either dismissed those </w:t>
      </w:r>
      <w:r w:rsidR="004B5851" w:rsidRPr="00FC1D31">
        <w:rPr>
          <w:rFonts w:ascii="Garamond" w:hAnsi="Garamond"/>
          <w:sz w:val="24"/>
          <w:szCs w:val="24"/>
        </w:rPr>
        <w:t>counter-</w:t>
      </w:r>
      <w:r w:rsidR="00246313" w:rsidRPr="00FC1D31">
        <w:rPr>
          <w:rFonts w:ascii="Garamond" w:hAnsi="Garamond"/>
          <w:sz w:val="24"/>
          <w:szCs w:val="24"/>
        </w:rPr>
        <w:t xml:space="preserve">claims or found no </w:t>
      </w:r>
      <w:r w:rsidR="004B5851" w:rsidRPr="00FC1D31">
        <w:rPr>
          <w:rFonts w:ascii="Garamond" w:hAnsi="Garamond"/>
          <w:sz w:val="24"/>
          <w:szCs w:val="24"/>
        </w:rPr>
        <w:t xml:space="preserve">appropriate </w:t>
      </w:r>
      <w:r w:rsidR="00246313" w:rsidRPr="00FC1D31">
        <w:rPr>
          <w:rFonts w:ascii="Garamond" w:hAnsi="Garamond"/>
          <w:sz w:val="24"/>
          <w:szCs w:val="24"/>
        </w:rPr>
        <w:t xml:space="preserve">legal basis for </w:t>
      </w:r>
      <w:r w:rsidR="00246313" w:rsidRPr="00FC1D31">
        <w:rPr>
          <w:rStyle w:val="Emphasis"/>
          <w:rFonts w:ascii="Garamond" w:hAnsi="Garamond"/>
          <w:i w:val="0"/>
          <w:sz w:val="24"/>
          <w:szCs w:val="24"/>
        </w:rPr>
        <w:t>investor responsibility</w:t>
      </w:r>
      <w:r w:rsidR="00246313" w:rsidRPr="00FC1D31">
        <w:rPr>
          <w:rFonts w:ascii="Garamond" w:hAnsi="Garamond"/>
          <w:sz w:val="24"/>
          <w:szCs w:val="24"/>
        </w:rPr>
        <w:t>.</w:t>
      </w:r>
      <w:r w:rsidR="00246313" w:rsidRPr="00FC1D31">
        <w:rPr>
          <w:rStyle w:val="FootnoteReference"/>
          <w:rFonts w:ascii="Garamond" w:hAnsi="Garamond"/>
          <w:sz w:val="24"/>
          <w:szCs w:val="24"/>
        </w:rPr>
        <w:footnoteReference w:id="123"/>
      </w:r>
      <w:r w:rsidR="00246313" w:rsidRPr="00FC1D31">
        <w:rPr>
          <w:rFonts w:ascii="Garamond" w:hAnsi="Garamond"/>
          <w:sz w:val="24"/>
          <w:szCs w:val="24"/>
        </w:rPr>
        <w:t xml:space="preserve"> </w:t>
      </w:r>
    </w:p>
    <w:p w14:paraId="4CDAE396" w14:textId="77777777" w:rsidR="004B5851" w:rsidRPr="00FC1D31" w:rsidRDefault="004B5851" w:rsidP="001324B9">
      <w:pPr>
        <w:autoSpaceDE w:val="0"/>
        <w:autoSpaceDN w:val="0"/>
        <w:adjustRightInd w:val="0"/>
        <w:spacing w:after="0" w:line="240" w:lineRule="auto"/>
        <w:jc w:val="both"/>
        <w:rPr>
          <w:rFonts w:ascii="Garamond" w:hAnsi="Garamond" w:cs="Arial"/>
          <w:sz w:val="24"/>
          <w:szCs w:val="24"/>
        </w:rPr>
      </w:pPr>
    </w:p>
    <w:p w14:paraId="5B49A6E1" w14:textId="61D5CD58" w:rsidR="00381FD9" w:rsidRPr="00FC1D31" w:rsidRDefault="004B5851" w:rsidP="001324B9">
      <w:pPr>
        <w:autoSpaceDE w:val="0"/>
        <w:autoSpaceDN w:val="0"/>
        <w:adjustRightInd w:val="0"/>
        <w:spacing w:after="0" w:line="240" w:lineRule="auto"/>
        <w:jc w:val="both"/>
        <w:rPr>
          <w:rFonts w:ascii="Garamond" w:hAnsi="Garamond" w:cs="Arial"/>
          <w:sz w:val="24"/>
          <w:szCs w:val="24"/>
        </w:rPr>
      </w:pPr>
      <w:r w:rsidRPr="00FC1D31">
        <w:rPr>
          <w:rFonts w:ascii="Garamond" w:hAnsi="Garamond" w:cs="Arial"/>
          <w:sz w:val="24"/>
          <w:szCs w:val="24"/>
        </w:rPr>
        <w:t>S</w:t>
      </w:r>
      <w:r w:rsidR="006C6DEB" w:rsidRPr="00FC1D31">
        <w:rPr>
          <w:rFonts w:ascii="Garamond" w:hAnsi="Garamond" w:cs="Arial"/>
          <w:sz w:val="24"/>
          <w:szCs w:val="24"/>
        </w:rPr>
        <w:t xml:space="preserve">tates </w:t>
      </w:r>
      <w:r w:rsidR="006C6DEB" w:rsidRPr="00FC1D31">
        <w:rPr>
          <w:rFonts w:ascii="Garamond" w:hAnsi="Garamond"/>
          <w:sz w:val="24"/>
          <w:szCs w:val="24"/>
        </w:rPr>
        <w:t xml:space="preserve">have yet to comprehensively address investor </w:t>
      </w:r>
      <w:r w:rsidRPr="00FC1D31">
        <w:rPr>
          <w:rFonts w:ascii="Garamond" w:hAnsi="Garamond"/>
          <w:sz w:val="24"/>
          <w:szCs w:val="24"/>
        </w:rPr>
        <w:t xml:space="preserve">sustainability </w:t>
      </w:r>
      <w:r w:rsidR="006C6DEB" w:rsidRPr="00FC1D31">
        <w:rPr>
          <w:rFonts w:ascii="Garamond" w:hAnsi="Garamond"/>
          <w:sz w:val="24"/>
          <w:szCs w:val="24"/>
        </w:rPr>
        <w:t>due diligence obligations in an actual</w:t>
      </w:r>
      <w:r w:rsidR="001324B9" w:rsidRPr="00FC1D31">
        <w:rPr>
          <w:rFonts w:ascii="Garamond" w:hAnsi="Garamond"/>
          <w:sz w:val="24"/>
          <w:szCs w:val="24"/>
        </w:rPr>
        <w:t xml:space="preserve"> </w:t>
      </w:r>
      <w:r w:rsidR="006C6DEB" w:rsidRPr="00FC1D31">
        <w:rPr>
          <w:rFonts w:ascii="Garamond" w:hAnsi="Garamond"/>
          <w:sz w:val="24"/>
          <w:szCs w:val="24"/>
        </w:rPr>
        <w:t>investment treaty. As one of the world</w:t>
      </w:r>
      <w:r w:rsidR="006C6DEB" w:rsidRPr="00FC1D31">
        <w:rPr>
          <w:rFonts w:ascii="Garamond" w:hAnsi="Garamond" w:cs="Arial"/>
          <w:sz w:val="24"/>
          <w:szCs w:val="24"/>
        </w:rPr>
        <w:t>’</w:t>
      </w:r>
      <w:r w:rsidR="006C6DEB" w:rsidRPr="00FC1D31">
        <w:rPr>
          <w:rFonts w:ascii="Garamond" w:hAnsi="Garamond"/>
          <w:sz w:val="24"/>
          <w:szCs w:val="24"/>
        </w:rPr>
        <w:t>s largest exporters and importers of</w:t>
      </w:r>
      <w:r w:rsidR="001324B9" w:rsidRPr="00FC1D31">
        <w:rPr>
          <w:rFonts w:ascii="Garamond" w:hAnsi="Garamond"/>
          <w:sz w:val="24"/>
          <w:szCs w:val="24"/>
        </w:rPr>
        <w:t xml:space="preserve"> </w:t>
      </w:r>
      <w:r w:rsidR="006C6DEB" w:rsidRPr="00FC1D31">
        <w:rPr>
          <w:rFonts w:ascii="Garamond" w:hAnsi="Garamond"/>
          <w:sz w:val="24"/>
          <w:szCs w:val="24"/>
        </w:rPr>
        <w:t>foreign direct investment, the European Union exercises considerable leverage in the ongoing reform of international investment law</w:t>
      </w:r>
      <w:r w:rsidR="004B49A4" w:rsidRPr="00FC1D31">
        <w:rPr>
          <w:rFonts w:ascii="Garamond" w:hAnsi="Garamond"/>
          <w:sz w:val="24"/>
          <w:szCs w:val="24"/>
        </w:rPr>
        <w:t>.</w:t>
      </w:r>
      <w:r w:rsidR="001324B9" w:rsidRPr="00FC1D31">
        <w:rPr>
          <w:rStyle w:val="FootnoteReference"/>
          <w:rFonts w:ascii="Garamond" w:hAnsi="Garamond"/>
          <w:sz w:val="24"/>
          <w:szCs w:val="24"/>
        </w:rPr>
        <w:footnoteReference w:id="124"/>
      </w:r>
      <w:r w:rsidR="006C6DEB" w:rsidRPr="00FC1D31">
        <w:rPr>
          <w:rFonts w:ascii="Garamond" w:hAnsi="Garamond"/>
          <w:sz w:val="24"/>
          <w:szCs w:val="24"/>
        </w:rPr>
        <w:t xml:space="preserve"> </w:t>
      </w:r>
      <w:r w:rsidR="004B49A4" w:rsidRPr="00FC1D31">
        <w:rPr>
          <w:rFonts w:ascii="Garamond" w:hAnsi="Garamond"/>
          <w:sz w:val="24"/>
          <w:szCs w:val="24"/>
        </w:rPr>
        <w:t>H</w:t>
      </w:r>
      <w:r w:rsidR="006C6DEB" w:rsidRPr="00FC1D31">
        <w:rPr>
          <w:rFonts w:ascii="Garamond" w:hAnsi="Garamond"/>
          <w:sz w:val="24"/>
          <w:szCs w:val="24"/>
        </w:rPr>
        <w:t xml:space="preserve">owever, its most recent investment treaty texts feature no comprehensive and enforceable investor obligations.  </w:t>
      </w:r>
      <w:r w:rsidR="0031161F" w:rsidRPr="00FC1D31">
        <w:rPr>
          <w:rFonts w:ascii="Garamond" w:hAnsi="Garamond"/>
          <w:sz w:val="24"/>
          <w:szCs w:val="24"/>
        </w:rPr>
        <w:t>Not only do existing investment treaties fail to hold investors accountable for the harmful effect of their operations on human rights and the environment, but national regulatory measures aimed at enforcing corporate due diligence may clash with investment treaty obligations.</w:t>
      </w:r>
      <w:r w:rsidR="0031161F" w:rsidRPr="00FC1D31">
        <w:rPr>
          <w:rFonts w:ascii="Garamond" w:hAnsi="Garamond" w:cs="Arial"/>
          <w:sz w:val="24"/>
          <w:szCs w:val="24"/>
        </w:rPr>
        <w:t xml:space="preserve"> </w:t>
      </w:r>
      <w:r w:rsidR="0031161F" w:rsidRPr="00FC1D31">
        <w:rPr>
          <w:rFonts w:ascii="Garamond" w:hAnsi="Garamond"/>
          <w:sz w:val="24"/>
          <w:szCs w:val="24"/>
        </w:rPr>
        <w:t>More broadly, reconciling investment protection with international standards on human rights, environment and labour is akin to ‘aiming at two moving targets.</w:t>
      </w:r>
      <w:r w:rsidR="0031161F" w:rsidRPr="00FC1D31">
        <w:rPr>
          <w:rStyle w:val="FootnoteReference"/>
          <w:rFonts w:ascii="Garamond" w:hAnsi="Garamond"/>
          <w:sz w:val="24"/>
          <w:szCs w:val="24"/>
        </w:rPr>
        <w:footnoteReference w:id="125"/>
      </w:r>
      <w:r w:rsidR="0031161F" w:rsidRPr="00FC1D31">
        <w:rPr>
          <w:rFonts w:ascii="Garamond" w:hAnsi="Garamond"/>
          <w:sz w:val="24"/>
          <w:szCs w:val="24"/>
        </w:rPr>
        <w:t xml:space="preserve">’ </w:t>
      </w:r>
      <w:r w:rsidRPr="00FC1D31">
        <w:rPr>
          <w:rFonts w:ascii="Garamond" w:hAnsi="Garamond" w:cs="Arial"/>
          <w:sz w:val="24"/>
          <w:szCs w:val="24"/>
        </w:rPr>
        <w:t>T</w:t>
      </w:r>
      <w:r w:rsidR="0031161F" w:rsidRPr="00FC1D31">
        <w:rPr>
          <w:rFonts w:ascii="Garamond" w:hAnsi="Garamond" w:cs="Arial"/>
          <w:sz w:val="24"/>
          <w:szCs w:val="24"/>
        </w:rPr>
        <w:t xml:space="preserve">he harmonisation of competing host state’s obligations </w:t>
      </w:r>
      <w:r w:rsidRPr="00FC1D31">
        <w:rPr>
          <w:rFonts w:ascii="Garamond" w:hAnsi="Garamond" w:cs="Arial"/>
          <w:sz w:val="24"/>
          <w:szCs w:val="24"/>
        </w:rPr>
        <w:t xml:space="preserve">to protect investments on one hand and to enforce human rights and sustainability standards </w:t>
      </w:r>
      <w:r w:rsidR="0031161F" w:rsidRPr="00FC1D31">
        <w:rPr>
          <w:rFonts w:ascii="Garamond" w:hAnsi="Garamond" w:cs="Arial"/>
          <w:sz w:val="24"/>
          <w:szCs w:val="24"/>
        </w:rPr>
        <w:t>‘will always be a difficult exercise and sometimes compliance with both sets of obligations will be virtually impossible.’</w:t>
      </w:r>
      <w:r w:rsidR="0031161F" w:rsidRPr="00FC1D31">
        <w:rPr>
          <w:rStyle w:val="FootnoteReference"/>
          <w:rFonts w:ascii="Garamond" w:hAnsi="Garamond" w:cs="Arial"/>
          <w:sz w:val="24"/>
          <w:szCs w:val="24"/>
        </w:rPr>
        <w:footnoteReference w:id="126"/>
      </w:r>
    </w:p>
    <w:p w14:paraId="62339610" w14:textId="7010CFA2" w:rsidR="004D045A" w:rsidRPr="00FC1D31" w:rsidRDefault="004D045A" w:rsidP="001324B9">
      <w:pPr>
        <w:autoSpaceDE w:val="0"/>
        <w:autoSpaceDN w:val="0"/>
        <w:adjustRightInd w:val="0"/>
        <w:spacing w:after="0" w:line="240" w:lineRule="auto"/>
        <w:jc w:val="both"/>
        <w:rPr>
          <w:rFonts w:ascii="Garamond" w:hAnsi="Garamond"/>
          <w:sz w:val="24"/>
          <w:szCs w:val="24"/>
        </w:rPr>
      </w:pPr>
    </w:p>
    <w:p w14:paraId="4FFA624D" w14:textId="74B2C2D8" w:rsidR="004D045A" w:rsidRPr="00FC1D31" w:rsidRDefault="00161AA6" w:rsidP="001324B9">
      <w:pPr>
        <w:autoSpaceDE w:val="0"/>
        <w:autoSpaceDN w:val="0"/>
        <w:adjustRightInd w:val="0"/>
        <w:spacing w:after="0" w:line="240" w:lineRule="auto"/>
        <w:jc w:val="both"/>
        <w:rPr>
          <w:rFonts w:ascii="Garamond" w:hAnsi="Garamond"/>
          <w:sz w:val="24"/>
          <w:szCs w:val="24"/>
        </w:rPr>
      </w:pPr>
      <w:r w:rsidRPr="00FC1D31">
        <w:rPr>
          <w:rFonts w:ascii="Garamond" w:hAnsi="Garamond"/>
          <w:sz w:val="24"/>
          <w:szCs w:val="24"/>
        </w:rPr>
        <w:t>Notably</w:t>
      </w:r>
      <w:r w:rsidR="004D045A" w:rsidRPr="00FC1D31">
        <w:rPr>
          <w:rFonts w:ascii="Garamond" w:hAnsi="Garamond"/>
          <w:sz w:val="24"/>
          <w:szCs w:val="24"/>
        </w:rPr>
        <w:t xml:space="preserve">, </w:t>
      </w:r>
      <w:r w:rsidRPr="00FC1D31">
        <w:rPr>
          <w:rFonts w:ascii="Garamond" w:hAnsi="Garamond"/>
          <w:sz w:val="24"/>
          <w:szCs w:val="24"/>
        </w:rPr>
        <w:t>although the</w:t>
      </w:r>
      <w:r w:rsidR="009F6DDB" w:rsidRPr="00FC1D31">
        <w:rPr>
          <w:rFonts w:ascii="Garamond" w:hAnsi="Garamond"/>
          <w:sz w:val="24"/>
          <w:szCs w:val="24"/>
        </w:rPr>
        <w:t xml:space="preserve"> EU’s</w:t>
      </w:r>
      <w:r w:rsidRPr="00FC1D31">
        <w:rPr>
          <w:rFonts w:ascii="Garamond" w:hAnsi="Garamond"/>
          <w:sz w:val="24"/>
          <w:szCs w:val="24"/>
        </w:rPr>
        <w:t xml:space="preserve"> new </w:t>
      </w:r>
      <w:r w:rsidR="007014D4" w:rsidRPr="00FC1D31">
        <w:rPr>
          <w:rFonts w:ascii="Garamond" w:hAnsi="Garamond"/>
          <w:sz w:val="24"/>
          <w:szCs w:val="24"/>
        </w:rPr>
        <w:t xml:space="preserve">vision for trade and </w:t>
      </w:r>
      <w:r w:rsidRPr="00FC1D31">
        <w:rPr>
          <w:rFonts w:ascii="Garamond" w:hAnsi="Garamond"/>
          <w:sz w:val="24"/>
          <w:szCs w:val="24"/>
        </w:rPr>
        <w:t xml:space="preserve">investment policy </w:t>
      </w:r>
      <w:r w:rsidR="007014D4" w:rsidRPr="00FC1D31">
        <w:rPr>
          <w:rFonts w:ascii="Garamond" w:hAnsi="Garamond"/>
          <w:sz w:val="24"/>
          <w:szCs w:val="24"/>
        </w:rPr>
        <w:t>underscores the centrality of sustainability and fairness</w:t>
      </w:r>
      <w:r w:rsidRPr="00FC1D31">
        <w:rPr>
          <w:rFonts w:ascii="Garamond" w:hAnsi="Garamond"/>
          <w:sz w:val="24"/>
          <w:szCs w:val="24"/>
        </w:rPr>
        <w:t xml:space="preserve">, the emerging instruments </w:t>
      </w:r>
      <w:r w:rsidR="007014D4" w:rsidRPr="00FC1D31">
        <w:rPr>
          <w:rFonts w:ascii="Garamond" w:hAnsi="Garamond"/>
          <w:sz w:val="24"/>
          <w:szCs w:val="24"/>
        </w:rPr>
        <w:t xml:space="preserve">so far </w:t>
      </w:r>
      <w:r w:rsidRPr="00FC1D31">
        <w:rPr>
          <w:rFonts w:ascii="Garamond" w:hAnsi="Garamond"/>
          <w:sz w:val="24"/>
          <w:szCs w:val="24"/>
        </w:rPr>
        <w:t xml:space="preserve">do very little to address the lack of </w:t>
      </w:r>
      <w:r w:rsidRPr="00FC1D31">
        <w:rPr>
          <w:rFonts w:ascii="Garamond" w:hAnsi="Garamond"/>
          <w:sz w:val="24"/>
          <w:szCs w:val="24"/>
        </w:rPr>
        <w:lastRenderedPageBreak/>
        <w:t xml:space="preserve">inclusion. This is a critical omission. The political backlash against globalised trade has </w:t>
      </w:r>
      <w:r w:rsidR="002A3164" w:rsidRPr="00FC1D31">
        <w:rPr>
          <w:rFonts w:ascii="Garamond" w:hAnsi="Garamond"/>
          <w:sz w:val="24"/>
          <w:szCs w:val="24"/>
        </w:rPr>
        <w:t xml:space="preserve">compelled </w:t>
      </w:r>
      <w:r w:rsidR="007014D4" w:rsidRPr="00FC1D31">
        <w:rPr>
          <w:rFonts w:ascii="Garamond" w:hAnsi="Garamond"/>
          <w:sz w:val="24"/>
          <w:szCs w:val="24"/>
        </w:rPr>
        <w:t>key trade actors</w:t>
      </w:r>
      <w:r w:rsidRPr="00FC1D31">
        <w:rPr>
          <w:rFonts w:ascii="Garamond" w:hAnsi="Garamond"/>
          <w:sz w:val="24"/>
          <w:szCs w:val="24"/>
        </w:rPr>
        <w:t xml:space="preserve"> to recognise that trade must be made more inclusive. </w:t>
      </w:r>
      <w:r w:rsidR="007014D4" w:rsidRPr="00FC1D31">
        <w:rPr>
          <w:rFonts w:ascii="Garamond" w:hAnsi="Garamond"/>
          <w:color w:val="000000" w:themeColor="text1"/>
          <w:sz w:val="24"/>
          <w:szCs w:val="24"/>
        </w:rPr>
        <w:t>There is growing recognition in trade policy circles that</w:t>
      </w:r>
      <w:r w:rsidRPr="00FC1D31">
        <w:rPr>
          <w:rFonts w:ascii="Garamond" w:hAnsi="Garamond"/>
          <w:color w:val="000000" w:themeColor="text1"/>
          <w:sz w:val="24"/>
          <w:szCs w:val="24"/>
        </w:rPr>
        <w:t xml:space="preserve"> international trade redistributes wealth, favouring some over others,</w:t>
      </w:r>
      <w:r w:rsidRPr="00FC1D31">
        <w:rPr>
          <w:rStyle w:val="FootnoteReference"/>
          <w:rFonts w:ascii="Garamond" w:hAnsi="Garamond"/>
          <w:color w:val="000000" w:themeColor="text1"/>
          <w:sz w:val="24"/>
          <w:szCs w:val="24"/>
        </w:rPr>
        <w:footnoteReference w:id="127"/>
      </w:r>
      <w:r w:rsidRPr="00FC1D31">
        <w:rPr>
          <w:rFonts w:ascii="Garamond" w:hAnsi="Garamond"/>
          <w:color w:val="000000" w:themeColor="text1"/>
          <w:sz w:val="24"/>
          <w:szCs w:val="24"/>
        </w:rPr>
        <w:t xml:space="preserve"> such recognition of distributional effects of</w:t>
      </w:r>
      <w:r w:rsidR="002A3164" w:rsidRPr="00FC1D31">
        <w:rPr>
          <w:rFonts w:ascii="Garamond" w:hAnsi="Garamond"/>
          <w:color w:val="000000" w:themeColor="text1"/>
          <w:sz w:val="24"/>
          <w:szCs w:val="24"/>
        </w:rPr>
        <w:t xml:space="preserve"> foreign</w:t>
      </w:r>
      <w:r w:rsidRPr="00FC1D31">
        <w:rPr>
          <w:rFonts w:ascii="Garamond" w:hAnsi="Garamond"/>
          <w:color w:val="000000" w:themeColor="text1"/>
          <w:sz w:val="24"/>
          <w:szCs w:val="24"/>
        </w:rPr>
        <w:t xml:space="preserve"> investment—and the need for a more inclusive rules framework—is still </w:t>
      </w:r>
      <w:r w:rsidR="002A3164" w:rsidRPr="00FC1D31">
        <w:rPr>
          <w:rFonts w:ascii="Garamond" w:hAnsi="Garamond"/>
          <w:color w:val="000000" w:themeColor="text1"/>
          <w:sz w:val="24"/>
          <w:szCs w:val="24"/>
        </w:rPr>
        <w:t>absent</w:t>
      </w:r>
      <w:r w:rsidRPr="00FC1D31">
        <w:rPr>
          <w:rFonts w:ascii="Garamond" w:hAnsi="Garamond"/>
          <w:color w:val="000000" w:themeColor="text1"/>
          <w:sz w:val="24"/>
          <w:szCs w:val="24"/>
        </w:rPr>
        <w:t xml:space="preserve"> in the major policy discussions on foreign investment. </w:t>
      </w:r>
      <w:r w:rsidR="007014D4" w:rsidRPr="00FC1D31">
        <w:rPr>
          <w:rFonts w:ascii="Garamond" w:hAnsi="Garamond"/>
          <w:color w:val="000000" w:themeColor="text1"/>
          <w:sz w:val="24"/>
          <w:szCs w:val="24"/>
        </w:rPr>
        <w:t>While t</w:t>
      </w:r>
      <w:r w:rsidRPr="00FC1D31">
        <w:rPr>
          <w:rFonts w:ascii="Garamond" w:hAnsi="Garamond"/>
          <w:color w:val="000000" w:themeColor="text1"/>
          <w:sz w:val="24"/>
          <w:szCs w:val="24"/>
        </w:rPr>
        <w:t xml:space="preserve">he </w:t>
      </w:r>
      <w:r w:rsidR="007014D4" w:rsidRPr="00FC1D31">
        <w:rPr>
          <w:rFonts w:ascii="Garamond" w:hAnsi="Garamond"/>
          <w:color w:val="000000" w:themeColor="text1"/>
          <w:sz w:val="24"/>
          <w:szCs w:val="24"/>
        </w:rPr>
        <w:t xml:space="preserve">proposed </w:t>
      </w:r>
      <w:r w:rsidRPr="00FC1D31">
        <w:rPr>
          <w:rFonts w:ascii="Garamond" w:hAnsi="Garamond"/>
          <w:color w:val="000000" w:themeColor="text1"/>
          <w:sz w:val="24"/>
          <w:szCs w:val="24"/>
        </w:rPr>
        <w:t>corporate sustainability</w:t>
      </w:r>
      <w:r w:rsidR="00322377" w:rsidRPr="00FC1D31">
        <w:rPr>
          <w:rFonts w:ascii="Garamond" w:hAnsi="Garamond"/>
          <w:color w:val="000000" w:themeColor="text1"/>
          <w:sz w:val="24"/>
          <w:szCs w:val="24"/>
        </w:rPr>
        <w:t xml:space="preserve"> due diligence</w:t>
      </w:r>
      <w:r w:rsidR="007014D4" w:rsidRPr="00FC1D31">
        <w:rPr>
          <w:rFonts w:ascii="Garamond" w:hAnsi="Garamond"/>
          <w:color w:val="000000" w:themeColor="text1"/>
          <w:sz w:val="24"/>
          <w:szCs w:val="24"/>
        </w:rPr>
        <w:t xml:space="preserve"> regulation</w:t>
      </w:r>
      <w:r w:rsidR="00322377" w:rsidRPr="00FC1D31">
        <w:rPr>
          <w:rFonts w:ascii="Garamond" w:hAnsi="Garamond"/>
          <w:color w:val="000000" w:themeColor="text1"/>
          <w:sz w:val="24"/>
          <w:szCs w:val="24"/>
        </w:rPr>
        <w:t xml:space="preserve"> is designed to prevent negative effects of foreign investment</w:t>
      </w:r>
      <w:r w:rsidR="007014D4" w:rsidRPr="00FC1D31">
        <w:rPr>
          <w:rFonts w:ascii="Garamond" w:hAnsi="Garamond"/>
          <w:color w:val="000000" w:themeColor="text1"/>
          <w:sz w:val="24"/>
          <w:szCs w:val="24"/>
        </w:rPr>
        <w:t xml:space="preserve"> (“do no harm” obligations)</w:t>
      </w:r>
      <w:r w:rsidR="00322377" w:rsidRPr="00FC1D31">
        <w:rPr>
          <w:rFonts w:ascii="Garamond" w:hAnsi="Garamond" w:cstheme="minorHAnsi"/>
          <w:color w:val="000000" w:themeColor="text1"/>
          <w:sz w:val="24"/>
          <w:szCs w:val="24"/>
        </w:rPr>
        <w:t xml:space="preserve">, what remains missing is a discussion of how investment policies can </w:t>
      </w:r>
      <w:r w:rsidRPr="00FC1D31">
        <w:rPr>
          <w:rFonts w:ascii="Garamond" w:hAnsi="Garamond" w:cstheme="minorHAnsi"/>
          <w:color w:val="000000" w:themeColor="text1"/>
          <w:sz w:val="24"/>
          <w:szCs w:val="24"/>
        </w:rPr>
        <w:t>be redesigned to maximize the positive contribution that investors can bring to societies, or “doing good” for the communities that host them</w:t>
      </w:r>
      <w:r w:rsidR="00322377" w:rsidRPr="00FC1D31">
        <w:rPr>
          <w:rFonts w:ascii="Garamond" w:hAnsi="Garamond" w:cstheme="minorHAnsi"/>
          <w:color w:val="000000" w:themeColor="text1"/>
          <w:sz w:val="24"/>
          <w:szCs w:val="24"/>
        </w:rPr>
        <w:t>.</w:t>
      </w:r>
      <w:r w:rsidRPr="00FC1D31">
        <w:rPr>
          <w:rStyle w:val="FootnoteReference"/>
          <w:rFonts w:ascii="Garamond" w:hAnsi="Garamond" w:cstheme="minorHAnsi"/>
          <w:color w:val="000000" w:themeColor="text1"/>
          <w:sz w:val="24"/>
          <w:szCs w:val="24"/>
        </w:rPr>
        <w:footnoteReference w:id="128"/>
      </w:r>
      <w:r w:rsidRPr="00FC1D31">
        <w:rPr>
          <w:rFonts w:ascii="Garamond" w:hAnsi="Garamond" w:cstheme="minorHAnsi"/>
          <w:color w:val="000000" w:themeColor="text1"/>
          <w:sz w:val="24"/>
          <w:szCs w:val="24"/>
        </w:rPr>
        <w:t xml:space="preserve"> </w:t>
      </w:r>
      <w:r w:rsidRPr="00FC1D31">
        <w:rPr>
          <w:rFonts w:ascii="Garamond" w:hAnsi="Garamond"/>
          <w:sz w:val="24"/>
          <w:szCs w:val="24"/>
        </w:rPr>
        <w:t xml:space="preserve">  </w:t>
      </w:r>
    </w:p>
    <w:p w14:paraId="0AA8B10B" w14:textId="049C9DEF" w:rsidR="0031161F" w:rsidRPr="00FC1D31" w:rsidRDefault="0031161F" w:rsidP="001324B9">
      <w:pPr>
        <w:autoSpaceDE w:val="0"/>
        <w:autoSpaceDN w:val="0"/>
        <w:adjustRightInd w:val="0"/>
        <w:spacing w:after="0" w:line="240" w:lineRule="auto"/>
        <w:jc w:val="both"/>
        <w:rPr>
          <w:rFonts w:ascii="Garamond" w:hAnsi="Garamond"/>
          <w:sz w:val="24"/>
          <w:szCs w:val="24"/>
        </w:rPr>
      </w:pPr>
    </w:p>
    <w:p w14:paraId="34E4E6BB" w14:textId="56EFB2BD" w:rsidR="0031161F" w:rsidRPr="00FC1D31" w:rsidRDefault="0031161F" w:rsidP="001324B9">
      <w:pPr>
        <w:autoSpaceDE w:val="0"/>
        <w:autoSpaceDN w:val="0"/>
        <w:adjustRightInd w:val="0"/>
        <w:spacing w:after="0" w:line="240" w:lineRule="auto"/>
        <w:jc w:val="both"/>
        <w:rPr>
          <w:rFonts w:ascii="Garamond" w:hAnsi="Garamond" w:cs="AdvOT1ef757c0"/>
          <w:sz w:val="24"/>
          <w:szCs w:val="24"/>
        </w:rPr>
      </w:pPr>
      <w:r w:rsidRPr="00FC1D31">
        <w:rPr>
          <w:rFonts w:ascii="Garamond" w:hAnsi="Garamond" w:cs="AdvOT1ef757c0"/>
          <w:sz w:val="24"/>
          <w:szCs w:val="24"/>
        </w:rPr>
        <w:t xml:space="preserve">The debate about incompatibility between investment treaties and sustainability goals has received heightened attention in recent </w:t>
      </w:r>
      <w:r w:rsidR="004B49A4" w:rsidRPr="00FC1D31">
        <w:rPr>
          <w:rFonts w:ascii="Garamond" w:hAnsi="Garamond" w:cs="AdvOT1ef757c0"/>
          <w:sz w:val="24"/>
          <w:szCs w:val="24"/>
        </w:rPr>
        <w:t>times</w:t>
      </w:r>
      <w:r w:rsidRPr="00FC1D31">
        <w:rPr>
          <w:rFonts w:ascii="Garamond" w:hAnsi="Garamond" w:cs="AdvOT1ef757c0"/>
          <w:sz w:val="24"/>
          <w:szCs w:val="24"/>
        </w:rPr>
        <w:t xml:space="preserve">, with a number of EU member states announcing their decision to withdraw from the Energy Charter Treaty </w:t>
      </w:r>
      <w:r w:rsidR="00F42898" w:rsidRPr="00FC1D31">
        <w:rPr>
          <w:rFonts w:ascii="Garamond" w:hAnsi="Garamond" w:cs="AdvOT1ef757c0"/>
          <w:sz w:val="24"/>
          <w:szCs w:val="24"/>
        </w:rPr>
        <w:t xml:space="preserve">due to the failure of the recent modernisation efforts to align the treaty with </w:t>
      </w:r>
      <w:r w:rsidR="004B5851" w:rsidRPr="00FC1D31">
        <w:rPr>
          <w:rFonts w:ascii="Garamond" w:hAnsi="Garamond" w:cs="AdvOT1ef757c0"/>
          <w:sz w:val="24"/>
          <w:szCs w:val="24"/>
        </w:rPr>
        <w:t xml:space="preserve">climate goals under </w:t>
      </w:r>
      <w:r w:rsidR="00F42898" w:rsidRPr="00FC1D31">
        <w:rPr>
          <w:rFonts w:ascii="Garamond" w:hAnsi="Garamond" w:cs="AdvOT1ef757c0"/>
          <w:sz w:val="24"/>
          <w:szCs w:val="24"/>
        </w:rPr>
        <w:t>the Paris Agreement.</w:t>
      </w:r>
      <w:r w:rsidR="00F42898" w:rsidRPr="00FC1D31">
        <w:rPr>
          <w:rStyle w:val="FootnoteReference"/>
          <w:rFonts w:ascii="Garamond" w:hAnsi="Garamond" w:cs="AdvOT1ef757c0"/>
          <w:sz w:val="24"/>
          <w:szCs w:val="24"/>
        </w:rPr>
        <w:footnoteReference w:id="129"/>
      </w:r>
      <w:r w:rsidR="00F42898" w:rsidRPr="00FC1D31">
        <w:rPr>
          <w:rFonts w:ascii="Garamond" w:hAnsi="Garamond" w:cs="AdvOT1ef757c0"/>
          <w:sz w:val="24"/>
          <w:szCs w:val="24"/>
        </w:rPr>
        <w:t xml:space="preserve"> While the growing and rather vocal disenchantment with the Energy Charter Treaty signals another landmark development in the history of EU investment treaty law,</w:t>
      </w:r>
      <w:r w:rsidR="004B5851" w:rsidRPr="00FC1D31">
        <w:rPr>
          <w:rFonts w:ascii="Garamond" w:hAnsi="Garamond" w:cs="AdvOT1ef757c0"/>
          <w:sz w:val="24"/>
          <w:szCs w:val="24"/>
        </w:rPr>
        <w:t xml:space="preserve"> it</w:t>
      </w:r>
      <w:r w:rsidR="00F42898" w:rsidRPr="00FC1D31">
        <w:rPr>
          <w:rFonts w:ascii="Garamond" w:hAnsi="Garamond" w:cs="AdvOT1ef757c0"/>
          <w:sz w:val="24"/>
          <w:szCs w:val="24"/>
        </w:rPr>
        <w:t xml:space="preserve"> </w:t>
      </w:r>
      <w:r w:rsidR="004B5851" w:rsidRPr="00FC1D31">
        <w:rPr>
          <w:rFonts w:ascii="Garamond" w:hAnsi="Garamond" w:cs="AdvOT1ef757c0"/>
          <w:sz w:val="24"/>
          <w:szCs w:val="24"/>
        </w:rPr>
        <w:t xml:space="preserve">is important to note that </w:t>
      </w:r>
      <w:r w:rsidR="00F42898" w:rsidRPr="00FC1D31">
        <w:rPr>
          <w:rFonts w:ascii="Garamond" w:hAnsi="Garamond" w:cs="AdvOT1ef757c0"/>
          <w:sz w:val="24"/>
          <w:szCs w:val="24"/>
        </w:rPr>
        <w:t xml:space="preserve">the fundamental clash between investment protection and sustainability objectives is not an issue confined to energy investments only. The existing bilateral investment treaties of member states, </w:t>
      </w:r>
      <w:proofErr w:type="gramStart"/>
      <w:r w:rsidR="00F42898" w:rsidRPr="00FC1D31">
        <w:rPr>
          <w:rFonts w:ascii="Garamond" w:hAnsi="Garamond" w:cs="AdvOT1ef757c0"/>
          <w:sz w:val="24"/>
          <w:szCs w:val="24"/>
        </w:rPr>
        <w:t>in particular those</w:t>
      </w:r>
      <w:proofErr w:type="gramEnd"/>
      <w:r w:rsidR="00F42898" w:rsidRPr="00FC1D31">
        <w:rPr>
          <w:rFonts w:ascii="Garamond" w:hAnsi="Garamond" w:cs="AdvOT1ef757c0"/>
          <w:sz w:val="24"/>
          <w:szCs w:val="24"/>
        </w:rPr>
        <w:t xml:space="preserve"> of Germany, Luxembourg and the Netherlands, not only follow the same drafting patterns as the much-debated Energy Charter Treaty but are also responsible for a significant share of investor-state disputes where states’ regulatory powers were challenged. </w:t>
      </w:r>
      <w:r w:rsidR="00022CD7" w:rsidRPr="00FC1D31">
        <w:rPr>
          <w:rFonts w:ascii="Garamond" w:hAnsi="Garamond" w:cs="AdvOT1ef757c0"/>
          <w:sz w:val="24"/>
          <w:szCs w:val="24"/>
        </w:rPr>
        <w:t>While</w:t>
      </w:r>
      <w:r w:rsidR="00F42898" w:rsidRPr="00FC1D31">
        <w:rPr>
          <w:rFonts w:ascii="Garamond" w:hAnsi="Garamond" w:cs="AdvOT1ef757c0"/>
          <w:sz w:val="24"/>
          <w:szCs w:val="24"/>
        </w:rPr>
        <w:t xml:space="preserve"> the Commission’s vision of </w:t>
      </w:r>
      <w:r w:rsidR="00022CD7" w:rsidRPr="00FC1D31">
        <w:rPr>
          <w:rFonts w:ascii="Garamond" w:hAnsi="Garamond" w:cs="AdvOT1ef757c0"/>
          <w:sz w:val="24"/>
          <w:szCs w:val="24"/>
        </w:rPr>
        <w:t>the new trade policy strongly emphasises the sustainability dimension, national regulatory measures in pursuit of such policy objectives may be disputed under the existing bilateral investment treaties.</w:t>
      </w:r>
    </w:p>
    <w:p w14:paraId="44A8E915" w14:textId="1F029E1A" w:rsidR="002A3164" w:rsidRPr="00FC1D31" w:rsidRDefault="002A3164" w:rsidP="001324B9">
      <w:pPr>
        <w:autoSpaceDE w:val="0"/>
        <w:autoSpaceDN w:val="0"/>
        <w:adjustRightInd w:val="0"/>
        <w:spacing w:after="0" w:line="240" w:lineRule="auto"/>
        <w:jc w:val="both"/>
        <w:rPr>
          <w:rFonts w:ascii="Garamond" w:hAnsi="Garamond" w:cs="AdvOT1ef757c0"/>
          <w:sz w:val="24"/>
          <w:szCs w:val="24"/>
        </w:rPr>
      </w:pPr>
    </w:p>
    <w:p w14:paraId="42780C42" w14:textId="2D0FFD61" w:rsidR="002A3164" w:rsidRPr="00FC1D31" w:rsidRDefault="007B68D0" w:rsidP="002A3164">
      <w:pPr>
        <w:pStyle w:val="ListParagraph"/>
        <w:numPr>
          <w:ilvl w:val="1"/>
          <w:numId w:val="3"/>
        </w:numPr>
        <w:autoSpaceDE w:val="0"/>
        <w:autoSpaceDN w:val="0"/>
        <w:adjustRightInd w:val="0"/>
        <w:spacing w:after="0" w:line="240" w:lineRule="auto"/>
        <w:jc w:val="both"/>
        <w:rPr>
          <w:rFonts w:ascii="Garamond" w:hAnsi="Garamond" w:cs="AdvOT1ef757c0"/>
          <w:sz w:val="24"/>
          <w:szCs w:val="24"/>
        </w:rPr>
      </w:pPr>
      <w:r w:rsidRPr="00FC1D31">
        <w:rPr>
          <w:rFonts w:ascii="Garamond" w:hAnsi="Garamond" w:cs="AdvOT1ef757c0"/>
          <w:sz w:val="24"/>
          <w:szCs w:val="24"/>
        </w:rPr>
        <w:t>Not enough: investment treaty reform and the (illusory) promise of change</w:t>
      </w:r>
    </w:p>
    <w:p w14:paraId="27F7D560" w14:textId="77777777" w:rsidR="0031161F" w:rsidRPr="00FC1D31" w:rsidRDefault="0031161F" w:rsidP="001324B9">
      <w:pPr>
        <w:autoSpaceDE w:val="0"/>
        <w:autoSpaceDN w:val="0"/>
        <w:adjustRightInd w:val="0"/>
        <w:spacing w:after="0" w:line="240" w:lineRule="auto"/>
        <w:jc w:val="both"/>
        <w:rPr>
          <w:rFonts w:ascii="Garamond" w:hAnsi="Garamond" w:cs="AdvOT1ef757c0"/>
          <w:sz w:val="24"/>
          <w:szCs w:val="24"/>
        </w:rPr>
      </w:pPr>
    </w:p>
    <w:p w14:paraId="5A3ADBE4" w14:textId="4E1C2DD9" w:rsidR="0031161F" w:rsidRPr="00FC1D31" w:rsidRDefault="001B3F8C" w:rsidP="00407D5B">
      <w:pPr>
        <w:autoSpaceDE w:val="0"/>
        <w:autoSpaceDN w:val="0"/>
        <w:adjustRightInd w:val="0"/>
        <w:spacing w:after="0" w:line="240" w:lineRule="auto"/>
        <w:jc w:val="both"/>
        <w:rPr>
          <w:rStyle w:val="markedcontent"/>
          <w:rFonts w:ascii="Garamond" w:hAnsi="Garamond" w:cs="Arial"/>
          <w:sz w:val="24"/>
          <w:szCs w:val="24"/>
        </w:rPr>
      </w:pPr>
      <w:r w:rsidRPr="00FC1D31">
        <w:rPr>
          <w:rFonts w:ascii="Garamond" w:hAnsi="Garamond" w:cs="AdvOT1ef757c0"/>
          <w:sz w:val="24"/>
          <w:szCs w:val="24"/>
        </w:rPr>
        <w:t>An argument that is frequently levelled in response to the criticisms of investment treaties and their clash with the EU’s new investment policy objectives is that the more recent generation of treaties negotiated by the Commission have been modernised to ensure that ‘investments get protection without undermining the state’s sovereign rights to regulate and to protect the interests of the citizens.’</w:t>
      </w:r>
      <w:r w:rsidRPr="00FC1D31">
        <w:rPr>
          <w:rStyle w:val="FootnoteReference"/>
          <w:rFonts w:ascii="Garamond" w:hAnsi="Garamond" w:cs="AdvOT1ef757c0"/>
          <w:sz w:val="24"/>
          <w:szCs w:val="24"/>
        </w:rPr>
        <w:footnoteReference w:id="130"/>
      </w:r>
      <w:r w:rsidRPr="00FC1D31">
        <w:rPr>
          <w:rFonts w:ascii="Garamond" w:hAnsi="Garamond" w:cs="AdvOT1ef757c0"/>
          <w:sz w:val="24"/>
          <w:szCs w:val="24"/>
        </w:rPr>
        <w:t xml:space="preserve"> The Commission points out that ‘</w:t>
      </w:r>
      <w:r w:rsidRPr="00FC1D31">
        <w:rPr>
          <w:rStyle w:val="markedcontent"/>
          <w:rFonts w:ascii="Garamond" w:hAnsi="Garamond" w:cs="Arial"/>
          <w:sz w:val="24"/>
          <w:szCs w:val="24"/>
        </w:rPr>
        <w:t>EU investment protection</w:t>
      </w:r>
      <w:r w:rsidR="00407D5B" w:rsidRPr="00FC1D31">
        <w:rPr>
          <w:rStyle w:val="markedcontent"/>
          <w:rFonts w:ascii="Garamond" w:hAnsi="Garamond" w:cs="Arial"/>
          <w:sz w:val="24"/>
          <w:szCs w:val="24"/>
        </w:rPr>
        <w:t xml:space="preserve"> </w:t>
      </w:r>
      <w:r w:rsidRPr="00FC1D31">
        <w:rPr>
          <w:rStyle w:val="markedcontent"/>
          <w:rFonts w:ascii="Garamond" w:hAnsi="Garamond" w:cs="Arial"/>
          <w:sz w:val="24"/>
          <w:szCs w:val="24"/>
        </w:rPr>
        <w:t>agreements do not limit any State's sovereign right to regulate in the</w:t>
      </w:r>
      <w:r w:rsidR="00407D5B" w:rsidRPr="00FC1D31">
        <w:rPr>
          <w:rStyle w:val="markedcontent"/>
          <w:rFonts w:ascii="Garamond" w:hAnsi="Garamond" w:cs="Arial"/>
          <w:sz w:val="24"/>
          <w:szCs w:val="24"/>
        </w:rPr>
        <w:t xml:space="preserve"> </w:t>
      </w:r>
      <w:r w:rsidRPr="00FC1D31">
        <w:rPr>
          <w:rStyle w:val="markedcontent"/>
          <w:rFonts w:ascii="Garamond" w:hAnsi="Garamond" w:cs="Arial"/>
          <w:sz w:val="24"/>
          <w:szCs w:val="24"/>
        </w:rPr>
        <w:t xml:space="preserve">defence of public interest’ and that </w:t>
      </w:r>
      <w:r w:rsidR="00407D5B" w:rsidRPr="00FC1D31">
        <w:rPr>
          <w:rStyle w:val="markedcontent"/>
          <w:rFonts w:ascii="Garamond" w:hAnsi="Garamond" w:cs="Arial"/>
          <w:sz w:val="24"/>
          <w:szCs w:val="24"/>
        </w:rPr>
        <w:t>such treaties ‘</w:t>
      </w:r>
      <w:r w:rsidRPr="00FC1D31">
        <w:rPr>
          <w:rStyle w:val="markedcontent"/>
          <w:rFonts w:ascii="Garamond" w:hAnsi="Garamond" w:cs="Arial"/>
          <w:sz w:val="24"/>
          <w:szCs w:val="24"/>
        </w:rPr>
        <w:t>explicitly state that the investment</w:t>
      </w:r>
      <w:r w:rsidR="00407D5B" w:rsidRPr="00FC1D31">
        <w:rPr>
          <w:rFonts w:ascii="Garamond" w:hAnsi="Garamond"/>
          <w:sz w:val="24"/>
          <w:szCs w:val="24"/>
        </w:rPr>
        <w:t xml:space="preserve"> </w:t>
      </w:r>
      <w:r w:rsidRPr="00FC1D31">
        <w:rPr>
          <w:rStyle w:val="markedcontent"/>
          <w:rFonts w:ascii="Garamond" w:hAnsi="Garamond" w:cs="Arial"/>
          <w:sz w:val="24"/>
          <w:szCs w:val="24"/>
        </w:rPr>
        <w:t>protection rules do not affect the right of the State to change its legal and regulatory framework.</w:t>
      </w:r>
      <w:r w:rsidR="00407D5B" w:rsidRPr="00FC1D31">
        <w:rPr>
          <w:rStyle w:val="markedcontent"/>
          <w:rFonts w:ascii="Garamond" w:hAnsi="Garamond" w:cs="Arial"/>
          <w:sz w:val="24"/>
          <w:szCs w:val="24"/>
        </w:rPr>
        <w:t>’</w:t>
      </w:r>
      <w:r w:rsidR="00407D5B" w:rsidRPr="00FC1D31">
        <w:rPr>
          <w:rStyle w:val="FootnoteReference"/>
          <w:rFonts w:ascii="Garamond" w:hAnsi="Garamond" w:cs="Arial"/>
          <w:sz w:val="24"/>
          <w:szCs w:val="24"/>
        </w:rPr>
        <w:footnoteReference w:id="131"/>
      </w:r>
      <w:r w:rsidR="00407D5B" w:rsidRPr="00FC1D31">
        <w:rPr>
          <w:rStyle w:val="markedcontent"/>
          <w:rFonts w:ascii="Garamond" w:hAnsi="Garamond" w:cs="Arial"/>
          <w:sz w:val="24"/>
          <w:szCs w:val="24"/>
        </w:rPr>
        <w:t xml:space="preserve"> While acknowledging that the first generation investment treaties contained vague protections that ‘have opened the door to possible abuse’, the Commission highlights that its more recent agreements introduce more clarity in the scope of investment protections while reaffirming ‘the right to regulate</w:t>
      </w:r>
      <w:r w:rsidR="00407D5B" w:rsidRPr="00FC1D31">
        <w:rPr>
          <w:rFonts w:ascii="Garamond" w:hAnsi="Garamond"/>
          <w:sz w:val="24"/>
          <w:szCs w:val="24"/>
        </w:rPr>
        <w:t xml:space="preserve"> </w:t>
      </w:r>
      <w:r w:rsidR="00407D5B" w:rsidRPr="00FC1D31">
        <w:rPr>
          <w:rStyle w:val="markedcontent"/>
          <w:rFonts w:ascii="Garamond" w:hAnsi="Garamond" w:cs="Arial"/>
          <w:sz w:val="24"/>
          <w:szCs w:val="24"/>
        </w:rPr>
        <w:t>and to achieve legitimate policy objectives, such as public health, safety, environment, public morals and the promotion and protection of cultural diversity.’</w:t>
      </w:r>
      <w:r w:rsidR="00407D5B" w:rsidRPr="00FC1D31">
        <w:rPr>
          <w:rStyle w:val="FootnoteReference"/>
          <w:rFonts w:ascii="Garamond" w:hAnsi="Garamond" w:cs="Arial"/>
          <w:sz w:val="24"/>
          <w:szCs w:val="24"/>
        </w:rPr>
        <w:footnoteReference w:id="132"/>
      </w:r>
      <w:r w:rsidR="0099440A" w:rsidRPr="00FC1D31">
        <w:rPr>
          <w:rStyle w:val="markedcontent"/>
          <w:rFonts w:ascii="Garamond" w:hAnsi="Garamond" w:cs="Arial"/>
          <w:sz w:val="24"/>
          <w:szCs w:val="24"/>
        </w:rPr>
        <w:t xml:space="preserve"> The new investment treaties now also require that investors comply with domestic laws of the host state.</w:t>
      </w:r>
    </w:p>
    <w:p w14:paraId="0B6E51EB" w14:textId="224953F4" w:rsidR="002902A1" w:rsidRPr="00FC1D31" w:rsidRDefault="002902A1" w:rsidP="00407D5B">
      <w:pPr>
        <w:autoSpaceDE w:val="0"/>
        <w:autoSpaceDN w:val="0"/>
        <w:adjustRightInd w:val="0"/>
        <w:spacing w:after="0" w:line="240" w:lineRule="auto"/>
        <w:jc w:val="both"/>
        <w:rPr>
          <w:rFonts w:ascii="Garamond" w:hAnsi="Garamond" w:cs="AdvOT1ef757c0"/>
          <w:sz w:val="24"/>
          <w:szCs w:val="24"/>
        </w:rPr>
      </w:pPr>
    </w:p>
    <w:p w14:paraId="7226783A" w14:textId="3A6CF644" w:rsidR="002902A1" w:rsidRPr="00FC1D31" w:rsidRDefault="002902A1" w:rsidP="00407D5B">
      <w:pPr>
        <w:autoSpaceDE w:val="0"/>
        <w:autoSpaceDN w:val="0"/>
        <w:adjustRightInd w:val="0"/>
        <w:spacing w:after="0" w:line="240" w:lineRule="auto"/>
        <w:jc w:val="both"/>
        <w:rPr>
          <w:rFonts w:ascii="Garamond" w:hAnsi="Garamond" w:cs="AdvOT1ef757c0"/>
          <w:sz w:val="24"/>
          <w:szCs w:val="24"/>
        </w:rPr>
      </w:pPr>
      <w:r w:rsidRPr="00FC1D31">
        <w:rPr>
          <w:rFonts w:ascii="Garamond" w:hAnsi="Garamond" w:cs="AdvOT1ef757c0"/>
          <w:sz w:val="24"/>
          <w:szCs w:val="24"/>
        </w:rPr>
        <w:lastRenderedPageBreak/>
        <w:t xml:space="preserve">The more recent EU investment treaty texts are indeed a vast improvement on the vague and sparsely worded drafting templates behind the first generation. The more detailed formulation of the fair and equitable treatment, non-discrimination and expropriation provisions might help curb excessive and wide-reaching interpretations produced by arbitral tribunals in the context of disputes under the old investment treaties. Fundamentally, however, the modernisation of investment agreements does not alter their nature: just like the old generation the major thrust of these agreements is to enable investors to challenge a wide range of governmental measures. The addition of declaratory clauses affirming the state parties’ right to regulate does not </w:t>
      </w:r>
      <w:r w:rsidR="002E40DD" w:rsidRPr="00FC1D31">
        <w:rPr>
          <w:rFonts w:ascii="Garamond" w:hAnsi="Garamond" w:cs="AdvOT1ef757c0"/>
          <w:sz w:val="24"/>
          <w:szCs w:val="24"/>
        </w:rPr>
        <w:t>counter the effect of substantive protections such treaties continue to guarantee. Some of the new formulations have been criticised for reinforcing investment protections: the much contested but often deployed ‘legitimate expectations’ of investors are now expressly covered in the new EU agreements</w:t>
      </w:r>
      <w:r w:rsidR="00AC7732" w:rsidRPr="00FC1D31">
        <w:rPr>
          <w:rFonts w:ascii="Garamond" w:hAnsi="Garamond" w:cs="AdvOT1ef757c0"/>
          <w:sz w:val="24"/>
          <w:szCs w:val="24"/>
        </w:rPr>
        <w:t>.</w:t>
      </w:r>
      <w:r w:rsidR="002E40DD" w:rsidRPr="00FC1D31">
        <w:rPr>
          <w:rStyle w:val="FootnoteReference"/>
          <w:rFonts w:ascii="Garamond" w:hAnsi="Garamond" w:cs="AdvOT1ef757c0"/>
          <w:sz w:val="24"/>
          <w:szCs w:val="24"/>
        </w:rPr>
        <w:footnoteReference w:id="133"/>
      </w:r>
      <w:r w:rsidR="00AC7732" w:rsidRPr="00FC1D31">
        <w:rPr>
          <w:rFonts w:ascii="Garamond" w:hAnsi="Garamond" w:cs="AdvOT1ef757c0"/>
          <w:sz w:val="24"/>
          <w:szCs w:val="24"/>
        </w:rPr>
        <w:t xml:space="preserve"> Furthermore, recent arbitration awards under the treaties which contained similar clarifications and the affirmation of the right to regulate defeat some of the Commission’s arguments about the effect of its modernisation efforts. For instance, in the much-criticised </w:t>
      </w:r>
      <w:r w:rsidR="00AC7732" w:rsidRPr="00FC1D31">
        <w:rPr>
          <w:rFonts w:ascii="Garamond" w:hAnsi="Garamond" w:cs="AdvOT1ef757c0"/>
          <w:i/>
          <w:sz w:val="24"/>
          <w:szCs w:val="24"/>
        </w:rPr>
        <w:t>Bear Creek v Peru</w:t>
      </w:r>
      <w:r w:rsidR="00AC7732" w:rsidRPr="00FC1D31">
        <w:rPr>
          <w:rFonts w:ascii="Garamond" w:hAnsi="Garamond" w:cs="AdvOT1ef757c0"/>
          <w:sz w:val="24"/>
          <w:szCs w:val="24"/>
        </w:rPr>
        <w:t xml:space="preserve"> and </w:t>
      </w:r>
      <w:r w:rsidR="00AC7732" w:rsidRPr="00FC1D31">
        <w:rPr>
          <w:rFonts w:ascii="Garamond" w:hAnsi="Garamond" w:cs="AdvOT1ef757c0"/>
          <w:i/>
          <w:sz w:val="24"/>
          <w:szCs w:val="24"/>
        </w:rPr>
        <w:t>Eco Oro v Colombia</w:t>
      </w:r>
      <w:r w:rsidR="00AC7732" w:rsidRPr="00FC1D31">
        <w:rPr>
          <w:rFonts w:ascii="Garamond" w:hAnsi="Garamond" w:cs="AdvOT1ef757c0"/>
          <w:sz w:val="24"/>
          <w:szCs w:val="24"/>
        </w:rPr>
        <w:t>,</w:t>
      </w:r>
      <w:r w:rsidR="00B457B3" w:rsidRPr="00FC1D31">
        <w:rPr>
          <w:rStyle w:val="FootnoteReference"/>
          <w:rFonts w:ascii="Garamond" w:hAnsi="Garamond" w:cs="AdvOT1ef757c0"/>
          <w:sz w:val="24"/>
          <w:szCs w:val="24"/>
        </w:rPr>
        <w:footnoteReference w:id="134"/>
      </w:r>
      <w:r w:rsidR="00AC7732" w:rsidRPr="00FC1D31">
        <w:rPr>
          <w:rFonts w:ascii="Garamond" w:hAnsi="Garamond" w:cs="AdvOT1ef757c0"/>
          <w:sz w:val="24"/>
          <w:szCs w:val="24"/>
        </w:rPr>
        <w:t xml:space="preserve"> arbitral tribunals ignored the explicit hierarchy between public policy objectives and investment protection and concluded that, even in the presence of treaty exceptions for public policy measures, the states were under an obligation to compensate investors for the economic loss caused by such measures. It has been pointed out that </w:t>
      </w:r>
      <w:r w:rsidR="0099440A" w:rsidRPr="00FC1D31">
        <w:rPr>
          <w:rFonts w:ascii="Garamond" w:hAnsi="Garamond" w:cs="AdvOT1ef757c0"/>
          <w:sz w:val="24"/>
          <w:szCs w:val="24"/>
        </w:rPr>
        <w:t>the in</w:t>
      </w:r>
      <w:r w:rsidR="00FC2B34" w:rsidRPr="00FC1D31">
        <w:rPr>
          <w:rFonts w:ascii="Garamond" w:hAnsi="Garamond" w:cs="AdvOT1ef757c0"/>
          <w:sz w:val="24"/>
          <w:szCs w:val="24"/>
        </w:rPr>
        <w:t xml:space="preserve">corporation into investment treaties </w:t>
      </w:r>
      <w:r w:rsidR="004B49A4" w:rsidRPr="00FC1D31">
        <w:rPr>
          <w:rFonts w:ascii="Garamond" w:hAnsi="Garamond" w:cs="AdvOT1ef757c0"/>
          <w:sz w:val="24"/>
          <w:szCs w:val="24"/>
        </w:rPr>
        <w:t xml:space="preserve">of </w:t>
      </w:r>
      <w:r w:rsidR="0099440A" w:rsidRPr="00FC1D31">
        <w:rPr>
          <w:rFonts w:ascii="Garamond" w:hAnsi="Garamond" w:cs="AdvOT1ef757c0"/>
          <w:sz w:val="24"/>
          <w:szCs w:val="24"/>
        </w:rPr>
        <w:t xml:space="preserve">public policy exceptions, carve-outs or requirements to comply with domestic laws </w:t>
      </w:r>
      <w:r w:rsidR="00FC2B34" w:rsidRPr="00FC1D31">
        <w:rPr>
          <w:rFonts w:ascii="Garamond" w:hAnsi="Garamond" w:cs="AdvOT1ef757c0"/>
          <w:sz w:val="24"/>
          <w:szCs w:val="24"/>
        </w:rPr>
        <w:t xml:space="preserve">so far </w:t>
      </w:r>
      <w:r w:rsidR="0099440A" w:rsidRPr="00FC1D31">
        <w:rPr>
          <w:rFonts w:ascii="Garamond" w:hAnsi="Garamond" w:cs="AdvOT1ef757c0"/>
          <w:sz w:val="24"/>
          <w:szCs w:val="24"/>
        </w:rPr>
        <w:t>has not led to interpretation</w:t>
      </w:r>
      <w:r w:rsidR="004B49A4" w:rsidRPr="00FC1D31">
        <w:rPr>
          <w:rFonts w:ascii="Garamond" w:hAnsi="Garamond" w:cs="AdvOT1ef757c0"/>
          <w:sz w:val="24"/>
          <w:szCs w:val="24"/>
        </w:rPr>
        <w:t>s</w:t>
      </w:r>
      <w:r w:rsidR="0099440A" w:rsidRPr="00FC1D31">
        <w:rPr>
          <w:rFonts w:ascii="Garamond" w:hAnsi="Garamond" w:cs="AdvOT1ef757c0"/>
          <w:sz w:val="24"/>
          <w:szCs w:val="24"/>
        </w:rPr>
        <w:t xml:space="preserve"> compatible with human rights and sustainability standards.</w:t>
      </w:r>
      <w:r w:rsidR="0099440A" w:rsidRPr="00FC1D31">
        <w:rPr>
          <w:rStyle w:val="FootnoteReference"/>
          <w:rFonts w:ascii="Garamond" w:hAnsi="Garamond" w:cs="AdvOT1ef757c0"/>
          <w:sz w:val="24"/>
          <w:szCs w:val="24"/>
        </w:rPr>
        <w:footnoteReference w:id="135"/>
      </w:r>
      <w:r w:rsidR="00FC2B34" w:rsidRPr="00FC1D31">
        <w:rPr>
          <w:rFonts w:ascii="Garamond" w:hAnsi="Garamond" w:cs="AdvOT1ef757c0"/>
          <w:sz w:val="24"/>
          <w:szCs w:val="24"/>
        </w:rPr>
        <w:t xml:space="preserve"> Just like the first generation treaties, the new investment agreements of the EU follow the original design which was based on the perceived need to insulate investors from governmental interference of any kind, be it for protectionist reasons or the pursuit of non-economic, social policy objectives.</w:t>
      </w:r>
    </w:p>
    <w:p w14:paraId="432ECD88" w14:textId="77777777" w:rsidR="00381FD9" w:rsidRPr="00FC1D31" w:rsidRDefault="00381FD9" w:rsidP="007E652A">
      <w:pPr>
        <w:autoSpaceDE w:val="0"/>
        <w:autoSpaceDN w:val="0"/>
        <w:adjustRightInd w:val="0"/>
        <w:spacing w:after="0" w:line="240" w:lineRule="auto"/>
        <w:jc w:val="both"/>
        <w:rPr>
          <w:rFonts w:ascii="Garamond" w:hAnsi="Garamond"/>
          <w:sz w:val="24"/>
          <w:szCs w:val="24"/>
        </w:rPr>
      </w:pPr>
    </w:p>
    <w:p w14:paraId="0F243DBD" w14:textId="6083A64A" w:rsidR="001B3F8C" w:rsidRPr="00FC1D31" w:rsidRDefault="005C4D45" w:rsidP="009E2843">
      <w:pPr>
        <w:pStyle w:val="ListParagraph"/>
        <w:numPr>
          <w:ilvl w:val="0"/>
          <w:numId w:val="3"/>
        </w:numPr>
        <w:autoSpaceDE w:val="0"/>
        <w:autoSpaceDN w:val="0"/>
        <w:adjustRightInd w:val="0"/>
        <w:spacing w:after="0" w:line="240" w:lineRule="auto"/>
        <w:rPr>
          <w:rFonts w:ascii="Garamond" w:hAnsi="Garamond"/>
          <w:sz w:val="24"/>
          <w:szCs w:val="24"/>
        </w:rPr>
      </w:pPr>
      <w:r w:rsidRPr="00FC1D31">
        <w:rPr>
          <w:rFonts w:ascii="Garamond" w:hAnsi="Garamond"/>
          <w:sz w:val="24"/>
          <w:szCs w:val="24"/>
        </w:rPr>
        <w:t>Conclusion</w:t>
      </w:r>
    </w:p>
    <w:p w14:paraId="02C5D68D" w14:textId="7AC48954" w:rsidR="005C4D45" w:rsidRPr="00FC1D31" w:rsidRDefault="005C4D45" w:rsidP="003A2008">
      <w:pPr>
        <w:autoSpaceDE w:val="0"/>
        <w:autoSpaceDN w:val="0"/>
        <w:adjustRightInd w:val="0"/>
        <w:spacing w:after="0" w:line="240" w:lineRule="auto"/>
        <w:rPr>
          <w:rFonts w:ascii="Garamond" w:hAnsi="Garamond"/>
          <w:sz w:val="24"/>
          <w:szCs w:val="24"/>
        </w:rPr>
      </w:pPr>
    </w:p>
    <w:p w14:paraId="6DA3E82F" w14:textId="743B1520" w:rsidR="004A115B" w:rsidRPr="00FC1D31" w:rsidRDefault="005C4D45" w:rsidP="005C4D45">
      <w:pPr>
        <w:autoSpaceDE w:val="0"/>
        <w:autoSpaceDN w:val="0"/>
        <w:adjustRightInd w:val="0"/>
        <w:spacing w:after="0" w:line="240" w:lineRule="auto"/>
        <w:jc w:val="both"/>
        <w:rPr>
          <w:rFonts w:ascii="Garamond" w:hAnsi="Garamond"/>
          <w:sz w:val="24"/>
          <w:szCs w:val="24"/>
        </w:rPr>
      </w:pPr>
      <w:r w:rsidRPr="00FC1D31">
        <w:rPr>
          <w:rFonts w:ascii="Garamond" w:hAnsi="Garamond"/>
          <w:sz w:val="24"/>
          <w:szCs w:val="24"/>
        </w:rPr>
        <w:t>When launching its new open, sustainable and assertive trade policy, the Commission unequivocally recognised that ‘[g]lobal trade rules are in urgent need of being updated to reflect today’s economic environment and the challenges the global community faces.’</w:t>
      </w:r>
      <w:r w:rsidRPr="00FC1D31">
        <w:rPr>
          <w:rStyle w:val="FootnoteReference"/>
          <w:rFonts w:ascii="Garamond" w:hAnsi="Garamond"/>
          <w:sz w:val="24"/>
          <w:szCs w:val="24"/>
        </w:rPr>
        <w:footnoteReference w:id="136"/>
      </w:r>
      <w:r w:rsidRPr="00FC1D31">
        <w:rPr>
          <w:rFonts w:ascii="Garamond" w:hAnsi="Garamond"/>
          <w:sz w:val="24"/>
          <w:szCs w:val="24"/>
        </w:rPr>
        <w:t xml:space="preserve"> This article has </w:t>
      </w:r>
      <w:r w:rsidR="00BC3518" w:rsidRPr="00FC1D31">
        <w:rPr>
          <w:rFonts w:ascii="Garamond" w:hAnsi="Garamond"/>
          <w:sz w:val="24"/>
          <w:szCs w:val="24"/>
        </w:rPr>
        <w:t>d</w:t>
      </w:r>
      <w:r w:rsidRPr="00FC1D31">
        <w:rPr>
          <w:rFonts w:ascii="Garamond" w:hAnsi="Garamond"/>
          <w:sz w:val="24"/>
          <w:szCs w:val="24"/>
        </w:rPr>
        <w:t>emonstrate</w:t>
      </w:r>
      <w:r w:rsidR="00BC3518" w:rsidRPr="00FC1D31">
        <w:rPr>
          <w:rFonts w:ascii="Garamond" w:hAnsi="Garamond"/>
          <w:sz w:val="24"/>
          <w:szCs w:val="24"/>
        </w:rPr>
        <w:t>d</w:t>
      </w:r>
      <w:r w:rsidRPr="00FC1D31">
        <w:rPr>
          <w:rFonts w:ascii="Garamond" w:hAnsi="Garamond"/>
          <w:sz w:val="24"/>
          <w:szCs w:val="24"/>
        </w:rPr>
        <w:t xml:space="preserve"> that the newly introduced pillars of the EU’s more defensive and sustainable approach to investment mirror profound transformations in the prevailing thinking about the </w:t>
      </w:r>
      <w:r w:rsidR="004A115B" w:rsidRPr="00FC1D31">
        <w:rPr>
          <w:rFonts w:ascii="Garamond" w:hAnsi="Garamond"/>
          <w:sz w:val="24"/>
          <w:szCs w:val="24"/>
        </w:rPr>
        <w:t>impact of foreign</w:t>
      </w:r>
      <w:r w:rsidRPr="00FC1D31">
        <w:rPr>
          <w:rFonts w:ascii="Garamond" w:hAnsi="Garamond"/>
          <w:sz w:val="24"/>
          <w:szCs w:val="24"/>
        </w:rPr>
        <w:t xml:space="preserve"> investment</w:t>
      </w:r>
      <w:r w:rsidR="00EB2107" w:rsidRPr="00FC1D31">
        <w:rPr>
          <w:rFonts w:ascii="Garamond" w:hAnsi="Garamond"/>
          <w:sz w:val="24"/>
          <w:szCs w:val="24"/>
        </w:rPr>
        <w:t xml:space="preserve"> on the economy and society</w:t>
      </w:r>
      <w:r w:rsidR="00BB336E" w:rsidRPr="00FC1D31">
        <w:rPr>
          <w:rFonts w:ascii="Garamond" w:hAnsi="Garamond"/>
          <w:sz w:val="24"/>
          <w:szCs w:val="24"/>
        </w:rPr>
        <w:t xml:space="preserve">. There is growing consensus that foreign investment can be not only the source of </w:t>
      </w:r>
      <w:r w:rsidRPr="00FC1D31">
        <w:rPr>
          <w:rFonts w:ascii="Garamond" w:hAnsi="Garamond"/>
          <w:sz w:val="24"/>
          <w:szCs w:val="24"/>
        </w:rPr>
        <w:t xml:space="preserve">economic growth but also </w:t>
      </w:r>
      <w:r w:rsidR="00BB336E" w:rsidRPr="00FC1D31">
        <w:rPr>
          <w:rFonts w:ascii="Garamond" w:hAnsi="Garamond"/>
          <w:sz w:val="24"/>
          <w:szCs w:val="24"/>
        </w:rPr>
        <w:t xml:space="preserve">have </w:t>
      </w:r>
      <w:r w:rsidR="00DA4812" w:rsidRPr="00FC1D31">
        <w:rPr>
          <w:rFonts w:ascii="Garamond" w:hAnsi="Garamond"/>
          <w:sz w:val="24"/>
          <w:szCs w:val="24"/>
        </w:rPr>
        <w:t xml:space="preserve">significant </w:t>
      </w:r>
      <w:r w:rsidR="00BB336E" w:rsidRPr="00FC1D31">
        <w:rPr>
          <w:rFonts w:ascii="Garamond" w:hAnsi="Garamond"/>
          <w:sz w:val="24"/>
          <w:szCs w:val="24"/>
        </w:rPr>
        <w:t xml:space="preserve">implications for </w:t>
      </w:r>
      <w:r w:rsidRPr="00FC1D31">
        <w:rPr>
          <w:rFonts w:ascii="Garamond" w:hAnsi="Garamond"/>
          <w:sz w:val="24"/>
          <w:szCs w:val="24"/>
        </w:rPr>
        <w:t xml:space="preserve">geopolitical </w:t>
      </w:r>
      <w:r w:rsidR="00BB336E" w:rsidRPr="00FC1D31">
        <w:rPr>
          <w:rFonts w:ascii="Garamond" w:hAnsi="Garamond"/>
          <w:sz w:val="24"/>
          <w:szCs w:val="24"/>
        </w:rPr>
        <w:t>stability</w:t>
      </w:r>
      <w:r w:rsidR="004A115B" w:rsidRPr="00FC1D31">
        <w:rPr>
          <w:rFonts w:ascii="Garamond" w:hAnsi="Garamond"/>
          <w:sz w:val="24"/>
          <w:szCs w:val="24"/>
        </w:rPr>
        <w:t xml:space="preserve"> and the protection of human rights, environment protection and labour standards. Whilst acknowledging that the </w:t>
      </w:r>
      <w:r w:rsidR="00C718D5" w:rsidRPr="00FC1D31">
        <w:rPr>
          <w:rFonts w:ascii="Garamond" w:hAnsi="Garamond"/>
          <w:sz w:val="24"/>
          <w:szCs w:val="24"/>
        </w:rPr>
        <w:t>inexorable</w:t>
      </w:r>
      <w:r w:rsidR="004A115B" w:rsidRPr="00FC1D31">
        <w:rPr>
          <w:rFonts w:ascii="Garamond" w:hAnsi="Garamond"/>
          <w:sz w:val="24"/>
          <w:szCs w:val="24"/>
        </w:rPr>
        <w:t xml:space="preserve"> pursuit of open markets ha</w:t>
      </w:r>
      <w:r w:rsidR="0070119D" w:rsidRPr="00FC1D31">
        <w:rPr>
          <w:rFonts w:ascii="Garamond" w:hAnsi="Garamond"/>
          <w:sz w:val="24"/>
          <w:szCs w:val="24"/>
        </w:rPr>
        <w:t>s</w:t>
      </w:r>
      <w:r w:rsidR="004A115B" w:rsidRPr="00FC1D31">
        <w:rPr>
          <w:rFonts w:ascii="Garamond" w:hAnsi="Garamond"/>
          <w:sz w:val="24"/>
          <w:szCs w:val="24"/>
        </w:rPr>
        <w:t xml:space="preserve"> exacerbated inequalities and left behind individuals and communities globally, the Commission’s vision of new </w:t>
      </w:r>
      <w:r w:rsidR="00BB336E" w:rsidRPr="00FC1D31">
        <w:rPr>
          <w:rFonts w:ascii="Garamond" w:hAnsi="Garamond"/>
          <w:sz w:val="24"/>
          <w:szCs w:val="24"/>
        </w:rPr>
        <w:t>investment</w:t>
      </w:r>
      <w:r w:rsidR="004A115B" w:rsidRPr="00FC1D31">
        <w:rPr>
          <w:rFonts w:ascii="Garamond" w:hAnsi="Garamond"/>
          <w:sz w:val="24"/>
          <w:szCs w:val="24"/>
        </w:rPr>
        <w:t xml:space="preserve"> policy foregrounds the importance of fair and level-playing field, sustainability and universal values. Although some of the recently proposed policy mechanisms might go some way to address the </w:t>
      </w:r>
      <w:r w:rsidR="0070119D" w:rsidRPr="00FC1D31">
        <w:rPr>
          <w:rFonts w:ascii="Garamond" w:hAnsi="Garamond"/>
          <w:sz w:val="24"/>
          <w:szCs w:val="24"/>
        </w:rPr>
        <w:t>concerns</w:t>
      </w:r>
      <w:r w:rsidR="004A115B" w:rsidRPr="00FC1D31">
        <w:rPr>
          <w:rFonts w:ascii="Garamond" w:hAnsi="Garamond"/>
          <w:sz w:val="24"/>
          <w:szCs w:val="24"/>
        </w:rPr>
        <w:t xml:space="preserve"> </w:t>
      </w:r>
      <w:r w:rsidR="0070119D" w:rsidRPr="00FC1D31">
        <w:rPr>
          <w:rFonts w:ascii="Garamond" w:hAnsi="Garamond"/>
          <w:sz w:val="24"/>
          <w:szCs w:val="24"/>
        </w:rPr>
        <w:t>underpinning</w:t>
      </w:r>
      <w:r w:rsidR="004A115B" w:rsidRPr="00FC1D31">
        <w:rPr>
          <w:rFonts w:ascii="Garamond" w:hAnsi="Garamond"/>
          <w:sz w:val="24"/>
          <w:szCs w:val="24"/>
        </w:rPr>
        <w:t xml:space="preserve"> the EU’s move towards open strategic autonomy in </w:t>
      </w:r>
      <w:r w:rsidR="00BB336E" w:rsidRPr="00FC1D31">
        <w:rPr>
          <w:rFonts w:ascii="Garamond" w:hAnsi="Garamond"/>
          <w:sz w:val="24"/>
          <w:szCs w:val="24"/>
        </w:rPr>
        <w:t>global economic</w:t>
      </w:r>
      <w:r w:rsidR="004A115B" w:rsidRPr="00FC1D31">
        <w:rPr>
          <w:rFonts w:ascii="Garamond" w:hAnsi="Garamond"/>
          <w:sz w:val="24"/>
          <w:szCs w:val="24"/>
        </w:rPr>
        <w:t xml:space="preserve"> relations</w:t>
      </w:r>
      <w:r w:rsidR="0070119D" w:rsidRPr="00FC1D31">
        <w:rPr>
          <w:rFonts w:ascii="Garamond" w:hAnsi="Garamond"/>
          <w:sz w:val="24"/>
          <w:szCs w:val="24"/>
        </w:rPr>
        <w:t xml:space="preserve">, there is a fundamental and systemic clash between the key pillars of </w:t>
      </w:r>
      <w:r w:rsidR="00BB336E" w:rsidRPr="00FC1D31">
        <w:rPr>
          <w:rFonts w:ascii="Garamond" w:hAnsi="Garamond"/>
          <w:sz w:val="24"/>
          <w:szCs w:val="24"/>
        </w:rPr>
        <w:t xml:space="preserve">the </w:t>
      </w:r>
      <w:r w:rsidR="00BB336E" w:rsidRPr="00FC1D31">
        <w:rPr>
          <w:rFonts w:ascii="Garamond" w:hAnsi="Garamond"/>
          <w:sz w:val="24"/>
          <w:szCs w:val="24"/>
        </w:rPr>
        <w:lastRenderedPageBreak/>
        <w:t xml:space="preserve">emerging </w:t>
      </w:r>
      <w:r w:rsidR="0070119D" w:rsidRPr="00FC1D31">
        <w:rPr>
          <w:rFonts w:ascii="Garamond" w:hAnsi="Garamond"/>
          <w:sz w:val="24"/>
          <w:szCs w:val="24"/>
        </w:rPr>
        <w:t xml:space="preserve">EU investment policy. Just like the Janus-faced corporation, one arm of EU investment policy </w:t>
      </w:r>
      <w:r w:rsidR="00EB7FCE" w:rsidRPr="00FC1D31">
        <w:rPr>
          <w:rFonts w:ascii="Garamond" w:hAnsi="Garamond"/>
          <w:sz w:val="24"/>
          <w:szCs w:val="24"/>
        </w:rPr>
        <w:t xml:space="preserve">purportedly </w:t>
      </w:r>
      <w:r w:rsidR="0070119D" w:rsidRPr="00FC1D31">
        <w:rPr>
          <w:rFonts w:ascii="Garamond" w:hAnsi="Garamond"/>
          <w:sz w:val="24"/>
          <w:szCs w:val="24"/>
        </w:rPr>
        <w:t>seeks to ensure sustainable, fairer and secure growth, while the other continues to enforce disciplines designed to constrain state powers to pursue public policy objectives.</w:t>
      </w:r>
      <w:r w:rsidR="00BC7A17" w:rsidRPr="00FC1D31">
        <w:rPr>
          <w:rFonts w:ascii="Garamond" w:hAnsi="Garamond"/>
          <w:sz w:val="24"/>
          <w:szCs w:val="24"/>
        </w:rPr>
        <w:t xml:space="preserve"> The adoption of new instruments on investment scrutiny, level-playing field and corporate due diligence </w:t>
      </w:r>
      <w:proofErr w:type="gramStart"/>
      <w:r w:rsidR="00BC7A17" w:rsidRPr="00FC1D31">
        <w:rPr>
          <w:rFonts w:ascii="Garamond" w:hAnsi="Garamond"/>
          <w:sz w:val="24"/>
          <w:szCs w:val="24"/>
        </w:rPr>
        <w:t>represent</w:t>
      </w:r>
      <w:proofErr w:type="gramEnd"/>
      <w:r w:rsidR="00BC7A17" w:rsidRPr="00FC1D31">
        <w:rPr>
          <w:rFonts w:ascii="Garamond" w:hAnsi="Garamond"/>
          <w:sz w:val="24"/>
          <w:szCs w:val="24"/>
        </w:rPr>
        <w:t xml:space="preserve"> a dramatic departure from the old orthodoxies on the role of investment in the </w:t>
      </w:r>
      <w:r w:rsidR="00EB7FCE" w:rsidRPr="00FC1D31">
        <w:rPr>
          <w:rFonts w:ascii="Garamond" w:hAnsi="Garamond"/>
          <w:sz w:val="24"/>
          <w:szCs w:val="24"/>
        </w:rPr>
        <w:t>political, economic and social relations globally and domestically</w:t>
      </w:r>
      <w:r w:rsidR="00BC7A17" w:rsidRPr="00FC1D31">
        <w:rPr>
          <w:rFonts w:ascii="Garamond" w:hAnsi="Garamond"/>
          <w:sz w:val="24"/>
          <w:szCs w:val="24"/>
        </w:rPr>
        <w:t xml:space="preserve">. By contrast, despite the recent modernisation efforts, international investment agreements continue to </w:t>
      </w:r>
      <w:r w:rsidR="00BB336E" w:rsidRPr="00FC1D31">
        <w:rPr>
          <w:rFonts w:ascii="Garamond" w:hAnsi="Garamond"/>
          <w:sz w:val="24"/>
          <w:szCs w:val="24"/>
        </w:rPr>
        <w:t xml:space="preserve">operate in a manner that </w:t>
      </w:r>
      <w:r w:rsidR="00EB7FCE" w:rsidRPr="00FC1D31">
        <w:rPr>
          <w:rFonts w:ascii="Garamond" w:hAnsi="Garamond"/>
          <w:sz w:val="24"/>
          <w:szCs w:val="24"/>
        </w:rPr>
        <w:t>does not enable</w:t>
      </w:r>
      <w:r w:rsidR="00BC7A17" w:rsidRPr="00FC1D31">
        <w:rPr>
          <w:rFonts w:ascii="Garamond" w:hAnsi="Garamond"/>
          <w:sz w:val="24"/>
          <w:szCs w:val="24"/>
        </w:rPr>
        <w:t xml:space="preserve"> but</w:t>
      </w:r>
      <w:r w:rsidR="00EB7FCE" w:rsidRPr="00FC1D31">
        <w:rPr>
          <w:rFonts w:ascii="Garamond" w:hAnsi="Garamond"/>
          <w:sz w:val="24"/>
          <w:szCs w:val="24"/>
        </w:rPr>
        <w:t xml:space="preserve"> rather</w:t>
      </w:r>
      <w:r w:rsidR="00BC7A17" w:rsidRPr="00FC1D31">
        <w:rPr>
          <w:rFonts w:ascii="Garamond" w:hAnsi="Garamond"/>
          <w:sz w:val="24"/>
          <w:szCs w:val="24"/>
        </w:rPr>
        <w:t xml:space="preserve"> hinder a move towards fairer</w:t>
      </w:r>
      <w:r w:rsidR="00B46744" w:rsidRPr="00FC1D31">
        <w:rPr>
          <w:rFonts w:ascii="Garamond" w:hAnsi="Garamond"/>
          <w:sz w:val="24"/>
          <w:szCs w:val="24"/>
        </w:rPr>
        <w:t xml:space="preserve"> and sustainable economic policy.</w:t>
      </w:r>
      <w:r w:rsidR="00C718D5" w:rsidRPr="00FC1D31">
        <w:rPr>
          <w:rFonts w:ascii="Garamond" w:hAnsi="Garamond"/>
          <w:sz w:val="24"/>
          <w:szCs w:val="24"/>
        </w:rPr>
        <w:t xml:space="preserve"> </w:t>
      </w:r>
      <w:r w:rsidR="001E23E4" w:rsidRPr="00FC1D31">
        <w:rPr>
          <w:rFonts w:ascii="Garamond" w:hAnsi="Garamond"/>
          <w:sz w:val="24"/>
          <w:szCs w:val="24"/>
        </w:rPr>
        <w:t xml:space="preserve">At the same time, </w:t>
      </w:r>
      <w:r w:rsidR="00EB7FCE" w:rsidRPr="00FC1D31">
        <w:rPr>
          <w:rFonts w:ascii="Garamond" w:hAnsi="Garamond"/>
          <w:sz w:val="24"/>
          <w:szCs w:val="24"/>
        </w:rPr>
        <w:t xml:space="preserve">when looking at the emerging contours of EU investment </w:t>
      </w:r>
      <w:proofErr w:type="gramStart"/>
      <w:r w:rsidR="00EB7FCE" w:rsidRPr="00FC1D31">
        <w:rPr>
          <w:rFonts w:ascii="Garamond" w:hAnsi="Garamond"/>
          <w:sz w:val="24"/>
          <w:szCs w:val="24"/>
        </w:rPr>
        <w:t>policy as a whole, the</w:t>
      </w:r>
      <w:proofErr w:type="gramEnd"/>
      <w:r w:rsidR="00EB7FCE" w:rsidRPr="00FC1D31">
        <w:rPr>
          <w:rFonts w:ascii="Garamond" w:hAnsi="Garamond"/>
          <w:sz w:val="24"/>
          <w:szCs w:val="24"/>
        </w:rPr>
        <w:t xml:space="preserve"> move towards </w:t>
      </w:r>
      <w:r w:rsidR="001E23E4" w:rsidRPr="00FC1D31">
        <w:rPr>
          <w:rFonts w:ascii="Garamond" w:hAnsi="Garamond"/>
          <w:sz w:val="24"/>
          <w:szCs w:val="24"/>
        </w:rPr>
        <w:t>tighter scrutiny and closer oversight of foreign investment alone cannot alleviate the root causes</w:t>
      </w:r>
      <w:r w:rsidR="00EB2107" w:rsidRPr="00FC1D31">
        <w:rPr>
          <w:rFonts w:ascii="Garamond" w:hAnsi="Garamond"/>
          <w:sz w:val="24"/>
          <w:szCs w:val="24"/>
        </w:rPr>
        <w:t xml:space="preserve"> beneath</w:t>
      </w:r>
      <w:r w:rsidR="001E23E4" w:rsidRPr="00FC1D31">
        <w:rPr>
          <w:rFonts w:ascii="Garamond" w:hAnsi="Garamond"/>
          <w:sz w:val="24"/>
          <w:szCs w:val="24"/>
        </w:rPr>
        <w:t xml:space="preserve"> </w:t>
      </w:r>
      <w:r w:rsidR="00291610">
        <w:rPr>
          <w:rFonts w:ascii="Garamond" w:hAnsi="Garamond"/>
          <w:sz w:val="24"/>
          <w:szCs w:val="24"/>
        </w:rPr>
        <w:t xml:space="preserve">the </w:t>
      </w:r>
      <w:r w:rsidR="00BE7FDF" w:rsidRPr="00FC1D31">
        <w:rPr>
          <w:rFonts w:ascii="Garamond" w:hAnsi="Garamond"/>
          <w:sz w:val="24"/>
          <w:szCs w:val="24"/>
        </w:rPr>
        <w:t>heightened security and resilience concerns</w:t>
      </w:r>
      <w:r w:rsidR="001E23E4" w:rsidRPr="00FC1D31">
        <w:rPr>
          <w:rFonts w:ascii="Garamond" w:hAnsi="Garamond"/>
          <w:sz w:val="24"/>
          <w:szCs w:val="24"/>
        </w:rPr>
        <w:t>. S</w:t>
      </w:r>
      <w:r w:rsidR="00C718D5" w:rsidRPr="00FC1D31">
        <w:rPr>
          <w:rFonts w:ascii="Garamond" w:hAnsi="Garamond"/>
          <w:sz w:val="24"/>
          <w:szCs w:val="24"/>
        </w:rPr>
        <w:t>topping China, reigning in state-owned investments and levelling the playing field will not be enough to address globalise trade’</w:t>
      </w:r>
      <w:r w:rsidR="001E23E4" w:rsidRPr="00FC1D31">
        <w:rPr>
          <w:rFonts w:ascii="Garamond" w:hAnsi="Garamond"/>
          <w:sz w:val="24"/>
          <w:szCs w:val="24"/>
        </w:rPr>
        <w:t>s ‘dichotomous impact on economies and societies.'</w:t>
      </w:r>
      <w:r w:rsidR="001E23E4" w:rsidRPr="00FC1D31">
        <w:rPr>
          <w:rStyle w:val="FootnoteReference"/>
          <w:rFonts w:ascii="Garamond" w:hAnsi="Garamond"/>
          <w:sz w:val="24"/>
          <w:szCs w:val="24"/>
        </w:rPr>
        <w:footnoteReference w:id="137"/>
      </w:r>
      <w:r w:rsidR="001E23E4" w:rsidRPr="00FC1D31">
        <w:rPr>
          <w:rFonts w:ascii="Garamond" w:hAnsi="Garamond"/>
          <w:sz w:val="24"/>
          <w:szCs w:val="24"/>
        </w:rPr>
        <w:t xml:space="preserve"> What is needed is not only the closer alignment between the internal and external dimensions of EU investment policy but also </w:t>
      </w:r>
      <w:r w:rsidR="00AB76F5" w:rsidRPr="00FC1D31">
        <w:rPr>
          <w:rFonts w:ascii="Garamond" w:hAnsi="Garamond"/>
          <w:sz w:val="24"/>
          <w:szCs w:val="24"/>
        </w:rPr>
        <w:t xml:space="preserve">a systematic </w:t>
      </w:r>
      <w:r w:rsidR="001E23E4" w:rsidRPr="00FC1D31">
        <w:rPr>
          <w:rFonts w:ascii="Garamond" w:hAnsi="Garamond"/>
          <w:sz w:val="24"/>
          <w:szCs w:val="24"/>
        </w:rPr>
        <w:t xml:space="preserve">foregrounding </w:t>
      </w:r>
      <w:r w:rsidR="00AB76F5" w:rsidRPr="00FC1D31">
        <w:rPr>
          <w:rFonts w:ascii="Garamond" w:hAnsi="Garamond"/>
          <w:sz w:val="24"/>
          <w:szCs w:val="24"/>
        </w:rPr>
        <w:t xml:space="preserve">of </w:t>
      </w:r>
      <w:r w:rsidR="001E23E4" w:rsidRPr="00FC1D31">
        <w:rPr>
          <w:rFonts w:ascii="Garamond" w:hAnsi="Garamond"/>
          <w:sz w:val="24"/>
          <w:szCs w:val="24"/>
        </w:rPr>
        <w:t>social agenda</w:t>
      </w:r>
      <w:r w:rsidR="00EB7FCE" w:rsidRPr="00FC1D31">
        <w:rPr>
          <w:rFonts w:ascii="Garamond" w:hAnsi="Garamond"/>
          <w:sz w:val="24"/>
          <w:szCs w:val="24"/>
        </w:rPr>
        <w:t xml:space="preserve"> to address the uneven material effects of</w:t>
      </w:r>
      <w:r w:rsidR="004B49A4" w:rsidRPr="00FC1D31">
        <w:rPr>
          <w:rFonts w:ascii="Garamond" w:hAnsi="Garamond"/>
          <w:sz w:val="24"/>
          <w:szCs w:val="24"/>
        </w:rPr>
        <w:t xml:space="preserve"> globalised</w:t>
      </w:r>
      <w:r w:rsidR="00EB7FCE" w:rsidRPr="00FC1D31">
        <w:rPr>
          <w:rFonts w:ascii="Garamond" w:hAnsi="Garamond"/>
          <w:sz w:val="24"/>
          <w:szCs w:val="24"/>
        </w:rPr>
        <w:t xml:space="preserve"> trade and investment</w:t>
      </w:r>
      <w:r w:rsidR="001E23E4" w:rsidRPr="00FC1D31">
        <w:rPr>
          <w:rFonts w:ascii="Garamond" w:hAnsi="Garamond"/>
          <w:sz w:val="24"/>
          <w:szCs w:val="24"/>
        </w:rPr>
        <w:t>.</w:t>
      </w:r>
    </w:p>
    <w:p w14:paraId="2A53DD21" w14:textId="77777777" w:rsidR="00FF2323" w:rsidRPr="00FC1D31" w:rsidRDefault="00FF2323" w:rsidP="00F47F68">
      <w:pPr>
        <w:jc w:val="both"/>
        <w:rPr>
          <w:rFonts w:ascii="Garamond" w:hAnsi="Garamond"/>
          <w:sz w:val="24"/>
          <w:szCs w:val="24"/>
        </w:rPr>
      </w:pPr>
    </w:p>
    <w:p w14:paraId="5A4E0F92" w14:textId="5115122F" w:rsidR="002615A1" w:rsidRPr="00FC1D31" w:rsidRDefault="002615A1" w:rsidP="00DE2D4F">
      <w:pPr>
        <w:rPr>
          <w:rFonts w:ascii="Garamond" w:hAnsi="Garamond"/>
          <w:sz w:val="24"/>
          <w:szCs w:val="24"/>
        </w:rPr>
      </w:pPr>
    </w:p>
    <w:sectPr w:rsidR="002615A1" w:rsidRPr="00FC1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3E28" w14:textId="77777777" w:rsidR="00EB20E3" w:rsidRDefault="00EB20E3" w:rsidP="00BA3F76">
      <w:pPr>
        <w:spacing w:after="0" w:line="240" w:lineRule="auto"/>
      </w:pPr>
      <w:r>
        <w:separator/>
      </w:r>
    </w:p>
  </w:endnote>
  <w:endnote w:type="continuationSeparator" w:id="0">
    <w:p w14:paraId="58710ABE" w14:textId="77777777" w:rsidR="00EB20E3" w:rsidRDefault="00EB20E3" w:rsidP="00B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dvOTab62ddd124">
    <w:altName w:val="Cambria"/>
    <w:panose1 w:val="020B0604020202020204"/>
    <w:charset w:val="00"/>
    <w:family w:val="roman"/>
    <w:notTrueType/>
    <w:pitch w:val="default"/>
    <w:sig w:usb0="00000003" w:usb1="00000000" w:usb2="00000000" w:usb3="00000000" w:csb0="00000001" w:csb1="00000000"/>
  </w:font>
  <w:font w:name="AdvOTab62ddd16">
    <w:altName w:val="Cambria"/>
    <w:panose1 w:val="020B0604020202020204"/>
    <w:charset w:val="00"/>
    <w:family w:val="roman"/>
    <w:notTrueType/>
    <w:pitch w:val="default"/>
    <w:sig w:usb0="00000003" w:usb1="00000000" w:usb2="00000000" w:usb3="00000000" w:csb0="00000001" w:csb1="00000000"/>
  </w:font>
  <w:font w:name="AdvOTab62ddd14">
    <w:altName w:val="Cambria"/>
    <w:panose1 w:val="020B0604020202020204"/>
    <w:charset w:val="00"/>
    <w:family w:val="roman"/>
    <w:notTrueType/>
    <w:pitch w:val="default"/>
    <w:sig w:usb0="00000003" w:usb1="00000000" w:usb2="00000000" w:usb3="00000000" w:csb0="00000001" w:csb1="00000000"/>
  </w:font>
  <w:font w:name="AdvOTab62ddd1">
    <w:altName w:val="Cambria"/>
    <w:panose1 w:val="020B0604020202020204"/>
    <w:charset w:val="00"/>
    <w:family w:val="roman"/>
    <w:notTrueType/>
    <w:pitch w:val="default"/>
    <w:sig w:usb0="00000003" w:usb1="00000000" w:usb2="00000000" w:usb3="00000000" w:csb0="00000001" w:csb1="00000000"/>
  </w:font>
  <w:font w:name="AdvOTab62ddd1+20">
    <w:altName w:val="Calibri"/>
    <w:panose1 w:val="020B0604020202020204"/>
    <w:charset w:val="00"/>
    <w:family w:val="swiss"/>
    <w:notTrueType/>
    <w:pitch w:val="default"/>
    <w:sig w:usb0="00000003" w:usb1="00000000" w:usb2="00000000" w:usb3="00000000" w:csb0="00000001" w:csb1="00000000"/>
  </w:font>
  <w:font w:name="AdvTT5843c571+202">
    <w:altName w:val="Calibri"/>
    <w:panose1 w:val="020B0604020202020204"/>
    <w:charset w:val="00"/>
    <w:family w:val="swiss"/>
    <w:notTrueType/>
    <w:pitch w:val="default"/>
    <w:sig w:usb0="00000003" w:usb1="00000000" w:usb2="00000000" w:usb3="00000000" w:csb0="00000001" w:csb1="00000000"/>
  </w:font>
  <w:font w:name="AdvOTab62ddd15">
    <w:altName w:val="Cambria"/>
    <w:panose1 w:val="020B0604020202020204"/>
    <w:charset w:val="00"/>
    <w:family w:val="roman"/>
    <w:notTrueType/>
    <w:pitch w:val="default"/>
    <w:sig w:usb0="00000003" w:usb1="00000000" w:usb2="00000000" w:usb3="00000000" w:csb0="00000001" w:csb1="00000000"/>
  </w:font>
  <w:font w:name="AdvOTf9b4e953.B6">
    <w:altName w:val="Cambria"/>
    <w:panose1 w:val="020B0604020202020204"/>
    <w:charset w:val="00"/>
    <w:family w:val="roman"/>
    <w:notTrueType/>
    <w:pitch w:val="default"/>
    <w:sig w:usb0="00000003" w:usb1="00000000" w:usb2="00000000" w:usb3="00000000" w:csb0="00000001" w:csb1="00000000"/>
  </w:font>
  <w:font w:name="AdvOT833fb896">
    <w:altName w:val="Cambria"/>
    <w:panose1 w:val="020B0604020202020204"/>
    <w:charset w:val="00"/>
    <w:family w:val="roman"/>
    <w:notTrueType/>
    <w:pitch w:val="default"/>
    <w:sig w:usb0="00000003" w:usb1="00000000" w:usb2="00000000" w:usb3="00000000" w:csb0="00000001" w:csb1="00000000"/>
  </w:font>
  <w:font w:name="AdvOT833fb896+fb">
    <w:altName w:val="Calibri"/>
    <w:panose1 w:val="020B0604020202020204"/>
    <w:charset w:val="00"/>
    <w:family w:val="auto"/>
    <w:notTrueType/>
    <w:pitch w:val="default"/>
    <w:sig w:usb0="00000003" w:usb1="00000000" w:usb2="00000000" w:usb3="00000000" w:csb0="00000001" w:csb1="00000000"/>
  </w:font>
  <w:font w:name="AdvOT2ea83e65.I">
    <w:altName w:val="Calibri"/>
    <w:panose1 w:val="020B0604020202020204"/>
    <w:charset w:val="00"/>
    <w:family w:val="swiss"/>
    <w:notTrueType/>
    <w:pitch w:val="default"/>
    <w:sig w:usb0="00000003" w:usb1="00000000" w:usb2="00000000" w:usb3="00000000" w:csb0="00000001" w:csb1="00000000"/>
  </w:font>
  <w:font w:name="StoneSerifStd-Medium">
    <w:altName w:val="Cambria"/>
    <w:panose1 w:val="020B0604020202020204"/>
    <w:charset w:val="00"/>
    <w:family w:val="roman"/>
    <w:notTrueType/>
    <w:pitch w:val="default"/>
    <w:sig w:usb0="00000003" w:usb1="00000000" w:usb2="00000000" w:usb3="00000000" w:csb0="00000001" w:csb1="00000000"/>
  </w:font>
  <w:font w:name="AdvOTab62ddd1+fb5">
    <w:altName w:val="Calibri"/>
    <w:panose1 w:val="020B0604020202020204"/>
    <w:charset w:val="00"/>
    <w:family w:val="auto"/>
    <w:notTrueType/>
    <w:pitch w:val="default"/>
    <w:sig w:usb0="00000003" w:usb1="00000000" w:usb2="00000000" w:usb3="00000000" w:csb0="00000001" w:csb1="00000000"/>
  </w:font>
  <w:font w:name="AdvOTab62ddd1+203">
    <w:altName w:val="Calibri"/>
    <w:panose1 w:val="020B0604020202020204"/>
    <w:charset w:val="00"/>
    <w:family w:val="swiss"/>
    <w:notTrueType/>
    <w:pitch w:val="default"/>
    <w:sig w:usb0="00000003" w:usb1="00000000" w:usb2="00000000" w:usb3="00000000" w:csb0="00000001" w:csb1="00000000"/>
  </w:font>
  <w:font w:name="AdvOTab62ddd1+fb24">
    <w:altName w:val="Calibri"/>
    <w:panose1 w:val="020B0604020202020204"/>
    <w:charset w:val="00"/>
    <w:family w:val="auto"/>
    <w:notTrueType/>
    <w:pitch w:val="default"/>
    <w:sig w:usb0="00000003" w:usb1="00000000" w:usb2="00000000" w:usb3="00000000" w:csb0="00000001" w:csb1="00000000"/>
  </w:font>
  <w:font w:name="AdvOTc0286d31.I6">
    <w:altName w:val="Calibri"/>
    <w:panose1 w:val="020B0604020202020204"/>
    <w:charset w:val="00"/>
    <w:family w:val="swiss"/>
    <w:notTrueType/>
    <w:pitch w:val="default"/>
    <w:sig w:usb0="00000003" w:usb1="00000000" w:usb2="00000000" w:usb3="00000000" w:csb0="00000001" w:csb1="00000000"/>
  </w:font>
  <w:font w:name="AdvOTc0286d31.I+fb3">
    <w:altName w:val="Calibri"/>
    <w:panose1 w:val="020B0604020202020204"/>
    <w:charset w:val="00"/>
    <w:family w:val="auto"/>
    <w:notTrueType/>
    <w:pitch w:val="default"/>
    <w:sig w:usb0="00000003" w:usb1="00000000" w:usb2="00000000" w:usb3="00000000" w:csb0="00000001" w:csb1="00000000"/>
  </w:font>
  <w:font w:name="AdvOTf9b4e953.B5">
    <w:altName w:val="Calibri"/>
    <w:panose1 w:val="020B0604020202020204"/>
    <w:charset w:val="00"/>
    <w:family w:val="swiss"/>
    <w:notTrueType/>
    <w:pitch w:val="default"/>
    <w:sig w:usb0="00000003" w:usb1="00000000" w:usb2="00000000" w:usb3="00000000" w:csb0="00000001" w:csb1="00000000"/>
  </w:font>
  <w:font w:name="AdvOT1ef757c0">
    <w:altName w:val="Calibri"/>
    <w:panose1 w:val="020B0604020202020204"/>
    <w:charset w:val="00"/>
    <w:family w:val="swiss"/>
    <w:notTrueType/>
    <w:pitch w:val="default"/>
    <w:sig w:usb0="00000003" w:usb1="00000000" w:usb2="00000000" w:usb3="00000000" w:csb0="00000001" w:csb1="00000000"/>
  </w:font>
  <w:font w:name="AdvP94BD">
    <w:altName w:val="Calibri"/>
    <w:panose1 w:val="020B0604020202020204"/>
    <w:charset w:val="00"/>
    <w:family w:val="swiss"/>
    <w:notTrueType/>
    <w:pitch w:val="default"/>
    <w:sig w:usb0="00000003" w:usb1="00000000" w:usb2="00000000" w:usb3="00000000" w:csb0="00000001" w:csb1="00000000"/>
  </w:font>
  <w:font w:name="AdvOT1ef757c0+fb">
    <w:altName w:val="Calibri"/>
    <w:panose1 w:val="020B0604020202020204"/>
    <w:charset w:val="00"/>
    <w:family w:val="auto"/>
    <w:notTrueType/>
    <w:pitch w:val="default"/>
    <w:sig w:usb0="00000003" w:usb1="00000000" w:usb2="00000000" w:usb3="00000000" w:csb0="00000001" w:csb1="00000000"/>
  </w:font>
  <w:font w:name="AdvOT1ef757c0+20">
    <w:altName w:val="Calibri"/>
    <w:panose1 w:val="020B0604020202020204"/>
    <w:charset w:val="00"/>
    <w:family w:val="swiss"/>
    <w:notTrueType/>
    <w:pitch w:val="default"/>
    <w:sig w:usb0="00000003" w:usb1="00000000" w:usb2="00000000" w:usb3="00000000" w:csb0="00000001" w:csb1="00000000"/>
  </w:font>
  <w:font w:name="AdvOTab62ddd129">
    <w:altName w:val="Cambria"/>
    <w:panose1 w:val="020B0604020202020204"/>
    <w:charset w:val="00"/>
    <w:family w:val="roman"/>
    <w:notTrueType/>
    <w:pitch w:val="default"/>
    <w:sig w:usb0="00000003" w:usb1="00000000" w:usb2="00000000" w:usb3="00000000" w:csb0="00000001" w:csb1="00000000"/>
  </w:font>
  <w:font w:name="CIDFont+F1">
    <w:altName w:val="Calibri"/>
    <w:panose1 w:val="020B0604020202020204"/>
    <w:charset w:val="00"/>
    <w:family w:val="auto"/>
    <w:notTrueType/>
    <w:pitch w:val="default"/>
    <w:sig w:usb0="00000003" w:usb1="00000000" w:usb2="00000000" w:usb3="00000000" w:csb0="00000001" w:csb1="00000000"/>
  </w:font>
  <w:font w:name="CIDFont+F2">
    <w:altName w:val="Calibri"/>
    <w:panose1 w:val="020B0604020202020204"/>
    <w:charset w:val="00"/>
    <w:family w:val="auto"/>
    <w:notTrueType/>
    <w:pitch w:val="default"/>
    <w:sig w:usb0="00000003" w:usb1="00000000" w:usb2="00000000" w:usb3="00000000" w:csb0="00000001" w:csb1="00000000"/>
  </w:font>
  <w:font w:name="Brill-Roman">
    <w:altName w:val="Yu Gothic"/>
    <w:panose1 w:val="020B0604020202020204"/>
    <w:charset w:val="80"/>
    <w:family w:val="roman"/>
    <w:notTrueType/>
    <w:pitch w:val="default"/>
    <w:sig w:usb0="00000001" w:usb1="08070000" w:usb2="00000010" w:usb3="00000000" w:csb0="00020000" w:csb1="00000000"/>
  </w:font>
  <w:font w:name="Brill-Italic">
    <w:altName w:val="Cambria"/>
    <w:panose1 w:val="020B0604020202020204"/>
    <w:charset w:val="00"/>
    <w:family w:val="roman"/>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AdvP101883">
    <w:altName w:val="Cambria"/>
    <w:panose1 w:val="020B0604020202020204"/>
    <w:charset w:val="00"/>
    <w:family w:val="roman"/>
    <w:notTrueType/>
    <w:pitch w:val="default"/>
    <w:sig w:usb0="00000003" w:usb1="00000000" w:usb2="00000000" w:usb3="00000000" w:csb0="00000001" w:csb1="00000000"/>
  </w:font>
  <w:font w:name="AdvP101884">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864E" w14:textId="77777777" w:rsidR="00EB20E3" w:rsidRDefault="00EB20E3" w:rsidP="00BA3F76">
      <w:pPr>
        <w:spacing w:after="0" w:line="240" w:lineRule="auto"/>
      </w:pPr>
      <w:r>
        <w:separator/>
      </w:r>
    </w:p>
  </w:footnote>
  <w:footnote w:type="continuationSeparator" w:id="0">
    <w:p w14:paraId="46A42856" w14:textId="77777777" w:rsidR="00EB20E3" w:rsidRDefault="00EB20E3" w:rsidP="00BA3F76">
      <w:pPr>
        <w:spacing w:after="0" w:line="240" w:lineRule="auto"/>
      </w:pPr>
      <w:r>
        <w:continuationSeparator/>
      </w:r>
    </w:p>
  </w:footnote>
  <w:footnote w:id="1">
    <w:p w14:paraId="16C15F84" w14:textId="3570D332" w:rsidR="003442F7" w:rsidRPr="0037198D" w:rsidRDefault="003442F7" w:rsidP="002A3164">
      <w:pPr>
        <w:pStyle w:val="Default"/>
        <w:contextualSpacing/>
        <w:jc w:val="both"/>
        <w:rPr>
          <w:rFonts w:ascii="Garamond" w:hAnsi="Garamond"/>
          <w:color w:val="auto"/>
          <w:sz w:val="20"/>
          <w:szCs w:val="20"/>
        </w:rPr>
      </w:pPr>
      <w:r w:rsidRPr="0037198D">
        <w:rPr>
          <w:rStyle w:val="FootnoteReference"/>
          <w:rFonts w:ascii="Garamond" w:hAnsi="Garamond" w:cstheme="minorHAnsi"/>
          <w:color w:val="auto"/>
          <w:sz w:val="20"/>
          <w:szCs w:val="20"/>
        </w:rPr>
        <w:footnoteRef/>
      </w:r>
      <w:r w:rsidRPr="0037198D">
        <w:rPr>
          <w:rFonts w:ascii="Garamond" w:hAnsi="Garamond" w:cstheme="minorHAnsi"/>
          <w:color w:val="auto"/>
          <w:sz w:val="20"/>
          <w:szCs w:val="20"/>
        </w:rPr>
        <w:t xml:space="preserve"> </w:t>
      </w:r>
      <w:r w:rsidR="00A52DBB" w:rsidRPr="0037198D">
        <w:rPr>
          <w:rFonts w:ascii="Garamond" w:hAnsi="Garamond"/>
          <w:color w:val="auto"/>
          <w:sz w:val="20"/>
          <w:szCs w:val="20"/>
        </w:rPr>
        <w:t>COM (2021) 66 final,</w:t>
      </w:r>
      <w:r w:rsidR="00A52DBB" w:rsidRPr="0037198D">
        <w:rPr>
          <w:rFonts w:ascii="Garamond" w:hAnsi="Garamond" w:cstheme="minorHAnsi"/>
          <w:color w:val="auto"/>
          <w:sz w:val="20"/>
          <w:szCs w:val="20"/>
        </w:rPr>
        <w:t xml:space="preserve"> “</w:t>
      </w:r>
      <w:r w:rsidRPr="0037198D">
        <w:rPr>
          <w:rFonts w:ascii="Garamond" w:hAnsi="Garamond"/>
          <w:color w:val="auto"/>
          <w:sz w:val="20"/>
          <w:szCs w:val="20"/>
        </w:rPr>
        <w:t>Trade Policy Review - An Open, Sustainable and Assertive Trade Policy</w:t>
      </w:r>
      <w:r w:rsidR="00A52DBB" w:rsidRPr="0037198D">
        <w:rPr>
          <w:rFonts w:ascii="Garamond" w:hAnsi="Garamond"/>
          <w:color w:val="auto"/>
          <w:sz w:val="20"/>
          <w:szCs w:val="20"/>
        </w:rPr>
        <w:t>”</w:t>
      </w:r>
      <w:r w:rsidR="00953A79" w:rsidRPr="0037198D">
        <w:rPr>
          <w:rFonts w:ascii="Garamond" w:hAnsi="Garamond"/>
          <w:color w:val="auto"/>
          <w:sz w:val="20"/>
          <w:szCs w:val="20"/>
        </w:rPr>
        <w:t>, at p.4.</w:t>
      </w:r>
    </w:p>
  </w:footnote>
  <w:footnote w:id="2">
    <w:p w14:paraId="59BC669E" w14:textId="1A3DFB6E" w:rsidR="009C6B6C" w:rsidRPr="00E1789E" w:rsidRDefault="009C6B6C" w:rsidP="00E1789E">
      <w:pPr>
        <w:pStyle w:val="FootnoteText"/>
        <w:contextualSpacing/>
        <w:jc w:val="both"/>
        <w:rPr>
          <w:rFonts w:ascii="Garamond" w:hAnsi="Garamond"/>
        </w:rPr>
      </w:pPr>
      <w:r w:rsidRPr="00E1789E">
        <w:rPr>
          <w:rStyle w:val="FootnoteReference"/>
          <w:rFonts w:ascii="Garamond" w:hAnsi="Garamond"/>
        </w:rPr>
        <w:footnoteRef/>
      </w:r>
      <w:r w:rsidRPr="00E1789E">
        <w:rPr>
          <w:rFonts w:ascii="Garamond" w:hAnsi="Garamond"/>
        </w:rPr>
        <w:t xml:space="preserve"> Article 21 of the Treaty on European Union (TEU) requires the Union to promote the values on which the Union is founded in the conduct of external relations,</w:t>
      </w:r>
      <w:r w:rsidR="00610532" w:rsidRPr="00E1789E">
        <w:rPr>
          <w:rFonts w:ascii="Garamond" w:hAnsi="Garamond"/>
        </w:rPr>
        <w:t xml:space="preserve"> including </w:t>
      </w:r>
      <w:r w:rsidR="00610532">
        <w:rPr>
          <w:rFonts w:ascii="Garamond" w:hAnsi="Garamond"/>
        </w:rPr>
        <w:t>‘</w:t>
      </w:r>
      <w:r w:rsidR="00610532" w:rsidRPr="00E1789E">
        <w:rPr>
          <w:rFonts w:ascii="Garamond" w:hAnsi="Garamond"/>
        </w:rPr>
        <w:t>democracy, the rule of law, the universality and indivisibility of human rights and fundamental freedoms, respect for human dignity, the principles of equality and solidarity, and respect for the principles of the United Nations Charter and international law.</w:t>
      </w:r>
      <w:r w:rsidR="00610532">
        <w:rPr>
          <w:rFonts w:ascii="Garamond" w:hAnsi="Garamond"/>
        </w:rPr>
        <w:t>’</w:t>
      </w:r>
    </w:p>
  </w:footnote>
  <w:footnote w:id="3">
    <w:p w14:paraId="1379FEF5" w14:textId="0B523F23"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w:t>
      </w:r>
      <w:r w:rsidR="00610532" w:rsidRPr="0037198D">
        <w:rPr>
          <w:rFonts w:ascii="Garamond" w:hAnsi="Garamond"/>
        </w:rPr>
        <w:t>COM (2021) 66 final,</w:t>
      </w:r>
      <w:r w:rsidR="00610532" w:rsidRPr="0037198D">
        <w:rPr>
          <w:rFonts w:ascii="Garamond" w:hAnsi="Garamond" w:cstheme="minorHAnsi"/>
        </w:rPr>
        <w:t xml:space="preserve"> “</w:t>
      </w:r>
      <w:r w:rsidR="00610532" w:rsidRPr="0037198D">
        <w:rPr>
          <w:rFonts w:ascii="Garamond" w:hAnsi="Garamond"/>
        </w:rPr>
        <w:t xml:space="preserve">Trade Policy Review - An Open, Sustainable and Assertive Trade Policy”, </w:t>
      </w:r>
      <w:r w:rsidR="00A52DBB" w:rsidRPr="0037198D">
        <w:rPr>
          <w:rFonts w:ascii="Garamond" w:hAnsi="Garamond" w:cstheme="minorHAnsi"/>
        </w:rPr>
        <w:t xml:space="preserve">at p. </w:t>
      </w:r>
      <w:r w:rsidRPr="0037198D">
        <w:rPr>
          <w:rFonts w:ascii="Garamond" w:hAnsi="Garamond" w:cstheme="minorHAnsi"/>
        </w:rPr>
        <w:t>4</w:t>
      </w:r>
    </w:p>
  </w:footnote>
  <w:footnote w:id="4">
    <w:p w14:paraId="4A36B2BA" w14:textId="3935296E"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w:t>
      </w:r>
      <w:r w:rsidRPr="0037198D">
        <w:rPr>
          <w:rFonts w:ascii="Garamond" w:hAnsi="Garamond" w:cs="Arial"/>
        </w:rPr>
        <w:t>An Open, Sustainable and Assertive Trade Policy: Open Strategic Autonomy’, https://trade.ec.europa.eu/doclib/docs/2021/february/tradoc_159434.pdf</w:t>
      </w:r>
    </w:p>
  </w:footnote>
  <w:footnote w:id="5">
    <w:p w14:paraId="2F736C7A" w14:textId="5B68F9BA"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w:t>
      </w:r>
      <w:r w:rsidR="00A52DBB" w:rsidRPr="0037198D">
        <w:rPr>
          <w:rFonts w:ascii="Garamond" w:hAnsi="Garamond" w:cstheme="minorHAnsi"/>
        </w:rPr>
        <w:t>I</w:t>
      </w:r>
      <w:r w:rsidRPr="0037198D">
        <w:rPr>
          <w:rFonts w:ascii="Garamond" w:hAnsi="Garamond" w:cstheme="minorHAnsi"/>
        </w:rPr>
        <w:t>bid</w:t>
      </w:r>
      <w:r w:rsidR="00A52DBB" w:rsidRPr="0037198D">
        <w:rPr>
          <w:rFonts w:ascii="Garamond" w:hAnsi="Garamond" w:cstheme="minorHAnsi"/>
        </w:rPr>
        <w:t>.</w:t>
      </w:r>
    </w:p>
  </w:footnote>
  <w:footnote w:id="6">
    <w:p w14:paraId="7C5BD106" w14:textId="77777777" w:rsidR="00C451AD" w:rsidRPr="0037198D" w:rsidRDefault="00C451AD" w:rsidP="002A3164">
      <w:pPr>
        <w:pStyle w:val="FootnoteText"/>
        <w:contextualSpacing/>
        <w:rPr>
          <w:rFonts w:ascii="Garamond" w:hAnsi="Garamond"/>
        </w:rPr>
      </w:pPr>
      <w:r w:rsidRPr="0037198D">
        <w:rPr>
          <w:rStyle w:val="FootnoteReference"/>
          <w:rFonts w:ascii="Garamond" w:hAnsi="Garamond"/>
        </w:rPr>
        <w:footnoteRef/>
      </w:r>
      <w:r w:rsidRPr="0037198D">
        <w:rPr>
          <w:rFonts w:ascii="Garamond" w:hAnsi="Garamond"/>
        </w:rPr>
        <w:t xml:space="preserve"> At p. 7.</w:t>
      </w:r>
    </w:p>
  </w:footnote>
  <w:footnote w:id="7">
    <w:p w14:paraId="43EEBE63" w14:textId="3C37CB3D" w:rsidR="004521A2" w:rsidRPr="0037198D" w:rsidRDefault="004521A2" w:rsidP="002A3164">
      <w:pPr>
        <w:pStyle w:val="FootnoteText"/>
        <w:contextualSpacing/>
        <w:rPr>
          <w:rFonts w:ascii="Garamond" w:hAnsi="Garamond"/>
        </w:rPr>
      </w:pPr>
      <w:r w:rsidRPr="0037198D">
        <w:rPr>
          <w:rStyle w:val="FootnoteReference"/>
          <w:rFonts w:ascii="Garamond" w:hAnsi="Garamond"/>
        </w:rPr>
        <w:footnoteRef/>
      </w:r>
      <w:r w:rsidRPr="0037198D">
        <w:rPr>
          <w:rFonts w:ascii="Garamond" w:hAnsi="Garamond"/>
        </w:rPr>
        <w:t xml:space="preserve"> OECD, Keys to Resilient Supply Chains</w:t>
      </w:r>
      <w:r w:rsidR="00DD06A2" w:rsidRPr="0037198D">
        <w:rPr>
          <w:rFonts w:ascii="Garamond" w:hAnsi="Garamond"/>
        </w:rPr>
        <w:t>, https://www.oecd.org/trade/resilient-supply-chains/.</w:t>
      </w:r>
    </w:p>
  </w:footnote>
  <w:footnote w:id="8">
    <w:p w14:paraId="13D18099" w14:textId="2AC4A02A"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w:t>
      </w:r>
      <w:proofErr w:type="spellStart"/>
      <w:r w:rsidRPr="0037198D">
        <w:rPr>
          <w:rFonts w:ascii="Garamond" w:hAnsi="Garamond" w:cstheme="minorHAnsi"/>
        </w:rPr>
        <w:t>Bungenberg</w:t>
      </w:r>
      <w:proofErr w:type="spellEnd"/>
      <w:r w:rsidRPr="0037198D">
        <w:rPr>
          <w:rFonts w:ascii="Garamond" w:hAnsi="Garamond" w:cstheme="minorHAnsi"/>
        </w:rPr>
        <w:t xml:space="preserve"> and Hazarika, </w:t>
      </w:r>
      <w:r w:rsidR="00A0006A" w:rsidRPr="0037198D">
        <w:rPr>
          <w:rFonts w:ascii="Garamond" w:hAnsi="Garamond" w:cstheme="minorHAnsi"/>
        </w:rPr>
        <w:t>“</w:t>
      </w:r>
      <w:r w:rsidRPr="0037198D">
        <w:rPr>
          <w:rFonts w:ascii="Garamond" w:hAnsi="Garamond" w:cstheme="minorHAnsi"/>
        </w:rPr>
        <w:t>Chinese Foreign Investments in the European Union Energy Sector: The Regulation of Security Concerns</w:t>
      </w:r>
      <w:r w:rsidR="00A0006A" w:rsidRPr="0037198D">
        <w:rPr>
          <w:rFonts w:ascii="Garamond" w:hAnsi="Garamond" w:cstheme="minorHAnsi"/>
        </w:rPr>
        <w:t>”,</w:t>
      </w:r>
      <w:r w:rsidRPr="0037198D">
        <w:rPr>
          <w:rFonts w:ascii="Garamond" w:hAnsi="Garamond" w:cstheme="minorHAnsi"/>
        </w:rPr>
        <w:t xml:space="preserve"> 20 Journal of World Investment &amp; Trade </w:t>
      </w:r>
      <w:r w:rsidR="00A0006A" w:rsidRPr="0037198D">
        <w:rPr>
          <w:rFonts w:ascii="Garamond" w:hAnsi="Garamond" w:cstheme="minorHAnsi"/>
        </w:rPr>
        <w:t xml:space="preserve">(2019) </w:t>
      </w:r>
      <w:r w:rsidRPr="0037198D">
        <w:rPr>
          <w:rFonts w:ascii="Garamond" w:hAnsi="Garamond" w:cstheme="minorHAnsi"/>
        </w:rPr>
        <w:t>375</w:t>
      </w:r>
      <w:r w:rsidR="00A0006A" w:rsidRPr="0037198D">
        <w:rPr>
          <w:rFonts w:ascii="Garamond" w:hAnsi="Garamond" w:cstheme="minorHAnsi"/>
        </w:rPr>
        <w:t>.</w:t>
      </w:r>
    </w:p>
  </w:footnote>
  <w:footnote w:id="9">
    <w:p w14:paraId="42908DB9" w14:textId="15B50A40" w:rsidR="003442F7" w:rsidRPr="0037198D" w:rsidRDefault="003442F7" w:rsidP="002A3164">
      <w:pPr>
        <w:autoSpaceDE w:val="0"/>
        <w:autoSpaceDN w:val="0"/>
        <w:adjustRightInd w:val="0"/>
        <w:spacing w:after="0" w:line="240" w:lineRule="auto"/>
        <w:contextualSpacing/>
        <w:jc w:val="both"/>
        <w:rPr>
          <w:rFonts w:ascii="Garamond" w:hAnsi="Garamond" w:cstheme="minorHAnsi"/>
          <w:sz w:val="20"/>
          <w:szCs w:val="20"/>
        </w:rPr>
      </w:pPr>
      <w:r w:rsidRPr="0037198D">
        <w:rPr>
          <w:rStyle w:val="FootnoteReference"/>
          <w:rFonts w:ascii="Garamond" w:hAnsi="Garamond" w:cstheme="minorHAnsi"/>
          <w:sz w:val="20"/>
          <w:szCs w:val="20"/>
        </w:rPr>
        <w:footnoteRef/>
      </w:r>
      <w:r w:rsidRPr="0037198D">
        <w:rPr>
          <w:rFonts w:ascii="Garamond" w:hAnsi="Garamond" w:cstheme="minorHAnsi"/>
          <w:sz w:val="20"/>
          <w:szCs w:val="20"/>
        </w:rPr>
        <w:t xml:space="preserve"> Wernicke</w:t>
      </w:r>
      <w:r w:rsidR="00A0006A" w:rsidRPr="0037198D">
        <w:rPr>
          <w:rFonts w:ascii="Garamond" w:hAnsi="Garamond" w:cstheme="minorHAnsi"/>
          <w:sz w:val="20"/>
          <w:szCs w:val="20"/>
        </w:rPr>
        <w:t>,</w:t>
      </w:r>
      <w:r w:rsidRPr="0037198D">
        <w:rPr>
          <w:rFonts w:ascii="Garamond" w:hAnsi="Garamond" w:cstheme="minorHAnsi"/>
          <w:sz w:val="20"/>
          <w:szCs w:val="20"/>
        </w:rPr>
        <w:t xml:space="preserve"> </w:t>
      </w:r>
      <w:r w:rsidR="00A0006A" w:rsidRPr="0037198D">
        <w:rPr>
          <w:rFonts w:ascii="Garamond" w:hAnsi="Garamond" w:cstheme="minorHAnsi"/>
          <w:sz w:val="20"/>
          <w:szCs w:val="20"/>
        </w:rPr>
        <w:t>“</w:t>
      </w:r>
      <w:r w:rsidRPr="0037198D">
        <w:rPr>
          <w:rFonts w:ascii="Garamond" w:hAnsi="Garamond" w:cstheme="minorHAnsi"/>
          <w:sz w:val="20"/>
          <w:szCs w:val="20"/>
        </w:rPr>
        <w:t>Investment Screening: The Return of Protectionism? A Business Perspective</w:t>
      </w:r>
      <w:r w:rsidR="00A0006A" w:rsidRPr="0037198D">
        <w:rPr>
          <w:rFonts w:ascii="Garamond" w:hAnsi="Garamond" w:cstheme="minorHAnsi"/>
          <w:sz w:val="20"/>
          <w:szCs w:val="20"/>
        </w:rPr>
        <w:t>”</w:t>
      </w:r>
      <w:r w:rsidRPr="0037198D">
        <w:rPr>
          <w:rFonts w:ascii="Garamond" w:hAnsi="Garamond" w:cstheme="minorHAnsi"/>
          <w:sz w:val="20"/>
          <w:szCs w:val="20"/>
        </w:rPr>
        <w:t xml:space="preserve">, </w:t>
      </w:r>
      <w:r w:rsidR="00A0006A" w:rsidRPr="0037198D">
        <w:rPr>
          <w:rFonts w:ascii="Garamond" w:hAnsi="Garamond" w:cstheme="minorHAnsi"/>
          <w:sz w:val="20"/>
          <w:szCs w:val="20"/>
        </w:rPr>
        <w:t xml:space="preserve">at </w:t>
      </w:r>
      <w:r w:rsidRPr="0037198D">
        <w:rPr>
          <w:rFonts w:ascii="Garamond" w:hAnsi="Garamond" w:cstheme="minorHAnsi"/>
          <w:sz w:val="20"/>
          <w:szCs w:val="20"/>
        </w:rPr>
        <w:t xml:space="preserve">29. See also </w:t>
      </w:r>
      <w:proofErr w:type="spellStart"/>
      <w:r w:rsidRPr="0037198D">
        <w:rPr>
          <w:rFonts w:ascii="Garamond" w:hAnsi="Garamond" w:cstheme="minorHAnsi"/>
          <w:sz w:val="20"/>
          <w:szCs w:val="20"/>
        </w:rPr>
        <w:t>Gadocha</w:t>
      </w:r>
      <w:proofErr w:type="spellEnd"/>
      <w:r w:rsidRPr="0037198D">
        <w:rPr>
          <w:rFonts w:ascii="Garamond" w:hAnsi="Garamond" w:cstheme="minorHAnsi"/>
          <w:sz w:val="20"/>
          <w:szCs w:val="20"/>
        </w:rPr>
        <w:t xml:space="preserve">, </w:t>
      </w:r>
      <w:r w:rsidR="00A0006A" w:rsidRPr="0037198D">
        <w:rPr>
          <w:rFonts w:ascii="Garamond" w:hAnsi="Garamond" w:cstheme="minorHAnsi"/>
          <w:sz w:val="20"/>
          <w:szCs w:val="20"/>
        </w:rPr>
        <w:t>“</w:t>
      </w:r>
      <w:r w:rsidRPr="0037198D">
        <w:rPr>
          <w:rFonts w:ascii="Garamond" w:hAnsi="Garamond" w:cstheme="minorHAnsi"/>
          <w:sz w:val="20"/>
          <w:szCs w:val="20"/>
        </w:rPr>
        <w:t>Assessing the EU Framework Regulation for the Screening of FDI</w:t>
      </w:r>
      <w:r w:rsidR="00A0006A" w:rsidRPr="0037198D">
        <w:rPr>
          <w:rFonts w:ascii="Garamond" w:hAnsi="Garamond" w:cstheme="minorHAnsi"/>
          <w:sz w:val="20"/>
          <w:szCs w:val="20"/>
        </w:rPr>
        <w:t>—</w:t>
      </w:r>
      <w:r w:rsidRPr="0037198D">
        <w:rPr>
          <w:rFonts w:ascii="Garamond" w:hAnsi="Garamond" w:cstheme="minorHAnsi"/>
          <w:sz w:val="20"/>
          <w:szCs w:val="20"/>
        </w:rPr>
        <w:t>What is the Effect of Chinese Investors?</w:t>
      </w:r>
      <w:r w:rsidR="00A0006A" w:rsidRPr="0037198D">
        <w:rPr>
          <w:rFonts w:ascii="Garamond" w:hAnsi="Garamond" w:cstheme="minorHAnsi"/>
          <w:sz w:val="20"/>
          <w:szCs w:val="20"/>
        </w:rPr>
        <w:t>”,</w:t>
      </w:r>
      <w:r w:rsidRPr="0037198D">
        <w:rPr>
          <w:rFonts w:ascii="Garamond" w:hAnsi="Garamond" w:cstheme="minorHAnsi"/>
          <w:sz w:val="20"/>
          <w:szCs w:val="20"/>
        </w:rPr>
        <w:t xml:space="preserve"> </w:t>
      </w:r>
      <w:r w:rsidR="00A0006A" w:rsidRPr="0037198D">
        <w:rPr>
          <w:rFonts w:ascii="Garamond" w:hAnsi="Garamond" w:cstheme="minorHAnsi"/>
          <w:sz w:val="20"/>
          <w:szCs w:val="20"/>
        </w:rPr>
        <w:t xml:space="preserve">6 </w:t>
      </w:r>
      <w:r w:rsidRPr="0037198D">
        <w:rPr>
          <w:rFonts w:ascii="Garamond" w:hAnsi="Garamond" w:cstheme="minorHAnsi"/>
          <w:sz w:val="20"/>
          <w:szCs w:val="20"/>
        </w:rPr>
        <w:t xml:space="preserve">The Chinese Journal of Global Governance </w:t>
      </w:r>
      <w:r w:rsidR="00A0006A" w:rsidRPr="0037198D">
        <w:rPr>
          <w:rFonts w:ascii="Garamond" w:hAnsi="Garamond" w:cstheme="minorHAnsi"/>
          <w:sz w:val="20"/>
          <w:szCs w:val="20"/>
        </w:rPr>
        <w:t xml:space="preserve">(2020) </w:t>
      </w:r>
      <w:r w:rsidRPr="0037198D">
        <w:rPr>
          <w:rFonts w:ascii="Garamond" w:hAnsi="Garamond" w:cstheme="minorHAnsi"/>
          <w:sz w:val="20"/>
          <w:szCs w:val="20"/>
        </w:rPr>
        <w:t xml:space="preserve">36, </w:t>
      </w:r>
      <w:r w:rsidR="00A0006A" w:rsidRPr="0037198D">
        <w:rPr>
          <w:rFonts w:ascii="Garamond" w:hAnsi="Garamond" w:cstheme="minorHAnsi"/>
          <w:sz w:val="20"/>
          <w:szCs w:val="20"/>
        </w:rPr>
        <w:t xml:space="preserve">at </w:t>
      </w:r>
      <w:r w:rsidRPr="0037198D">
        <w:rPr>
          <w:rFonts w:ascii="Garamond" w:hAnsi="Garamond" w:cstheme="minorHAnsi"/>
          <w:sz w:val="20"/>
          <w:szCs w:val="20"/>
        </w:rPr>
        <w:t>46</w:t>
      </w:r>
      <w:r w:rsidR="00A0006A" w:rsidRPr="0037198D">
        <w:rPr>
          <w:rFonts w:ascii="Garamond" w:hAnsi="Garamond" w:cstheme="minorHAnsi"/>
          <w:sz w:val="20"/>
          <w:szCs w:val="20"/>
        </w:rPr>
        <w:t>.</w:t>
      </w:r>
    </w:p>
  </w:footnote>
  <w:footnote w:id="10">
    <w:p w14:paraId="458FAF9D" w14:textId="24AEB413" w:rsidR="003442F7" w:rsidRPr="0037198D" w:rsidRDefault="003442F7" w:rsidP="002A3164">
      <w:pPr>
        <w:autoSpaceDE w:val="0"/>
        <w:autoSpaceDN w:val="0"/>
        <w:adjustRightInd w:val="0"/>
        <w:spacing w:after="0" w:line="240" w:lineRule="auto"/>
        <w:contextualSpacing/>
        <w:jc w:val="both"/>
        <w:rPr>
          <w:rFonts w:ascii="Garamond" w:hAnsi="Garamond" w:cs="AdvOTab62ddd1"/>
          <w:sz w:val="20"/>
          <w:szCs w:val="20"/>
        </w:rPr>
      </w:pPr>
      <w:r w:rsidRPr="0037198D">
        <w:rPr>
          <w:rStyle w:val="FootnoteReference"/>
          <w:rFonts w:ascii="Garamond" w:hAnsi="Garamond" w:cstheme="minorHAnsi"/>
          <w:sz w:val="20"/>
          <w:szCs w:val="20"/>
        </w:rPr>
        <w:footnoteRef/>
      </w:r>
      <w:r w:rsidRPr="0037198D">
        <w:rPr>
          <w:rFonts w:ascii="Garamond" w:hAnsi="Garamond" w:cstheme="minorHAnsi"/>
          <w:sz w:val="20"/>
          <w:szCs w:val="20"/>
        </w:rPr>
        <w:t xml:space="preserve"> </w:t>
      </w:r>
      <w:proofErr w:type="spellStart"/>
      <w:r w:rsidRPr="0037198D">
        <w:rPr>
          <w:rFonts w:ascii="Garamond" w:hAnsi="Garamond" w:cstheme="minorHAnsi"/>
          <w:sz w:val="20"/>
          <w:szCs w:val="20"/>
        </w:rPr>
        <w:t>Warchol</w:t>
      </w:r>
      <w:proofErr w:type="spellEnd"/>
      <w:r w:rsidRPr="0037198D">
        <w:rPr>
          <w:rFonts w:ascii="Garamond" w:hAnsi="Garamond" w:cstheme="minorHAnsi"/>
          <w:sz w:val="20"/>
          <w:szCs w:val="20"/>
        </w:rPr>
        <w:t xml:space="preserve">, </w:t>
      </w:r>
      <w:r w:rsidR="00A0006A" w:rsidRPr="0037198D">
        <w:rPr>
          <w:rFonts w:ascii="Garamond" w:hAnsi="Garamond" w:cstheme="minorHAnsi"/>
          <w:sz w:val="20"/>
          <w:szCs w:val="20"/>
        </w:rPr>
        <w:t>“</w:t>
      </w:r>
      <w:r w:rsidRPr="0037198D">
        <w:rPr>
          <w:rFonts w:ascii="Garamond" w:hAnsi="Garamond" w:cstheme="minorHAnsi"/>
          <w:sz w:val="20"/>
          <w:szCs w:val="20"/>
        </w:rPr>
        <w:t>The Birth of the EU Screening Regulation</w:t>
      </w:r>
      <w:r w:rsidR="00A0006A" w:rsidRPr="0037198D">
        <w:rPr>
          <w:rFonts w:ascii="Garamond" w:hAnsi="Garamond" w:cstheme="minorHAnsi"/>
          <w:sz w:val="20"/>
          <w:szCs w:val="20"/>
        </w:rPr>
        <w:t>”</w:t>
      </w:r>
      <w:r w:rsidRPr="0037198D">
        <w:rPr>
          <w:rFonts w:ascii="Garamond" w:hAnsi="Garamond" w:cstheme="minorHAnsi"/>
          <w:sz w:val="20"/>
          <w:szCs w:val="20"/>
        </w:rPr>
        <w:t xml:space="preserve"> in </w:t>
      </w:r>
      <w:proofErr w:type="spellStart"/>
      <w:r w:rsidRPr="0037198D">
        <w:rPr>
          <w:rFonts w:ascii="Garamond" w:hAnsi="Garamond" w:cs="AdvOTab62ddd1"/>
          <w:sz w:val="20"/>
          <w:szCs w:val="20"/>
        </w:rPr>
        <w:t>Hindelang</w:t>
      </w:r>
      <w:proofErr w:type="spellEnd"/>
      <w:r w:rsidRPr="0037198D">
        <w:rPr>
          <w:rFonts w:ascii="Garamond" w:hAnsi="Garamond" w:cs="AdvOTab62ddd1"/>
          <w:sz w:val="20"/>
          <w:szCs w:val="20"/>
        </w:rPr>
        <w:t xml:space="preserve"> </w:t>
      </w:r>
      <w:r w:rsidRPr="0037198D">
        <w:rPr>
          <w:rFonts w:ascii="Garamond" w:hAnsi="Garamond" w:cs="AdvOTab62ddd1+20"/>
          <w:sz w:val="20"/>
          <w:szCs w:val="20"/>
        </w:rPr>
        <w:t xml:space="preserve">and </w:t>
      </w:r>
      <w:r w:rsidRPr="0037198D">
        <w:rPr>
          <w:rFonts w:ascii="Garamond" w:hAnsi="Garamond" w:cs="AdvOTab62ddd1"/>
          <w:sz w:val="20"/>
          <w:szCs w:val="20"/>
        </w:rPr>
        <w:t>Moberg (</w:t>
      </w:r>
      <w:r w:rsidR="00A0006A" w:rsidRPr="0037198D">
        <w:rPr>
          <w:rFonts w:ascii="Garamond" w:hAnsi="Garamond" w:cs="AdvOTab62ddd1"/>
          <w:sz w:val="20"/>
          <w:szCs w:val="20"/>
        </w:rPr>
        <w:t>E</w:t>
      </w:r>
      <w:r w:rsidRPr="0037198D">
        <w:rPr>
          <w:rFonts w:ascii="Garamond" w:hAnsi="Garamond" w:cs="AdvOTab62ddd1"/>
          <w:sz w:val="20"/>
          <w:szCs w:val="20"/>
        </w:rPr>
        <w:t>ds</w:t>
      </w:r>
      <w:r w:rsidR="00A0006A" w:rsidRPr="0037198D">
        <w:rPr>
          <w:rFonts w:ascii="Garamond" w:hAnsi="Garamond" w:cs="AdvOTab62ddd1"/>
          <w:sz w:val="20"/>
          <w:szCs w:val="20"/>
        </w:rPr>
        <w:t>.</w:t>
      </w:r>
      <w:r w:rsidRPr="0037198D">
        <w:rPr>
          <w:rFonts w:ascii="Garamond" w:hAnsi="Garamond" w:cs="AdvOTab62ddd1"/>
          <w:sz w:val="20"/>
          <w:szCs w:val="20"/>
        </w:rPr>
        <w:t xml:space="preserve">), </w:t>
      </w:r>
      <w:r w:rsidRPr="0037198D">
        <w:rPr>
          <w:rFonts w:ascii="Garamond" w:hAnsi="Garamond" w:cs="AdvOTab62ddd1"/>
          <w:i/>
          <w:sz w:val="20"/>
          <w:szCs w:val="20"/>
        </w:rPr>
        <w:t>A Common European Law on Investment Screening (CELIS)</w:t>
      </w:r>
      <w:r w:rsidRPr="0037198D">
        <w:rPr>
          <w:rFonts w:ascii="Garamond" w:hAnsi="Garamond" w:cs="AdvOTab62ddd1"/>
          <w:sz w:val="20"/>
          <w:szCs w:val="20"/>
        </w:rPr>
        <w:t>, Yearbook of Socio-Economic Constitutions 2020</w:t>
      </w:r>
      <w:r w:rsidR="00A0006A" w:rsidRPr="0037198D">
        <w:rPr>
          <w:rFonts w:ascii="Garamond" w:hAnsi="Garamond" w:cs="AdvOTab62ddd1"/>
          <w:sz w:val="20"/>
          <w:szCs w:val="20"/>
        </w:rPr>
        <w:t xml:space="preserve"> </w:t>
      </w:r>
      <w:r w:rsidRPr="0037198D">
        <w:rPr>
          <w:rFonts w:ascii="Garamond" w:hAnsi="Garamond" w:cs="AdvOTab62ddd1"/>
          <w:sz w:val="20"/>
          <w:szCs w:val="20"/>
        </w:rPr>
        <w:t>(Springer</w:t>
      </w:r>
      <w:r w:rsidR="00A0006A" w:rsidRPr="0037198D">
        <w:rPr>
          <w:rFonts w:ascii="Garamond" w:hAnsi="Garamond" w:cs="AdvOTab62ddd1"/>
          <w:sz w:val="20"/>
          <w:szCs w:val="20"/>
        </w:rPr>
        <w:t>,</w:t>
      </w:r>
      <w:r w:rsidRPr="0037198D">
        <w:rPr>
          <w:rFonts w:ascii="Garamond" w:hAnsi="Garamond" w:cs="AdvOTab62ddd1"/>
          <w:sz w:val="20"/>
          <w:szCs w:val="20"/>
        </w:rPr>
        <w:t xml:space="preserve"> 2021)</w:t>
      </w:r>
      <w:r w:rsidR="00A0006A" w:rsidRPr="0037198D">
        <w:rPr>
          <w:rFonts w:ascii="Garamond" w:hAnsi="Garamond" w:cs="AdvOTab62ddd1"/>
          <w:sz w:val="20"/>
          <w:szCs w:val="20"/>
        </w:rPr>
        <w:t xml:space="preserve"> at </w:t>
      </w:r>
      <w:r w:rsidRPr="0037198D">
        <w:rPr>
          <w:rFonts w:ascii="Garamond" w:hAnsi="Garamond" w:cs="AdvOTab62ddd1"/>
          <w:sz w:val="20"/>
          <w:szCs w:val="20"/>
        </w:rPr>
        <w:t>56</w:t>
      </w:r>
      <w:r w:rsidR="00A0006A" w:rsidRPr="0037198D">
        <w:rPr>
          <w:rFonts w:ascii="Garamond" w:hAnsi="Garamond" w:cs="AdvOTab62ddd1"/>
          <w:sz w:val="20"/>
          <w:szCs w:val="20"/>
        </w:rPr>
        <w:t>.</w:t>
      </w:r>
    </w:p>
  </w:footnote>
  <w:footnote w:id="11">
    <w:p w14:paraId="03D43E6C" w14:textId="1B06D4AF"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w:t>
      </w:r>
      <w:proofErr w:type="spellStart"/>
      <w:r w:rsidRPr="0037198D">
        <w:rPr>
          <w:rFonts w:ascii="Garamond" w:hAnsi="Garamond" w:cstheme="minorHAnsi"/>
        </w:rPr>
        <w:t>Bohman</w:t>
      </w:r>
      <w:proofErr w:type="spellEnd"/>
      <w:r w:rsidRPr="0037198D">
        <w:rPr>
          <w:rFonts w:ascii="Garamond" w:hAnsi="Garamond" w:cstheme="minorHAnsi"/>
        </w:rPr>
        <w:t xml:space="preserve"> and</w:t>
      </w:r>
      <w:r w:rsidR="00A0006A" w:rsidRPr="0037198D">
        <w:rPr>
          <w:rFonts w:ascii="Garamond" w:hAnsi="Garamond" w:cstheme="minorHAnsi"/>
        </w:rPr>
        <w:t xml:space="preserve"> </w:t>
      </w:r>
      <w:proofErr w:type="spellStart"/>
      <w:r w:rsidRPr="0037198D">
        <w:rPr>
          <w:rFonts w:ascii="Garamond" w:hAnsi="Garamond" w:cstheme="minorHAnsi"/>
        </w:rPr>
        <w:t>Ljungwall</w:t>
      </w:r>
      <w:proofErr w:type="spellEnd"/>
      <w:r w:rsidRPr="0037198D">
        <w:rPr>
          <w:rFonts w:ascii="Garamond" w:hAnsi="Garamond" w:cstheme="minorHAnsi"/>
        </w:rPr>
        <w:t>, ‘The Strategic Rationale for European Engagement in China’s Belt and Road Initiative, The Swedish Institute of International Affairs, UI Brief N6, 2018.</w:t>
      </w:r>
    </w:p>
  </w:footnote>
  <w:footnote w:id="12">
    <w:p w14:paraId="4B814576" w14:textId="45E19937" w:rsidR="003442F7" w:rsidRPr="0037198D" w:rsidRDefault="003442F7" w:rsidP="002A3164">
      <w:pPr>
        <w:autoSpaceDE w:val="0"/>
        <w:autoSpaceDN w:val="0"/>
        <w:adjustRightInd w:val="0"/>
        <w:spacing w:after="0" w:line="240" w:lineRule="auto"/>
        <w:contextualSpacing/>
        <w:rPr>
          <w:rFonts w:ascii="Garamond" w:hAnsi="Garamond" w:cs="AdvOTab62ddd16"/>
          <w:sz w:val="20"/>
          <w:szCs w:val="20"/>
        </w:rPr>
      </w:pPr>
      <w:r w:rsidRPr="0037198D">
        <w:rPr>
          <w:rStyle w:val="FootnoteReference"/>
          <w:rFonts w:ascii="Garamond" w:hAnsi="Garamond" w:cstheme="minorHAnsi"/>
          <w:sz w:val="20"/>
          <w:szCs w:val="20"/>
        </w:rPr>
        <w:footnoteRef/>
      </w:r>
      <w:r w:rsidRPr="0037198D">
        <w:rPr>
          <w:rFonts w:ascii="Garamond" w:hAnsi="Garamond" w:cstheme="minorHAnsi"/>
          <w:sz w:val="20"/>
          <w:szCs w:val="20"/>
        </w:rPr>
        <w:t xml:space="preserve">  </w:t>
      </w:r>
      <w:r w:rsidRPr="0037198D">
        <w:rPr>
          <w:rFonts w:ascii="Garamond" w:hAnsi="Garamond" w:cs="AdvOTab62ddd16"/>
          <w:sz w:val="20"/>
          <w:szCs w:val="20"/>
        </w:rPr>
        <w:t>Meunier</w:t>
      </w:r>
      <w:r w:rsidR="00A0006A" w:rsidRPr="0037198D">
        <w:rPr>
          <w:rFonts w:ascii="Garamond" w:hAnsi="Garamond" w:cs="AdvOTab62ddd16"/>
          <w:sz w:val="20"/>
          <w:szCs w:val="20"/>
        </w:rPr>
        <w:t>, “</w:t>
      </w:r>
      <w:r w:rsidRPr="0037198D">
        <w:rPr>
          <w:rFonts w:ascii="Garamond" w:hAnsi="Garamond" w:cs="AdvOTab62ddd16"/>
          <w:sz w:val="20"/>
          <w:szCs w:val="20"/>
        </w:rPr>
        <w:t xml:space="preserve">Divide and conquer? China and the cacophony of foreign investment rules </w:t>
      </w:r>
      <w:r w:rsidR="00A0006A" w:rsidRPr="0037198D">
        <w:rPr>
          <w:rFonts w:ascii="Garamond" w:hAnsi="Garamond" w:cs="AdvOTab62ddd16"/>
          <w:sz w:val="20"/>
          <w:szCs w:val="20"/>
        </w:rPr>
        <w:t>i</w:t>
      </w:r>
      <w:r w:rsidRPr="0037198D">
        <w:rPr>
          <w:rFonts w:ascii="Garamond" w:hAnsi="Garamond" w:cs="AdvOTab62ddd16"/>
          <w:sz w:val="20"/>
          <w:szCs w:val="20"/>
        </w:rPr>
        <w:t>n the</w:t>
      </w:r>
      <w:r w:rsidR="00A0006A" w:rsidRPr="0037198D">
        <w:rPr>
          <w:rFonts w:ascii="Garamond" w:hAnsi="Garamond" w:cs="AdvOTab62ddd16"/>
          <w:sz w:val="20"/>
          <w:szCs w:val="20"/>
        </w:rPr>
        <w:t xml:space="preserve"> </w:t>
      </w:r>
      <w:r w:rsidRPr="0037198D">
        <w:rPr>
          <w:rFonts w:ascii="Garamond" w:hAnsi="Garamond" w:cs="AdvOTab62ddd16"/>
          <w:sz w:val="20"/>
          <w:szCs w:val="20"/>
        </w:rPr>
        <w:t>EU</w:t>
      </w:r>
      <w:r w:rsidR="00A0006A" w:rsidRPr="0037198D">
        <w:rPr>
          <w:rFonts w:ascii="Garamond" w:hAnsi="Garamond" w:cs="AdvOTab62ddd16"/>
          <w:sz w:val="20"/>
          <w:szCs w:val="20"/>
        </w:rPr>
        <w:t>”</w:t>
      </w:r>
      <w:r w:rsidRPr="0037198D">
        <w:rPr>
          <w:rFonts w:ascii="Garamond" w:hAnsi="Garamond" w:cs="AdvOTab62ddd16"/>
          <w:sz w:val="20"/>
          <w:szCs w:val="20"/>
        </w:rPr>
        <w:t xml:space="preserve"> 21 J </w:t>
      </w:r>
      <w:proofErr w:type="spellStart"/>
      <w:r w:rsidRPr="0037198D">
        <w:rPr>
          <w:rFonts w:ascii="Garamond" w:hAnsi="Garamond" w:cs="AdvOTab62ddd16"/>
          <w:sz w:val="20"/>
          <w:szCs w:val="20"/>
        </w:rPr>
        <w:t>Eur</w:t>
      </w:r>
      <w:proofErr w:type="spellEnd"/>
      <w:r w:rsidRPr="0037198D">
        <w:rPr>
          <w:rFonts w:ascii="Garamond" w:hAnsi="Garamond" w:cs="AdvOTab62ddd16"/>
          <w:sz w:val="20"/>
          <w:szCs w:val="20"/>
        </w:rPr>
        <w:t xml:space="preserve"> Public Policy </w:t>
      </w:r>
      <w:r w:rsidR="00A0006A" w:rsidRPr="0037198D">
        <w:rPr>
          <w:rFonts w:ascii="Garamond" w:hAnsi="Garamond" w:cs="AdvOTab62ddd16"/>
          <w:sz w:val="20"/>
          <w:szCs w:val="20"/>
        </w:rPr>
        <w:t xml:space="preserve">(2014) </w:t>
      </w:r>
      <w:r w:rsidRPr="0037198D">
        <w:rPr>
          <w:rFonts w:ascii="Garamond" w:hAnsi="Garamond" w:cs="AdvOTab62ddd16"/>
          <w:sz w:val="20"/>
          <w:szCs w:val="20"/>
        </w:rPr>
        <w:t>996.</w:t>
      </w:r>
    </w:p>
  </w:footnote>
  <w:footnote w:id="13">
    <w:p w14:paraId="78AD94B2" w14:textId="08B6D951" w:rsidR="003442F7" w:rsidRPr="0037198D" w:rsidRDefault="003442F7" w:rsidP="002A3164">
      <w:pPr>
        <w:autoSpaceDE w:val="0"/>
        <w:autoSpaceDN w:val="0"/>
        <w:adjustRightInd w:val="0"/>
        <w:spacing w:after="0" w:line="240" w:lineRule="auto"/>
        <w:contextualSpacing/>
        <w:jc w:val="both"/>
        <w:rPr>
          <w:rFonts w:ascii="Garamond" w:hAnsi="Garamond" w:cstheme="minorHAnsi"/>
          <w:sz w:val="20"/>
          <w:szCs w:val="20"/>
        </w:rPr>
      </w:pPr>
      <w:r w:rsidRPr="0037198D">
        <w:rPr>
          <w:rStyle w:val="FootnoteReference"/>
          <w:rFonts w:ascii="Garamond" w:hAnsi="Garamond" w:cstheme="minorHAnsi"/>
          <w:sz w:val="20"/>
          <w:szCs w:val="20"/>
        </w:rPr>
        <w:footnoteRef/>
      </w:r>
      <w:r w:rsidRPr="0037198D">
        <w:rPr>
          <w:rFonts w:ascii="Garamond" w:hAnsi="Garamond" w:cstheme="minorHAnsi"/>
          <w:sz w:val="20"/>
          <w:szCs w:val="20"/>
        </w:rPr>
        <w:t xml:space="preserve"> See </w:t>
      </w:r>
      <w:proofErr w:type="spellStart"/>
      <w:r w:rsidRPr="0037198D">
        <w:rPr>
          <w:rFonts w:ascii="Garamond" w:hAnsi="Garamond" w:cstheme="minorHAnsi"/>
          <w:sz w:val="20"/>
          <w:szCs w:val="20"/>
        </w:rPr>
        <w:t>Warchol</w:t>
      </w:r>
      <w:proofErr w:type="spellEnd"/>
      <w:r w:rsidRPr="0037198D">
        <w:rPr>
          <w:rFonts w:ascii="Garamond" w:hAnsi="Garamond" w:cstheme="minorHAnsi"/>
          <w:sz w:val="20"/>
          <w:szCs w:val="20"/>
        </w:rPr>
        <w:t xml:space="preserve"> </w:t>
      </w:r>
      <w:r w:rsidR="00A0006A" w:rsidRPr="0037198D">
        <w:rPr>
          <w:rFonts w:ascii="Garamond" w:hAnsi="Garamond" w:cstheme="minorHAnsi"/>
          <w:sz w:val="20"/>
          <w:szCs w:val="20"/>
        </w:rPr>
        <w:t xml:space="preserve">at </w:t>
      </w:r>
      <w:r w:rsidRPr="0037198D">
        <w:rPr>
          <w:rFonts w:ascii="Garamond" w:hAnsi="Garamond" w:cstheme="minorHAnsi"/>
          <w:sz w:val="20"/>
          <w:szCs w:val="20"/>
        </w:rPr>
        <w:t>57, discussing the letter sent France, Italy and Germany in February 2017 asking the European Commission to work on legal measures for a screening that would grant additional protection based on economic criteria.</w:t>
      </w:r>
    </w:p>
  </w:footnote>
  <w:footnote w:id="14">
    <w:p w14:paraId="683E3733" w14:textId="7B1E371C" w:rsidR="00171A56" w:rsidRPr="0037198D" w:rsidRDefault="00171A56" w:rsidP="00171A56">
      <w:pPr>
        <w:pStyle w:val="FootnoteText"/>
        <w:contextualSpacing/>
        <w:jc w:val="both"/>
        <w:rPr>
          <w:rFonts w:ascii="Garamond" w:hAnsi="Garamond" w:cstheme="minorHAnsi"/>
        </w:rPr>
      </w:pPr>
      <w:r w:rsidRPr="0037198D">
        <w:rPr>
          <w:rStyle w:val="FootnoteReference"/>
          <w:rFonts w:ascii="Garamond" w:hAnsi="Garamond" w:cstheme="minorHAnsi"/>
        </w:rPr>
        <w:footnoteRef/>
      </w:r>
      <w:r>
        <w:rPr>
          <w:rFonts w:ascii="Garamond" w:hAnsi="Garamond" w:cstheme="minorHAnsi"/>
        </w:rPr>
        <w:t xml:space="preserve"> R</w:t>
      </w:r>
      <w:r w:rsidRPr="00171A56">
        <w:rPr>
          <w:rFonts w:ascii="Garamond" w:hAnsi="Garamond" w:cstheme="minorHAnsi"/>
        </w:rPr>
        <w:t>egulation (</w:t>
      </w:r>
      <w:r>
        <w:rPr>
          <w:rFonts w:ascii="Garamond" w:hAnsi="Garamond" w:cstheme="minorHAnsi"/>
        </w:rPr>
        <w:t>EU</w:t>
      </w:r>
      <w:r w:rsidRPr="00171A56">
        <w:rPr>
          <w:rFonts w:ascii="Garamond" w:hAnsi="Garamond" w:cstheme="minorHAnsi"/>
        </w:rPr>
        <w:t xml:space="preserve">) 2019/452 of the </w:t>
      </w:r>
      <w:r>
        <w:rPr>
          <w:rFonts w:ascii="Garamond" w:hAnsi="Garamond" w:cstheme="minorHAnsi"/>
        </w:rPr>
        <w:t>E</w:t>
      </w:r>
      <w:r w:rsidRPr="00171A56">
        <w:rPr>
          <w:rFonts w:ascii="Garamond" w:hAnsi="Garamond" w:cstheme="minorHAnsi"/>
        </w:rPr>
        <w:t xml:space="preserve">uropean </w:t>
      </w:r>
      <w:r>
        <w:rPr>
          <w:rFonts w:ascii="Garamond" w:hAnsi="Garamond" w:cstheme="minorHAnsi"/>
        </w:rPr>
        <w:t>P</w:t>
      </w:r>
      <w:r w:rsidRPr="00171A56">
        <w:rPr>
          <w:rFonts w:ascii="Garamond" w:hAnsi="Garamond" w:cstheme="minorHAnsi"/>
        </w:rPr>
        <w:t xml:space="preserve">arliament and of the </w:t>
      </w:r>
      <w:r>
        <w:rPr>
          <w:rFonts w:ascii="Garamond" w:hAnsi="Garamond" w:cstheme="minorHAnsi"/>
        </w:rPr>
        <w:t>C</w:t>
      </w:r>
      <w:r w:rsidRPr="00171A56">
        <w:rPr>
          <w:rFonts w:ascii="Garamond" w:hAnsi="Garamond" w:cstheme="minorHAnsi"/>
        </w:rPr>
        <w:t>ouncil of 19 March 2019</w:t>
      </w:r>
      <w:r w:rsidRPr="00171A56">
        <w:rPr>
          <w:rFonts w:ascii="Garamond" w:hAnsi="Garamond" w:cstheme="minorHAnsi"/>
        </w:rPr>
        <w:br/>
        <w:t>establishing a framework for the screening of foreign direct investments into the Union</w:t>
      </w:r>
      <w:r>
        <w:rPr>
          <w:rFonts w:ascii="Garamond" w:hAnsi="Garamond" w:cstheme="minorHAnsi"/>
        </w:rPr>
        <w:t xml:space="preserve">, </w:t>
      </w:r>
      <w:r w:rsidRPr="0037198D">
        <w:rPr>
          <w:rFonts w:ascii="Garamond" w:hAnsi="Garamond"/>
        </w:rPr>
        <w:t>O.J. L 79</w:t>
      </w:r>
      <w:proofErr w:type="gramStart"/>
      <w:r w:rsidRPr="0037198D">
        <w:rPr>
          <w:rFonts w:ascii="Garamond" w:hAnsi="Garamond"/>
        </w:rPr>
        <w:t>I ,</w:t>
      </w:r>
      <w:proofErr w:type="gramEnd"/>
      <w:r w:rsidRPr="0037198D">
        <w:rPr>
          <w:rFonts w:ascii="Garamond" w:hAnsi="Garamond"/>
        </w:rPr>
        <w:t xml:space="preserve"> 21.3.2019,</w:t>
      </w:r>
      <w:r w:rsidRPr="0037198D">
        <w:rPr>
          <w:rFonts w:ascii="Garamond" w:hAnsi="Garamond" w:cstheme="minorHAnsi"/>
        </w:rPr>
        <w:t xml:space="preserve"> </w:t>
      </w:r>
      <w:r>
        <w:rPr>
          <w:rFonts w:ascii="Garamond" w:hAnsi="Garamond" w:cstheme="minorHAnsi"/>
        </w:rPr>
        <w:t>(hereinafter the FDI Screening Regulation).</w:t>
      </w:r>
    </w:p>
  </w:footnote>
  <w:footnote w:id="15">
    <w:p w14:paraId="2C120405" w14:textId="2CE02342" w:rsidR="00171A56" w:rsidRDefault="00171A56">
      <w:pPr>
        <w:pStyle w:val="FootnoteText"/>
      </w:pPr>
      <w:r>
        <w:rPr>
          <w:rStyle w:val="FootnoteReference"/>
        </w:rPr>
        <w:footnoteRef/>
      </w:r>
      <w:r>
        <w:t xml:space="preserve"> </w:t>
      </w:r>
      <w:r>
        <w:rPr>
          <w:rFonts w:ascii="Garamond" w:hAnsi="Garamond" w:cstheme="minorHAnsi"/>
        </w:rPr>
        <w:t>A</w:t>
      </w:r>
      <w:r w:rsidRPr="0037198D">
        <w:rPr>
          <w:rFonts w:ascii="Garamond" w:hAnsi="Garamond" w:cstheme="minorHAnsi"/>
        </w:rPr>
        <w:t>rt 1(2)</w:t>
      </w:r>
    </w:p>
  </w:footnote>
  <w:footnote w:id="16">
    <w:p w14:paraId="203E309D" w14:textId="61B0BC2E" w:rsidR="003442F7" w:rsidRPr="0037198D" w:rsidRDefault="003442F7" w:rsidP="002A3164">
      <w:pPr>
        <w:autoSpaceDE w:val="0"/>
        <w:autoSpaceDN w:val="0"/>
        <w:adjustRightInd w:val="0"/>
        <w:spacing w:after="0" w:line="240" w:lineRule="auto"/>
        <w:contextualSpacing/>
        <w:jc w:val="both"/>
        <w:rPr>
          <w:rFonts w:ascii="Garamond" w:hAnsi="Garamond" w:cs="AdvOTf9b4e953.B6"/>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Simon, </w:t>
      </w:r>
      <w:r w:rsidR="00A0006A" w:rsidRPr="0037198D">
        <w:rPr>
          <w:rFonts w:ascii="Garamond" w:hAnsi="Garamond"/>
          <w:sz w:val="20"/>
          <w:szCs w:val="20"/>
        </w:rPr>
        <w:t>“</w:t>
      </w:r>
      <w:r w:rsidRPr="0037198D">
        <w:rPr>
          <w:rFonts w:ascii="Garamond" w:hAnsi="Garamond" w:cs="AdvOTf9b4e953.B6"/>
          <w:sz w:val="20"/>
          <w:szCs w:val="20"/>
        </w:rPr>
        <w:t>Investment Screening: The Return of Protectionism? A Political Account</w:t>
      </w:r>
      <w:r w:rsidR="00A0006A" w:rsidRPr="0037198D">
        <w:rPr>
          <w:rFonts w:ascii="Garamond" w:hAnsi="Garamond"/>
          <w:sz w:val="20"/>
          <w:szCs w:val="20"/>
        </w:rPr>
        <w:t xml:space="preserve">” </w:t>
      </w:r>
      <w:r w:rsidRPr="0037198D">
        <w:rPr>
          <w:rFonts w:ascii="Garamond" w:hAnsi="Garamond"/>
          <w:sz w:val="20"/>
          <w:szCs w:val="20"/>
        </w:rPr>
        <w:t xml:space="preserve">in </w:t>
      </w:r>
      <w:proofErr w:type="spellStart"/>
      <w:r w:rsidRPr="0037198D">
        <w:rPr>
          <w:rFonts w:ascii="Garamond" w:hAnsi="Garamond" w:cs="AdvOTab62ddd1"/>
          <w:sz w:val="20"/>
          <w:szCs w:val="20"/>
        </w:rPr>
        <w:t>Hindelang</w:t>
      </w:r>
      <w:proofErr w:type="spellEnd"/>
      <w:r w:rsidRPr="0037198D">
        <w:rPr>
          <w:rFonts w:ascii="Garamond" w:hAnsi="Garamond" w:cs="AdvOTab62ddd1"/>
          <w:sz w:val="20"/>
          <w:szCs w:val="20"/>
        </w:rPr>
        <w:t xml:space="preserve"> </w:t>
      </w:r>
      <w:r w:rsidRPr="0037198D">
        <w:rPr>
          <w:rFonts w:ascii="Garamond" w:hAnsi="Garamond" w:cs="AdvOTab62ddd1+20"/>
          <w:sz w:val="20"/>
          <w:szCs w:val="20"/>
        </w:rPr>
        <w:t xml:space="preserve">and </w:t>
      </w:r>
      <w:r w:rsidRPr="0037198D">
        <w:rPr>
          <w:rFonts w:ascii="Garamond" w:hAnsi="Garamond" w:cs="AdvOTab62ddd1"/>
          <w:sz w:val="20"/>
          <w:szCs w:val="20"/>
        </w:rPr>
        <w:t>Moberg (</w:t>
      </w:r>
      <w:r w:rsidR="00A0006A" w:rsidRPr="0037198D">
        <w:rPr>
          <w:rFonts w:ascii="Garamond" w:hAnsi="Garamond" w:cs="AdvOTab62ddd1"/>
          <w:sz w:val="20"/>
          <w:szCs w:val="20"/>
        </w:rPr>
        <w:t>E</w:t>
      </w:r>
      <w:r w:rsidRPr="0037198D">
        <w:rPr>
          <w:rFonts w:ascii="Garamond" w:hAnsi="Garamond" w:cs="AdvOTab62ddd1"/>
          <w:sz w:val="20"/>
          <w:szCs w:val="20"/>
        </w:rPr>
        <w:t>ds</w:t>
      </w:r>
      <w:r w:rsidR="00A0006A" w:rsidRPr="0037198D">
        <w:rPr>
          <w:rFonts w:ascii="Garamond" w:hAnsi="Garamond" w:cs="AdvOTab62ddd1"/>
          <w:sz w:val="20"/>
          <w:szCs w:val="20"/>
        </w:rPr>
        <w:t>.</w:t>
      </w:r>
      <w:r w:rsidRPr="0037198D">
        <w:rPr>
          <w:rFonts w:ascii="Garamond" w:hAnsi="Garamond" w:cs="AdvOTab62ddd1"/>
          <w:sz w:val="20"/>
          <w:szCs w:val="20"/>
        </w:rPr>
        <w:t xml:space="preserve">), </w:t>
      </w:r>
      <w:r w:rsidRPr="0037198D">
        <w:rPr>
          <w:rFonts w:ascii="Garamond" w:hAnsi="Garamond" w:cs="AdvOTab62ddd1"/>
          <w:i/>
          <w:sz w:val="20"/>
          <w:szCs w:val="20"/>
        </w:rPr>
        <w:t>A Common European Law on Investment Screening</w:t>
      </w:r>
      <w:r w:rsidRPr="0037198D">
        <w:rPr>
          <w:rFonts w:ascii="Garamond" w:hAnsi="Garamond" w:cs="AdvOTab62ddd1"/>
          <w:sz w:val="20"/>
          <w:szCs w:val="20"/>
        </w:rPr>
        <w:t>, 43,</w:t>
      </w:r>
      <w:r w:rsidRPr="0037198D">
        <w:rPr>
          <w:rFonts w:ascii="Garamond" w:hAnsi="Garamond"/>
          <w:sz w:val="20"/>
          <w:szCs w:val="20"/>
        </w:rPr>
        <w:t xml:space="preserve"> </w:t>
      </w:r>
      <w:r w:rsidR="00A0006A" w:rsidRPr="0037198D">
        <w:rPr>
          <w:rFonts w:ascii="Garamond" w:hAnsi="Garamond"/>
          <w:sz w:val="20"/>
          <w:szCs w:val="20"/>
        </w:rPr>
        <w:t xml:space="preserve">at </w:t>
      </w:r>
      <w:r w:rsidRPr="0037198D">
        <w:rPr>
          <w:rFonts w:ascii="Garamond" w:hAnsi="Garamond"/>
          <w:sz w:val="20"/>
          <w:szCs w:val="20"/>
        </w:rPr>
        <w:t>45.</w:t>
      </w:r>
    </w:p>
  </w:footnote>
  <w:footnote w:id="17">
    <w:p w14:paraId="11314F31" w14:textId="1BBED981" w:rsidR="00830253" w:rsidRDefault="00830253">
      <w:pPr>
        <w:pStyle w:val="FootnoteText"/>
      </w:pPr>
      <w:r>
        <w:rPr>
          <w:rStyle w:val="FootnoteReference"/>
        </w:rPr>
        <w:footnoteRef/>
      </w:r>
      <w:r>
        <w:t xml:space="preserve"> </w:t>
      </w:r>
      <w:r w:rsidRPr="00E1789E">
        <w:rPr>
          <w:rFonts w:ascii="Garamond" w:hAnsi="Garamond" w:cs="Calibri"/>
          <w:color w:val="000000"/>
        </w:rPr>
        <w:t xml:space="preserve">The national security framing is also motivated by the need to demonstrate compliance </w:t>
      </w:r>
      <w:r>
        <w:rPr>
          <w:rFonts w:ascii="Garamond" w:hAnsi="Garamond" w:cs="Calibri"/>
          <w:color w:val="000000"/>
        </w:rPr>
        <w:t xml:space="preserve">with obligations under </w:t>
      </w:r>
      <w:r w:rsidRPr="00E349B8">
        <w:rPr>
          <w:rFonts w:ascii="Garamond" w:hAnsi="Garamond" w:cs="Calibri"/>
          <w:color w:val="000000"/>
        </w:rPr>
        <w:t xml:space="preserve">WTO </w:t>
      </w:r>
      <w:r>
        <w:rPr>
          <w:rFonts w:ascii="Garamond" w:hAnsi="Garamond" w:cs="Calibri"/>
          <w:color w:val="000000"/>
        </w:rPr>
        <w:t xml:space="preserve">law </w:t>
      </w:r>
      <w:r w:rsidRPr="00E1789E">
        <w:rPr>
          <w:rFonts w:ascii="Garamond" w:hAnsi="Garamond" w:cs="Calibri"/>
          <w:color w:val="000000"/>
        </w:rPr>
        <w:t>(see para 3 of the recitals to the FDI screening Regulation).</w:t>
      </w:r>
    </w:p>
  </w:footnote>
  <w:footnote w:id="18">
    <w:p w14:paraId="5F936EFC" w14:textId="0C1F492F" w:rsidR="00171A56" w:rsidRPr="00E1789E" w:rsidRDefault="00171A56">
      <w:pPr>
        <w:pStyle w:val="FootnoteText"/>
        <w:rPr>
          <w:rFonts w:ascii="Garamond" w:hAnsi="Garamond"/>
        </w:rPr>
      </w:pPr>
      <w:r w:rsidRPr="00E1789E">
        <w:rPr>
          <w:rStyle w:val="FootnoteReference"/>
          <w:rFonts w:ascii="Garamond" w:hAnsi="Garamond"/>
        </w:rPr>
        <w:footnoteRef/>
      </w:r>
      <w:r w:rsidRPr="00E1789E">
        <w:rPr>
          <w:rFonts w:ascii="Garamond" w:hAnsi="Garamond"/>
        </w:rPr>
        <w:t xml:space="preserve"> See, </w:t>
      </w:r>
      <w:proofErr w:type="spellStart"/>
      <w:r w:rsidRPr="00E1789E">
        <w:rPr>
          <w:rFonts w:ascii="Garamond" w:hAnsi="Garamond"/>
        </w:rPr>
        <w:t>eg</w:t>
      </w:r>
      <w:proofErr w:type="spellEnd"/>
      <w:r w:rsidRPr="00E1789E">
        <w:rPr>
          <w:rFonts w:ascii="Garamond" w:hAnsi="Garamond"/>
        </w:rPr>
        <w:t>, Article 4(1) of the FDI Screening Regulation.</w:t>
      </w:r>
    </w:p>
  </w:footnote>
  <w:footnote w:id="19">
    <w:p w14:paraId="0041EDEA" w14:textId="6AAE65EE" w:rsidR="00BE7FDF" w:rsidRPr="0037198D" w:rsidRDefault="00BE7FDF" w:rsidP="00BE7FDF">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w:t>
      </w:r>
      <w:r w:rsidR="00171A56">
        <w:rPr>
          <w:rFonts w:ascii="Garamond" w:hAnsi="Garamond" w:cstheme="minorHAnsi"/>
        </w:rPr>
        <w:t xml:space="preserve">Ibid, paragraphs (b) and (d). See also </w:t>
      </w:r>
      <w:r w:rsidRPr="0037198D">
        <w:rPr>
          <w:rFonts w:ascii="Garamond" w:hAnsi="Garamond" w:cstheme="minorHAnsi"/>
        </w:rPr>
        <w:t xml:space="preserve">UNCTAD, </w:t>
      </w:r>
      <w:r w:rsidRPr="0037198D">
        <w:rPr>
          <w:rFonts w:ascii="Garamond" w:hAnsi="Garamond" w:cs="Arial"/>
        </w:rPr>
        <w:t>National Security-Related Screening</w:t>
      </w:r>
      <w:r w:rsidRPr="0037198D">
        <w:rPr>
          <w:rFonts w:ascii="Garamond" w:hAnsi="Garamond"/>
        </w:rPr>
        <w:t xml:space="preserve"> </w:t>
      </w:r>
      <w:r w:rsidRPr="0037198D">
        <w:rPr>
          <w:rFonts w:ascii="Garamond" w:hAnsi="Garamond" w:cs="Arial"/>
        </w:rPr>
        <w:t>Mechanisms for Foreign Investment:</w:t>
      </w:r>
      <w:r w:rsidRPr="0037198D">
        <w:rPr>
          <w:rFonts w:ascii="Garamond" w:hAnsi="Garamond"/>
        </w:rPr>
        <w:t xml:space="preserve"> </w:t>
      </w:r>
      <w:r w:rsidRPr="0037198D">
        <w:rPr>
          <w:rFonts w:ascii="Garamond" w:hAnsi="Garamond" w:cs="Arial"/>
        </w:rPr>
        <w:t>An Analysis of Recent Policy Developments</w:t>
      </w:r>
      <w:r w:rsidRPr="0037198D">
        <w:rPr>
          <w:rFonts w:ascii="Garamond" w:hAnsi="Garamond" w:cstheme="minorHAnsi"/>
        </w:rPr>
        <w:t xml:space="preserve"> (December 2019) 2.</w:t>
      </w:r>
    </w:p>
  </w:footnote>
  <w:footnote w:id="20">
    <w:p w14:paraId="662F2B7F" w14:textId="687088AC" w:rsidR="00D95A33" w:rsidRPr="0037198D" w:rsidRDefault="00D95A33" w:rsidP="002A3164">
      <w:pPr>
        <w:pStyle w:val="FootnoteText"/>
        <w:contextualSpacing/>
        <w:rPr>
          <w:rFonts w:ascii="Garamond" w:hAnsi="Garamond"/>
        </w:rPr>
      </w:pPr>
      <w:r w:rsidRPr="0037198D">
        <w:rPr>
          <w:rStyle w:val="FootnoteReference"/>
          <w:rFonts w:ascii="Garamond" w:hAnsi="Garamond"/>
        </w:rPr>
        <w:footnoteRef/>
      </w:r>
      <w:r w:rsidRPr="0037198D">
        <w:rPr>
          <w:rFonts w:ascii="Garamond" w:hAnsi="Garamond"/>
        </w:rPr>
        <w:t xml:space="preserve"> In July 2022, the OECD reported that policy adjustments to include critical health infrastructure within the scope of screening in 21 OECD countries. OECD, “Investment screening in times of COVID-19–and beyond”, 07 July 2022.</w:t>
      </w:r>
    </w:p>
  </w:footnote>
  <w:footnote w:id="21">
    <w:p w14:paraId="7359BC91" w14:textId="77777777" w:rsidR="00BE7FDF" w:rsidRPr="0037198D" w:rsidRDefault="00BE7FDF" w:rsidP="00BE7FDF">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Brussels, 25.3.2020 COM (2020) 1981, “Guidance to the Member States concerning foreign direct investment and free movement of capital from third countries, and the protection of Europe’s strategic assets, ahead of the application of Regulation (EU) 2019/452 (FDI Screening Regulation)”.</w:t>
      </w:r>
    </w:p>
  </w:footnote>
  <w:footnote w:id="22">
    <w:p w14:paraId="54A3F38C" w14:textId="77777777" w:rsidR="00BE7FDF" w:rsidRPr="0037198D" w:rsidRDefault="00BE7FDF" w:rsidP="00BE7FDF">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ibid</w:t>
      </w:r>
    </w:p>
  </w:footnote>
  <w:footnote w:id="23">
    <w:p w14:paraId="4A132482" w14:textId="3E24D78E"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w:t>
      </w:r>
      <w:proofErr w:type="spellStart"/>
      <w:r w:rsidRPr="0037198D">
        <w:rPr>
          <w:rFonts w:ascii="Garamond" w:hAnsi="Garamond" w:cstheme="minorHAnsi"/>
        </w:rPr>
        <w:t>Gadocha</w:t>
      </w:r>
      <w:proofErr w:type="spellEnd"/>
      <w:r w:rsidRPr="0037198D">
        <w:rPr>
          <w:rFonts w:ascii="Garamond" w:hAnsi="Garamond" w:cstheme="minorHAnsi"/>
        </w:rPr>
        <w:t xml:space="preserve">, </w:t>
      </w:r>
      <w:r w:rsidR="00A0006A" w:rsidRPr="0037198D">
        <w:rPr>
          <w:rFonts w:ascii="Garamond" w:hAnsi="Garamond" w:cstheme="minorHAnsi"/>
        </w:rPr>
        <w:t>“</w:t>
      </w:r>
      <w:r w:rsidRPr="0037198D">
        <w:rPr>
          <w:rFonts w:ascii="Garamond" w:hAnsi="Garamond" w:cstheme="minorHAnsi"/>
        </w:rPr>
        <w:t>Assessing the EU Framework Regulation for the Screening of FDI</w:t>
      </w:r>
      <w:r w:rsidR="00A0006A" w:rsidRPr="0037198D">
        <w:rPr>
          <w:rFonts w:ascii="Garamond" w:hAnsi="Garamond" w:cstheme="minorHAnsi"/>
        </w:rPr>
        <w:t xml:space="preserve">”, 47, citing </w:t>
      </w:r>
      <w:r w:rsidR="00A0006A" w:rsidRPr="0037198D">
        <w:rPr>
          <w:rFonts w:ascii="Garamond" w:hAnsi="Garamond"/>
        </w:rPr>
        <w:t xml:space="preserve">Die Welt, Gabriel </w:t>
      </w:r>
      <w:proofErr w:type="spellStart"/>
      <w:r w:rsidR="00A0006A" w:rsidRPr="0037198D">
        <w:rPr>
          <w:rFonts w:ascii="Garamond" w:hAnsi="Garamond"/>
        </w:rPr>
        <w:t>wirft</w:t>
      </w:r>
      <w:proofErr w:type="spellEnd"/>
      <w:r w:rsidR="00A0006A" w:rsidRPr="0037198D">
        <w:rPr>
          <w:rFonts w:ascii="Garamond" w:hAnsi="Garamond"/>
        </w:rPr>
        <w:t xml:space="preserve"> China </w:t>
      </w:r>
      <w:proofErr w:type="spellStart"/>
      <w:r w:rsidR="00A0006A" w:rsidRPr="0037198D">
        <w:rPr>
          <w:rFonts w:ascii="Garamond" w:hAnsi="Garamond"/>
        </w:rPr>
        <w:t>Foulspiel</w:t>
      </w:r>
      <w:proofErr w:type="spellEnd"/>
      <w:r w:rsidR="00A0006A" w:rsidRPr="0037198D">
        <w:rPr>
          <w:rFonts w:ascii="Garamond" w:hAnsi="Garamond"/>
        </w:rPr>
        <w:t xml:space="preserve"> </w:t>
      </w:r>
      <w:proofErr w:type="spellStart"/>
      <w:r w:rsidR="00A0006A" w:rsidRPr="0037198D">
        <w:rPr>
          <w:rFonts w:ascii="Garamond" w:hAnsi="Garamond"/>
        </w:rPr>
        <w:t>bei</w:t>
      </w:r>
      <w:proofErr w:type="spellEnd"/>
      <w:r w:rsidR="00A0006A" w:rsidRPr="0037198D">
        <w:rPr>
          <w:rFonts w:ascii="Garamond" w:hAnsi="Garamond"/>
        </w:rPr>
        <w:t xml:space="preserve"> </w:t>
      </w:r>
      <w:proofErr w:type="spellStart"/>
      <w:r w:rsidR="00A0006A" w:rsidRPr="0037198D">
        <w:rPr>
          <w:rFonts w:ascii="Garamond" w:hAnsi="Garamond"/>
        </w:rPr>
        <w:t>Übernahmen</w:t>
      </w:r>
      <w:proofErr w:type="spellEnd"/>
      <w:r w:rsidR="00A0006A" w:rsidRPr="0037198D">
        <w:rPr>
          <w:rFonts w:ascii="Garamond" w:hAnsi="Garamond"/>
        </w:rPr>
        <w:t xml:space="preserve"> </w:t>
      </w:r>
      <w:proofErr w:type="spellStart"/>
      <w:r w:rsidR="00A0006A" w:rsidRPr="0037198D">
        <w:rPr>
          <w:rFonts w:ascii="Garamond" w:hAnsi="Garamond"/>
        </w:rPr>
        <w:t>vor</w:t>
      </w:r>
      <w:proofErr w:type="spellEnd"/>
      <w:r w:rsidR="00A0006A" w:rsidRPr="0037198D">
        <w:rPr>
          <w:rFonts w:ascii="Garamond" w:hAnsi="Garamond"/>
        </w:rPr>
        <w:t xml:space="preserve"> (October 29, 2016).</w:t>
      </w:r>
    </w:p>
  </w:footnote>
  <w:footnote w:id="24">
    <w:p w14:paraId="3FAEF425" w14:textId="2EE6C1C7"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 47</w:t>
      </w:r>
    </w:p>
  </w:footnote>
  <w:footnote w:id="25">
    <w:p w14:paraId="119EAB4C" w14:textId="1EE90730"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Poitiers and Dominguez-Jimenez (2020), </w:t>
      </w:r>
      <w:r w:rsidR="00A0006A" w:rsidRPr="0037198D">
        <w:rPr>
          <w:rFonts w:ascii="Garamond" w:hAnsi="Garamond"/>
        </w:rPr>
        <w:t>“</w:t>
      </w:r>
      <w:r w:rsidRPr="0037198D">
        <w:rPr>
          <w:rFonts w:ascii="Garamond" w:hAnsi="Garamond"/>
        </w:rPr>
        <w:t>Europe’s China problem: investment screening and state aid</w:t>
      </w:r>
      <w:r w:rsidR="00A0006A" w:rsidRPr="0037198D">
        <w:rPr>
          <w:rFonts w:ascii="Garamond" w:hAnsi="Garamond"/>
        </w:rPr>
        <w:t>”,</w:t>
      </w:r>
      <w:r w:rsidRPr="0037198D">
        <w:rPr>
          <w:rFonts w:ascii="Garamond" w:hAnsi="Garamond"/>
        </w:rPr>
        <w:t xml:space="preserve"> Bruegel Blog, 2 July 2020.</w:t>
      </w:r>
    </w:p>
  </w:footnote>
  <w:footnote w:id="26">
    <w:p w14:paraId="7D62B7A6" w14:textId="2CE309B9"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Simon, </w:t>
      </w:r>
      <w:r w:rsidR="00A0006A" w:rsidRPr="0037198D">
        <w:rPr>
          <w:rFonts w:ascii="Garamond" w:hAnsi="Garamond"/>
        </w:rPr>
        <w:t>“</w:t>
      </w:r>
      <w:r w:rsidR="00A0006A" w:rsidRPr="0037198D">
        <w:rPr>
          <w:rFonts w:ascii="Garamond" w:hAnsi="Garamond" w:cs="AdvOTf9b4e953.B6"/>
        </w:rPr>
        <w:t>Investment Screening: The Return of Protectionism? A Political Account</w:t>
      </w:r>
      <w:r w:rsidR="00A0006A" w:rsidRPr="0037198D">
        <w:rPr>
          <w:rFonts w:ascii="Garamond" w:hAnsi="Garamond"/>
        </w:rPr>
        <w:t xml:space="preserve">”, at </w:t>
      </w:r>
      <w:r w:rsidRPr="0037198D">
        <w:rPr>
          <w:rFonts w:ascii="Garamond" w:hAnsi="Garamond"/>
        </w:rPr>
        <w:t>46</w:t>
      </w:r>
      <w:r w:rsidR="00A0006A" w:rsidRPr="0037198D">
        <w:rPr>
          <w:rFonts w:ascii="Garamond" w:hAnsi="Garamond"/>
        </w:rPr>
        <w:t>.</w:t>
      </w:r>
    </w:p>
  </w:footnote>
  <w:footnote w:id="27">
    <w:p w14:paraId="4A07A42A" w14:textId="0D1E48BB" w:rsidR="003442F7" w:rsidRPr="0037198D" w:rsidRDefault="003442F7" w:rsidP="002A3164">
      <w:pPr>
        <w:autoSpaceDE w:val="0"/>
        <w:autoSpaceDN w:val="0"/>
        <w:adjustRightInd w:val="0"/>
        <w:spacing w:after="0" w:line="240" w:lineRule="auto"/>
        <w:contextualSpacing/>
        <w:jc w:val="both"/>
        <w:rPr>
          <w:rFonts w:ascii="Garamond" w:hAnsi="Garamond" w:cs="AdvOTab62ddd15"/>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r w:rsidRPr="0037198D">
        <w:rPr>
          <w:rFonts w:ascii="Garamond" w:hAnsi="Garamond" w:cs="AdvOTab62ddd15"/>
          <w:sz w:val="20"/>
          <w:szCs w:val="20"/>
        </w:rPr>
        <w:t>European Parliament, Resolution on building an ambitious EU industrial strategy as a strategic</w:t>
      </w:r>
      <w:r w:rsidR="00A0006A" w:rsidRPr="0037198D">
        <w:rPr>
          <w:rFonts w:ascii="Garamond" w:hAnsi="Garamond" w:cs="AdvOTab62ddd15"/>
          <w:sz w:val="20"/>
          <w:szCs w:val="20"/>
        </w:rPr>
        <w:t xml:space="preserve"> </w:t>
      </w:r>
      <w:r w:rsidRPr="0037198D">
        <w:rPr>
          <w:rFonts w:ascii="Garamond" w:hAnsi="Garamond" w:cs="AdvOTab62ddd15"/>
          <w:sz w:val="20"/>
          <w:szCs w:val="20"/>
        </w:rPr>
        <w:t>priority for growth, employment and innovation in Europe (2017/2732(RSP), Nr. 19.</w:t>
      </w:r>
    </w:p>
  </w:footnote>
  <w:footnote w:id="28">
    <w:p w14:paraId="56D638A5" w14:textId="105BEFC9"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Style w:val="markedcontent"/>
          <w:rFonts w:ascii="Garamond" w:hAnsi="Garamond" w:cs="Arial"/>
        </w:rPr>
        <w:t>Proposal for a Regulation of The European Parliament and</w:t>
      </w:r>
      <w:r w:rsidRPr="0037198D">
        <w:rPr>
          <w:rFonts w:ascii="Garamond" w:hAnsi="Garamond"/>
        </w:rPr>
        <w:br/>
      </w:r>
      <w:r w:rsidRPr="0037198D">
        <w:rPr>
          <w:rStyle w:val="markedcontent"/>
          <w:rFonts w:ascii="Garamond" w:hAnsi="Garamond" w:cs="Arial"/>
        </w:rPr>
        <w:t xml:space="preserve">of The Council on foreign subsidies distorting the internal market, Brussels 17 May 2021, </w:t>
      </w:r>
      <w:proofErr w:type="gramStart"/>
      <w:r w:rsidRPr="0037198D">
        <w:rPr>
          <w:rStyle w:val="markedcontent"/>
          <w:rFonts w:ascii="Garamond" w:hAnsi="Garamond" w:cs="Arial"/>
        </w:rPr>
        <w:t>COM(</w:t>
      </w:r>
      <w:proofErr w:type="gramEnd"/>
      <w:r w:rsidRPr="0037198D">
        <w:rPr>
          <w:rStyle w:val="markedcontent"/>
          <w:rFonts w:ascii="Garamond" w:hAnsi="Garamond" w:cs="Arial"/>
        </w:rPr>
        <w:t>2021) 223 final.</w:t>
      </w:r>
    </w:p>
  </w:footnote>
  <w:footnote w:id="29">
    <w:p w14:paraId="1ACC9F7A" w14:textId="2CFE6DF9" w:rsidR="00BE7FDF" w:rsidRDefault="00BE7FDF">
      <w:pPr>
        <w:pStyle w:val="FootnoteText"/>
      </w:pPr>
      <w:r w:rsidRPr="00830253">
        <w:rPr>
          <w:rStyle w:val="FootnoteReference"/>
        </w:rPr>
        <w:footnoteRef/>
      </w:r>
      <w:r>
        <w:t xml:space="preserve"> </w:t>
      </w:r>
      <w:proofErr w:type="gramStart"/>
      <w:r w:rsidR="00830253" w:rsidRPr="00E1789E">
        <w:rPr>
          <w:rFonts w:ascii="Garamond" w:hAnsi="Garamond"/>
        </w:rPr>
        <w:t>Ibid,  paragraph</w:t>
      </w:r>
      <w:proofErr w:type="gramEnd"/>
      <w:r w:rsidR="00830253" w:rsidRPr="00E1789E">
        <w:rPr>
          <w:rFonts w:ascii="Garamond" w:hAnsi="Garamond"/>
        </w:rPr>
        <w:t xml:space="preserve"> 2 of recitals.</w:t>
      </w:r>
    </w:p>
  </w:footnote>
  <w:footnote w:id="30">
    <w:p w14:paraId="4F5289DE" w14:textId="679FBBD9"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European Commission White Paper on levelling the playing field as regards foreign subsidies, Brussels, 17.6.2020 COM (2020) 253 final</w:t>
      </w:r>
      <w:r w:rsidR="00A0006A" w:rsidRPr="0037198D">
        <w:rPr>
          <w:rFonts w:ascii="Garamond" w:hAnsi="Garamond"/>
        </w:rPr>
        <w:t>.</w:t>
      </w:r>
    </w:p>
  </w:footnote>
  <w:footnote w:id="31">
    <w:p w14:paraId="4F206C3F" w14:textId="0E540F1F"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A0006A" w:rsidRPr="0037198D">
        <w:rPr>
          <w:rFonts w:ascii="Garamond" w:hAnsi="Garamond"/>
        </w:rPr>
        <w:t>Ibid.</w:t>
      </w:r>
    </w:p>
  </w:footnote>
  <w:footnote w:id="32">
    <w:p w14:paraId="5A75AAB1" w14:textId="6249B7BC"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A52DBB" w:rsidRPr="0037198D">
        <w:rPr>
          <w:rFonts w:ascii="Garamond" w:hAnsi="Garamond"/>
        </w:rPr>
        <w:t>COM (2021) 66 final,</w:t>
      </w:r>
      <w:r w:rsidR="00A52DBB" w:rsidRPr="0037198D">
        <w:rPr>
          <w:rFonts w:ascii="Garamond" w:hAnsi="Garamond" w:cstheme="minorHAnsi"/>
        </w:rPr>
        <w:t xml:space="preserve"> “</w:t>
      </w:r>
      <w:r w:rsidR="00A52DBB" w:rsidRPr="0037198D">
        <w:rPr>
          <w:rFonts w:ascii="Garamond" w:hAnsi="Garamond"/>
        </w:rPr>
        <w:t>Trade Policy Review - An Open, Sustainable and Assertive Trade Policy”, at p.</w:t>
      </w:r>
      <w:r w:rsidRPr="0037198D">
        <w:rPr>
          <w:rFonts w:ascii="Garamond" w:hAnsi="Garamond"/>
        </w:rPr>
        <w:t xml:space="preserve"> 4</w:t>
      </w:r>
      <w:r w:rsidR="00A52DBB" w:rsidRPr="0037198D">
        <w:rPr>
          <w:rFonts w:ascii="Garamond" w:hAnsi="Garamond"/>
        </w:rPr>
        <w:t>.</w:t>
      </w:r>
    </w:p>
  </w:footnote>
  <w:footnote w:id="33">
    <w:p w14:paraId="4DA1F347" w14:textId="42D08E08"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A52DBB" w:rsidRPr="0037198D">
        <w:rPr>
          <w:rFonts w:ascii="Garamond" w:hAnsi="Garamond"/>
        </w:rPr>
        <w:t>I</w:t>
      </w:r>
      <w:r w:rsidRPr="0037198D">
        <w:rPr>
          <w:rFonts w:ascii="Garamond" w:hAnsi="Garamond"/>
        </w:rPr>
        <w:t>bid</w:t>
      </w:r>
      <w:r w:rsidR="00A52DBB" w:rsidRPr="0037198D">
        <w:rPr>
          <w:rFonts w:ascii="Garamond" w:hAnsi="Garamond"/>
        </w:rPr>
        <w:t xml:space="preserve"> at p.</w:t>
      </w:r>
      <w:r w:rsidRPr="0037198D">
        <w:rPr>
          <w:rFonts w:ascii="Garamond" w:hAnsi="Garamond"/>
        </w:rPr>
        <w:t xml:space="preserve"> 6</w:t>
      </w:r>
      <w:r w:rsidR="00A52DBB" w:rsidRPr="0037198D">
        <w:rPr>
          <w:rFonts w:ascii="Garamond" w:hAnsi="Garamond"/>
        </w:rPr>
        <w:t>.</w:t>
      </w:r>
    </w:p>
  </w:footnote>
  <w:footnote w:id="34">
    <w:p w14:paraId="1047FF6E" w14:textId="632FFB82"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A52DBB" w:rsidRPr="0037198D">
        <w:rPr>
          <w:rFonts w:ascii="Garamond" w:hAnsi="Garamond"/>
        </w:rPr>
        <w:t>I</w:t>
      </w:r>
      <w:r w:rsidRPr="0037198D">
        <w:rPr>
          <w:rFonts w:ascii="Garamond" w:hAnsi="Garamond"/>
        </w:rPr>
        <w:t>bid</w:t>
      </w:r>
      <w:r w:rsidR="00A52DBB" w:rsidRPr="0037198D">
        <w:rPr>
          <w:rFonts w:ascii="Garamond" w:hAnsi="Garamond"/>
        </w:rPr>
        <w:t xml:space="preserve"> at p.</w:t>
      </w:r>
      <w:r w:rsidRPr="0037198D">
        <w:rPr>
          <w:rFonts w:ascii="Garamond" w:hAnsi="Garamond"/>
        </w:rPr>
        <w:t xml:space="preserve"> 10</w:t>
      </w:r>
      <w:r w:rsidR="00A52DBB" w:rsidRPr="0037198D">
        <w:rPr>
          <w:rFonts w:ascii="Garamond" w:hAnsi="Garamond"/>
        </w:rPr>
        <w:t>.</w:t>
      </w:r>
    </w:p>
  </w:footnote>
  <w:footnote w:id="35">
    <w:p w14:paraId="73E55182" w14:textId="507D5DF3" w:rsidR="003442F7" w:rsidRPr="0037198D" w:rsidRDefault="003442F7" w:rsidP="0037198D">
      <w:pPr>
        <w:pStyle w:val="title-bold"/>
        <w:spacing w:before="0" w:beforeAutospacing="0" w:after="0" w:afterAutospacing="0"/>
        <w:contextualSpacing/>
        <w:jc w:val="both"/>
        <w:rPr>
          <w:rFonts w:ascii="Garamond" w:hAnsi="Garamond"/>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Proposal for a Directive of The European Parliament and of The Council on Corporate Sustainability Due Diligence and </w:t>
      </w:r>
      <w:r w:rsidR="00A52DBB" w:rsidRPr="0037198D">
        <w:rPr>
          <w:rFonts w:ascii="Garamond" w:hAnsi="Garamond"/>
          <w:sz w:val="20"/>
          <w:szCs w:val="20"/>
        </w:rPr>
        <w:t>A</w:t>
      </w:r>
      <w:r w:rsidRPr="0037198D">
        <w:rPr>
          <w:rFonts w:ascii="Garamond" w:hAnsi="Garamond"/>
          <w:sz w:val="20"/>
          <w:szCs w:val="20"/>
        </w:rPr>
        <w:t>mending Directive (EU) 2019/1937COM/2022/71 final</w:t>
      </w:r>
      <w:r w:rsidR="00A52DBB" w:rsidRPr="0037198D">
        <w:rPr>
          <w:rFonts w:ascii="Garamond" w:hAnsi="Garamond"/>
          <w:sz w:val="20"/>
          <w:szCs w:val="20"/>
        </w:rPr>
        <w:t>.</w:t>
      </w:r>
    </w:p>
  </w:footnote>
  <w:footnote w:id="36">
    <w:p w14:paraId="7D9C29D6" w14:textId="65437592"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cstheme="minorHAnsi"/>
        </w:rPr>
        <w:t>Gammage</w:t>
      </w:r>
      <w:proofErr w:type="spellEnd"/>
      <w:r w:rsidRPr="0037198D">
        <w:rPr>
          <w:rFonts w:ascii="Garamond" w:hAnsi="Garamond" w:cstheme="minorHAnsi"/>
        </w:rPr>
        <w:t xml:space="preserve"> and </w:t>
      </w:r>
      <w:proofErr w:type="spellStart"/>
      <w:r w:rsidRPr="0037198D">
        <w:rPr>
          <w:rFonts w:ascii="Garamond" w:hAnsi="Garamond" w:cstheme="minorHAnsi"/>
        </w:rPr>
        <w:t>Syrpis</w:t>
      </w:r>
      <w:proofErr w:type="spellEnd"/>
      <w:r w:rsidRPr="0037198D">
        <w:rPr>
          <w:rFonts w:ascii="Garamond" w:hAnsi="Garamond" w:cstheme="minorHAnsi"/>
        </w:rPr>
        <w:t xml:space="preserve">, </w:t>
      </w:r>
      <w:r w:rsidR="00E74C24" w:rsidRPr="0037198D">
        <w:rPr>
          <w:rFonts w:ascii="Garamond" w:hAnsi="Garamond" w:cstheme="minorHAnsi"/>
        </w:rPr>
        <w:t>“</w:t>
      </w:r>
      <w:r w:rsidRPr="0037198D">
        <w:rPr>
          <w:rFonts w:ascii="Garamond" w:hAnsi="Garamond" w:cstheme="minorHAnsi"/>
        </w:rPr>
        <w:t>Sovereignty Fictions in the United Kingdom’s Trade Agenda</w:t>
      </w:r>
      <w:r w:rsidR="00E74C24" w:rsidRPr="0037198D">
        <w:rPr>
          <w:rFonts w:ascii="Garamond" w:hAnsi="Garamond" w:cstheme="minorHAnsi"/>
        </w:rPr>
        <w:t xml:space="preserve">”, </w:t>
      </w:r>
      <w:r w:rsidRPr="0037198D">
        <w:rPr>
          <w:rFonts w:ascii="Garamond" w:hAnsi="Garamond" w:cstheme="minorHAnsi"/>
        </w:rPr>
        <w:t xml:space="preserve">71 ICLQ </w:t>
      </w:r>
      <w:r w:rsidR="00E74C24" w:rsidRPr="0037198D">
        <w:rPr>
          <w:rFonts w:ascii="Garamond" w:hAnsi="Garamond" w:cstheme="minorHAnsi"/>
        </w:rPr>
        <w:t xml:space="preserve">(2022) </w:t>
      </w:r>
      <w:r w:rsidRPr="0037198D">
        <w:rPr>
          <w:rFonts w:ascii="Garamond" w:hAnsi="Garamond" w:cstheme="minorHAnsi"/>
        </w:rPr>
        <w:t xml:space="preserve">563, </w:t>
      </w:r>
      <w:r w:rsidR="00E74C24" w:rsidRPr="0037198D">
        <w:rPr>
          <w:rFonts w:ascii="Garamond" w:hAnsi="Garamond" w:cstheme="minorHAnsi"/>
        </w:rPr>
        <w:t xml:space="preserve">at p. </w:t>
      </w:r>
      <w:r w:rsidRPr="0037198D">
        <w:rPr>
          <w:rFonts w:ascii="Garamond" w:hAnsi="Garamond" w:cs="AdvOT2ea83e65.I"/>
        </w:rPr>
        <w:t>579</w:t>
      </w:r>
      <w:r w:rsidR="00E74C24" w:rsidRPr="0037198D">
        <w:rPr>
          <w:rFonts w:ascii="Garamond" w:hAnsi="Garamond" w:cs="AdvOT2ea83e65.I"/>
        </w:rPr>
        <w:t>.</w:t>
      </w:r>
    </w:p>
  </w:footnote>
  <w:footnote w:id="37">
    <w:p w14:paraId="45FD4C0E" w14:textId="6074065C"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A52DBB" w:rsidRPr="0037198D">
        <w:rPr>
          <w:rFonts w:ascii="Garamond" w:hAnsi="Garamond"/>
        </w:rPr>
        <w:t>COM (2021) 66 final,</w:t>
      </w:r>
      <w:r w:rsidR="00A52DBB" w:rsidRPr="0037198D">
        <w:rPr>
          <w:rFonts w:ascii="Garamond" w:hAnsi="Garamond" w:cstheme="minorHAnsi"/>
        </w:rPr>
        <w:t xml:space="preserve"> “</w:t>
      </w:r>
      <w:r w:rsidR="00A52DBB" w:rsidRPr="0037198D">
        <w:rPr>
          <w:rFonts w:ascii="Garamond" w:hAnsi="Garamond"/>
        </w:rPr>
        <w:t>Trade Policy Review - An Open, Sustainable and Assertive Trade Policy”</w:t>
      </w:r>
      <w:r w:rsidRPr="0037198D">
        <w:rPr>
          <w:rFonts w:ascii="Garamond" w:hAnsi="Garamond"/>
        </w:rPr>
        <w:t>,</w:t>
      </w:r>
      <w:r w:rsidR="00A52DBB" w:rsidRPr="0037198D">
        <w:rPr>
          <w:rFonts w:ascii="Garamond" w:hAnsi="Garamond"/>
        </w:rPr>
        <w:t xml:space="preserve"> at pp.</w:t>
      </w:r>
      <w:r w:rsidRPr="0037198D">
        <w:rPr>
          <w:rFonts w:ascii="Garamond" w:hAnsi="Garamond"/>
        </w:rPr>
        <w:t xml:space="preserve"> 12-13</w:t>
      </w:r>
      <w:r w:rsidR="00A52DBB" w:rsidRPr="0037198D">
        <w:rPr>
          <w:rFonts w:ascii="Garamond" w:hAnsi="Garamond"/>
        </w:rPr>
        <w:t>.</w:t>
      </w:r>
    </w:p>
  </w:footnote>
  <w:footnote w:id="38">
    <w:p w14:paraId="5083EC0F" w14:textId="3C3AABD1" w:rsidR="003442F7" w:rsidRPr="0037198D" w:rsidRDefault="003442F7" w:rsidP="002A3164">
      <w:pPr>
        <w:pStyle w:val="Heading1"/>
        <w:spacing w:before="0"/>
        <w:contextualSpacing/>
        <w:jc w:val="both"/>
        <w:rPr>
          <w:rFonts w:ascii="Garamond" w:eastAsiaTheme="minorHAnsi" w:hAnsi="Garamond" w:cs="Times New Roman"/>
          <w:color w:val="auto"/>
          <w:sz w:val="20"/>
          <w:szCs w:val="20"/>
        </w:rPr>
      </w:pPr>
      <w:r w:rsidRPr="0037198D">
        <w:rPr>
          <w:rStyle w:val="FootnoteReference"/>
          <w:rFonts w:ascii="Garamond" w:hAnsi="Garamond" w:cstheme="minorBidi"/>
          <w:color w:val="auto"/>
          <w:sz w:val="20"/>
          <w:szCs w:val="20"/>
        </w:rPr>
        <w:footnoteRef/>
      </w:r>
      <w:r w:rsidRPr="0037198D">
        <w:rPr>
          <w:rFonts w:ascii="Garamond" w:eastAsiaTheme="minorHAnsi" w:hAnsi="Garamond" w:cs="Times New Roman"/>
          <w:color w:val="auto"/>
          <w:sz w:val="20"/>
          <w:szCs w:val="20"/>
        </w:rPr>
        <w:t xml:space="preserve"> European Parliament, </w:t>
      </w:r>
      <w:r w:rsidR="00A52DBB" w:rsidRPr="0037198D">
        <w:rPr>
          <w:rFonts w:ascii="Garamond" w:eastAsiaTheme="minorHAnsi" w:hAnsi="Garamond" w:cs="Times New Roman"/>
          <w:color w:val="auto"/>
          <w:sz w:val="20"/>
          <w:szCs w:val="20"/>
        </w:rPr>
        <w:t>“</w:t>
      </w:r>
      <w:r w:rsidRPr="0037198D">
        <w:rPr>
          <w:rFonts w:ascii="Garamond" w:eastAsiaTheme="minorHAnsi" w:hAnsi="Garamond" w:cs="Times New Roman"/>
          <w:color w:val="auto"/>
          <w:sz w:val="20"/>
          <w:szCs w:val="20"/>
        </w:rPr>
        <w:t>MEPs refuse any agreement with China whilst sanctions are in place</w:t>
      </w:r>
      <w:r w:rsidR="00A52DBB" w:rsidRPr="0037198D">
        <w:rPr>
          <w:rFonts w:ascii="Garamond" w:eastAsiaTheme="minorHAnsi" w:hAnsi="Garamond" w:cs="Times New Roman"/>
          <w:color w:val="auto"/>
          <w:sz w:val="20"/>
          <w:szCs w:val="20"/>
        </w:rPr>
        <w:t xml:space="preserve">”, </w:t>
      </w:r>
      <w:r w:rsidRPr="0037198D">
        <w:rPr>
          <w:rFonts w:ascii="Garamond" w:eastAsiaTheme="minorHAnsi" w:hAnsi="Garamond" w:cs="Times New Roman"/>
          <w:color w:val="auto"/>
          <w:sz w:val="20"/>
          <w:szCs w:val="20"/>
        </w:rPr>
        <w:t>20 May 2021.</w:t>
      </w:r>
    </w:p>
  </w:footnote>
  <w:footnote w:id="39">
    <w:p w14:paraId="72FC1E32" w14:textId="2B62AC6A" w:rsidR="003442F7" w:rsidRPr="0037198D" w:rsidRDefault="003442F7" w:rsidP="002A3164">
      <w:pPr>
        <w:autoSpaceDE w:val="0"/>
        <w:autoSpaceDN w:val="0"/>
        <w:adjustRightInd w:val="0"/>
        <w:spacing w:after="0" w:line="240" w:lineRule="auto"/>
        <w:contextualSpacing/>
        <w:jc w:val="both"/>
        <w:rPr>
          <w:rFonts w:ascii="Garamond" w:hAnsi="Garamond" w:cstheme="minorHAnsi"/>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r w:rsidRPr="0037198D">
        <w:rPr>
          <w:rFonts w:ascii="Garamond" w:hAnsi="Garamond" w:cstheme="minorHAnsi"/>
          <w:sz w:val="20"/>
          <w:szCs w:val="20"/>
        </w:rPr>
        <w:t xml:space="preserve">Simon, </w:t>
      </w:r>
      <w:r w:rsidR="00E74C24" w:rsidRPr="0037198D">
        <w:rPr>
          <w:rFonts w:ascii="Garamond" w:hAnsi="Garamond" w:cstheme="minorHAnsi"/>
          <w:sz w:val="20"/>
          <w:szCs w:val="20"/>
        </w:rPr>
        <w:t>“</w:t>
      </w:r>
      <w:r w:rsidRPr="0037198D">
        <w:rPr>
          <w:rFonts w:ascii="Garamond" w:hAnsi="Garamond" w:cstheme="minorHAnsi"/>
          <w:sz w:val="20"/>
          <w:szCs w:val="20"/>
        </w:rPr>
        <w:t>Investment Screening: The Return of Protectionism? A Political Account</w:t>
      </w:r>
      <w:r w:rsidR="00E74C24" w:rsidRPr="0037198D">
        <w:rPr>
          <w:rFonts w:ascii="Garamond" w:hAnsi="Garamond" w:cstheme="minorHAnsi"/>
          <w:sz w:val="20"/>
          <w:szCs w:val="20"/>
        </w:rPr>
        <w:t>”</w:t>
      </w:r>
      <w:r w:rsidRPr="0037198D">
        <w:rPr>
          <w:rFonts w:ascii="Garamond" w:hAnsi="Garamond" w:cstheme="minorHAnsi"/>
          <w:sz w:val="20"/>
          <w:szCs w:val="20"/>
        </w:rPr>
        <w:t xml:space="preserve">, </w:t>
      </w:r>
      <w:r w:rsidR="00E74C24" w:rsidRPr="0037198D">
        <w:rPr>
          <w:rFonts w:ascii="Garamond" w:hAnsi="Garamond" w:cstheme="minorHAnsi"/>
          <w:sz w:val="20"/>
          <w:szCs w:val="20"/>
        </w:rPr>
        <w:t>at p.</w:t>
      </w:r>
      <w:r w:rsidRPr="0037198D">
        <w:rPr>
          <w:rFonts w:ascii="Garamond" w:hAnsi="Garamond" w:cstheme="minorHAnsi"/>
          <w:sz w:val="20"/>
          <w:szCs w:val="20"/>
        </w:rPr>
        <w:t>45</w:t>
      </w:r>
      <w:r w:rsidR="00E74C24" w:rsidRPr="0037198D">
        <w:rPr>
          <w:rFonts w:ascii="Garamond" w:hAnsi="Garamond" w:cstheme="minorHAnsi"/>
          <w:sz w:val="20"/>
          <w:szCs w:val="20"/>
        </w:rPr>
        <w:t>.</w:t>
      </w:r>
    </w:p>
  </w:footnote>
  <w:footnote w:id="40">
    <w:p w14:paraId="26779A12" w14:textId="4362E887"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E74C24" w:rsidRPr="0037198D">
        <w:rPr>
          <w:rFonts w:ascii="Garamond" w:hAnsi="Garamond"/>
        </w:rPr>
        <w:t>ibid</w:t>
      </w:r>
      <w:r w:rsidRPr="0037198D">
        <w:rPr>
          <w:rFonts w:ascii="Garamond" w:hAnsi="Garamond"/>
        </w:rPr>
        <w:t xml:space="preserve">, citing </w:t>
      </w:r>
      <w:proofErr w:type="spellStart"/>
      <w:r w:rsidRPr="0037198D">
        <w:rPr>
          <w:rFonts w:ascii="Garamond" w:hAnsi="Garamond" w:cs="AdvOTab62ddd15"/>
        </w:rPr>
        <w:t>IndustriAll</w:t>
      </w:r>
      <w:proofErr w:type="spellEnd"/>
      <w:r w:rsidRPr="0037198D">
        <w:rPr>
          <w:rFonts w:ascii="Garamond" w:hAnsi="Garamond" w:cs="AdvOTab62ddd15"/>
        </w:rPr>
        <w:t xml:space="preserve"> (2018), Policy Brief 2018-1, p. 5</w:t>
      </w:r>
    </w:p>
  </w:footnote>
  <w:footnote w:id="41">
    <w:p w14:paraId="79E31D5D" w14:textId="5A5CAA78"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E74C24" w:rsidRPr="0037198D">
        <w:rPr>
          <w:rFonts w:ascii="Garamond" w:hAnsi="Garamond"/>
        </w:rPr>
        <w:t>I</w:t>
      </w:r>
      <w:r w:rsidRPr="0037198D">
        <w:rPr>
          <w:rFonts w:ascii="Garamond" w:hAnsi="Garamond"/>
        </w:rPr>
        <w:t>bid</w:t>
      </w:r>
      <w:r w:rsidR="00E74C24" w:rsidRPr="0037198D">
        <w:rPr>
          <w:rFonts w:ascii="Garamond" w:hAnsi="Garamond"/>
        </w:rPr>
        <w:t>.</w:t>
      </w:r>
    </w:p>
  </w:footnote>
  <w:footnote w:id="42">
    <w:p w14:paraId="7AD16E9C" w14:textId="5D9FE199"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Pr="0037198D">
        <w:rPr>
          <w:rFonts w:ascii="Garamond" w:hAnsi="Garamond" w:cstheme="minorHAnsi"/>
        </w:rPr>
        <w:t xml:space="preserve">UNCTAD, </w:t>
      </w:r>
      <w:r w:rsidRPr="0037198D">
        <w:rPr>
          <w:rFonts w:ascii="Garamond" w:hAnsi="Garamond" w:cs="Arial"/>
        </w:rPr>
        <w:t>National Security-Related Screening</w:t>
      </w:r>
      <w:r w:rsidRPr="0037198D">
        <w:rPr>
          <w:rFonts w:ascii="Garamond" w:hAnsi="Garamond"/>
        </w:rPr>
        <w:t xml:space="preserve"> </w:t>
      </w:r>
      <w:r w:rsidRPr="0037198D">
        <w:rPr>
          <w:rFonts w:ascii="Garamond" w:hAnsi="Garamond" w:cs="Arial"/>
        </w:rPr>
        <w:t>Mechanisms for Foreign Investment:</w:t>
      </w:r>
      <w:r w:rsidRPr="0037198D">
        <w:rPr>
          <w:rFonts w:ascii="Garamond" w:hAnsi="Garamond"/>
        </w:rPr>
        <w:t xml:space="preserve"> </w:t>
      </w:r>
      <w:r w:rsidRPr="0037198D">
        <w:rPr>
          <w:rFonts w:ascii="Garamond" w:hAnsi="Garamond" w:cs="Arial"/>
        </w:rPr>
        <w:t>An Analysis of Recent Policy Developments, 2.</w:t>
      </w:r>
    </w:p>
  </w:footnote>
  <w:footnote w:id="43">
    <w:p w14:paraId="625E7CC5" w14:textId="71961C95" w:rsidR="003442F7" w:rsidRPr="0037198D" w:rsidRDefault="003442F7" w:rsidP="002A3164">
      <w:pPr>
        <w:pStyle w:val="FootnoteText"/>
        <w:contextualSpacing/>
        <w:jc w:val="both"/>
        <w:rPr>
          <w:rFonts w:ascii="Garamond" w:hAnsi="Garamond"/>
          <w:bCs/>
        </w:rPr>
      </w:pPr>
      <w:r w:rsidRPr="0037198D">
        <w:rPr>
          <w:rStyle w:val="FootnoteReference"/>
          <w:rFonts w:ascii="Garamond" w:hAnsi="Garamond"/>
        </w:rPr>
        <w:footnoteRef/>
      </w:r>
      <w:r w:rsidRPr="0037198D">
        <w:rPr>
          <w:rFonts w:ascii="Garamond" w:hAnsi="Garamond"/>
        </w:rPr>
        <w:t xml:space="preserve"> ibid</w:t>
      </w:r>
    </w:p>
  </w:footnote>
  <w:footnote w:id="44">
    <w:p w14:paraId="6813D5BD" w14:textId="451C3B2A"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w:t>
      </w:r>
      <w:r w:rsidRPr="0037198D">
        <w:rPr>
          <w:rStyle w:val="personname"/>
          <w:rFonts w:ascii="Garamond" w:hAnsi="Garamond"/>
        </w:rPr>
        <w:t>Du</w:t>
      </w:r>
      <w:r w:rsidR="00E74C24" w:rsidRPr="0037198D">
        <w:rPr>
          <w:rStyle w:val="personname"/>
          <w:rFonts w:ascii="Garamond" w:hAnsi="Garamond"/>
        </w:rPr>
        <w:t>, “</w:t>
      </w:r>
      <w:r w:rsidRPr="0037198D">
        <w:rPr>
          <w:rFonts w:ascii="Garamond" w:hAnsi="Garamond"/>
        </w:rPr>
        <w:t>Chinese State-Owned Enterprises and International Investment Law</w:t>
      </w:r>
      <w:r w:rsidR="00E74C24" w:rsidRPr="0037198D">
        <w:rPr>
          <w:rFonts w:ascii="Garamond" w:hAnsi="Garamond"/>
        </w:rPr>
        <w:t>”</w:t>
      </w:r>
      <w:r w:rsidRPr="0037198D">
        <w:rPr>
          <w:rFonts w:ascii="Garamond" w:hAnsi="Garamond"/>
        </w:rPr>
        <w:t xml:space="preserve"> in </w:t>
      </w:r>
      <w:proofErr w:type="spellStart"/>
      <w:r w:rsidRPr="0037198D">
        <w:rPr>
          <w:rFonts w:ascii="Garamond" w:hAnsi="Garamond"/>
          <w:bCs/>
        </w:rPr>
        <w:t>Delimatsis</w:t>
      </w:r>
      <w:proofErr w:type="spellEnd"/>
      <w:r w:rsidRPr="0037198D">
        <w:rPr>
          <w:rFonts w:ascii="Garamond" w:hAnsi="Garamond"/>
          <w:bCs/>
        </w:rPr>
        <w:t xml:space="preserve">, </w:t>
      </w:r>
      <w:proofErr w:type="spellStart"/>
      <w:r w:rsidRPr="0037198D">
        <w:rPr>
          <w:rFonts w:ascii="Garamond" w:hAnsi="Garamond"/>
          <w:bCs/>
        </w:rPr>
        <w:t>Dimitropoulos</w:t>
      </w:r>
      <w:proofErr w:type="spellEnd"/>
      <w:r w:rsidRPr="0037198D">
        <w:rPr>
          <w:rFonts w:ascii="Garamond" w:hAnsi="Garamond"/>
          <w:bCs/>
        </w:rPr>
        <w:t xml:space="preserve"> and </w:t>
      </w:r>
      <w:proofErr w:type="spellStart"/>
      <w:r w:rsidRPr="0037198D">
        <w:rPr>
          <w:rFonts w:ascii="Garamond" w:hAnsi="Garamond"/>
          <w:bCs/>
        </w:rPr>
        <w:t>Gourgourinis</w:t>
      </w:r>
      <w:proofErr w:type="spellEnd"/>
      <w:r w:rsidRPr="0037198D">
        <w:rPr>
          <w:rFonts w:ascii="Garamond" w:hAnsi="Garamond"/>
          <w:bCs/>
        </w:rPr>
        <w:t xml:space="preserve"> (</w:t>
      </w:r>
      <w:r w:rsidR="00E74C24" w:rsidRPr="0037198D">
        <w:rPr>
          <w:rFonts w:ascii="Garamond" w:hAnsi="Garamond"/>
          <w:bCs/>
        </w:rPr>
        <w:t>E</w:t>
      </w:r>
      <w:r w:rsidRPr="0037198D">
        <w:rPr>
          <w:rFonts w:ascii="Garamond" w:hAnsi="Garamond"/>
          <w:bCs/>
        </w:rPr>
        <w:t>ds</w:t>
      </w:r>
      <w:r w:rsidR="00E74C24" w:rsidRPr="0037198D">
        <w:rPr>
          <w:rFonts w:ascii="Garamond" w:hAnsi="Garamond"/>
          <w:bCs/>
        </w:rPr>
        <w:t>.</w:t>
      </w:r>
      <w:r w:rsidRPr="0037198D">
        <w:rPr>
          <w:rFonts w:ascii="Garamond" w:hAnsi="Garamond"/>
          <w:bCs/>
        </w:rPr>
        <w:t xml:space="preserve">) </w:t>
      </w:r>
      <w:r w:rsidRPr="0037198D">
        <w:rPr>
          <w:rStyle w:val="Emphasis"/>
          <w:rFonts w:ascii="Garamond" w:hAnsi="Garamond"/>
        </w:rPr>
        <w:t xml:space="preserve">State Capitalism and International Investment Law </w:t>
      </w:r>
      <w:r w:rsidRPr="0037198D">
        <w:rPr>
          <w:rStyle w:val="Emphasis"/>
          <w:rFonts w:ascii="Garamond" w:hAnsi="Garamond"/>
          <w:i w:val="0"/>
        </w:rPr>
        <w:t>(</w:t>
      </w:r>
      <w:r w:rsidRPr="0037198D">
        <w:rPr>
          <w:rFonts w:ascii="Garamond" w:hAnsi="Garamond"/>
        </w:rPr>
        <w:t>Bloomsbury</w:t>
      </w:r>
      <w:r w:rsidR="00E74C24" w:rsidRPr="0037198D">
        <w:rPr>
          <w:rFonts w:ascii="Garamond" w:hAnsi="Garamond"/>
        </w:rPr>
        <w:t>,</w:t>
      </w:r>
      <w:r w:rsidRPr="0037198D">
        <w:rPr>
          <w:rFonts w:ascii="Garamond" w:hAnsi="Garamond"/>
        </w:rPr>
        <w:t xml:space="preserve"> 2023) pp. 161-183.</w:t>
      </w:r>
      <w:r w:rsidR="00E74C24" w:rsidRPr="0037198D">
        <w:rPr>
          <w:rFonts w:ascii="Garamond" w:hAnsi="Garamond"/>
        </w:rPr>
        <w:t xml:space="preserve"> </w:t>
      </w:r>
    </w:p>
  </w:footnote>
  <w:footnote w:id="45">
    <w:p w14:paraId="031ECAD5" w14:textId="68025ABF"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Denza</w:t>
      </w:r>
      <w:proofErr w:type="spellEnd"/>
      <w:r w:rsidRPr="0037198D">
        <w:rPr>
          <w:rFonts w:ascii="Garamond" w:hAnsi="Garamond"/>
        </w:rPr>
        <w:t xml:space="preserve"> and Poulsen, </w:t>
      </w:r>
      <w:r w:rsidR="00E74C24" w:rsidRPr="0037198D">
        <w:rPr>
          <w:rFonts w:ascii="Garamond" w:hAnsi="Garamond"/>
        </w:rPr>
        <w:t>“</w:t>
      </w:r>
      <w:r w:rsidRPr="0037198D">
        <w:rPr>
          <w:rFonts w:ascii="Garamond" w:hAnsi="Garamond"/>
        </w:rPr>
        <w:t>The Euro-Arab Investment Treaty that Nearly Was</w:t>
      </w:r>
      <w:r w:rsidR="00E74C24" w:rsidRPr="0037198D">
        <w:rPr>
          <w:rFonts w:ascii="Garamond" w:hAnsi="Garamond"/>
        </w:rPr>
        <w:t>”,</w:t>
      </w:r>
      <w:r w:rsidRPr="0037198D">
        <w:rPr>
          <w:rFonts w:ascii="Garamond" w:hAnsi="Garamond"/>
        </w:rPr>
        <w:t xml:space="preserve"> 69 ICLQ</w:t>
      </w:r>
      <w:r w:rsidR="00E74C24" w:rsidRPr="0037198D">
        <w:rPr>
          <w:rFonts w:ascii="Garamond" w:hAnsi="Garamond"/>
        </w:rPr>
        <w:t xml:space="preserve"> (2020)</w:t>
      </w:r>
      <w:r w:rsidRPr="0037198D">
        <w:rPr>
          <w:rFonts w:ascii="Garamond" w:hAnsi="Garamond"/>
        </w:rPr>
        <w:t xml:space="preserve"> 267.</w:t>
      </w:r>
    </w:p>
  </w:footnote>
  <w:footnote w:id="46">
    <w:p w14:paraId="6C4F1069" w14:textId="4B8EBC53"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Denza</w:t>
      </w:r>
      <w:proofErr w:type="spellEnd"/>
      <w:r w:rsidRPr="0037198D">
        <w:rPr>
          <w:rFonts w:ascii="Garamond" w:hAnsi="Garamond"/>
        </w:rPr>
        <w:t xml:space="preserve"> to Yarnell 23 June 1982 FCO </w:t>
      </w:r>
      <w:r w:rsidR="00F9783C" w:rsidRPr="0037198D">
        <w:rPr>
          <w:rFonts w:ascii="Garamond" w:hAnsi="Garamond"/>
        </w:rPr>
        <w:t xml:space="preserve">69/959, at </w:t>
      </w:r>
      <w:r w:rsidRPr="0037198D">
        <w:rPr>
          <w:rFonts w:ascii="Garamond" w:hAnsi="Garamond"/>
        </w:rPr>
        <w:t>77.</w:t>
      </w:r>
    </w:p>
  </w:footnote>
  <w:footnote w:id="47">
    <w:p w14:paraId="271F87AB" w14:textId="5516CB31"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Gowlland</w:t>
      </w:r>
      <w:proofErr w:type="spellEnd"/>
      <w:r w:rsidRPr="0037198D">
        <w:rPr>
          <w:rFonts w:ascii="Garamond" w:hAnsi="Garamond"/>
        </w:rPr>
        <w:t xml:space="preserve"> to Yarnell 29 Nov 1982 FCO 69/960</w:t>
      </w:r>
      <w:r w:rsidR="00920FBB" w:rsidRPr="0037198D">
        <w:rPr>
          <w:rFonts w:ascii="Garamond" w:hAnsi="Garamond"/>
        </w:rPr>
        <w:t>, at</w:t>
      </w:r>
      <w:r w:rsidRPr="0037198D">
        <w:rPr>
          <w:rFonts w:ascii="Garamond" w:hAnsi="Garamond"/>
        </w:rPr>
        <w:t xml:space="preserve"> 103</w:t>
      </w:r>
    </w:p>
  </w:footnote>
  <w:footnote w:id="48">
    <w:p w14:paraId="4BC75DF8" w14:textId="38A5A45C"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Richmond to Makepeace</w:t>
      </w:r>
      <w:r w:rsidR="00E74C24" w:rsidRPr="0037198D">
        <w:rPr>
          <w:rFonts w:ascii="Garamond" w:hAnsi="Garamond"/>
        </w:rPr>
        <w:t xml:space="preserve">, 6 December 1985, </w:t>
      </w:r>
      <w:r w:rsidR="00385875" w:rsidRPr="0037198D">
        <w:rPr>
          <w:rFonts w:ascii="Garamond" w:hAnsi="Garamond"/>
        </w:rPr>
        <w:t xml:space="preserve">FCO </w:t>
      </w:r>
      <w:r w:rsidR="00920FBB" w:rsidRPr="0037198D">
        <w:rPr>
          <w:rFonts w:ascii="Garamond" w:hAnsi="Garamond"/>
        </w:rPr>
        <w:t xml:space="preserve">98/2270, at </w:t>
      </w:r>
      <w:r w:rsidRPr="0037198D">
        <w:rPr>
          <w:rFonts w:ascii="Garamond" w:hAnsi="Garamond"/>
        </w:rPr>
        <w:t>21</w:t>
      </w:r>
      <w:r w:rsidR="00F9783C" w:rsidRPr="0037198D">
        <w:rPr>
          <w:rFonts w:ascii="Garamond" w:hAnsi="Garamond"/>
        </w:rPr>
        <w:t>.</w:t>
      </w:r>
    </w:p>
  </w:footnote>
  <w:footnote w:id="49">
    <w:p w14:paraId="1EE25675" w14:textId="2176BFFF" w:rsidR="00385875" w:rsidRPr="0037198D" w:rsidRDefault="00385875" w:rsidP="002A3164">
      <w:pPr>
        <w:pStyle w:val="FootnoteText"/>
        <w:contextualSpacing/>
        <w:rPr>
          <w:rFonts w:ascii="Garamond" w:hAnsi="Garamond"/>
        </w:rPr>
      </w:pPr>
      <w:r w:rsidRPr="0037198D">
        <w:rPr>
          <w:rStyle w:val="FootnoteReference"/>
          <w:rFonts w:ascii="Garamond" w:hAnsi="Garamond"/>
        </w:rPr>
        <w:footnoteRef/>
      </w:r>
      <w:r w:rsidRPr="0037198D">
        <w:rPr>
          <w:rFonts w:ascii="Garamond" w:hAnsi="Garamond"/>
        </w:rPr>
        <w:t xml:space="preserve"> Investment by Arab Oil Producers in European Defence Industries, 13 October 1983, File 8/4987</w:t>
      </w:r>
    </w:p>
  </w:footnote>
  <w:footnote w:id="50">
    <w:p w14:paraId="7EC84901" w14:textId="63B0501C"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w:t>
      </w:r>
      <w:r w:rsidR="00385875" w:rsidRPr="0037198D">
        <w:rPr>
          <w:rFonts w:ascii="Garamond" w:hAnsi="Garamond"/>
        </w:rPr>
        <w:t>.</w:t>
      </w:r>
    </w:p>
  </w:footnote>
  <w:footnote w:id="51">
    <w:p w14:paraId="64A5A44C" w14:textId="24C384D0"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w:t>
      </w:r>
    </w:p>
  </w:footnote>
  <w:footnote w:id="52">
    <w:p w14:paraId="39F1DA2B" w14:textId="312636D7"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ITO Charter Art 12(</w:t>
      </w:r>
      <w:proofErr w:type="gramStart"/>
      <w:r w:rsidRPr="0037198D">
        <w:rPr>
          <w:rFonts w:ascii="Garamond" w:hAnsi="Garamond"/>
        </w:rPr>
        <w:t>1)c.</w:t>
      </w:r>
      <w:proofErr w:type="gramEnd"/>
    </w:p>
  </w:footnote>
  <w:footnote w:id="53">
    <w:p w14:paraId="3171C4BC" w14:textId="57E8DF13"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Lustig, </w:t>
      </w:r>
      <w:r w:rsidRPr="0037198D">
        <w:rPr>
          <w:rFonts w:ascii="Garamond" w:hAnsi="Garamond"/>
          <w:i/>
        </w:rPr>
        <w:t>Veiled Power</w:t>
      </w:r>
      <w:r w:rsidRPr="0037198D">
        <w:rPr>
          <w:rFonts w:ascii="Garamond" w:hAnsi="Garamond"/>
        </w:rPr>
        <w:t xml:space="preserve"> (OUP</w:t>
      </w:r>
      <w:r w:rsidR="00385875" w:rsidRPr="0037198D">
        <w:rPr>
          <w:rFonts w:ascii="Garamond" w:hAnsi="Garamond"/>
        </w:rPr>
        <w:t>,</w:t>
      </w:r>
      <w:r w:rsidRPr="0037198D">
        <w:rPr>
          <w:rFonts w:ascii="Garamond" w:hAnsi="Garamond"/>
        </w:rPr>
        <w:t xml:space="preserve"> 2020)</w:t>
      </w:r>
      <w:r w:rsidR="00385875" w:rsidRPr="0037198D">
        <w:rPr>
          <w:rFonts w:ascii="Garamond" w:hAnsi="Garamond"/>
        </w:rPr>
        <w:t xml:space="preserve"> at p.</w:t>
      </w:r>
      <w:r w:rsidRPr="0037198D">
        <w:rPr>
          <w:rFonts w:ascii="Garamond" w:hAnsi="Garamond"/>
        </w:rPr>
        <w:t>188</w:t>
      </w:r>
      <w:r w:rsidR="00385875" w:rsidRPr="0037198D">
        <w:rPr>
          <w:rFonts w:ascii="Garamond" w:hAnsi="Garamond"/>
        </w:rPr>
        <w:t>.</w:t>
      </w:r>
    </w:p>
  </w:footnote>
  <w:footnote w:id="54">
    <w:p w14:paraId="19EF7B93" w14:textId="638094C2"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Lustig 198, citing Osvaldo </w:t>
      </w:r>
      <w:proofErr w:type="spellStart"/>
      <w:r w:rsidRPr="0037198D">
        <w:rPr>
          <w:rFonts w:ascii="Garamond" w:hAnsi="Garamond"/>
        </w:rPr>
        <w:t>Sunkel</w:t>
      </w:r>
      <w:proofErr w:type="spellEnd"/>
      <w:r w:rsidRPr="0037198D">
        <w:rPr>
          <w:rFonts w:ascii="Garamond" w:hAnsi="Garamond"/>
        </w:rPr>
        <w:t xml:space="preserve">, </w:t>
      </w:r>
      <w:r w:rsidR="00385875" w:rsidRPr="0037198D">
        <w:rPr>
          <w:rFonts w:ascii="Garamond" w:hAnsi="Garamond"/>
        </w:rPr>
        <w:t>“</w:t>
      </w:r>
      <w:r w:rsidRPr="0037198D">
        <w:rPr>
          <w:rFonts w:ascii="Garamond" w:hAnsi="Garamond"/>
        </w:rPr>
        <w:t>Big Business and ‘</w:t>
      </w:r>
      <w:proofErr w:type="spellStart"/>
      <w:r w:rsidRPr="0037198D">
        <w:rPr>
          <w:rFonts w:ascii="Garamond" w:hAnsi="Garamond"/>
        </w:rPr>
        <w:t>Dependencia</w:t>
      </w:r>
      <w:proofErr w:type="spellEnd"/>
      <w:r w:rsidR="00385875" w:rsidRPr="0037198D">
        <w:rPr>
          <w:rFonts w:ascii="Garamond" w:hAnsi="Garamond"/>
        </w:rPr>
        <w:t>,”</w:t>
      </w:r>
      <w:r w:rsidRPr="0037198D">
        <w:rPr>
          <w:rFonts w:ascii="Garamond" w:hAnsi="Garamond"/>
        </w:rPr>
        <w:t xml:space="preserve"> 50 Foreign Affairs</w:t>
      </w:r>
      <w:r w:rsidR="00385875" w:rsidRPr="0037198D">
        <w:rPr>
          <w:rFonts w:ascii="Garamond" w:hAnsi="Garamond"/>
        </w:rPr>
        <w:t xml:space="preserve"> (1972)</w:t>
      </w:r>
      <w:r w:rsidRPr="0037198D">
        <w:rPr>
          <w:rFonts w:ascii="Garamond" w:hAnsi="Garamond"/>
        </w:rPr>
        <w:t xml:space="preserve"> 517.</w:t>
      </w:r>
    </w:p>
  </w:footnote>
  <w:footnote w:id="55">
    <w:p w14:paraId="68869DD3" w14:textId="6869F072"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Nye, </w:t>
      </w:r>
      <w:r w:rsidR="00385875" w:rsidRPr="0037198D">
        <w:rPr>
          <w:rFonts w:ascii="Garamond" w:hAnsi="Garamond"/>
        </w:rPr>
        <w:t>“</w:t>
      </w:r>
      <w:r w:rsidRPr="0037198D">
        <w:rPr>
          <w:rFonts w:ascii="Garamond" w:hAnsi="Garamond"/>
        </w:rPr>
        <w:t>Multinational Corporations in World Politics</w:t>
      </w:r>
      <w:r w:rsidR="00385875" w:rsidRPr="0037198D">
        <w:rPr>
          <w:rFonts w:ascii="Garamond" w:hAnsi="Garamond"/>
        </w:rPr>
        <w:t>”,</w:t>
      </w:r>
      <w:r w:rsidRPr="0037198D">
        <w:rPr>
          <w:rFonts w:ascii="Garamond" w:hAnsi="Garamond"/>
        </w:rPr>
        <w:t xml:space="preserve"> 53 Foreign Affairs</w:t>
      </w:r>
      <w:r w:rsidR="00385875" w:rsidRPr="0037198D">
        <w:rPr>
          <w:rFonts w:ascii="Garamond" w:hAnsi="Garamond"/>
        </w:rPr>
        <w:t xml:space="preserve"> (</w:t>
      </w:r>
      <w:r w:rsidRPr="0037198D">
        <w:rPr>
          <w:rFonts w:ascii="Garamond" w:hAnsi="Garamond"/>
        </w:rPr>
        <w:t>1974</w:t>
      </w:r>
      <w:r w:rsidR="00385875" w:rsidRPr="0037198D">
        <w:rPr>
          <w:rFonts w:ascii="Garamond" w:hAnsi="Garamond"/>
        </w:rPr>
        <w:t>)</w:t>
      </w:r>
      <w:r w:rsidRPr="0037198D">
        <w:rPr>
          <w:rFonts w:ascii="Garamond" w:hAnsi="Garamond"/>
        </w:rPr>
        <w:t xml:space="preserve"> 153,</w:t>
      </w:r>
      <w:r w:rsidR="00385875" w:rsidRPr="0037198D">
        <w:rPr>
          <w:rFonts w:ascii="Garamond" w:hAnsi="Garamond"/>
        </w:rPr>
        <w:t xml:space="preserve"> at p.</w:t>
      </w:r>
      <w:r w:rsidRPr="0037198D">
        <w:rPr>
          <w:rFonts w:ascii="Garamond" w:hAnsi="Garamond"/>
        </w:rPr>
        <w:t xml:space="preserve"> 157</w:t>
      </w:r>
      <w:r w:rsidR="00385875" w:rsidRPr="0037198D">
        <w:rPr>
          <w:rFonts w:ascii="Garamond" w:hAnsi="Garamond"/>
        </w:rPr>
        <w:t>.</w:t>
      </w:r>
    </w:p>
  </w:footnote>
  <w:footnote w:id="56">
    <w:p w14:paraId="0AC3DC1A" w14:textId="3011B15E"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Lustig</w:t>
      </w:r>
      <w:r w:rsidR="00385875" w:rsidRPr="0037198D">
        <w:rPr>
          <w:rFonts w:ascii="Garamond" w:hAnsi="Garamond"/>
        </w:rPr>
        <w:t>,</w:t>
      </w:r>
      <w:r w:rsidRPr="0037198D">
        <w:rPr>
          <w:rFonts w:ascii="Garamond" w:hAnsi="Garamond"/>
        </w:rPr>
        <w:t xml:space="preserve"> 205-9</w:t>
      </w:r>
      <w:r w:rsidR="00385875" w:rsidRPr="0037198D">
        <w:rPr>
          <w:rFonts w:ascii="Garamond" w:hAnsi="Garamond"/>
        </w:rPr>
        <w:t>.</w:t>
      </w:r>
    </w:p>
  </w:footnote>
  <w:footnote w:id="57">
    <w:p w14:paraId="1937552F" w14:textId="77777777"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53 U.</w:t>
      </w:r>
      <w:proofErr w:type="gramStart"/>
      <w:r w:rsidRPr="0037198D">
        <w:rPr>
          <w:rFonts w:ascii="Garamond" w:hAnsi="Garamond"/>
        </w:rPr>
        <w:t>N.ESCOR</w:t>
      </w:r>
      <w:proofErr w:type="gramEnd"/>
      <w:r w:rsidRPr="0037198D">
        <w:rPr>
          <w:rFonts w:ascii="Garamond" w:hAnsi="Garamond"/>
        </w:rPr>
        <w:t xml:space="preserve"> (1822</w:t>
      </w:r>
      <w:r w:rsidRPr="0037198D">
        <w:rPr>
          <w:rFonts w:ascii="Garamond" w:hAnsi="Garamond"/>
          <w:vertAlign w:val="superscript"/>
        </w:rPr>
        <w:t>nd</w:t>
      </w:r>
      <w:r w:rsidRPr="0037198D">
        <w:rPr>
          <w:rFonts w:ascii="Garamond" w:hAnsi="Garamond"/>
        </w:rPr>
        <w:t xml:space="preserve"> Mtg.)19, 22, U.N.Doc. E/SR.1822 (1972).</w:t>
      </w:r>
    </w:p>
  </w:footnote>
  <w:footnote w:id="58">
    <w:p w14:paraId="023EC3FB" w14:textId="58315109"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Lustig</w:t>
      </w:r>
      <w:r w:rsidR="000024BD" w:rsidRPr="0037198D">
        <w:rPr>
          <w:rFonts w:ascii="Garamond" w:hAnsi="Garamond"/>
        </w:rPr>
        <w:t xml:space="preserve">, at p. </w:t>
      </w:r>
      <w:r w:rsidRPr="0037198D">
        <w:rPr>
          <w:rFonts w:ascii="Garamond" w:hAnsi="Garamond"/>
        </w:rPr>
        <w:t>210</w:t>
      </w:r>
      <w:r w:rsidR="000024BD" w:rsidRPr="0037198D">
        <w:rPr>
          <w:rFonts w:ascii="Garamond" w:hAnsi="Garamond"/>
        </w:rPr>
        <w:t>.</w:t>
      </w:r>
    </w:p>
  </w:footnote>
  <w:footnote w:id="59">
    <w:p w14:paraId="5BF9BCB8" w14:textId="3183E1A7"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G.A. Res.3281 (XXIX), Charter of Economic Rights and Duties of States (Dec.12, 1974)</w:t>
      </w:r>
    </w:p>
  </w:footnote>
  <w:footnote w:id="60">
    <w:p w14:paraId="72B1247B" w14:textId="377E021B"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Slobodian</w:t>
      </w:r>
      <w:proofErr w:type="spellEnd"/>
      <w:r w:rsidRPr="0037198D">
        <w:rPr>
          <w:rFonts w:ascii="Garamond" w:hAnsi="Garamond"/>
        </w:rPr>
        <w:t xml:space="preserve">, </w:t>
      </w:r>
      <w:r w:rsidRPr="0037198D">
        <w:rPr>
          <w:rFonts w:ascii="Garamond" w:hAnsi="Garamond"/>
          <w:i/>
        </w:rPr>
        <w:t>Globalists:</w:t>
      </w:r>
      <w:r w:rsidRPr="0037198D">
        <w:rPr>
          <w:rFonts w:ascii="Garamond" w:hAnsi="Garamond"/>
        </w:rPr>
        <w:t xml:space="preserve"> </w:t>
      </w:r>
      <w:r w:rsidRPr="0037198D">
        <w:rPr>
          <w:rFonts w:ascii="Garamond" w:hAnsi="Garamond"/>
          <w:i/>
        </w:rPr>
        <w:t>The End of Empire and the Birth of Neoliberalism</w:t>
      </w:r>
      <w:r w:rsidRPr="0037198D">
        <w:rPr>
          <w:rFonts w:ascii="Garamond" w:hAnsi="Garamond"/>
        </w:rPr>
        <w:t xml:space="preserve"> (Harvard University Press, 2018) 139</w:t>
      </w:r>
      <w:r w:rsidR="000B7E16" w:rsidRPr="0037198D">
        <w:rPr>
          <w:rFonts w:ascii="Garamond" w:hAnsi="Garamond"/>
        </w:rPr>
        <w:t>.</w:t>
      </w:r>
    </w:p>
  </w:footnote>
  <w:footnote w:id="61">
    <w:p w14:paraId="499786E4" w14:textId="7D930CD2"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Austria, France, Ireland, Italy, the Netherlands, and Spain were among those states that abstained. See </w:t>
      </w:r>
      <w:proofErr w:type="spellStart"/>
      <w:r w:rsidRPr="0037198D">
        <w:rPr>
          <w:rFonts w:ascii="Garamond" w:hAnsi="Garamond"/>
        </w:rPr>
        <w:t>Gosovic</w:t>
      </w:r>
      <w:proofErr w:type="spellEnd"/>
      <w:r w:rsidRPr="0037198D">
        <w:rPr>
          <w:rFonts w:ascii="Garamond" w:hAnsi="Garamond"/>
        </w:rPr>
        <w:t xml:space="preserve"> and </w:t>
      </w:r>
      <w:proofErr w:type="spellStart"/>
      <w:r w:rsidRPr="0037198D">
        <w:rPr>
          <w:rFonts w:ascii="Garamond" w:hAnsi="Garamond"/>
        </w:rPr>
        <w:t>Ruggie</w:t>
      </w:r>
      <w:proofErr w:type="spellEnd"/>
      <w:r w:rsidRPr="0037198D">
        <w:rPr>
          <w:rFonts w:ascii="Garamond" w:hAnsi="Garamond"/>
        </w:rPr>
        <w:t xml:space="preserve">, </w:t>
      </w:r>
      <w:r w:rsidR="000024BD" w:rsidRPr="0037198D">
        <w:rPr>
          <w:rFonts w:ascii="Garamond" w:hAnsi="Garamond"/>
        </w:rPr>
        <w:t>“</w:t>
      </w:r>
      <w:r w:rsidRPr="0037198D">
        <w:rPr>
          <w:rFonts w:ascii="Garamond" w:hAnsi="Garamond" w:cs="Arial"/>
        </w:rPr>
        <w:t>On the creation</w:t>
      </w:r>
      <w:r w:rsidRPr="0037198D">
        <w:rPr>
          <w:rFonts w:ascii="Garamond" w:hAnsi="Garamond"/>
        </w:rPr>
        <w:t xml:space="preserve"> </w:t>
      </w:r>
      <w:r w:rsidRPr="0037198D">
        <w:rPr>
          <w:rFonts w:ascii="Garamond" w:hAnsi="Garamond" w:cs="Arial"/>
        </w:rPr>
        <w:t>of a new international economic order:</w:t>
      </w:r>
      <w:r w:rsidRPr="0037198D">
        <w:rPr>
          <w:rFonts w:ascii="Garamond" w:hAnsi="Garamond"/>
        </w:rPr>
        <w:t xml:space="preserve"> </w:t>
      </w:r>
      <w:r w:rsidRPr="0037198D">
        <w:rPr>
          <w:rFonts w:ascii="Garamond" w:hAnsi="Garamond" w:cs="Arial"/>
        </w:rPr>
        <w:t>issue linkage and the</w:t>
      </w:r>
      <w:r w:rsidRPr="0037198D">
        <w:rPr>
          <w:rFonts w:ascii="Garamond" w:hAnsi="Garamond"/>
        </w:rPr>
        <w:t xml:space="preserve"> </w:t>
      </w:r>
      <w:r w:rsidRPr="0037198D">
        <w:rPr>
          <w:rFonts w:ascii="Garamond" w:hAnsi="Garamond" w:cs="Arial"/>
        </w:rPr>
        <w:t>Seventh Special Session of</w:t>
      </w:r>
      <w:r w:rsidRPr="0037198D">
        <w:rPr>
          <w:rFonts w:ascii="Garamond" w:hAnsi="Garamond"/>
        </w:rPr>
        <w:t xml:space="preserve"> </w:t>
      </w:r>
      <w:r w:rsidRPr="0037198D">
        <w:rPr>
          <w:rFonts w:ascii="Garamond" w:hAnsi="Garamond" w:cs="Arial"/>
        </w:rPr>
        <w:t>the UN General Assembly</w:t>
      </w:r>
      <w:r w:rsidR="000024BD" w:rsidRPr="0037198D">
        <w:rPr>
          <w:rFonts w:ascii="Garamond" w:hAnsi="Garamond" w:cs="Arial"/>
        </w:rPr>
        <w:t>”</w:t>
      </w:r>
      <w:r w:rsidR="000024BD" w:rsidRPr="0037198D">
        <w:rPr>
          <w:rFonts w:ascii="Garamond" w:hAnsi="Garamond"/>
        </w:rPr>
        <w:t xml:space="preserve">, </w:t>
      </w:r>
      <w:r w:rsidRPr="0037198D">
        <w:rPr>
          <w:rFonts w:ascii="Garamond" w:hAnsi="Garamond"/>
        </w:rPr>
        <w:t xml:space="preserve">30(2) International Organization </w:t>
      </w:r>
      <w:r w:rsidR="000024BD" w:rsidRPr="0037198D">
        <w:rPr>
          <w:rFonts w:ascii="Garamond" w:hAnsi="Garamond"/>
        </w:rPr>
        <w:t xml:space="preserve">(1976) </w:t>
      </w:r>
      <w:r w:rsidRPr="0037198D">
        <w:rPr>
          <w:rFonts w:ascii="Garamond" w:hAnsi="Garamond"/>
        </w:rPr>
        <w:t xml:space="preserve">309, </w:t>
      </w:r>
      <w:r w:rsidR="000024BD" w:rsidRPr="0037198D">
        <w:rPr>
          <w:rFonts w:ascii="Garamond" w:hAnsi="Garamond"/>
        </w:rPr>
        <w:t xml:space="preserve">at p. </w:t>
      </w:r>
      <w:r w:rsidRPr="0037198D">
        <w:rPr>
          <w:rFonts w:ascii="Garamond" w:hAnsi="Garamond"/>
        </w:rPr>
        <w:t>311</w:t>
      </w:r>
      <w:r w:rsidR="000024BD" w:rsidRPr="0037198D">
        <w:rPr>
          <w:rFonts w:ascii="Garamond" w:hAnsi="Garamond"/>
        </w:rPr>
        <w:t>.</w:t>
      </w:r>
    </w:p>
  </w:footnote>
  <w:footnote w:id="62">
    <w:p w14:paraId="0A74BD2F" w14:textId="08B5EE5C"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Lustig</w:t>
      </w:r>
      <w:r w:rsidR="000024BD" w:rsidRPr="0037198D">
        <w:rPr>
          <w:rFonts w:ascii="Garamond" w:hAnsi="Garamond"/>
        </w:rPr>
        <w:t xml:space="preserve">, </w:t>
      </w:r>
      <w:r w:rsidR="000024BD" w:rsidRPr="0037198D">
        <w:rPr>
          <w:rFonts w:ascii="Garamond" w:hAnsi="Garamond"/>
          <w:i/>
        </w:rPr>
        <w:t>Veiled Power</w:t>
      </w:r>
      <w:r w:rsidR="000024BD" w:rsidRPr="0037198D">
        <w:rPr>
          <w:rFonts w:ascii="Garamond" w:hAnsi="Garamond"/>
        </w:rPr>
        <w:t>, at p.</w:t>
      </w:r>
      <w:r w:rsidRPr="0037198D">
        <w:rPr>
          <w:rFonts w:ascii="Garamond" w:hAnsi="Garamond"/>
        </w:rPr>
        <w:t xml:space="preserve"> 213</w:t>
      </w:r>
      <w:r w:rsidR="000024BD" w:rsidRPr="0037198D">
        <w:rPr>
          <w:rFonts w:ascii="Garamond" w:hAnsi="Garamond"/>
        </w:rPr>
        <w:t>.</w:t>
      </w:r>
    </w:p>
  </w:footnote>
  <w:footnote w:id="63">
    <w:p w14:paraId="41FCBFC1" w14:textId="3AE9474B"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St John, </w:t>
      </w:r>
      <w:r w:rsidRPr="0037198D">
        <w:rPr>
          <w:rFonts w:ascii="Garamond" w:hAnsi="Garamond"/>
          <w:bCs/>
          <w:i/>
        </w:rPr>
        <w:t>The Rise of Investor-State Arbitration</w:t>
      </w:r>
      <w:r w:rsidRPr="0037198D">
        <w:rPr>
          <w:rFonts w:ascii="Garamond" w:hAnsi="Garamond"/>
          <w:i/>
        </w:rPr>
        <w:t xml:space="preserve">: </w:t>
      </w:r>
      <w:r w:rsidRPr="0037198D">
        <w:rPr>
          <w:rFonts w:ascii="Garamond" w:hAnsi="Garamond"/>
          <w:bCs/>
          <w:i/>
        </w:rPr>
        <w:t>Politics, Law, and Unintended Consequences</w:t>
      </w:r>
      <w:r w:rsidRPr="0037198D">
        <w:rPr>
          <w:rFonts w:ascii="Garamond" w:hAnsi="Garamond"/>
          <w:bCs/>
        </w:rPr>
        <w:t xml:space="preserve"> (OUP</w:t>
      </w:r>
      <w:r w:rsidR="000024BD" w:rsidRPr="0037198D">
        <w:rPr>
          <w:rFonts w:ascii="Garamond" w:hAnsi="Garamond"/>
          <w:bCs/>
        </w:rPr>
        <w:t>,</w:t>
      </w:r>
      <w:r w:rsidRPr="0037198D">
        <w:rPr>
          <w:rFonts w:ascii="Garamond" w:hAnsi="Garamond"/>
          <w:bCs/>
        </w:rPr>
        <w:t xml:space="preserve"> 2018); </w:t>
      </w:r>
      <w:r w:rsidR="000024BD" w:rsidRPr="0037198D">
        <w:rPr>
          <w:rFonts w:ascii="Garamond" w:hAnsi="Garamond"/>
          <w:bCs/>
        </w:rPr>
        <w:t xml:space="preserve">and </w:t>
      </w:r>
      <w:r w:rsidRPr="0037198D">
        <w:rPr>
          <w:rFonts w:ascii="Garamond" w:hAnsi="Garamond"/>
          <w:bCs/>
        </w:rPr>
        <w:t xml:space="preserve">Poulsen, </w:t>
      </w:r>
      <w:r w:rsidRPr="0037198D">
        <w:rPr>
          <w:rFonts w:ascii="Garamond" w:hAnsi="Garamond"/>
          <w:i/>
        </w:rPr>
        <w:t>Bounded Rationality and Economic Diplomacy</w:t>
      </w:r>
      <w:r w:rsidRPr="0037198D">
        <w:rPr>
          <w:rFonts w:ascii="Garamond" w:hAnsi="Garamond"/>
        </w:rPr>
        <w:t xml:space="preserve">: </w:t>
      </w:r>
      <w:r w:rsidRPr="0037198D">
        <w:rPr>
          <w:rFonts w:ascii="Garamond" w:hAnsi="Garamond"/>
          <w:i/>
        </w:rPr>
        <w:t xml:space="preserve">The politics of investment treaties in developing countries </w:t>
      </w:r>
      <w:r w:rsidRPr="0037198D">
        <w:rPr>
          <w:rFonts w:ascii="Garamond" w:hAnsi="Garamond"/>
        </w:rPr>
        <w:t>(</w:t>
      </w:r>
      <w:r w:rsidR="000024BD" w:rsidRPr="0037198D">
        <w:rPr>
          <w:rFonts w:ascii="Garamond" w:hAnsi="Garamond"/>
        </w:rPr>
        <w:t>CUP,</w:t>
      </w:r>
      <w:r w:rsidRPr="0037198D">
        <w:rPr>
          <w:rFonts w:ascii="Garamond" w:hAnsi="Garamond"/>
        </w:rPr>
        <w:t xml:space="preserve"> 2015</w:t>
      </w:r>
      <w:r w:rsidR="000024BD" w:rsidRPr="0037198D">
        <w:rPr>
          <w:rFonts w:ascii="Garamond" w:hAnsi="Garamond"/>
        </w:rPr>
        <w:t>)</w:t>
      </w:r>
      <w:r w:rsidRPr="0037198D">
        <w:rPr>
          <w:rFonts w:ascii="Garamond" w:hAnsi="Garamond"/>
        </w:rPr>
        <w:t>.</w:t>
      </w:r>
    </w:p>
  </w:footnote>
  <w:footnote w:id="64">
    <w:p w14:paraId="09331005" w14:textId="23C40571"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Slobodian</w:t>
      </w:r>
      <w:proofErr w:type="spellEnd"/>
      <w:r w:rsidRPr="0037198D">
        <w:rPr>
          <w:rFonts w:ascii="Garamond" w:hAnsi="Garamond"/>
        </w:rPr>
        <w:t xml:space="preserve">, </w:t>
      </w:r>
      <w:r w:rsidRPr="0037198D">
        <w:rPr>
          <w:rFonts w:ascii="Garamond" w:hAnsi="Garamond"/>
          <w:i/>
        </w:rPr>
        <w:t>Globalists</w:t>
      </w:r>
      <w:r w:rsidRPr="0037198D">
        <w:rPr>
          <w:rFonts w:ascii="Garamond" w:hAnsi="Garamond"/>
        </w:rPr>
        <w:t>, 145.</w:t>
      </w:r>
    </w:p>
  </w:footnote>
  <w:footnote w:id="65">
    <w:p w14:paraId="78C0596B" w14:textId="5FEB2A9F"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Mark Feldman, </w:t>
      </w:r>
      <w:r w:rsidR="000024BD" w:rsidRPr="0037198D">
        <w:rPr>
          <w:rFonts w:ascii="Garamond" w:hAnsi="Garamond"/>
        </w:rPr>
        <w:t>“</w:t>
      </w:r>
      <w:r w:rsidRPr="0037198D">
        <w:rPr>
          <w:rFonts w:ascii="Garamond" w:hAnsi="Garamond"/>
        </w:rPr>
        <w:t>State-owned Enterprises as Claimants in International Investment Arbitration</w:t>
      </w:r>
      <w:r w:rsidR="000024BD" w:rsidRPr="0037198D">
        <w:rPr>
          <w:rFonts w:ascii="Garamond" w:hAnsi="Garamond"/>
        </w:rPr>
        <w:t>”,</w:t>
      </w:r>
      <w:r w:rsidRPr="0037198D">
        <w:rPr>
          <w:rFonts w:ascii="Garamond" w:hAnsi="Garamond"/>
        </w:rPr>
        <w:t xml:space="preserve"> 31 ICSID Review </w:t>
      </w:r>
      <w:r w:rsidR="000024BD" w:rsidRPr="0037198D">
        <w:rPr>
          <w:rFonts w:ascii="Garamond" w:hAnsi="Garamond"/>
        </w:rPr>
        <w:t xml:space="preserve">(2016) </w:t>
      </w:r>
      <w:r w:rsidRPr="0037198D">
        <w:rPr>
          <w:rFonts w:ascii="Garamond" w:hAnsi="Garamond"/>
        </w:rPr>
        <w:t>24.</w:t>
      </w:r>
    </w:p>
  </w:footnote>
  <w:footnote w:id="66">
    <w:p w14:paraId="7C7273B9" w14:textId="42CA4B65" w:rsidR="003442F7" w:rsidRPr="0037198D" w:rsidRDefault="003442F7" w:rsidP="002A3164">
      <w:pPr>
        <w:autoSpaceDE w:val="0"/>
        <w:autoSpaceDN w:val="0"/>
        <w:adjustRightInd w:val="0"/>
        <w:spacing w:after="0" w:line="240" w:lineRule="auto"/>
        <w:contextualSpacing/>
        <w:jc w:val="both"/>
        <w:rPr>
          <w:rFonts w:ascii="Garamond" w:hAnsi="Garamond" w:cstheme="minorHAnsi"/>
          <w:sz w:val="20"/>
          <w:szCs w:val="20"/>
        </w:rPr>
      </w:pPr>
      <w:r w:rsidRPr="0037198D">
        <w:rPr>
          <w:rStyle w:val="FootnoteReference"/>
          <w:rFonts w:ascii="Garamond" w:hAnsi="Garamond" w:cstheme="minorHAnsi"/>
          <w:sz w:val="20"/>
          <w:szCs w:val="20"/>
        </w:rPr>
        <w:footnoteRef/>
      </w:r>
      <w:r w:rsidRPr="0037198D">
        <w:rPr>
          <w:rFonts w:ascii="Garamond" w:hAnsi="Garamond" w:cstheme="minorHAnsi"/>
          <w:sz w:val="20"/>
          <w:szCs w:val="20"/>
        </w:rPr>
        <w:t xml:space="preserve"> EC President, J. C. Juncker annual speech on State of the Union 2017, Strasbourg, 13/9/2017</w:t>
      </w:r>
      <w:r w:rsidR="000024BD" w:rsidRPr="0037198D">
        <w:rPr>
          <w:rFonts w:ascii="Garamond" w:hAnsi="Garamond" w:cstheme="minorHAnsi"/>
          <w:sz w:val="20"/>
          <w:szCs w:val="20"/>
        </w:rPr>
        <w:t xml:space="preserve"> </w:t>
      </w:r>
      <w:hyperlink r:id="rId1" w:history="1">
        <w:r w:rsidR="000024BD" w:rsidRPr="0037198D">
          <w:rPr>
            <w:rStyle w:val="Hyperlink"/>
            <w:rFonts w:ascii="Garamond" w:hAnsi="Garamond" w:cstheme="minorHAnsi"/>
            <w:sz w:val="20"/>
            <w:szCs w:val="20"/>
          </w:rPr>
          <w:t>http://europa.eu/rapid/press-release_SPEECH-17-3165_en.htm</w:t>
        </w:r>
      </w:hyperlink>
      <w:r w:rsidRPr="0037198D">
        <w:rPr>
          <w:rFonts w:ascii="Garamond" w:hAnsi="Garamond" w:cstheme="minorHAnsi"/>
          <w:sz w:val="20"/>
          <w:szCs w:val="20"/>
        </w:rPr>
        <w:t>.</w:t>
      </w:r>
      <w:r w:rsidR="000024BD" w:rsidRPr="0037198D">
        <w:rPr>
          <w:rFonts w:ascii="Garamond" w:hAnsi="Garamond" w:cstheme="minorHAnsi"/>
          <w:sz w:val="20"/>
          <w:szCs w:val="20"/>
        </w:rPr>
        <w:t xml:space="preserve"> </w:t>
      </w:r>
    </w:p>
  </w:footnote>
  <w:footnote w:id="67">
    <w:p w14:paraId="02E1FC68" w14:textId="7182C95B"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for instance, one classical textbook on international investment law describing investment as a catalyst of economic growth, a higher living standard and good governance: </w:t>
      </w:r>
      <w:proofErr w:type="spellStart"/>
      <w:r w:rsidRPr="0037198D">
        <w:rPr>
          <w:rFonts w:ascii="Garamond" w:hAnsi="Garamond"/>
        </w:rPr>
        <w:t>Dolzer</w:t>
      </w:r>
      <w:proofErr w:type="spellEnd"/>
      <w:r w:rsidRPr="0037198D">
        <w:rPr>
          <w:rFonts w:ascii="Garamond" w:hAnsi="Garamond"/>
        </w:rPr>
        <w:t xml:space="preserve"> and </w:t>
      </w:r>
      <w:proofErr w:type="spellStart"/>
      <w:r w:rsidRPr="0037198D">
        <w:rPr>
          <w:rFonts w:ascii="Garamond" w:hAnsi="Garamond"/>
        </w:rPr>
        <w:t>Schreuer</w:t>
      </w:r>
      <w:proofErr w:type="spellEnd"/>
      <w:r w:rsidRPr="0037198D">
        <w:rPr>
          <w:rFonts w:ascii="Garamond" w:hAnsi="Garamond"/>
        </w:rPr>
        <w:t xml:space="preserve">, </w:t>
      </w:r>
      <w:r w:rsidRPr="0037198D">
        <w:rPr>
          <w:rFonts w:ascii="Garamond" w:hAnsi="Garamond"/>
          <w:i/>
        </w:rPr>
        <w:t>Principles of international investment law</w:t>
      </w:r>
      <w:r w:rsidRPr="0037198D">
        <w:rPr>
          <w:rFonts w:ascii="Garamond" w:hAnsi="Garamond"/>
        </w:rPr>
        <w:t xml:space="preserve"> (OUP</w:t>
      </w:r>
      <w:r w:rsidR="000024BD" w:rsidRPr="0037198D">
        <w:rPr>
          <w:rFonts w:ascii="Garamond" w:hAnsi="Garamond"/>
        </w:rPr>
        <w:t>,</w:t>
      </w:r>
      <w:r w:rsidRPr="0037198D">
        <w:rPr>
          <w:rFonts w:ascii="Garamond" w:hAnsi="Garamond"/>
        </w:rPr>
        <w:t xml:space="preserve"> 2008) 10.</w:t>
      </w:r>
    </w:p>
  </w:footnote>
  <w:footnote w:id="68">
    <w:p w14:paraId="329CDF00" w14:textId="62AFF77F"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For the contemporaneous accounts, see Feng, </w:t>
      </w:r>
      <w:r w:rsidR="000024BD" w:rsidRPr="0037198D">
        <w:rPr>
          <w:rFonts w:ascii="Garamond" w:hAnsi="Garamond"/>
        </w:rPr>
        <w:t>“</w:t>
      </w:r>
      <w:r w:rsidRPr="0037198D">
        <w:rPr>
          <w:rFonts w:ascii="Garamond" w:hAnsi="Garamond"/>
        </w:rPr>
        <w:t xml:space="preserve"> “We Wouldn’t Transfer Title to the Devil”: Consequences of Congressional Politicisation of Foreign Direct Investment on National Security Grounds</w:t>
      </w:r>
      <w:r w:rsidR="000024BD" w:rsidRPr="0037198D">
        <w:rPr>
          <w:rFonts w:ascii="Garamond" w:hAnsi="Garamond"/>
        </w:rPr>
        <w:t xml:space="preserve">”, </w:t>
      </w:r>
      <w:r w:rsidRPr="0037198D">
        <w:rPr>
          <w:rFonts w:ascii="Garamond" w:hAnsi="Garamond"/>
        </w:rPr>
        <w:t xml:space="preserve">42 NYU J Intl L &amp; Pol </w:t>
      </w:r>
      <w:r w:rsidR="000024BD" w:rsidRPr="0037198D">
        <w:rPr>
          <w:rFonts w:ascii="Garamond" w:hAnsi="Garamond"/>
        </w:rPr>
        <w:t xml:space="preserve">(2009) </w:t>
      </w:r>
      <w:r w:rsidRPr="0037198D">
        <w:rPr>
          <w:rFonts w:ascii="Garamond" w:hAnsi="Garamond"/>
        </w:rPr>
        <w:t xml:space="preserve">253 (noting that </w:t>
      </w:r>
      <w:r w:rsidR="000024BD" w:rsidRPr="0037198D">
        <w:rPr>
          <w:rFonts w:ascii="Garamond" w:hAnsi="Garamond"/>
        </w:rPr>
        <w:t>‘</w:t>
      </w:r>
      <w:r w:rsidRPr="0037198D">
        <w:rPr>
          <w:rFonts w:ascii="Garamond" w:hAnsi="Garamond"/>
        </w:rPr>
        <w:t>there is a sense that FDI may serve as a tool for foreign governments to gain footholds in vital industries, to siphon off valuable or sensitive American technologies, or simply to provide a means for sabotage</w:t>
      </w:r>
      <w:r w:rsidR="000024BD" w:rsidRPr="0037198D">
        <w:rPr>
          <w:rFonts w:ascii="Garamond" w:hAnsi="Garamond"/>
        </w:rPr>
        <w:t>’</w:t>
      </w:r>
      <w:r w:rsidRPr="0037198D">
        <w:rPr>
          <w:rFonts w:ascii="Garamond" w:hAnsi="Garamond"/>
        </w:rPr>
        <w:t xml:space="preserve">); also Saxon, </w:t>
      </w:r>
      <w:r w:rsidR="000024BD" w:rsidRPr="0037198D">
        <w:rPr>
          <w:rFonts w:ascii="Garamond" w:hAnsi="Garamond"/>
        </w:rPr>
        <w:t>“</w:t>
      </w:r>
      <w:r w:rsidRPr="0037198D">
        <w:rPr>
          <w:rFonts w:ascii="Garamond" w:hAnsi="Garamond"/>
        </w:rPr>
        <w:t>It’s Just Business, or Is It? How Business and Politics Collide with Sovereign Wealth Funds</w:t>
      </w:r>
      <w:r w:rsidR="000024BD" w:rsidRPr="0037198D">
        <w:rPr>
          <w:rFonts w:ascii="Garamond" w:hAnsi="Garamond"/>
        </w:rPr>
        <w:t>”,</w:t>
      </w:r>
      <w:r w:rsidRPr="0037198D">
        <w:rPr>
          <w:rFonts w:ascii="Garamond" w:hAnsi="Garamond"/>
        </w:rPr>
        <w:t xml:space="preserve"> 32 Hastings Intl &amp; Comp L Rev</w:t>
      </w:r>
      <w:r w:rsidR="000024BD" w:rsidRPr="0037198D">
        <w:rPr>
          <w:rFonts w:ascii="Garamond" w:hAnsi="Garamond"/>
        </w:rPr>
        <w:t xml:space="preserve"> (2009)</w:t>
      </w:r>
      <w:r w:rsidRPr="0037198D">
        <w:rPr>
          <w:rFonts w:ascii="Garamond" w:hAnsi="Garamond"/>
        </w:rPr>
        <w:t xml:space="preserve"> 693.</w:t>
      </w:r>
    </w:p>
  </w:footnote>
  <w:footnote w:id="69">
    <w:p w14:paraId="4723C5D7" w14:textId="1A4EA921" w:rsidR="003442F7" w:rsidRPr="0037198D" w:rsidRDefault="003442F7" w:rsidP="002A3164">
      <w:pPr>
        <w:spacing w:after="0"/>
        <w:contextualSpacing/>
        <w:jc w:val="both"/>
        <w:rPr>
          <w:rFonts w:ascii="Garamond" w:hAnsi="Garamond" w:cs="Times New Roman"/>
          <w:sz w:val="20"/>
          <w:szCs w:val="20"/>
        </w:rPr>
      </w:pPr>
      <w:r w:rsidRPr="0037198D">
        <w:rPr>
          <w:rStyle w:val="FootnoteReference"/>
          <w:rFonts w:ascii="Garamond" w:hAnsi="Garamond"/>
          <w:sz w:val="20"/>
          <w:szCs w:val="20"/>
        </w:rPr>
        <w:footnoteRef/>
      </w:r>
      <w:r w:rsidR="000024BD" w:rsidRPr="0037198D">
        <w:rPr>
          <w:rFonts w:ascii="Garamond" w:hAnsi="Garamond" w:cs="Times New Roman"/>
          <w:sz w:val="20"/>
          <w:szCs w:val="20"/>
        </w:rPr>
        <w:t xml:space="preserve"> </w:t>
      </w:r>
      <w:r w:rsidRPr="0037198D">
        <w:rPr>
          <w:rFonts w:ascii="Garamond" w:hAnsi="Garamond" w:cs="Times New Roman"/>
          <w:sz w:val="20"/>
          <w:szCs w:val="20"/>
        </w:rPr>
        <w:t xml:space="preserve">Schneiderman, </w:t>
      </w:r>
      <w:r w:rsidRPr="0037198D">
        <w:rPr>
          <w:rFonts w:ascii="Garamond" w:hAnsi="Garamond" w:cs="Times New Roman"/>
          <w:i/>
          <w:sz w:val="20"/>
          <w:szCs w:val="20"/>
        </w:rPr>
        <w:t>Constitutionalizing Economic Globalization: Investment Rules and Democracy’s Promise</w:t>
      </w:r>
      <w:r w:rsidRPr="0037198D">
        <w:rPr>
          <w:rFonts w:ascii="Garamond" w:hAnsi="Garamond" w:cs="Times New Roman"/>
          <w:sz w:val="20"/>
          <w:szCs w:val="20"/>
        </w:rPr>
        <w:t xml:space="preserve"> (</w:t>
      </w:r>
      <w:r w:rsidR="000024BD" w:rsidRPr="0037198D">
        <w:rPr>
          <w:rFonts w:ascii="Garamond" w:hAnsi="Garamond" w:cs="Times New Roman"/>
          <w:sz w:val="20"/>
          <w:szCs w:val="20"/>
        </w:rPr>
        <w:t>CUP</w:t>
      </w:r>
      <w:r w:rsidRPr="0037198D">
        <w:rPr>
          <w:rFonts w:ascii="Garamond" w:hAnsi="Garamond" w:cs="Times New Roman"/>
          <w:sz w:val="20"/>
          <w:szCs w:val="20"/>
        </w:rPr>
        <w:t>, 2008)</w:t>
      </w:r>
      <w:r w:rsidR="000024BD" w:rsidRPr="0037198D">
        <w:rPr>
          <w:rFonts w:ascii="Garamond" w:hAnsi="Garamond" w:cs="Times New Roman"/>
          <w:sz w:val="20"/>
          <w:szCs w:val="20"/>
        </w:rPr>
        <w:t xml:space="preserve"> at p.</w:t>
      </w:r>
      <w:r w:rsidRPr="0037198D">
        <w:rPr>
          <w:rFonts w:ascii="Garamond" w:hAnsi="Garamond" w:cs="Times New Roman"/>
          <w:sz w:val="20"/>
          <w:szCs w:val="20"/>
        </w:rPr>
        <w:t xml:space="preserve"> </w:t>
      </w:r>
      <w:r w:rsidRPr="0037198D">
        <w:rPr>
          <w:rFonts w:ascii="Garamond" w:hAnsi="Garamond"/>
          <w:sz w:val="20"/>
          <w:szCs w:val="20"/>
        </w:rPr>
        <w:t>188.</w:t>
      </w:r>
    </w:p>
  </w:footnote>
  <w:footnote w:id="70">
    <w:p w14:paraId="4269947C" w14:textId="72B9C086"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w:t>
      </w:r>
      <w:proofErr w:type="spellStart"/>
      <w:r w:rsidRPr="0037198D">
        <w:rPr>
          <w:rFonts w:ascii="Garamond" w:hAnsi="Garamond" w:cstheme="minorHAnsi"/>
        </w:rPr>
        <w:t>Warchol</w:t>
      </w:r>
      <w:proofErr w:type="spellEnd"/>
      <w:r w:rsidRPr="0037198D">
        <w:rPr>
          <w:rFonts w:ascii="Garamond" w:hAnsi="Garamond" w:cstheme="minorHAnsi"/>
        </w:rPr>
        <w:t xml:space="preserve">, </w:t>
      </w:r>
      <w:r w:rsidR="000024BD" w:rsidRPr="0037198D">
        <w:rPr>
          <w:rFonts w:ascii="Garamond" w:hAnsi="Garamond" w:cstheme="minorHAnsi"/>
        </w:rPr>
        <w:t>“</w:t>
      </w:r>
      <w:r w:rsidRPr="0037198D">
        <w:rPr>
          <w:rFonts w:ascii="Garamond" w:hAnsi="Garamond" w:cstheme="minorHAnsi"/>
        </w:rPr>
        <w:t>The Birth of the EU Screening Regulation</w:t>
      </w:r>
      <w:r w:rsidR="000024BD" w:rsidRPr="0037198D">
        <w:rPr>
          <w:rFonts w:ascii="Garamond" w:hAnsi="Garamond" w:cstheme="minorHAnsi"/>
        </w:rPr>
        <w:t>”</w:t>
      </w:r>
      <w:r w:rsidRPr="0037198D">
        <w:rPr>
          <w:rFonts w:ascii="Garamond" w:hAnsi="Garamond" w:cstheme="minorHAnsi"/>
        </w:rPr>
        <w:t xml:space="preserve">, </w:t>
      </w:r>
      <w:r w:rsidR="000024BD" w:rsidRPr="0037198D">
        <w:rPr>
          <w:rFonts w:ascii="Garamond" w:hAnsi="Garamond" w:cstheme="minorHAnsi"/>
        </w:rPr>
        <w:t xml:space="preserve">at p. </w:t>
      </w:r>
      <w:r w:rsidRPr="0037198D">
        <w:rPr>
          <w:rFonts w:ascii="Garamond" w:hAnsi="Garamond" w:cstheme="minorHAnsi"/>
        </w:rPr>
        <w:t>54.</w:t>
      </w:r>
    </w:p>
  </w:footnote>
  <w:footnote w:id="71">
    <w:p w14:paraId="24C2AAB5" w14:textId="378ED821" w:rsidR="003442F7" w:rsidRPr="0037198D" w:rsidRDefault="003442F7" w:rsidP="002A3164">
      <w:pPr>
        <w:pStyle w:val="Heading1"/>
        <w:spacing w:before="0"/>
        <w:contextualSpacing/>
        <w:jc w:val="both"/>
        <w:rPr>
          <w:rFonts w:ascii="Garamond" w:hAnsi="Garamond"/>
          <w:color w:val="auto"/>
          <w:sz w:val="20"/>
          <w:szCs w:val="20"/>
        </w:rPr>
      </w:pPr>
      <w:r w:rsidRPr="0037198D">
        <w:rPr>
          <w:rStyle w:val="FootnoteReference"/>
          <w:rFonts w:ascii="Garamond" w:hAnsi="Garamond"/>
          <w:color w:val="auto"/>
          <w:sz w:val="20"/>
          <w:szCs w:val="20"/>
        </w:rPr>
        <w:footnoteRef/>
      </w:r>
      <w:r w:rsidRPr="0037198D">
        <w:rPr>
          <w:rFonts w:ascii="Garamond" w:hAnsi="Garamond"/>
          <w:color w:val="auto"/>
          <w:sz w:val="20"/>
          <w:szCs w:val="20"/>
        </w:rPr>
        <w:t xml:space="preserve"> See, </w:t>
      </w:r>
      <w:proofErr w:type="gramStart"/>
      <w:r w:rsidRPr="0037198D">
        <w:rPr>
          <w:rFonts w:ascii="Garamond" w:hAnsi="Garamond"/>
          <w:color w:val="auto"/>
          <w:sz w:val="20"/>
          <w:szCs w:val="20"/>
        </w:rPr>
        <w:t>e.g.</w:t>
      </w:r>
      <w:proofErr w:type="gramEnd"/>
      <w:r w:rsidRPr="0037198D">
        <w:rPr>
          <w:rFonts w:ascii="Garamond" w:hAnsi="Garamond"/>
          <w:color w:val="auto"/>
          <w:sz w:val="20"/>
          <w:szCs w:val="20"/>
        </w:rPr>
        <w:t xml:space="preserve"> </w:t>
      </w:r>
      <w:r w:rsidRPr="0037198D">
        <w:rPr>
          <w:rFonts w:ascii="Garamond" w:hAnsi="Garamond" w:cs="AdvOTf9b4e953.B5"/>
          <w:color w:val="auto"/>
          <w:sz w:val="20"/>
          <w:szCs w:val="20"/>
        </w:rPr>
        <w:t xml:space="preserve">Wernicke, </w:t>
      </w:r>
      <w:r w:rsidR="000024BD" w:rsidRPr="0037198D">
        <w:rPr>
          <w:rFonts w:ascii="Garamond" w:hAnsi="Garamond" w:cs="AdvOTf9b4e953.B5"/>
          <w:color w:val="auto"/>
          <w:sz w:val="20"/>
          <w:szCs w:val="20"/>
        </w:rPr>
        <w:t>“</w:t>
      </w:r>
      <w:r w:rsidRPr="0037198D">
        <w:rPr>
          <w:rFonts w:ascii="Garamond" w:hAnsi="Garamond" w:cs="AdvOTf9b4e953.B5"/>
          <w:color w:val="auto"/>
          <w:sz w:val="20"/>
          <w:szCs w:val="20"/>
        </w:rPr>
        <w:t>Investment Screening: The Return of Protectionism? A Business Perspective</w:t>
      </w:r>
      <w:r w:rsidR="000024BD" w:rsidRPr="0037198D">
        <w:rPr>
          <w:rFonts w:ascii="Garamond" w:hAnsi="Garamond" w:cs="AdvOTf9b4e953.B5"/>
          <w:color w:val="auto"/>
          <w:sz w:val="20"/>
          <w:szCs w:val="20"/>
        </w:rPr>
        <w:t>”</w:t>
      </w:r>
      <w:r w:rsidRPr="0037198D">
        <w:rPr>
          <w:rFonts w:ascii="Garamond" w:hAnsi="Garamond" w:cs="AdvOTf9b4e953.B5"/>
          <w:color w:val="auto"/>
          <w:sz w:val="20"/>
          <w:szCs w:val="20"/>
        </w:rPr>
        <w:t xml:space="preserve"> in </w:t>
      </w:r>
      <w:proofErr w:type="spellStart"/>
      <w:r w:rsidRPr="0037198D">
        <w:rPr>
          <w:rFonts w:ascii="Garamond" w:hAnsi="Garamond" w:cs="AdvOTab62ddd1"/>
          <w:color w:val="auto"/>
          <w:sz w:val="20"/>
          <w:szCs w:val="20"/>
        </w:rPr>
        <w:t>Hindelang</w:t>
      </w:r>
      <w:proofErr w:type="spellEnd"/>
      <w:r w:rsidRPr="0037198D">
        <w:rPr>
          <w:rFonts w:ascii="Garamond" w:hAnsi="Garamond" w:cs="AdvOTab62ddd1"/>
          <w:color w:val="auto"/>
          <w:sz w:val="20"/>
          <w:szCs w:val="20"/>
        </w:rPr>
        <w:t xml:space="preserve"> </w:t>
      </w:r>
      <w:r w:rsidRPr="0037198D">
        <w:rPr>
          <w:rFonts w:ascii="Garamond" w:hAnsi="Garamond" w:cs="AdvOTab62ddd1+20"/>
          <w:color w:val="auto"/>
          <w:sz w:val="20"/>
          <w:szCs w:val="20"/>
        </w:rPr>
        <w:t xml:space="preserve">and </w:t>
      </w:r>
      <w:r w:rsidRPr="0037198D">
        <w:rPr>
          <w:rFonts w:ascii="Garamond" w:hAnsi="Garamond" w:cs="AdvOTab62ddd1"/>
          <w:color w:val="auto"/>
          <w:sz w:val="20"/>
          <w:szCs w:val="20"/>
        </w:rPr>
        <w:t>Moberg (</w:t>
      </w:r>
      <w:r w:rsidR="000024BD" w:rsidRPr="0037198D">
        <w:rPr>
          <w:rFonts w:ascii="Garamond" w:hAnsi="Garamond" w:cs="AdvOTab62ddd1"/>
          <w:color w:val="auto"/>
          <w:sz w:val="20"/>
          <w:szCs w:val="20"/>
        </w:rPr>
        <w:t>E</w:t>
      </w:r>
      <w:r w:rsidRPr="0037198D">
        <w:rPr>
          <w:rFonts w:ascii="Garamond" w:hAnsi="Garamond" w:cs="AdvOTab62ddd1"/>
          <w:color w:val="auto"/>
          <w:sz w:val="20"/>
          <w:szCs w:val="20"/>
        </w:rPr>
        <w:t>ds</w:t>
      </w:r>
      <w:r w:rsidR="000024BD" w:rsidRPr="0037198D">
        <w:rPr>
          <w:rFonts w:ascii="Garamond" w:hAnsi="Garamond" w:cs="AdvOTab62ddd1"/>
          <w:color w:val="auto"/>
          <w:sz w:val="20"/>
          <w:szCs w:val="20"/>
        </w:rPr>
        <w:t>.</w:t>
      </w:r>
      <w:r w:rsidRPr="0037198D">
        <w:rPr>
          <w:rFonts w:ascii="Garamond" w:hAnsi="Garamond" w:cs="AdvOTab62ddd1"/>
          <w:color w:val="auto"/>
          <w:sz w:val="20"/>
          <w:szCs w:val="20"/>
        </w:rPr>
        <w:t xml:space="preserve">), </w:t>
      </w:r>
      <w:r w:rsidRPr="0037198D">
        <w:rPr>
          <w:rFonts w:ascii="Garamond" w:hAnsi="Garamond" w:cs="AdvOTab62ddd1"/>
          <w:i/>
          <w:color w:val="auto"/>
          <w:sz w:val="20"/>
          <w:szCs w:val="20"/>
        </w:rPr>
        <w:t>A Common European Law on Investment Screening</w:t>
      </w:r>
      <w:r w:rsidRPr="0037198D">
        <w:rPr>
          <w:rFonts w:ascii="Garamond" w:hAnsi="Garamond" w:cs="AdvOTab62ddd1"/>
          <w:color w:val="auto"/>
          <w:sz w:val="20"/>
          <w:szCs w:val="20"/>
        </w:rPr>
        <w:t xml:space="preserve">, </w:t>
      </w:r>
      <w:r w:rsidR="000024BD" w:rsidRPr="0037198D">
        <w:rPr>
          <w:rFonts w:ascii="Garamond" w:hAnsi="Garamond" w:cs="AdvOTab62ddd1"/>
          <w:color w:val="auto"/>
          <w:sz w:val="20"/>
          <w:szCs w:val="20"/>
        </w:rPr>
        <w:t xml:space="preserve">at p. </w:t>
      </w:r>
      <w:r w:rsidRPr="0037198D">
        <w:rPr>
          <w:rFonts w:ascii="Garamond" w:hAnsi="Garamond" w:cs="AdvOTab62ddd1"/>
          <w:color w:val="auto"/>
          <w:sz w:val="20"/>
          <w:szCs w:val="20"/>
        </w:rPr>
        <w:t xml:space="preserve">29; </w:t>
      </w:r>
      <w:proofErr w:type="gramStart"/>
      <w:r w:rsidRPr="0037198D">
        <w:rPr>
          <w:rFonts w:ascii="Garamond" w:hAnsi="Garamond" w:cs="AdvOTab62ddd1"/>
          <w:color w:val="auto"/>
          <w:sz w:val="20"/>
          <w:szCs w:val="20"/>
        </w:rPr>
        <w:t>also</w:t>
      </w:r>
      <w:proofErr w:type="gramEnd"/>
      <w:r w:rsidRPr="0037198D">
        <w:rPr>
          <w:rFonts w:ascii="Garamond" w:hAnsi="Garamond" w:cs="AdvOTab62ddd1"/>
          <w:color w:val="auto"/>
          <w:sz w:val="20"/>
          <w:szCs w:val="20"/>
        </w:rPr>
        <w:t xml:space="preserve"> </w:t>
      </w:r>
      <w:proofErr w:type="spellStart"/>
      <w:r w:rsidRPr="0037198D">
        <w:rPr>
          <w:rStyle w:val="series-label"/>
          <w:rFonts w:ascii="Garamond" w:hAnsi="Garamond"/>
          <w:color w:val="auto"/>
          <w:sz w:val="20"/>
          <w:szCs w:val="20"/>
        </w:rPr>
        <w:t>Bungenberg</w:t>
      </w:r>
      <w:proofErr w:type="spellEnd"/>
      <w:r w:rsidRPr="0037198D">
        <w:rPr>
          <w:rStyle w:val="series-label"/>
          <w:rFonts w:ascii="Garamond" w:hAnsi="Garamond"/>
          <w:color w:val="auto"/>
          <w:sz w:val="20"/>
          <w:szCs w:val="20"/>
        </w:rPr>
        <w:t xml:space="preserve"> and </w:t>
      </w:r>
      <w:proofErr w:type="spellStart"/>
      <w:r w:rsidRPr="0037198D">
        <w:rPr>
          <w:rStyle w:val="series-label"/>
          <w:rFonts w:ascii="Garamond" w:hAnsi="Garamond"/>
          <w:color w:val="auto"/>
          <w:sz w:val="20"/>
          <w:szCs w:val="20"/>
        </w:rPr>
        <w:t>Blandfort</w:t>
      </w:r>
      <w:proofErr w:type="spellEnd"/>
      <w:r w:rsidRPr="0037198D">
        <w:rPr>
          <w:rStyle w:val="series-label"/>
          <w:rFonts w:ascii="Garamond" w:hAnsi="Garamond"/>
          <w:color w:val="auto"/>
          <w:sz w:val="20"/>
          <w:szCs w:val="20"/>
        </w:rPr>
        <w:t>,</w:t>
      </w:r>
      <w:r w:rsidRPr="0037198D">
        <w:rPr>
          <w:rFonts w:ascii="Garamond" w:hAnsi="Garamond" w:cs="AdvOTab62ddd1"/>
          <w:color w:val="auto"/>
          <w:sz w:val="20"/>
          <w:szCs w:val="20"/>
        </w:rPr>
        <w:t xml:space="preserve"> </w:t>
      </w:r>
      <w:r w:rsidR="000024BD" w:rsidRPr="0037198D">
        <w:rPr>
          <w:rFonts w:ascii="Garamond" w:hAnsi="Garamond" w:cs="AdvOTab62ddd1"/>
          <w:color w:val="auto"/>
          <w:sz w:val="20"/>
          <w:szCs w:val="20"/>
        </w:rPr>
        <w:t>“</w:t>
      </w:r>
      <w:r w:rsidRPr="0037198D">
        <w:rPr>
          <w:rStyle w:val="series-label"/>
          <w:rFonts w:ascii="Garamond" w:hAnsi="Garamond"/>
          <w:color w:val="auto"/>
          <w:sz w:val="20"/>
          <w:szCs w:val="20"/>
        </w:rPr>
        <w:t>Investment Screening – a New Era of European</w:t>
      </w:r>
      <w:r w:rsidRPr="0037198D">
        <w:rPr>
          <w:rFonts w:ascii="Garamond" w:hAnsi="Garamond"/>
          <w:color w:val="auto"/>
          <w:sz w:val="20"/>
          <w:szCs w:val="20"/>
        </w:rPr>
        <w:t xml:space="preserve"> </w:t>
      </w:r>
      <w:r w:rsidRPr="0037198D">
        <w:rPr>
          <w:rStyle w:val="series-label"/>
          <w:rFonts w:ascii="Garamond" w:hAnsi="Garamond"/>
          <w:color w:val="auto"/>
          <w:sz w:val="20"/>
          <w:szCs w:val="20"/>
        </w:rPr>
        <w:t>Protectionism?</w:t>
      </w:r>
      <w:r w:rsidR="000024BD" w:rsidRPr="0037198D">
        <w:rPr>
          <w:rStyle w:val="series-label"/>
          <w:rFonts w:ascii="Garamond" w:hAnsi="Garamond"/>
          <w:color w:val="auto"/>
          <w:sz w:val="20"/>
          <w:szCs w:val="20"/>
        </w:rPr>
        <w:t>”</w:t>
      </w:r>
      <w:r w:rsidRPr="0037198D">
        <w:rPr>
          <w:rStyle w:val="series-label"/>
          <w:rFonts w:ascii="Garamond" w:hAnsi="Garamond"/>
          <w:color w:val="auto"/>
          <w:sz w:val="20"/>
          <w:szCs w:val="20"/>
        </w:rPr>
        <w:t xml:space="preserve"> in Hahn and Van der Loo (</w:t>
      </w:r>
      <w:r w:rsidR="000024BD" w:rsidRPr="0037198D">
        <w:rPr>
          <w:rStyle w:val="series-label"/>
          <w:rFonts w:ascii="Garamond" w:hAnsi="Garamond"/>
          <w:color w:val="auto"/>
          <w:sz w:val="20"/>
          <w:szCs w:val="20"/>
        </w:rPr>
        <w:t>E</w:t>
      </w:r>
      <w:r w:rsidRPr="0037198D">
        <w:rPr>
          <w:rStyle w:val="series-label"/>
          <w:rFonts w:ascii="Garamond" w:hAnsi="Garamond"/>
          <w:color w:val="auto"/>
          <w:sz w:val="20"/>
          <w:szCs w:val="20"/>
        </w:rPr>
        <w:t>ds</w:t>
      </w:r>
      <w:r w:rsidR="000024BD" w:rsidRPr="0037198D">
        <w:rPr>
          <w:rStyle w:val="series-label"/>
          <w:rFonts w:ascii="Garamond" w:hAnsi="Garamond"/>
          <w:color w:val="auto"/>
          <w:sz w:val="20"/>
          <w:szCs w:val="20"/>
        </w:rPr>
        <w:t>.</w:t>
      </w:r>
      <w:r w:rsidRPr="0037198D">
        <w:rPr>
          <w:rStyle w:val="series-label"/>
          <w:rFonts w:ascii="Garamond" w:hAnsi="Garamond"/>
          <w:color w:val="auto"/>
          <w:sz w:val="20"/>
          <w:szCs w:val="20"/>
        </w:rPr>
        <w:t xml:space="preserve">) </w:t>
      </w:r>
      <w:r w:rsidRPr="0037198D">
        <w:rPr>
          <w:rFonts w:ascii="Garamond" w:hAnsi="Garamond"/>
          <w:i/>
          <w:color w:val="auto"/>
          <w:sz w:val="20"/>
          <w:szCs w:val="20"/>
        </w:rPr>
        <w:t>Law and Practice of the Common Commercial Policy: The first 10 years after the Treaty of Lisbon</w:t>
      </w:r>
      <w:r w:rsidRPr="0037198D">
        <w:rPr>
          <w:rFonts w:ascii="Garamond" w:hAnsi="Garamond"/>
          <w:color w:val="auto"/>
          <w:sz w:val="20"/>
          <w:szCs w:val="20"/>
        </w:rPr>
        <w:t xml:space="preserve"> (Brill</w:t>
      </w:r>
      <w:r w:rsidR="000024BD" w:rsidRPr="0037198D">
        <w:rPr>
          <w:rFonts w:ascii="Garamond" w:hAnsi="Garamond"/>
          <w:color w:val="auto"/>
          <w:sz w:val="20"/>
          <w:szCs w:val="20"/>
        </w:rPr>
        <w:t>,</w:t>
      </w:r>
      <w:r w:rsidRPr="0037198D">
        <w:rPr>
          <w:rFonts w:ascii="Garamond" w:hAnsi="Garamond"/>
          <w:color w:val="auto"/>
          <w:sz w:val="20"/>
          <w:szCs w:val="20"/>
        </w:rPr>
        <w:t xml:space="preserve"> 2020) 161.</w:t>
      </w:r>
    </w:p>
  </w:footnote>
  <w:footnote w:id="72">
    <w:p w14:paraId="505477B3" w14:textId="45C0453F"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Schmitz and </w:t>
      </w:r>
      <w:proofErr w:type="spellStart"/>
      <w:r w:rsidRPr="0037198D">
        <w:rPr>
          <w:rFonts w:ascii="Garamond" w:hAnsi="Garamond"/>
        </w:rPr>
        <w:t>Seidl</w:t>
      </w:r>
      <w:proofErr w:type="spellEnd"/>
      <w:r w:rsidRPr="0037198D">
        <w:rPr>
          <w:rFonts w:ascii="Garamond" w:hAnsi="Garamond"/>
        </w:rPr>
        <w:t xml:space="preserve">, </w:t>
      </w:r>
      <w:r w:rsidR="000024BD" w:rsidRPr="0037198D">
        <w:rPr>
          <w:rFonts w:ascii="Garamond" w:hAnsi="Garamond"/>
        </w:rPr>
        <w:t>“</w:t>
      </w:r>
      <w:r w:rsidRPr="0037198D">
        <w:rPr>
          <w:rFonts w:ascii="Garamond" w:hAnsi="Garamond"/>
        </w:rPr>
        <w:t>As open as possible, as autonomous as necessary: Understanding the Rise of Open Strategic Autonomy in EU trade policy</w:t>
      </w:r>
      <w:r w:rsidR="000024BD" w:rsidRPr="0037198D">
        <w:rPr>
          <w:rFonts w:ascii="Garamond" w:hAnsi="Garamond"/>
        </w:rPr>
        <w:t>”,</w:t>
      </w:r>
      <w:r w:rsidRPr="0037198D">
        <w:rPr>
          <w:rFonts w:ascii="Garamond" w:hAnsi="Garamond"/>
        </w:rPr>
        <w:t xml:space="preserve"> JCMS</w:t>
      </w:r>
      <w:r w:rsidR="000024BD" w:rsidRPr="0037198D">
        <w:rPr>
          <w:rFonts w:ascii="Garamond" w:hAnsi="Garamond"/>
        </w:rPr>
        <w:t xml:space="preserve"> (2022)</w:t>
      </w:r>
      <w:r w:rsidRPr="0037198D">
        <w:rPr>
          <w:rFonts w:ascii="Garamond" w:hAnsi="Garamond"/>
        </w:rPr>
        <w:t xml:space="preserve"> 2.  </w:t>
      </w:r>
    </w:p>
  </w:footnote>
  <w:footnote w:id="73">
    <w:p w14:paraId="45C7760D" w14:textId="37D2EDF8"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Cohen, </w:t>
      </w:r>
      <w:r w:rsidR="000024BD" w:rsidRPr="0037198D">
        <w:rPr>
          <w:rFonts w:ascii="Garamond" w:hAnsi="Garamond"/>
        </w:rPr>
        <w:t>“</w:t>
      </w:r>
      <w:r w:rsidRPr="0037198D">
        <w:rPr>
          <w:rFonts w:ascii="Garamond" w:hAnsi="Garamond"/>
        </w:rPr>
        <w:t>Nations and Markets</w:t>
      </w:r>
      <w:r w:rsidR="000024BD" w:rsidRPr="0037198D">
        <w:rPr>
          <w:rFonts w:ascii="Garamond" w:hAnsi="Garamond"/>
        </w:rPr>
        <w:t>”</w:t>
      </w:r>
      <w:r w:rsidRPr="0037198D">
        <w:rPr>
          <w:rFonts w:ascii="Garamond" w:hAnsi="Garamond"/>
        </w:rPr>
        <w:t xml:space="preserve"> 23 JIEL </w:t>
      </w:r>
      <w:r w:rsidR="000024BD" w:rsidRPr="0037198D">
        <w:rPr>
          <w:rFonts w:ascii="Garamond" w:hAnsi="Garamond"/>
        </w:rPr>
        <w:t xml:space="preserve">(2020) </w:t>
      </w:r>
      <w:r w:rsidRPr="0037198D">
        <w:rPr>
          <w:rFonts w:ascii="Garamond" w:hAnsi="Garamond"/>
        </w:rPr>
        <w:t xml:space="preserve">793, </w:t>
      </w:r>
      <w:r w:rsidR="0020360C" w:rsidRPr="0037198D">
        <w:rPr>
          <w:rFonts w:ascii="Garamond" w:hAnsi="Garamond"/>
        </w:rPr>
        <w:t xml:space="preserve">at p. </w:t>
      </w:r>
      <w:r w:rsidRPr="0037198D">
        <w:rPr>
          <w:rFonts w:ascii="Garamond" w:hAnsi="Garamond"/>
        </w:rPr>
        <w:t>813.</w:t>
      </w:r>
    </w:p>
  </w:footnote>
  <w:footnote w:id="74">
    <w:p w14:paraId="53F69F24" w14:textId="748A1EB9"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Velut</w:t>
      </w:r>
      <w:proofErr w:type="spellEnd"/>
      <w:r w:rsidRPr="0037198D">
        <w:rPr>
          <w:rFonts w:ascii="Garamond" w:hAnsi="Garamond"/>
        </w:rPr>
        <w:t xml:space="preserve">, </w:t>
      </w:r>
      <w:proofErr w:type="spellStart"/>
      <w:r w:rsidRPr="0037198D">
        <w:rPr>
          <w:rFonts w:ascii="Garamond" w:hAnsi="Garamond"/>
        </w:rPr>
        <w:t>Siles-Bru</w:t>
      </w:r>
      <w:r w:rsidRPr="0037198D">
        <w:rPr>
          <w:rFonts w:ascii="Times New Roman" w:hAnsi="Times New Roman" w:cs="Times New Roman"/>
        </w:rPr>
        <w:t>̈</w:t>
      </w:r>
      <w:r w:rsidRPr="0037198D">
        <w:rPr>
          <w:rFonts w:ascii="Garamond" w:hAnsi="Garamond"/>
        </w:rPr>
        <w:t>gge</w:t>
      </w:r>
      <w:proofErr w:type="spellEnd"/>
      <w:r w:rsidRPr="0037198D">
        <w:rPr>
          <w:rFonts w:ascii="Garamond" w:hAnsi="Garamond"/>
          <w:position w:val="10"/>
        </w:rPr>
        <w:t xml:space="preserve"> </w:t>
      </w:r>
      <w:r w:rsidRPr="0037198D">
        <w:rPr>
          <w:rFonts w:ascii="Garamond" w:hAnsi="Garamond"/>
        </w:rPr>
        <w:t xml:space="preserve">and </w:t>
      </w:r>
      <w:proofErr w:type="spellStart"/>
      <w:r w:rsidRPr="0037198D">
        <w:rPr>
          <w:rFonts w:ascii="Garamond" w:hAnsi="Garamond"/>
        </w:rPr>
        <w:t>Dalingwater</w:t>
      </w:r>
      <w:proofErr w:type="spellEnd"/>
      <w:r w:rsidRPr="0037198D">
        <w:rPr>
          <w:rFonts w:ascii="Garamond" w:hAnsi="Garamond" w:cstheme="minorHAnsi"/>
        </w:rPr>
        <w:t xml:space="preserve">, </w:t>
      </w:r>
      <w:r w:rsidR="000024BD" w:rsidRPr="0037198D">
        <w:rPr>
          <w:rFonts w:ascii="Garamond" w:hAnsi="Garamond"/>
        </w:rPr>
        <w:t>“</w:t>
      </w:r>
      <w:r w:rsidRPr="0037198D">
        <w:rPr>
          <w:rFonts w:ascii="Garamond" w:hAnsi="Garamond"/>
        </w:rPr>
        <w:t>Rethinking the Dynamics of Inclusion and Exclusion in Trade Politics</w:t>
      </w:r>
      <w:r w:rsidR="000024BD" w:rsidRPr="0037198D">
        <w:rPr>
          <w:rFonts w:ascii="Garamond" w:hAnsi="Garamond"/>
        </w:rPr>
        <w:t>”</w:t>
      </w:r>
      <w:r w:rsidR="0037198D">
        <w:rPr>
          <w:rFonts w:ascii="Garamond" w:hAnsi="Garamond"/>
        </w:rPr>
        <w:t>,</w:t>
      </w:r>
      <w:r w:rsidRPr="0037198D">
        <w:rPr>
          <w:rFonts w:ascii="Garamond" w:hAnsi="Garamond"/>
        </w:rPr>
        <w:t xml:space="preserve"> 27 New Political Economy </w:t>
      </w:r>
      <w:r w:rsidR="000024BD" w:rsidRPr="0037198D">
        <w:rPr>
          <w:rFonts w:ascii="Garamond" w:hAnsi="Garamond"/>
        </w:rPr>
        <w:t xml:space="preserve">(2022) </w:t>
      </w:r>
      <w:r w:rsidRPr="0037198D">
        <w:rPr>
          <w:rFonts w:ascii="Garamond" w:hAnsi="Garamond"/>
        </w:rPr>
        <w:t>547.</w:t>
      </w:r>
    </w:p>
  </w:footnote>
  <w:footnote w:id="75">
    <w:p w14:paraId="00D0ED8F" w14:textId="75A72F02"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Schmitz and </w:t>
      </w:r>
      <w:proofErr w:type="spellStart"/>
      <w:r w:rsidRPr="0037198D">
        <w:rPr>
          <w:rFonts w:ascii="Garamond" w:hAnsi="Garamond" w:cstheme="minorHAnsi"/>
        </w:rPr>
        <w:t>Seidl</w:t>
      </w:r>
      <w:proofErr w:type="spellEnd"/>
      <w:r w:rsidRPr="0037198D">
        <w:rPr>
          <w:rFonts w:ascii="Garamond" w:hAnsi="Garamond" w:cstheme="minorHAnsi"/>
        </w:rPr>
        <w:t xml:space="preserve">, </w:t>
      </w:r>
      <w:r w:rsidR="0037198D">
        <w:rPr>
          <w:rFonts w:ascii="Garamond" w:hAnsi="Garamond"/>
        </w:rPr>
        <w:t>“</w:t>
      </w:r>
      <w:r w:rsidRPr="0037198D">
        <w:rPr>
          <w:rFonts w:ascii="Garamond" w:hAnsi="Garamond"/>
        </w:rPr>
        <w:t>As open as possible, as autonomous as necessary</w:t>
      </w:r>
      <w:r w:rsidR="0037198D">
        <w:rPr>
          <w:rFonts w:ascii="Garamond" w:hAnsi="Garamond" w:cstheme="minorHAnsi"/>
        </w:rPr>
        <w:t>”</w:t>
      </w:r>
      <w:r w:rsidR="000024BD" w:rsidRPr="0037198D">
        <w:rPr>
          <w:rFonts w:ascii="Garamond" w:hAnsi="Garamond" w:cstheme="minorHAnsi"/>
        </w:rPr>
        <w:t>, at p.</w:t>
      </w:r>
      <w:r w:rsidRPr="0037198D">
        <w:rPr>
          <w:rFonts w:ascii="Garamond" w:hAnsi="Garamond" w:cstheme="minorHAnsi"/>
        </w:rPr>
        <w:t xml:space="preserve"> 4, see also </w:t>
      </w:r>
      <w:proofErr w:type="spellStart"/>
      <w:r w:rsidRPr="0037198D">
        <w:rPr>
          <w:rFonts w:ascii="Garamond" w:hAnsi="Garamond" w:cstheme="minorHAnsi"/>
        </w:rPr>
        <w:t>Slobodian</w:t>
      </w:r>
      <w:proofErr w:type="spellEnd"/>
      <w:r w:rsidRPr="0037198D">
        <w:rPr>
          <w:rFonts w:ascii="Garamond" w:hAnsi="Garamond" w:cstheme="minorHAnsi"/>
        </w:rPr>
        <w:t xml:space="preserve">, </w:t>
      </w:r>
      <w:r w:rsidRPr="0037198D">
        <w:rPr>
          <w:rFonts w:ascii="Garamond" w:hAnsi="Garamond" w:cstheme="minorHAnsi"/>
          <w:i/>
        </w:rPr>
        <w:t>Globalists</w:t>
      </w:r>
      <w:r w:rsidRPr="0037198D">
        <w:rPr>
          <w:rFonts w:ascii="Garamond" w:hAnsi="Garamond" w:cstheme="minorHAnsi"/>
        </w:rPr>
        <w:t xml:space="preserve">, </w:t>
      </w:r>
      <w:r w:rsidR="000024BD" w:rsidRPr="0037198D">
        <w:rPr>
          <w:rFonts w:ascii="Garamond" w:hAnsi="Garamond" w:cstheme="minorHAnsi"/>
        </w:rPr>
        <w:t xml:space="preserve">at p. </w:t>
      </w:r>
      <w:r w:rsidRPr="0037198D">
        <w:rPr>
          <w:rFonts w:ascii="Garamond" w:hAnsi="Garamond" w:cstheme="minorHAnsi"/>
        </w:rPr>
        <w:t xml:space="preserve">190, discussing the idea of social market economy - ‘free market principles with attention to welfare and labour concerns’ that </w:t>
      </w:r>
      <w:r w:rsidR="0037198D">
        <w:rPr>
          <w:rFonts w:ascii="Garamond" w:hAnsi="Garamond" w:cstheme="minorHAnsi"/>
        </w:rPr>
        <w:t>gained some traction</w:t>
      </w:r>
      <w:r w:rsidRPr="0037198D">
        <w:rPr>
          <w:rFonts w:ascii="Garamond" w:hAnsi="Garamond" w:cstheme="minorHAnsi"/>
        </w:rPr>
        <w:t xml:space="preserve"> in the early years of the European integration project.</w:t>
      </w:r>
    </w:p>
  </w:footnote>
  <w:footnote w:id="76">
    <w:p w14:paraId="7BA8EDC6" w14:textId="5AE0F59C" w:rsidR="003442F7" w:rsidRPr="0037198D" w:rsidRDefault="003442F7" w:rsidP="002A3164">
      <w:pPr>
        <w:pStyle w:val="FootnoteText"/>
        <w:contextualSpacing/>
        <w:rPr>
          <w:rFonts w:ascii="Garamond" w:hAnsi="Garamond"/>
        </w:rPr>
      </w:pPr>
      <w:r w:rsidRPr="0037198D">
        <w:rPr>
          <w:rStyle w:val="FootnoteReference"/>
          <w:rFonts w:ascii="Garamond" w:hAnsi="Garamond"/>
        </w:rPr>
        <w:footnoteRef/>
      </w:r>
      <w:r w:rsidRPr="0037198D">
        <w:rPr>
          <w:rFonts w:ascii="Garamond" w:hAnsi="Garamond"/>
        </w:rPr>
        <w:t xml:space="preserve"> European Commission (1996) </w:t>
      </w:r>
      <w:r w:rsidR="00A52DBB" w:rsidRPr="0037198D">
        <w:rPr>
          <w:rFonts w:ascii="Garamond" w:hAnsi="Garamond"/>
        </w:rPr>
        <w:t>“</w:t>
      </w:r>
      <w:r w:rsidRPr="0037198D">
        <w:rPr>
          <w:rFonts w:ascii="Garamond" w:hAnsi="Garamond"/>
        </w:rPr>
        <w:t>The Global Challenge of International Trade: A Market Access Strategy for the European Union</w:t>
      </w:r>
      <w:r w:rsidR="00A52DBB" w:rsidRPr="0037198D">
        <w:rPr>
          <w:rFonts w:ascii="Garamond" w:hAnsi="Garamond"/>
        </w:rPr>
        <w:t>”.</w:t>
      </w:r>
    </w:p>
  </w:footnote>
  <w:footnote w:id="77">
    <w:p w14:paraId="1F4DD602" w14:textId="1C780E19"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000024BD" w:rsidRPr="0037198D">
        <w:rPr>
          <w:rFonts w:ascii="Garamond" w:hAnsi="Garamond"/>
        </w:rPr>
        <w:t xml:space="preserve"> </w:t>
      </w:r>
      <w:proofErr w:type="spellStart"/>
      <w:r w:rsidRPr="0037198D">
        <w:rPr>
          <w:rFonts w:ascii="Garamond" w:hAnsi="Garamond"/>
        </w:rPr>
        <w:t>Siles-Bru</w:t>
      </w:r>
      <w:r w:rsidRPr="0037198D">
        <w:rPr>
          <w:rFonts w:ascii="Times New Roman" w:hAnsi="Times New Roman" w:cs="Times New Roman"/>
        </w:rPr>
        <w:t>̈</w:t>
      </w:r>
      <w:r w:rsidRPr="0037198D">
        <w:rPr>
          <w:rFonts w:ascii="Garamond" w:hAnsi="Garamond"/>
        </w:rPr>
        <w:t>gge</w:t>
      </w:r>
      <w:proofErr w:type="spellEnd"/>
      <w:r w:rsidRPr="0037198D">
        <w:rPr>
          <w:rFonts w:ascii="Garamond" w:hAnsi="Garamond"/>
        </w:rPr>
        <w:t xml:space="preserve">, </w:t>
      </w:r>
      <w:r w:rsidRPr="0037198D">
        <w:rPr>
          <w:rFonts w:ascii="Garamond" w:hAnsi="Garamond"/>
          <w:i/>
        </w:rPr>
        <w:t>Constructi</w:t>
      </w:r>
      <w:r w:rsidR="00A33965" w:rsidRPr="0037198D">
        <w:rPr>
          <w:rFonts w:ascii="Garamond" w:hAnsi="Garamond"/>
          <w:i/>
        </w:rPr>
        <w:t>ng</w:t>
      </w:r>
      <w:r w:rsidRPr="0037198D">
        <w:rPr>
          <w:rFonts w:ascii="Garamond" w:hAnsi="Garamond"/>
          <w:i/>
        </w:rPr>
        <w:t xml:space="preserve"> European Union Trade Policy: A Global idea of Europe</w:t>
      </w:r>
      <w:r w:rsidRPr="0037198D">
        <w:rPr>
          <w:rFonts w:ascii="Garamond" w:hAnsi="Garamond"/>
        </w:rPr>
        <w:t xml:space="preserve"> (Palgrave Macmillan</w:t>
      </w:r>
      <w:r w:rsidR="00A33965" w:rsidRPr="0037198D">
        <w:rPr>
          <w:rFonts w:ascii="Garamond" w:hAnsi="Garamond"/>
        </w:rPr>
        <w:t>,</w:t>
      </w:r>
      <w:r w:rsidRPr="0037198D">
        <w:rPr>
          <w:rFonts w:ascii="Garamond" w:hAnsi="Garamond"/>
        </w:rPr>
        <w:t xml:space="preserve"> 2014)</w:t>
      </w:r>
      <w:r w:rsidR="00A33965" w:rsidRPr="0037198D">
        <w:rPr>
          <w:rFonts w:ascii="Garamond" w:hAnsi="Garamond"/>
        </w:rPr>
        <w:t xml:space="preserve"> at p.</w:t>
      </w:r>
      <w:r w:rsidRPr="0037198D">
        <w:rPr>
          <w:rFonts w:ascii="Garamond" w:hAnsi="Garamond"/>
        </w:rPr>
        <w:t xml:space="preserve"> 62</w:t>
      </w:r>
      <w:r w:rsidR="00A33965" w:rsidRPr="0037198D">
        <w:rPr>
          <w:rFonts w:ascii="Garamond" w:hAnsi="Garamond"/>
        </w:rPr>
        <w:t>.</w:t>
      </w:r>
    </w:p>
  </w:footnote>
  <w:footnote w:id="78">
    <w:p w14:paraId="406CBE9B" w14:textId="41BE48EA"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Ibid </w:t>
      </w:r>
      <w:r w:rsidR="0020360C" w:rsidRPr="0037198D">
        <w:rPr>
          <w:rFonts w:ascii="Garamond" w:hAnsi="Garamond" w:cstheme="minorHAnsi"/>
        </w:rPr>
        <w:t>at p.</w:t>
      </w:r>
      <w:r w:rsidRPr="0037198D">
        <w:rPr>
          <w:rFonts w:ascii="Garamond" w:hAnsi="Garamond" w:cstheme="minorHAnsi"/>
        </w:rPr>
        <w:t xml:space="preserve">79, see also Schmitz and </w:t>
      </w:r>
      <w:proofErr w:type="spellStart"/>
      <w:r w:rsidRPr="0037198D">
        <w:rPr>
          <w:rFonts w:ascii="Garamond" w:hAnsi="Garamond" w:cstheme="minorHAnsi"/>
        </w:rPr>
        <w:t>Seidl</w:t>
      </w:r>
      <w:proofErr w:type="spellEnd"/>
      <w:r w:rsidR="0020360C" w:rsidRPr="0037198D">
        <w:rPr>
          <w:rFonts w:ascii="Garamond" w:hAnsi="Garamond" w:cstheme="minorHAnsi"/>
        </w:rPr>
        <w:t>,</w:t>
      </w:r>
      <w:r w:rsidR="00A33965" w:rsidRPr="0037198D">
        <w:rPr>
          <w:rFonts w:ascii="Garamond" w:hAnsi="Garamond" w:cstheme="minorHAnsi"/>
        </w:rPr>
        <w:t xml:space="preserve"> </w:t>
      </w:r>
      <w:r w:rsidR="00A33965" w:rsidRPr="0037198D">
        <w:rPr>
          <w:rFonts w:ascii="Garamond" w:hAnsi="Garamond"/>
        </w:rPr>
        <w:t>“As open as possible, as autonomous as necessary”,</w:t>
      </w:r>
      <w:r w:rsidR="0020360C" w:rsidRPr="0037198D">
        <w:rPr>
          <w:rFonts w:ascii="Garamond" w:hAnsi="Garamond" w:cstheme="minorHAnsi"/>
        </w:rPr>
        <w:t xml:space="preserve"> at p.</w:t>
      </w:r>
      <w:r w:rsidRPr="0037198D">
        <w:rPr>
          <w:rFonts w:ascii="Garamond" w:hAnsi="Garamond" w:cstheme="minorHAnsi"/>
        </w:rPr>
        <w:t xml:space="preserve"> 7. </w:t>
      </w:r>
    </w:p>
  </w:footnote>
  <w:footnote w:id="79">
    <w:p w14:paraId="251DE0E1" w14:textId="73A2E411"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w:t>
      </w:r>
      <w:proofErr w:type="spellStart"/>
      <w:r w:rsidRPr="0037198D">
        <w:rPr>
          <w:rFonts w:ascii="Garamond" w:hAnsi="Garamond" w:cstheme="minorHAnsi"/>
        </w:rPr>
        <w:t>Schmiz</w:t>
      </w:r>
      <w:proofErr w:type="spellEnd"/>
      <w:r w:rsidRPr="0037198D">
        <w:rPr>
          <w:rFonts w:ascii="Garamond" w:hAnsi="Garamond" w:cstheme="minorHAnsi"/>
        </w:rPr>
        <w:t xml:space="preserve"> and </w:t>
      </w:r>
      <w:proofErr w:type="spellStart"/>
      <w:r w:rsidRPr="0037198D">
        <w:rPr>
          <w:rFonts w:ascii="Garamond" w:hAnsi="Garamond" w:cstheme="minorHAnsi"/>
        </w:rPr>
        <w:t>Seidl</w:t>
      </w:r>
      <w:proofErr w:type="spellEnd"/>
      <w:r w:rsidRPr="0037198D">
        <w:rPr>
          <w:rFonts w:ascii="Garamond" w:hAnsi="Garamond" w:cstheme="minorHAnsi"/>
        </w:rPr>
        <w:t xml:space="preserve">, </w:t>
      </w:r>
      <w:r w:rsidR="00A33965" w:rsidRPr="0037198D">
        <w:rPr>
          <w:rFonts w:ascii="Garamond" w:hAnsi="Garamond"/>
        </w:rPr>
        <w:t>“As open as possible, as autonomous as necessary</w:t>
      </w:r>
      <w:r w:rsidR="00A33965" w:rsidRPr="0037198D">
        <w:rPr>
          <w:rFonts w:ascii="Garamond" w:hAnsi="Garamond" w:cstheme="minorHAnsi"/>
        </w:rPr>
        <w:t xml:space="preserve">” at p. </w:t>
      </w:r>
      <w:r w:rsidRPr="0037198D">
        <w:rPr>
          <w:rFonts w:ascii="Garamond" w:hAnsi="Garamond" w:cstheme="minorHAnsi"/>
        </w:rPr>
        <w:t>11</w:t>
      </w:r>
      <w:r w:rsidR="00A33965" w:rsidRPr="0037198D">
        <w:rPr>
          <w:rFonts w:ascii="Garamond" w:hAnsi="Garamond" w:cstheme="minorHAnsi"/>
        </w:rPr>
        <w:t>.</w:t>
      </w:r>
    </w:p>
  </w:footnote>
  <w:footnote w:id="80">
    <w:p w14:paraId="2C5555F9" w14:textId="7B41A40B"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A52DBB" w:rsidRPr="0037198D">
        <w:rPr>
          <w:rFonts w:ascii="Garamond" w:hAnsi="Garamond"/>
        </w:rPr>
        <w:t>COM (2021) 66 final,</w:t>
      </w:r>
      <w:r w:rsidR="00A52DBB" w:rsidRPr="0037198D">
        <w:rPr>
          <w:rFonts w:ascii="Garamond" w:hAnsi="Garamond" w:cstheme="minorHAnsi"/>
        </w:rPr>
        <w:t xml:space="preserve"> “</w:t>
      </w:r>
      <w:r w:rsidR="00A52DBB" w:rsidRPr="0037198D">
        <w:rPr>
          <w:rFonts w:ascii="Garamond" w:hAnsi="Garamond"/>
        </w:rPr>
        <w:t>Trade Policy Review - An Open, Sustainable and Assertive Trade Policy”, at p.</w:t>
      </w:r>
      <w:r w:rsidRPr="0037198D">
        <w:rPr>
          <w:rFonts w:ascii="Garamond" w:hAnsi="Garamond"/>
        </w:rPr>
        <w:t>1</w:t>
      </w:r>
      <w:r w:rsidR="00A52DBB" w:rsidRPr="0037198D">
        <w:rPr>
          <w:rFonts w:ascii="Garamond" w:hAnsi="Garamond"/>
        </w:rPr>
        <w:t>.</w:t>
      </w:r>
    </w:p>
  </w:footnote>
  <w:footnote w:id="81">
    <w:p w14:paraId="3385F8F3" w14:textId="331B3946"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Schmitz and </w:t>
      </w:r>
      <w:proofErr w:type="spellStart"/>
      <w:r w:rsidRPr="0037198D">
        <w:rPr>
          <w:rFonts w:ascii="Garamond" w:hAnsi="Garamond"/>
        </w:rPr>
        <w:t>Seidl</w:t>
      </w:r>
      <w:proofErr w:type="spellEnd"/>
      <w:r w:rsidRPr="0037198D">
        <w:rPr>
          <w:rFonts w:ascii="Garamond" w:hAnsi="Garamond"/>
        </w:rPr>
        <w:t>,</w:t>
      </w:r>
      <w:r w:rsidR="00A33965" w:rsidRPr="0037198D">
        <w:rPr>
          <w:rFonts w:ascii="Garamond" w:hAnsi="Garamond"/>
        </w:rPr>
        <w:t xml:space="preserve"> “As open as possible, as autonomous as necessary”, at p.</w:t>
      </w:r>
      <w:r w:rsidRPr="0037198D">
        <w:rPr>
          <w:rFonts w:ascii="Garamond" w:hAnsi="Garamond"/>
        </w:rPr>
        <w:t xml:space="preserve"> 10.</w:t>
      </w:r>
    </w:p>
  </w:footnote>
  <w:footnote w:id="82">
    <w:p w14:paraId="0DDFACF2" w14:textId="4A94A8F6" w:rsidR="003442F7" w:rsidRPr="0037198D" w:rsidRDefault="003442F7" w:rsidP="002A3164">
      <w:pPr>
        <w:pStyle w:val="FootnoteText"/>
        <w:contextualSpacing/>
        <w:jc w:val="both"/>
        <w:rPr>
          <w:rFonts w:ascii="Garamond" w:hAnsi="Garamond" w:cstheme="minorHAnsi"/>
        </w:rPr>
      </w:pPr>
      <w:r w:rsidRPr="0037198D">
        <w:rPr>
          <w:rStyle w:val="FootnoteReference"/>
          <w:rFonts w:ascii="Garamond" w:hAnsi="Garamond" w:cstheme="minorHAnsi"/>
        </w:rPr>
        <w:footnoteRef/>
      </w:r>
      <w:r w:rsidRPr="0037198D">
        <w:rPr>
          <w:rFonts w:ascii="Garamond" w:hAnsi="Garamond" w:cstheme="minorHAnsi"/>
        </w:rPr>
        <w:t xml:space="preserve"> Ibid </w:t>
      </w:r>
      <w:r w:rsidR="00A33965" w:rsidRPr="0037198D">
        <w:rPr>
          <w:rFonts w:ascii="Garamond" w:hAnsi="Garamond" w:cstheme="minorHAnsi"/>
        </w:rPr>
        <w:t xml:space="preserve">at p. </w:t>
      </w:r>
      <w:r w:rsidRPr="0037198D">
        <w:rPr>
          <w:rFonts w:ascii="Garamond" w:hAnsi="Garamond" w:cstheme="minorHAnsi"/>
        </w:rPr>
        <w:t>11</w:t>
      </w:r>
      <w:r w:rsidR="00A33965" w:rsidRPr="0037198D">
        <w:rPr>
          <w:rFonts w:ascii="Garamond" w:hAnsi="Garamond" w:cstheme="minorHAnsi"/>
        </w:rPr>
        <w:t>.</w:t>
      </w:r>
    </w:p>
  </w:footnote>
  <w:footnote w:id="83">
    <w:p w14:paraId="187AE1D8" w14:textId="3821381C"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Cohen, </w:t>
      </w:r>
      <w:r w:rsidR="00A33965" w:rsidRPr="0037198D">
        <w:rPr>
          <w:rFonts w:ascii="Garamond" w:hAnsi="Garamond"/>
        </w:rPr>
        <w:t>“</w:t>
      </w:r>
      <w:r w:rsidRPr="0037198D">
        <w:rPr>
          <w:rFonts w:ascii="Garamond" w:hAnsi="Garamond"/>
        </w:rPr>
        <w:t>Nations and Markets</w:t>
      </w:r>
      <w:r w:rsidR="00A33965" w:rsidRPr="0037198D">
        <w:rPr>
          <w:rFonts w:ascii="Garamond" w:hAnsi="Garamond"/>
        </w:rPr>
        <w:t>”</w:t>
      </w:r>
      <w:r w:rsidRPr="0037198D">
        <w:rPr>
          <w:rFonts w:ascii="Garamond" w:hAnsi="Garamond"/>
        </w:rPr>
        <w:t xml:space="preserve">, </w:t>
      </w:r>
      <w:r w:rsidR="00A52DBB" w:rsidRPr="0037198D">
        <w:rPr>
          <w:rFonts w:ascii="Garamond" w:hAnsi="Garamond"/>
        </w:rPr>
        <w:t>at p.</w:t>
      </w:r>
      <w:r w:rsidR="0020360C" w:rsidRPr="0037198D">
        <w:rPr>
          <w:rFonts w:ascii="Garamond" w:hAnsi="Garamond"/>
        </w:rPr>
        <w:t xml:space="preserve"> </w:t>
      </w:r>
      <w:r w:rsidRPr="0037198D">
        <w:rPr>
          <w:rFonts w:ascii="Garamond" w:hAnsi="Garamond"/>
        </w:rPr>
        <w:t>794.</w:t>
      </w:r>
    </w:p>
  </w:footnote>
  <w:footnote w:id="84">
    <w:p w14:paraId="6847D053" w14:textId="62A63DA6"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20360C" w:rsidRPr="0037198D">
        <w:rPr>
          <w:rFonts w:ascii="Garamond" w:hAnsi="Garamond"/>
        </w:rPr>
        <w:t>I</w:t>
      </w:r>
      <w:r w:rsidRPr="0037198D">
        <w:rPr>
          <w:rFonts w:ascii="Garamond" w:hAnsi="Garamond"/>
        </w:rPr>
        <w:t>bid</w:t>
      </w:r>
      <w:r w:rsidR="0020360C" w:rsidRPr="0037198D">
        <w:rPr>
          <w:rFonts w:ascii="Garamond" w:hAnsi="Garamond"/>
        </w:rPr>
        <w:t>, at pp.</w:t>
      </w:r>
      <w:r w:rsidRPr="0037198D">
        <w:rPr>
          <w:rFonts w:ascii="Garamond" w:hAnsi="Garamond"/>
        </w:rPr>
        <w:t xml:space="preserve"> 812-813</w:t>
      </w:r>
      <w:r w:rsidR="0020360C" w:rsidRPr="0037198D">
        <w:rPr>
          <w:rFonts w:ascii="Garamond" w:hAnsi="Garamond"/>
        </w:rPr>
        <w:t>.</w:t>
      </w:r>
    </w:p>
  </w:footnote>
  <w:footnote w:id="85">
    <w:p w14:paraId="3EC96B6F" w14:textId="1E98059D"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20360C" w:rsidRPr="0037198D">
        <w:rPr>
          <w:rFonts w:ascii="Garamond" w:hAnsi="Garamond"/>
        </w:rPr>
        <w:t>I</w:t>
      </w:r>
      <w:r w:rsidRPr="0037198D">
        <w:rPr>
          <w:rFonts w:ascii="Garamond" w:hAnsi="Garamond"/>
        </w:rPr>
        <w:t>bid</w:t>
      </w:r>
      <w:r w:rsidR="0020360C" w:rsidRPr="0037198D">
        <w:rPr>
          <w:rFonts w:ascii="Garamond" w:hAnsi="Garamond"/>
        </w:rPr>
        <w:t xml:space="preserve">, at p. </w:t>
      </w:r>
      <w:r w:rsidRPr="0037198D">
        <w:rPr>
          <w:rFonts w:ascii="Garamond" w:hAnsi="Garamond"/>
        </w:rPr>
        <w:t>804</w:t>
      </w:r>
      <w:r w:rsidR="0020360C" w:rsidRPr="0037198D">
        <w:rPr>
          <w:rFonts w:ascii="Garamond" w:hAnsi="Garamond"/>
        </w:rPr>
        <w:t>.</w:t>
      </w:r>
    </w:p>
  </w:footnote>
  <w:footnote w:id="86">
    <w:p w14:paraId="40BDEC0F" w14:textId="6D726043" w:rsidR="003442F7" w:rsidRPr="0037198D" w:rsidRDefault="003442F7" w:rsidP="0037198D">
      <w:pPr>
        <w:pStyle w:val="FootnoteText"/>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A52DBB" w:rsidRPr="0037198D">
        <w:rPr>
          <w:rFonts w:ascii="Garamond" w:hAnsi="Garamond"/>
        </w:rPr>
        <w:t>COM (2021) 66 final,</w:t>
      </w:r>
      <w:r w:rsidR="00A52DBB" w:rsidRPr="0037198D">
        <w:rPr>
          <w:rFonts w:ascii="Garamond" w:hAnsi="Garamond" w:cstheme="minorHAnsi"/>
        </w:rPr>
        <w:t xml:space="preserve"> “</w:t>
      </w:r>
      <w:r w:rsidRPr="0037198D">
        <w:rPr>
          <w:rFonts w:ascii="Garamond" w:hAnsi="Garamond"/>
        </w:rPr>
        <w:t>Trade Policy Review - An Open, Sustainable and Assertive Trade Policy</w:t>
      </w:r>
      <w:r w:rsidR="00A52DBB" w:rsidRPr="0037198D">
        <w:rPr>
          <w:rFonts w:ascii="Garamond" w:hAnsi="Garamond"/>
        </w:rPr>
        <w:t>”</w:t>
      </w:r>
      <w:r w:rsidRPr="0037198D">
        <w:rPr>
          <w:rFonts w:ascii="Garamond" w:hAnsi="Garamond"/>
        </w:rPr>
        <w:t xml:space="preserve">, </w:t>
      </w:r>
      <w:r w:rsidR="00A52DBB" w:rsidRPr="0037198D">
        <w:rPr>
          <w:rFonts w:ascii="Garamond" w:hAnsi="Garamond"/>
        </w:rPr>
        <w:t>at p.</w:t>
      </w:r>
      <w:r w:rsidRPr="0037198D">
        <w:rPr>
          <w:rFonts w:ascii="Garamond" w:hAnsi="Garamond"/>
        </w:rPr>
        <w:t>10</w:t>
      </w:r>
      <w:r w:rsidR="00A33965" w:rsidRPr="0037198D">
        <w:rPr>
          <w:rFonts w:ascii="Garamond" w:hAnsi="Garamond"/>
        </w:rPr>
        <w:t>.</w:t>
      </w:r>
    </w:p>
  </w:footnote>
  <w:footnote w:id="87">
    <w:p w14:paraId="2C1A1864" w14:textId="4AC5AE76" w:rsidR="003442F7" w:rsidRPr="0037198D" w:rsidRDefault="003442F7" w:rsidP="002A3164">
      <w:pPr>
        <w:autoSpaceDE w:val="0"/>
        <w:autoSpaceDN w:val="0"/>
        <w:adjustRightInd w:val="0"/>
        <w:spacing w:after="0" w:line="240" w:lineRule="auto"/>
        <w:contextualSpacing/>
        <w:rPr>
          <w:rFonts w:ascii="Garamond" w:hAnsi="Garamond" w:cs="AdvOT1ef757c0"/>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proofErr w:type="spellStart"/>
      <w:r w:rsidRPr="0037198D">
        <w:rPr>
          <w:rFonts w:ascii="Garamond" w:hAnsi="Garamond" w:cs="AdvP94BD"/>
          <w:sz w:val="20"/>
          <w:szCs w:val="20"/>
        </w:rPr>
        <w:t>Vandevelde</w:t>
      </w:r>
      <w:proofErr w:type="spellEnd"/>
      <w:r w:rsidRPr="0037198D">
        <w:rPr>
          <w:rFonts w:ascii="Garamond" w:hAnsi="Garamond" w:cs="AdvP94BD"/>
          <w:sz w:val="20"/>
          <w:szCs w:val="20"/>
        </w:rPr>
        <w:t>,</w:t>
      </w:r>
      <w:r w:rsidRPr="0037198D">
        <w:rPr>
          <w:rFonts w:ascii="Garamond" w:hAnsi="Garamond"/>
          <w:sz w:val="20"/>
          <w:szCs w:val="20"/>
        </w:rPr>
        <w:t xml:space="preserve"> </w:t>
      </w:r>
      <w:r w:rsidR="0020360C" w:rsidRPr="0037198D">
        <w:rPr>
          <w:rFonts w:ascii="Garamond" w:hAnsi="Garamond"/>
          <w:sz w:val="20"/>
          <w:szCs w:val="20"/>
        </w:rPr>
        <w:t>“</w:t>
      </w:r>
      <w:r w:rsidRPr="0037198D">
        <w:rPr>
          <w:rFonts w:ascii="Garamond" w:hAnsi="Garamond" w:cs="AdvOT1ef757c0"/>
          <w:sz w:val="20"/>
          <w:szCs w:val="20"/>
        </w:rPr>
        <w:t>The liberal vision of the international law on foreign investment</w:t>
      </w:r>
      <w:r w:rsidR="0020360C" w:rsidRPr="0037198D">
        <w:rPr>
          <w:rFonts w:ascii="Garamond" w:hAnsi="Garamond" w:cs="AdvOT1ef757c0"/>
          <w:sz w:val="20"/>
          <w:szCs w:val="20"/>
        </w:rPr>
        <w:t>”</w:t>
      </w:r>
      <w:r w:rsidRPr="0037198D">
        <w:rPr>
          <w:rFonts w:ascii="Garamond" w:hAnsi="Garamond" w:cs="AdvOT1ef757c0"/>
          <w:sz w:val="20"/>
          <w:szCs w:val="20"/>
        </w:rPr>
        <w:t xml:space="preserve"> in Lim (</w:t>
      </w:r>
      <w:r w:rsidR="0020360C" w:rsidRPr="0037198D">
        <w:rPr>
          <w:rFonts w:ascii="Garamond" w:hAnsi="Garamond" w:cs="AdvOT1ef757c0"/>
          <w:sz w:val="20"/>
          <w:szCs w:val="20"/>
        </w:rPr>
        <w:t>E</w:t>
      </w:r>
      <w:r w:rsidRPr="0037198D">
        <w:rPr>
          <w:rFonts w:ascii="Garamond" w:hAnsi="Garamond" w:cs="AdvOT1ef757c0"/>
          <w:sz w:val="20"/>
          <w:szCs w:val="20"/>
        </w:rPr>
        <w:t>d</w:t>
      </w:r>
      <w:r w:rsidR="0020360C" w:rsidRPr="0037198D">
        <w:rPr>
          <w:rFonts w:ascii="Garamond" w:hAnsi="Garamond" w:cs="AdvOT1ef757c0"/>
          <w:sz w:val="20"/>
          <w:szCs w:val="20"/>
        </w:rPr>
        <w:t>.</w:t>
      </w:r>
      <w:r w:rsidRPr="0037198D">
        <w:rPr>
          <w:rFonts w:ascii="Garamond" w:hAnsi="Garamond" w:cs="AdvOT1ef757c0"/>
          <w:sz w:val="20"/>
          <w:szCs w:val="20"/>
        </w:rPr>
        <w:t xml:space="preserve">) </w:t>
      </w:r>
      <w:r w:rsidRPr="0037198D">
        <w:rPr>
          <w:rFonts w:ascii="Garamond" w:hAnsi="Garamond" w:cs="AdvOT1ef757c0"/>
          <w:i/>
          <w:sz w:val="20"/>
          <w:szCs w:val="20"/>
        </w:rPr>
        <w:t>Alternative Visions of the International Law on Foreign Investment</w:t>
      </w:r>
      <w:r w:rsidRPr="0037198D">
        <w:rPr>
          <w:rFonts w:ascii="Garamond" w:hAnsi="Garamond" w:cs="AdvOT1ef757c0"/>
          <w:sz w:val="20"/>
          <w:szCs w:val="20"/>
        </w:rPr>
        <w:t xml:space="preserve"> (</w:t>
      </w:r>
      <w:r w:rsidR="00A33965" w:rsidRPr="0037198D">
        <w:rPr>
          <w:rFonts w:ascii="Garamond" w:hAnsi="Garamond" w:cs="AdvOT1ef757c0"/>
          <w:sz w:val="20"/>
          <w:szCs w:val="20"/>
        </w:rPr>
        <w:t>CUP</w:t>
      </w:r>
      <w:r w:rsidR="0020360C" w:rsidRPr="0037198D">
        <w:rPr>
          <w:rFonts w:ascii="Garamond" w:hAnsi="Garamond" w:cs="AdvOT1ef757c0"/>
          <w:sz w:val="20"/>
          <w:szCs w:val="20"/>
        </w:rPr>
        <w:t xml:space="preserve">, </w:t>
      </w:r>
      <w:r w:rsidRPr="0037198D">
        <w:rPr>
          <w:rFonts w:ascii="Garamond" w:hAnsi="Garamond" w:cs="AdvOT1ef757c0"/>
          <w:sz w:val="20"/>
          <w:szCs w:val="20"/>
        </w:rPr>
        <w:t xml:space="preserve">2016) </w:t>
      </w:r>
      <w:r w:rsidR="0020360C" w:rsidRPr="0037198D">
        <w:rPr>
          <w:rFonts w:ascii="Garamond" w:hAnsi="Garamond" w:cs="AdvOT1ef757c0"/>
          <w:sz w:val="20"/>
          <w:szCs w:val="20"/>
        </w:rPr>
        <w:t>p</w:t>
      </w:r>
      <w:r w:rsidR="00A33965" w:rsidRPr="0037198D">
        <w:rPr>
          <w:rFonts w:ascii="Garamond" w:hAnsi="Garamond" w:cs="AdvOT1ef757c0"/>
          <w:sz w:val="20"/>
          <w:szCs w:val="20"/>
        </w:rPr>
        <w:t>.</w:t>
      </w:r>
      <w:r w:rsidR="0020360C" w:rsidRPr="0037198D">
        <w:rPr>
          <w:rFonts w:ascii="Garamond" w:hAnsi="Garamond" w:cs="AdvOT1ef757c0"/>
          <w:sz w:val="20"/>
          <w:szCs w:val="20"/>
        </w:rPr>
        <w:t xml:space="preserve"> </w:t>
      </w:r>
      <w:r w:rsidRPr="0037198D">
        <w:rPr>
          <w:rFonts w:ascii="Garamond" w:hAnsi="Garamond"/>
          <w:sz w:val="20"/>
          <w:szCs w:val="20"/>
        </w:rPr>
        <w:t>48.</w:t>
      </w:r>
    </w:p>
  </w:footnote>
  <w:footnote w:id="88">
    <w:p w14:paraId="624E379C" w14:textId="0EC4D3AD"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0020360C" w:rsidRPr="0037198D">
        <w:rPr>
          <w:rFonts w:ascii="Garamond" w:hAnsi="Garamond"/>
        </w:rPr>
        <w:t xml:space="preserve"> </w:t>
      </w:r>
      <w:r w:rsidRPr="0037198D">
        <w:rPr>
          <w:rFonts w:ascii="Garamond" w:hAnsi="Garamond"/>
        </w:rPr>
        <w:t xml:space="preserve">Schneiderman, </w:t>
      </w:r>
      <w:r w:rsidRPr="0037198D">
        <w:rPr>
          <w:rFonts w:ascii="Garamond" w:hAnsi="Garamond" w:cs="Arial"/>
          <w:i/>
        </w:rPr>
        <w:t>Resisting Economic Globalization: Critical Theory and International Investment Law</w:t>
      </w:r>
      <w:r w:rsidRPr="0037198D">
        <w:rPr>
          <w:rFonts w:ascii="Garamond" w:hAnsi="Garamond"/>
        </w:rPr>
        <w:t xml:space="preserve"> (Palgrave Macmillan</w:t>
      </w:r>
      <w:r w:rsidR="0020360C" w:rsidRPr="0037198D">
        <w:rPr>
          <w:rFonts w:ascii="Garamond" w:hAnsi="Garamond"/>
        </w:rPr>
        <w:t>,</w:t>
      </w:r>
      <w:r w:rsidRPr="0037198D">
        <w:rPr>
          <w:rFonts w:ascii="Garamond" w:hAnsi="Garamond"/>
        </w:rPr>
        <w:t xml:space="preserve"> 2013) </w:t>
      </w:r>
      <w:r w:rsidR="0020360C" w:rsidRPr="0037198D">
        <w:rPr>
          <w:rFonts w:ascii="Garamond" w:hAnsi="Garamond"/>
        </w:rPr>
        <w:t xml:space="preserve">p. </w:t>
      </w:r>
      <w:r w:rsidRPr="0037198D">
        <w:rPr>
          <w:rFonts w:ascii="Garamond" w:hAnsi="Garamond"/>
        </w:rPr>
        <w:t>24</w:t>
      </w:r>
      <w:r w:rsidR="0037198D">
        <w:rPr>
          <w:rFonts w:ascii="Garamond" w:hAnsi="Garamond"/>
        </w:rPr>
        <w:t>.</w:t>
      </w:r>
    </w:p>
  </w:footnote>
  <w:footnote w:id="89">
    <w:p w14:paraId="6DB84C37" w14:textId="407E2408"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Vandevelde</w:t>
      </w:r>
      <w:proofErr w:type="spellEnd"/>
      <w:r w:rsidRPr="0037198D">
        <w:rPr>
          <w:rFonts w:ascii="Garamond" w:hAnsi="Garamond"/>
        </w:rPr>
        <w:t xml:space="preserve">, ibid, </w:t>
      </w:r>
      <w:r w:rsidR="0020360C" w:rsidRPr="0037198D">
        <w:rPr>
          <w:rFonts w:ascii="Garamond" w:hAnsi="Garamond"/>
        </w:rPr>
        <w:t xml:space="preserve">p. </w:t>
      </w:r>
      <w:r w:rsidRPr="0037198D">
        <w:rPr>
          <w:rFonts w:ascii="Garamond" w:hAnsi="Garamond"/>
        </w:rPr>
        <w:t>60</w:t>
      </w:r>
      <w:r w:rsidR="0020360C" w:rsidRPr="0037198D">
        <w:rPr>
          <w:rFonts w:ascii="Garamond" w:hAnsi="Garamond"/>
        </w:rPr>
        <w:t>.</w:t>
      </w:r>
    </w:p>
  </w:footnote>
  <w:footnote w:id="90">
    <w:p w14:paraId="5250BB76" w14:textId="66421039" w:rsidR="003442F7" w:rsidRPr="0037198D" w:rsidRDefault="003442F7" w:rsidP="002A3164">
      <w:pPr>
        <w:spacing w:after="0"/>
        <w:contextualSpacing/>
        <w:jc w:val="both"/>
        <w:rPr>
          <w:rFonts w:ascii="Garamond" w:hAnsi="Garamond" w:cs="Times New Roman"/>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r w:rsidRPr="0037198D">
        <w:rPr>
          <w:rFonts w:ascii="Garamond" w:hAnsi="Garamond" w:cs="Times New Roman"/>
          <w:sz w:val="20"/>
          <w:szCs w:val="20"/>
        </w:rPr>
        <w:t xml:space="preserve">Schneiderman, </w:t>
      </w:r>
      <w:r w:rsidRPr="0037198D">
        <w:rPr>
          <w:rFonts w:ascii="Garamond" w:hAnsi="Garamond" w:cs="Times New Roman"/>
          <w:i/>
          <w:sz w:val="20"/>
          <w:szCs w:val="20"/>
        </w:rPr>
        <w:t>Constitutionalizing Economic Globalization: Investment Rules and Democracy’s Promise</w:t>
      </w:r>
      <w:r w:rsidRPr="0037198D">
        <w:rPr>
          <w:rFonts w:ascii="Garamond" w:hAnsi="Garamond" w:cs="Times New Roman"/>
          <w:sz w:val="20"/>
          <w:szCs w:val="20"/>
        </w:rPr>
        <w:t xml:space="preserve"> (</w:t>
      </w:r>
      <w:r w:rsidR="0020360C" w:rsidRPr="0037198D">
        <w:rPr>
          <w:rFonts w:ascii="Garamond" w:hAnsi="Garamond" w:cs="Times New Roman"/>
          <w:sz w:val="20"/>
          <w:szCs w:val="20"/>
        </w:rPr>
        <w:t>CUP</w:t>
      </w:r>
      <w:r w:rsidRPr="0037198D">
        <w:rPr>
          <w:rFonts w:ascii="Garamond" w:hAnsi="Garamond" w:cs="Times New Roman"/>
          <w:sz w:val="20"/>
          <w:szCs w:val="20"/>
        </w:rPr>
        <w:t xml:space="preserve">, 2008) </w:t>
      </w:r>
      <w:r w:rsidR="0020360C" w:rsidRPr="0037198D">
        <w:rPr>
          <w:rFonts w:ascii="Garamond" w:hAnsi="Garamond" w:cs="Times New Roman"/>
          <w:sz w:val="20"/>
          <w:szCs w:val="20"/>
        </w:rPr>
        <w:t xml:space="preserve">p. </w:t>
      </w:r>
      <w:r w:rsidRPr="0037198D">
        <w:rPr>
          <w:rFonts w:ascii="Garamond" w:hAnsi="Garamond"/>
          <w:sz w:val="20"/>
          <w:szCs w:val="20"/>
        </w:rPr>
        <w:t>4</w:t>
      </w:r>
      <w:r w:rsidR="0020360C" w:rsidRPr="0037198D">
        <w:rPr>
          <w:rFonts w:ascii="Garamond" w:hAnsi="Garamond"/>
          <w:sz w:val="20"/>
          <w:szCs w:val="20"/>
        </w:rPr>
        <w:t>.</w:t>
      </w:r>
    </w:p>
  </w:footnote>
  <w:footnote w:id="91">
    <w:p w14:paraId="7E3483D7" w14:textId="2D6124BF"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w:t>
      </w:r>
      <w:proofErr w:type="spellStart"/>
      <w:r w:rsidRPr="0037198D">
        <w:rPr>
          <w:rFonts w:ascii="Garamond" w:hAnsi="Garamond"/>
        </w:rPr>
        <w:t>Vandevelde</w:t>
      </w:r>
      <w:proofErr w:type="spellEnd"/>
      <w:r w:rsidRPr="0037198D">
        <w:rPr>
          <w:rFonts w:ascii="Garamond" w:hAnsi="Garamond"/>
        </w:rPr>
        <w:t xml:space="preserve">, </w:t>
      </w:r>
      <w:r w:rsidR="00A33965" w:rsidRPr="0037198D">
        <w:rPr>
          <w:rFonts w:ascii="Garamond" w:hAnsi="Garamond"/>
        </w:rPr>
        <w:t>“</w:t>
      </w:r>
      <w:r w:rsidRPr="0037198D">
        <w:rPr>
          <w:rFonts w:ascii="Garamond" w:hAnsi="Garamond" w:cs="AdvOT1ef757c0"/>
        </w:rPr>
        <w:t>The liberal vision of the international law on foreign investment</w:t>
      </w:r>
      <w:r w:rsidR="00A33965" w:rsidRPr="0037198D">
        <w:rPr>
          <w:rFonts w:ascii="Garamond" w:hAnsi="Garamond" w:cs="AdvOT1ef757c0"/>
        </w:rPr>
        <w:t>”, at p.</w:t>
      </w:r>
      <w:r w:rsidRPr="0037198D">
        <w:rPr>
          <w:rFonts w:ascii="Garamond" w:hAnsi="Garamond" w:cs="AdvOT1ef757c0"/>
        </w:rPr>
        <w:t xml:space="preserve"> </w:t>
      </w:r>
      <w:r w:rsidRPr="0037198D">
        <w:rPr>
          <w:rFonts w:ascii="Garamond" w:hAnsi="Garamond"/>
        </w:rPr>
        <w:t>63</w:t>
      </w:r>
      <w:r w:rsidR="00A33965" w:rsidRPr="0037198D">
        <w:rPr>
          <w:rFonts w:ascii="Garamond" w:hAnsi="Garamond"/>
        </w:rPr>
        <w:t>.</w:t>
      </w:r>
    </w:p>
  </w:footnote>
  <w:footnote w:id="92">
    <w:p w14:paraId="3FB2D77A" w14:textId="775DD0CB"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Slobodian</w:t>
      </w:r>
      <w:proofErr w:type="spellEnd"/>
      <w:r w:rsidRPr="0037198D">
        <w:rPr>
          <w:rFonts w:ascii="Garamond" w:hAnsi="Garamond"/>
        </w:rPr>
        <w:t xml:space="preserve">, </w:t>
      </w:r>
      <w:r w:rsidRPr="0037198D">
        <w:rPr>
          <w:rFonts w:ascii="Garamond" w:hAnsi="Garamond"/>
          <w:i/>
        </w:rPr>
        <w:t>Globalists</w:t>
      </w:r>
      <w:r w:rsidRPr="0037198D">
        <w:rPr>
          <w:rFonts w:ascii="Garamond" w:hAnsi="Garamond"/>
        </w:rPr>
        <w:t xml:space="preserve">, </w:t>
      </w:r>
      <w:r w:rsidR="00A33965" w:rsidRPr="0037198D">
        <w:rPr>
          <w:rFonts w:ascii="Garamond" w:hAnsi="Garamond"/>
        </w:rPr>
        <w:t xml:space="preserve">at p. </w:t>
      </w:r>
      <w:r w:rsidRPr="0037198D">
        <w:rPr>
          <w:rFonts w:ascii="Garamond" w:hAnsi="Garamond"/>
        </w:rPr>
        <w:t>93.</w:t>
      </w:r>
    </w:p>
  </w:footnote>
  <w:footnote w:id="93">
    <w:p w14:paraId="5FD8201E" w14:textId="13A1D29A"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w:t>
      </w:r>
      <w:r w:rsidR="00A33965" w:rsidRPr="0037198D">
        <w:rPr>
          <w:rFonts w:ascii="Garamond" w:hAnsi="Garamond"/>
        </w:rPr>
        <w:t>.</w:t>
      </w:r>
    </w:p>
  </w:footnote>
  <w:footnote w:id="94">
    <w:p w14:paraId="4B012D46" w14:textId="421912FF"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 95</w:t>
      </w:r>
      <w:r w:rsidR="00A33965" w:rsidRPr="0037198D">
        <w:rPr>
          <w:rFonts w:ascii="Garamond" w:hAnsi="Garamond"/>
        </w:rPr>
        <w:t>.</w:t>
      </w:r>
    </w:p>
  </w:footnote>
  <w:footnote w:id="95">
    <w:p w14:paraId="0732BAFD" w14:textId="56FA8B30"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 101</w:t>
      </w:r>
      <w:r w:rsidR="00A33965" w:rsidRPr="0037198D">
        <w:rPr>
          <w:rFonts w:ascii="Garamond" w:hAnsi="Garamond"/>
        </w:rPr>
        <w:t>.</w:t>
      </w:r>
    </w:p>
  </w:footnote>
  <w:footnote w:id="96">
    <w:p w14:paraId="403C263F" w14:textId="64BAA65F"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 122</w:t>
      </w:r>
      <w:r w:rsidR="00A33965" w:rsidRPr="0037198D">
        <w:rPr>
          <w:rFonts w:ascii="Garamond" w:hAnsi="Garamond"/>
        </w:rPr>
        <w:t>.</w:t>
      </w:r>
    </w:p>
  </w:footnote>
  <w:footnote w:id="97">
    <w:p w14:paraId="5E940A6A" w14:textId="3D35AD9A"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w:t>
      </w:r>
      <w:proofErr w:type="spellStart"/>
      <w:r w:rsidRPr="0037198D">
        <w:rPr>
          <w:rFonts w:ascii="Garamond" w:hAnsi="Garamond"/>
        </w:rPr>
        <w:t>Ostransky</w:t>
      </w:r>
      <w:proofErr w:type="spellEnd"/>
      <w:r w:rsidRPr="0037198D">
        <w:rPr>
          <w:rFonts w:ascii="Garamond" w:hAnsi="Garamond"/>
        </w:rPr>
        <w:t xml:space="preserve">, </w:t>
      </w:r>
      <w:r w:rsidR="0020360C" w:rsidRPr="0037198D">
        <w:rPr>
          <w:rFonts w:ascii="Garamond" w:hAnsi="Garamond"/>
        </w:rPr>
        <w:t>“</w:t>
      </w:r>
      <w:r w:rsidRPr="0037198D">
        <w:rPr>
          <w:rFonts w:ascii="Garamond" w:hAnsi="Garamond"/>
        </w:rPr>
        <w:t xml:space="preserve">State Capitalism, </w:t>
      </w:r>
      <w:r w:rsidR="0020360C" w:rsidRPr="0037198D">
        <w:rPr>
          <w:rFonts w:ascii="Garamond" w:hAnsi="Garamond"/>
        </w:rPr>
        <w:t>‘</w:t>
      </w:r>
      <w:r w:rsidRPr="0037198D">
        <w:rPr>
          <w:rFonts w:ascii="Garamond" w:hAnsi="Garamond"/>
        </w:rPr>
        <w:t>Normal</w:t>
      </w:r>
      <w:r w:rsidR="0020360C" w:rsidRPr="0037198D">
        <w:rPr>
          <w:rFonts w:ascii="Garamond" w:hAnsi="Garamond"/>
        </w:rPr>
        <w:t>’</w:t>
      </w:r>
      <w:r w:rsidRPr="0037198D">
        <w:rPr>
          <w:rFonts w:ascii="Garamond" w:hAnsi="Garamond"/>
        </w:rPr>
        <w:t xml:space="preserve"> Capitalism and Other Capitalisms? The Discreet Place of State in Neoliberal International Investment Law</w:t>
      </w:r>
      <w:r w:rsidR="0020360C" w:rsidRPr="0037198D">
        <w:rPr>
          <w:rFonts w:ascii="Garamond" w:hAnsi="Garamond"/>
        </w:rPr>
        <w:t>”</w:t>
      </w:r>
      <w:r w:rsidRPr="0037198D">
        <w:rPr>
          <w:rFonts w:ascii="Garamond" w:hAnsi="Garamond"/>
        </w:rPr>
        <w:t xml:space="preserve"> in </w:t>
      </w:r>
      <w:proofErr w:type="spellStart"/>
      <w:r w:rsidRPr="0037198D">
        <w:rPr>
          <w:rFonts w:ascii="Garamond" w:hAnsi="Garamond"/>
          <w:bCs/>
        </w:rPr>
        <w:t>Delimatsis</w:t>
      </w:r>
      <w:proofErr w:type="spellEnd"/>
      <w:r w:rsidRPr="0037198D">
        <w:rPr>
          <w:rFonts w:ascii="Garamond" w:hAnsi="Garamond"/>
          <w:bCs/>
        </w:rPr>
        <w:t xml:space="preserve">, </w:t>
      </w:r>
      <w:proofErr w:type="spellStart"/>
      <w:r w:rsidRPr="0037198D">
        <w:rPr>
          <w:rFonts w:ascii="Garamond" w:hAnsi="Garamond"/>
          <w:bCs/>
        </w:rPr>
        <w:t>Dimitropoulos</w:t>
      </w:r>
      <w:proofErr w:type="spellEnd"/>
      <w:r w:rsidRPr="0037198D">
        <w:rPr>
          <w:rFonts w:ascii="Garamond" w:hAnsi="Garamond"/>
          <w:bCs/>
        </w:rPr>
        <w:t xml:space="preserve"> and </w:t>
      </w:r>
      <w:proofErr w:type="spellStart"/>
      <w:r w:rsidRPr="0037198D">
        <w:rPr>
          <w:rFonts w:ascii="Garamond" w:hAnsi="Garamond"/>
          <w:bCs/>
        </w:rPr>
        <w:t>Gourgourinis</w:t>
      </w:r>
      <w:proofErr w:type="spellEnd"/>
      <w:r w:rsidRPr="0037198D">
        <w:rPr>
          <w:rFonts w:ascii="Garamond" w:hAnsi="Garamond"/>
          <w:bCs/>
        </w:rPr>
        <w:t xml:space="preserve"> (</w:t>
      </w:r>
      <w:r w:rsidR="0020360C" w:rsidRPr="0037198D">
        <w:rPr>
          <w:rFonts w:ascii="Garamond" w:hAnsi="Garamond"/>
          <w:bCs/>
        </w:rPr>
        <w:t>E</w:t>
      </w:r>
      <w:r w:rsidRPr="0037198D">
        <w:rPr>
          <w:rFonts w:ascii="Garamond" w:hAnsi="Garamond"/>
          <w:bCs/>
        </w:rPr>
        <w:t>ds</w:t>
      </w:r>
      <w:r w:rsidR="0020360C" w:rsidRPr="0037198D">
        <w:rPr>
          <w:rFonts w:ascii="Garamond" w:hAnsi="Garamond"/>
          <w:bCs/>
        </w:rPr>
        <w:t>.</w:t>
      </w:r>
      <w:r w:rsidRPr="0037198D">
        <w:rPr>
          <w:rFonts w:ascii="Garamond" w:hAnsi="Garamond"/>
          <w:bCs/>
        </w:rPr>
        <w:t xml:space="preserve">) </w:t>
      </w:r>
      <w:r w:rsidRPr="0037198D">
        <w:rPr>
          <w:rStyle w:val="Emphasis"/>
          <w:rFonts w:ascii="Garamond" w:hAnsi="Garamond"/>
        </w:rPr>
        <w:t xml:space="preserve">State Capitalism and International Investment Law </w:t>
      </w:r>
      <w:r w:rsidRPr="0037198D">
        <w:rPr>
          <w:rStyle w:val="Emphasis"/>
          <w:rFonts w:ascii="Garamond" w:hAnsi="Garamond"/>
          <w:i w:val="0"/>
        </w:rPr>
        <w:t>(</w:t>
      </w:r>
      <w:r w:rsidRPr="0037198D">
        <w:rPr>
          <w:rFonts w:ascii="Garamond" w:hAnsi="Garamond"/>
        </w:rPr>
        <w:t>Bloomsbury</w:t>
      </w:r>
      <w:r w:rsidR="0020360C" w:rsidRPr="0037198D">
        <w:rPr>
          <w:rFonts w:ascii="Garamond" w:hAnsi="Garamond"/>
        </w:rPr>
        <w:t>,</w:t>
      </w:r>
      <w:r w:rsidRPr="0037198D">
        <w:rPr>
          <w:rFonts w:ascii="Garamond" w:hAnsi="Garamond"/>
        </w:rPr>
        <w:t xml:space="preserve"> 2023); and Carroll, Gonzalez-Vicente,</w:t>
      </w:r>
      <w:r w:rsidR="0020360C" w:rsidRPr="0037198D">
        <w:rPr>
          <w:rFonts w:ascii="Garamond" w:hAnsi="Garamond"/>
        </w:rPr>
        <w:t xml:space="preserve"> </w:t>
      </w:r>
      <w:r w:rsidRPr="0037198D">
        <w:rPr>
          <w:rFonts w:ascii="Garamond" w:hAnsi="Garamond"/>
        </w:rPr>
        <w:t xml:space="preserve">Jarvis, </w:t>
      </w:r>
      <w:r w:rsidR="0020360C" w:rsidRPr="0037198D">
        <w:rPr>
          <w:rFonts w:ascii="Garamond" w:hAnsi="Garamond"/>
        </w:rPr>
        <w:t>“</w:t>
      </w:r>
      <w:r w:rsidRPr="0037198D">
        <w:rPr>
          <w:rFonts w:ascii="Garamond" w:hAnsi="Garamond"/>
        </w:rPr>
        <w:t>Capital, Conflict and Convergence: A political understanding of neoliberalism and its relationship to capitalist transformation</w:t>
      </w:r>
      <w:r w:rsidR="0020360C" w:rsidRPr="0037198D">
        <w:rPr>
          <w:rFonts w:ascii="Garamond" w:hAnsi="Garamond"/>
        </w:rPr>
        <w:t>”</w:t>
      </w:r>
      <w:r w:rsidRPr="0037198D">
        <w:rPr>
          <w:rFonts w:ascii="Garamond" w:hAnsi="Garamond"/>
        </w:rPr>
        <w:t xml:space="preserve">, 16 Globalizations </w:t>
      </w:r>
      <w:r w:rsidR="0020360C" w:rsidRPr="0037198D">
        <w:rPr>
          <w:rFonts w:ascii="Garamond" w:hAnsi="Garamond"/>
        </w:rPr>
        <w:t>(2019)</w:t>
      </w:r>
      <w:r w:rsidRPr="0037198D">
        <w:rPr>
          <w:rFonts w:ascii="Garamond" w:hAnsi="Garamond"/>
        </w:rPr>
        <w:t>,</w:t>
      </w:r>
      <w:r w:rsidR="0020360C" w:rsidRPr="0037198D">
        <w:rPr>
          <w:rFonts w:ascii="Garamond" w:hAnsi="Garamond"/>
        </w:rPr>
        <w:t xml:space="preserve"> at</w:t>
      </w:r>
      <w:r w:rsidRPr="0037198D">
        <w:rPr>
          <w:rFonts w:ascii="Garamond" w:hAnsi="Garamond"/>
        </w:rPr>
        <w:t xml:space="preserve"> 778.</w:t>
      </w:r>
    </w:p>
  </w:footnote>
  <w:footnote w:id="98">
    <w:p w14:paraId="25A4148F" w14:textId="678D86F7"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Vandevel</w:t>
      </w:r>
      <w:r w:rsidR="00796E8C" w:rsidRPr="0037198D">
        <w:rPr>
          <w:rFonts w:ascii="Garamond" w:hAnsi="Garamond"/>
        </w:rPr>
        <w:t>d</w:t>
      </w:r>
      <w:r w:rsidRPr="0037198D">
        <w:rPr>
          <w:rFonts w:ascii="Garamond" w:hAnsi="Garamond"/>
        </w:rPr>
        <w:t>e</w:t>
      </w:r>
      <w:proofErr w:type="spellEnd"/>
      <w:r w:rsidRPr="0037198D">
        <w:rPr>
          <w:rFonts w:ascii="Garamond" w:hAnsi="Garamond"/>
        </w:rPr>
        <w:t xml:space="preserve">, </w:t>
      </w:r>
      <w:r w:rsidR="0020360C" w:rsidRPr="0037198D">
        <w:rPr>
          <w:rFonts w:ascii="Garamond" w:hAnsi="Garamond"/>
        </w:rPr>
        <w:t>“</w:t>
      </w:r>
      <w:r w:rsidRPr="0037198D">
        <w:rPr>
          <w:rFonts w:ascii="Garamond" w:hAnsi="Garamond" w:cs="AdvOT1ef757c0"/>
        </w:rPr>
        <w:t>The liberal vision of the international law on foreign investment</w:t>
      </w:r>
      <w:r w:rsidR="0020360C" w:rsidRPr="0037198D">
        <w:rPr>
          <w:rFonts w:ascii="Garamond" w:hAnsi="Garamond" w:cs="AdvOT1ef757c0"/>
        </w:rPr>
        <w:t>”, at p</w:t>
      </w:r>
      <w:r w:rsidR="00A33965" w:rsidRPr="0037198D">
        <w:rPr>
          <w:rFonts w:ascii="Garamond" w:hAnsi="Garamond" w:cs="AdvOT1ef757c0"/>
        </w:rPr>
        <w:t>.</w:t>
      </w:r>
      <w:r w:rsidRPr="0037198D">
        <w:rPr>
          <w:rFonts w:ascii="Garamond" w:hAnsi="Garamond"/>
        </w:rPr>
        <w:t xml:space="preserve"> 55</w:t>
      </w:r>
      <w:r w:rsidR="0020360C" w:rsidRPr="0037198D">
        <w:rPr>
          <w:rFonts w:ascii="Garamond" w:hAnsi="Garamond"/>
        </w:rPr>
        <w:t>.</w:t>
      </w:r>
    </w:p>
  </w:footnote>
  <w:footnote w:id="99">
    <w:p w14:paraId="07579695" w14:textId="3B7FA69F" w:rsidR="003442F7" w:rsidRPr="0037198D" w:rsidRDefault="003442F7" w:rsidP="002A3164">
      <w:pPr>
        <w:autoSpaceDE w:val="0"/>
        <w:autoSpaceDN w:val="0"/>
        <w:adjustRightInd w:val="0"/>
        <w:spacing w:after="0" w:line="240" w:lineRule="auto"/>
        <w:contextualSpacing/>
        <w:jc w:val="both"/>
        <w:rPr>
          <w:rFonts w:ascii="Garamond" w:hAnsi="Garamond" w:cs="AdvOTab62ddd1"/>
          <w:sz w:val="20"/>
          <w:szCs w:val="20"/>
        </w:rPr>
      </w:pPr>
      <w:r w:rsidRPr="0037198D">
        <w:rPr>
          <w:rStyle w:val="FootnoteReference"/>
          <w:rFonts w:ascii="Garamond" w:hAnsi="Garamond" w:cstheme="minorHAnsi"/>
          <w:sz w:val="20"/>
          <w:szCs w:val="20"/>
        </w:rPr>
        <w:footnoteRef/>
      </w:r>
      <w:r w:rsidRPr="0037198D">
        <w:rPr>
          <w:rFonts w:ascii="Garamond" w:hAnsi="Garamond" w:cstheme="minorHAnsi"/>
          <w:sz w:val="20"/>
          <w:szCs w:val="20"/>
        </w:rPr>
        <w:t xml:space="preserve"> Pohl, </w:t>
      </w:r>
      <w:r w:rsidR="0020360C" w:rsidRPr="0037198D">
        <w:rPr>
          <w:rFonts w:ascii="Garamond" w:hAnsi="Garamond" w:cstheme="minorHAnsi"/>
          <w:sz w:val="20"/>
          <w:szCs w:val="20"/>
        </w:rPr>
        <w:t>“</w:t>
      </w:r>
      <w:r w:rsidRPr="0037198D">
        <w:rPr>
          <w:rFonts w:ascii="Garamond" w:hAnsi="Garamond" w:cstheme="minorHAnsi"/>
          <w:sz w:val="20"/>
          <w:szCs w:val="20"/>
        </w:rPr>
        <w:t>The Impact of Investment Treaty Commitments on the Design and Operation of EU Investment Screening Mechanisms</w:t>
      </w:r>
      <w:r w:rsidR="0020360C" w:rsidRPr="0037198D">
        <w:rPr>
          <w:rFonts w:ascii="Garamond" w:hAnsi="Garamond" w:cstheme="minorHAnsi"/>
          <w:sz w:val="20"/>
          <w:szCs w:val="20"/>
        </w:rPr>
        <w:t>”</w:t>
      </w:r>
      <w:r w:rsidRPr="0037198D">
        <w:rPr>
          <w:rFonts w:ascii="Garamond" w:hAnsi="Garamond" w:cstheme="minorHAnsi"/>
          <w:sz w:val="20"/>
          <w:szCs w:val="20"/>
        </w:rPr>
        <w:t xml:space="preserve"> in </w:t>
      </w:r>
      <w:proofErr w:type="spellStart"/>
      <w:r w:rsidRPr="0037198D">
        <w:rPr>
          <w:rFonts w:ascii="Garamond" w:hAnsi="Garamond" w:cs="AdvOTab62ddd1"/>
          <w:sz w:val="20"/>
          <w:szCs w:val="20"/>
        </w:rPr>
        <w:t>Hindelang</w:t>
      </w:r>
      <w:proofErr w:type="spellEnd"/>
      <w:r w:rsidRPr="0037198D">
        <w:rPr>
          <w:rFonts w:ascii="Garamond" w:hAnsi="Garamond" w:cs="AdvOTab62ddd1"/>
          <w:sz w:val="20"/>
          <w:szCs w:val="20"/>
        </w:rPr>
        <w:t xml:space="preserve"> </w:t>
      </w:r>
      <w:r w:rsidRPr="0037198D">
        <w:rPr>
          <w:rFonts w:ascii="Garamond" w:hAnsi="Garamond" w:cs="AdvOTab62ddd1+20"/>
          <w:sz w:val="20"/>
          <w:szCs w:val="20"/>
        </w:rPr>
        <w:t xml:space="preserve">and </w:t>
      </w:r>
      <w:r w:rsidRPr="0037198D">
        <w:rPr>
          <w:rFonts w:ascii="Garamond" w:hAnsi="Garamond" w:cs="AdvOTab62ddd1"/>
          <w:sz w:val="20"/>
          <w:szCs w:val="20"/>
        </w:rPr>
        <w:t>Moberg (</w:t>
      </w:r>
      <w:r w:rsidR="0020360C" w:rsidRPr="0037198D">
        <w:rPr>
          <w:rFonts w:ascii="Garamond" w:hAnsi="Garamond" w:cs="AdvOTab62ddd1"/>
          <w:sz w:val="20"/>
          <w:szCs w:val="20"/>
        </w:rPr>
        <w:t>E</w:t>
      </w:r>
      <w:r w:rsidRPr="0037198D">
        <w:rPr>
          <w:rFonts w:ascii="Garamond" w:hAnsi="Garamond" w:cs="AdvOTab62ddd1"/>
          <w:sz w:val="20"/>
          <w:szCs w:val="20"/>
        </w:rPr>
        <w:t>ds</w:t>
      </w:r>
      <w:r w:rsidR="0020360C" w:rsidRPr="0037198D">
        <w:rPr>
          <w:rFonts w:ascii="Garamond" w:hAnsi="Garamond" w:cs="AdvOTab62ddd1"/>
          <w:sz w:val="20"/>
          <w:szCs w:val="20"/>
        </w:rPr>
        <w:t>.</w:t>
      </w:r>
      <w:r w:rsidRPr="0037198D">
        <w:rPr>
          <w:rFonts w:ascii="Garamond" w:hAnsi="Garamond" w:cs="AdvOTab62ddd1"/>
          <w:sz w:val="20"/>
          <w:szCs w:val="20"/>
        </w:rPr>
        <w:t xml:space="preserve">), </w:t>
      </w:r>
      <w:r w:rsidRPr="0037198D">
        <w:rPr>
          <w:rFonts w:ascii="Garamond" w:hAnsi="Garamond" w:cs="AdvOTab62ddd1"/>
          <w:i/>
          <w:sz w:val="20"/>
          <w:szCs w:val="20"/>
        </w:rPr>
        <w:t>A Common European Law on Investment Screening (CELIS)</w:t>
      </w:r>
      <w:r w:rsidRPr="0037198D">
        <w:rPr>
          <w:rFonts w:ascii="Garamond" w:hAnsi="Garamond" w:cs="AdvOTab62ddd1"/>
          <w:sz w:val="20"/>
          <w:szCs w:val="20"/>
        </w:rPr>
        <w:t>, Yearbook of Socio-Economic Constitutions 2020 (Springer</w:t>
      </w:r>
      <w:r w:rsidR="0020360C" w:rsidRPr="0037198D">
        <w:rPr>
          <w:rFonts w:ascii="Garamond" w:hAnsi="Garamond" w:cs="AdvOTab62ddd1"/>
          <w:sz w:val="20"/>
          <w:szCs w:val="20"/>
        </w:rPr>
        <w:t>,</w:t>
      </w:r>
      <w:r w:rsidRPr="0037198D">
        <w:rPr>
          <w:rFonts w:ascii="Garamond" w:hAnsi="Garamond" w:cs="AdvOTab62ddd1"/>
          <w:sz w:val="20"/>
          <w:szCs w:val="20"/>
        </w:rPr>
        <w:t xml:space="preserve"> 2021) </w:t>
      </w:r>
      <w:r w:rsidR="0020360C" w:rsidRPr="0037198D">
        <w:rPr>
          <w:rFonts w:ascii="Garamond" w:hAnsi="Garamond" w:cs="AdvOTab62ddd1"/>
          <w:sz w:val="20"/>
          <w:szCs w:val="20"/>
        </w:rPr>
        <w:t xml:space="preserve">at </w:t>
      </w:r>
      <w:r w:rsidRPr="0037198D">
        <w:rPr>
          <w:rFonts w:ascii="Garamond" w:hAnsi="Garamond" w:cstheme="minorHAnsi"/>
          <w:sz w:val="20"/>
          <w:szCs w:val="20"/>
        </w:rPr>
        <w:t>765</w:t>
      </w:r>
      <w:r w:rsidR="0020360C" w:rsidRPr="0037198D">
        <w:rPr>
          <w:rFonts w:ascii="Garamond" w:hAnsi="Garamond" w:cstheme="minorHAnsi"/>
          <w:sz w:val="20"/>
          <w:szCs w:val="20"/>
        </w:rPr>
        <w:t>.</w:t>
      </w:r>
    </w:p>
  </w:footnote>
  <w:footnote w:id="100">
    <w:p w14:paraId="3C44D8E2" w14:textId="0F1331E7" w:rsidR="003442F7" w:rsidRPr="0037198D" w:rsidRDefault="003442F7" w:rsidP="002A3164">
      <w:pPr>
        <w:pStyle w:val="Heading1"/>
        <w:spacing w:before="0"/>
        <w:contextualSpacing/>
        <w:rPr>
          <w:rFonts w:ascii="Garamond" w:hAnsi="Garamond"/>
          <w:color w:val="auto"/>
          <w:sz w:val="20"/>
          <w:szCs w:val="20"/>
        </w:rPr>
      </w:pPr>
      <w:r w:rsidRPr="0037198D">
        <w:rPr>
          <w:rStyle w:val="FootnoteReference"/>
          <w:rFonts w:ascii="Garamond" w:hAnsi="Garamond"/>
          <w:color w:val="auto"/>
          <w:sz w:val="20"/>
          <w:szCs w:val="20"/>
        </w:rPr>
        <w:footnoteRef/>
      </w:r>
      <w:r w:rsidRPr="0037198D">
        <w:rPr>
          <w:rFonts w:ascii="Garamond" w:hAnsi="Garamond"/>
          <w:color w:val="auto"/>
          <w:sz w:val="20"/>
          <w:szCs w:val="20"/>
        </w:rPr>
        <w:t xml:space="preserve"> </w:t>
      </w:r>
      <w:r w:rsidRPr="0037198D">
        <w:rPr>
          <w:rFonts w:ascii="Garamond" w:hAnsi="Garamond"/>
          <w:i/>
          <w:color w:val="auto"/>
          <w:sz w:val="20"/>
          <w:szCs w:val="20"/>
        </w:rPr>
        <w:t>Huawei v Sweden</w:t>
      </w:r>
      <w:r w:rsidRPr="0037198D">
        <w:rPr>
          <w:rFonts w:ascii="Garamond" w:hAnsi="Garamond"/>
          <w:color w:val="auto"/>
          <w:sz w:val="20"/>
          <w:szCs w:val="20"/>
        </w:rPr>
        <w:t>, ICSID Case No. ARB/22/2, Request for Arbitration, 7 January 2022, para 9.</w:t>
      </w:r>
    </w:p>
  </w:footnote>
  <w:footnote w:id="101">
    <w:p w14:paraId="094A5506" w14:textId="469482A3"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 para 8.</w:t>
      </w:r>
    </w:p>
  </w:footnote>
  <w:footnote w:id="102">
    <w:p w14:paraId="6F478F56" w14:textId="7A06FA9C" w:rsidR="003442F7" w:rsidRPr="0037198D" w:rsidRDefault="003442F7" w:rsidP="002A3164">
      <w:pPr>
        <w:spacing w:after="0"/>
        <w:contextualSpacing/>
        <w:rPr>
          <w:rFonts w:ascii="Garamond" w:eastAsia="Times New Roman" w:hAnsi="Garamond" w:cs="Times New Roman"/>
          <w:sz w:val="20"/>
          <w:szCs w:val="20"/>
          <w:lang w:eastAsia="en-GB"/>
        </w:rPr>
      </w:pPr>
      <w:r w:rsidRPr="0037198D">
        <w:rPr>
          <w:rStyle w:val="FootnoteReference"/>
          <w:rFonts w:ascii="Garamond" w:hAnsi="Garamond"/>
          <w:sz w:val="20"/>
          <w:szCs w:val="20"/>
        </w:rPr>
        <w:footnoteRef/>
      </w:r>
      <w:r w:rsidRPr="0037198D">
        <w:rPr>
          <w:rFonts w:ascii="Garamond" w:hAnsi="Garamond"/>
          <w:sz w:val="20"/>
          <w:szCs w:val="20"/>
        </w:rPr>
        <w:t xml:space="preserve"> </w:t>
      </w:r>
      <w:r w:rsidR="0020360C" w:rsidRPr="0037198D">
        <w:rPr>
          <w:rFonts w:ascii="Garamond" w:hAnsi="Garamond"/>
          <w:sz w:val="20"/>
          <w:szCs w:val="20"/>
        </w:rPr>
        <w:t xml:space="preserve">See </w:t>
      </w:r>
      <w:proofErr w:type="spellStart"/>
      <w:r w:rsidRPr="0037198D">
        <w:rPr>
          <w:rFonts w:ascii="Garamond" w:eastAsia="Times New Roman" w:hAnsi="Garamond" w:cs="Arial"/>
          <w:sz w:val="20"/>
          <w:szCs w:val="20"/>
          <w:lang w:eastAsia="en-GB"/>
        </w:rPr>
        <w:t>Voon</w:t>
      </w:r>
      <w:proofErr w:type="spellEnd"/>
      <w:r w:rsidRPr="0037198D">
        <w:rPr>
          <w:rFonts w:ascii="Garamond" w:eastAsia="Times New Roman" w:hAnsi="Garamond" w:cs="Arial"/>
          <w:sz w:val="20"/>
          <w:szCs w:val="20"/>
          <w:lang w:eastAsia="en-GB"/>
        </w:rPr>
        <w:t xml:space="preserve"> and</w:t>
      </w:r>
      <w:r w:rsidR="0020360C" w:rsidRPr="0037198D">
        <w:rPr>
          <w:rFonts w:ascii="Garamond" w:eastAsia="Times New Roman" w:hAnsi="Garamond" w:cs="Arial"/>
          <w:sz w:val="20"/>
          <w:szCs w:val="20"/>
          <w:lang w:eastAsia="en-GB"/>
        </w:rPr>
        <w:t xml:space="preserve"> </w:t>
      </w:r>
      <w:r w:rsidRPr="0037198D">
        <w:rPr>
          <w:rFonts w:ascii="Garamond" w:eastAsia="Times New Roman" w:hAnsi="Garamond" w:cs="Arial"/>
          <w:sz w:val="20"/>
          <w:szCs w:val="20"/>
          <w:lang w:eastAsia="en-GB"/>
        </w:rPr>
        <w:t>Merriman,</w:t>
      </w:r>
      <w:r w:rsidRPr="0037198D">
        <w:rPr>
          <w:rFonts w:ascii="Garamond" w:eastAsia="Times New Roman" w:hAnsi="Garamond" w:cs="Times New Roman"/>
          <w:sz w:val="20"/>
          <w:szCs w:val="20"/>
          <w:lang w:eastAsia="en-GB"/>
        </w:rPr>
        <w:t xml:space="preserve"> </w:t>
      </w:r>
      <w:r w:rsidR="0020360C" w:rsidRPr="0037198D">
        <w:rPr>
          <w:rFonts w:ascii="Garamond" w:eastAsia="Times New Roman" w:hAnsi="Garamond" w:cs="Arial"/>
          <w:sz w:val="20"/>
          <w:szCs w:val="20"/>
          <w:lang w:eastAsia="en-GB"/>
        </w:rPr>
        <w:t>“</w:t>
      </w:r>
      <w:r w:rsidRPr="0037198D">
        <w:rPr>
          <w:rFonts w:ascii="Garamond" w:eastAsia="Times New Roman" w:hAnsi="Garamond" w:cs="Arial"/>
          <w:sz w:val="20"/>
          <w:szCs w:val="20"/>
          <w:lang w:eastAsia="en-GB"/>
        </w:rPr>
        <w:t>Is Australia’s Foreign Investment Screening</w:t>
      </w:r>
      <w:r w:rsidRPr="0037198D">
        <w:rPr>
          <w:rFonts w:ascii="Garamond" w:eastAsia="Times New Roman" w:hAnsi="Garamond" w:cs="Times New Roman"/>
          <w:sz w:val="20"/>
          <w:szCs w:val="20"/>
          <w:lang w:eastAsia="en-GB"/>
        </w:rPr>
        <w:t xml:space="preserve"> </w:t>
      </w:r>
      <w:r w:rsidRPr="0037198D">
        <w:rPr>
          <w:rFonts w:ascii="Garamond" w:eastAsia="Times New Roman" w:hAnsi="Garamond" w:cs="Arial"/>
          <w:sz w:val="20"/>
          <w:szCs w:val="20"/>
          <w:lang w:eastAsia="en-GB"/>
        </w:rPr>
        <w:t>Policy Consistent with International Investment Law?</w:t>
      </w:r>
      <w:r w:rsidR="0020360C" w:rsidRPr="0037198D">
        <w:rPr>
          <w:rFonts w:ascii="Garamond" w:eastAsia="Times New Roman" w:hAnsi="Garamond" w:cs="Arial"/>
          <w:sz w:val="20"/>
          <w:szCs w:val="20"/>
          <w:lang w:eastAsia="en-GB"/>
        </w:rPr>
        <w:t xml:space="preserve">”, </w:t>
      </w:r>
      <w:r w:rsidRPr="0037198D">
        <w:rPr>
          <w:rFonts w:ascii="Garamond" w:eastAsia="Times New Roman" w:hAnsi="Garamond" w:cs="Arial"/>
          <w:sz w:val="20"/>
          <w:szCs w:val="20"/>
          <w:lang w:eastAsia="en-GB"/>
        </w:rPr>
        <w:t xml:space="preserve">23 </w:t>
      </w:r>
      <w:r w:rsidRPr="0037198D">
        <w:rPr>
          <w:rStyle w:val="markedcontent"/>
          <w:rFonts w:ascii="Garamond" w:hAnsi="Garamond" w:cs="Arial"/>
          <w:sz w:val="20"/>
          <w:szCs w:val="20"/>
        </w:rPr>
        <w:t>Melbourne Journal of International Law</w:t>
      </w:r>
      <w:r w:rsidR="0020360C" w:rsidRPr="0037198D">
        <w:rPr>
          <w:rStyle w:val="markedcontent"/>
          <w:rFonts w:ascii="Garamond" w:hAnsi="Garamond" w:cs="Arial"/>
          <w:sz w:val="20"/>
          <w:szCs w:val="20"/>
        </w:rPr>
        <w:t xml:space="preserve"> </w:t>
      </w:r>
      <w:r w:rsidR="0020360C" w:rsidRPr="0037198D">
        <w:rPr>
          <w:rFonts w:ascii="Garamond" w:eastAsia="Times New Roman" w:hAnsi="Garamond" w:cs="Arial"/>
          <w:sz w:val="20"/>
          <w:szCs w:val="20"/>
          <w:lang w:eastAsia="en-GB"/>
        </w:rPr>
        <w:t>(2022)</w:t>
      </w:r>
      <w:r w:rsidRPr="0037198D">
        <w:rPr>
          <w:rStyle w:val="markedcontent"/>
          <w:rFonts w:ascii="Garamond" w:hAnsi="Garamond" w:cs="Arial"/>
          <w:sz w:val="20"/>
          <w:szCs w:val="20"/>
        </w:rPr>
        <w:t xml:space="preserve"> 1,</w:t>
      </w:r>
      <w:r w:rsidR="0020360C" w:rsidRPr="0037198D">
        <w:rPr>
          <w:rStyle w:val="markedcontent"/>
          <w:rFonts w:ascii="Garamond" w:hAnsi="Garamond" w:cs="Arial"/>
          <w:sz w:val="20"/>
          <w:szCs w:val="20"/>
        </w:rPr>
        <w:t xml:space="preserve"> at</w:t>
      </w:r>
      <w:r w:rsidRPr="0037198D">
        <w:rPr>
          <w:rStyle w:val="markedcontent"/>
          <w:rFonts w:ascii="Garamond" w:hAnsi="Garamond" w:cs="Arial"/>
          <w:sz w:val="20"/>
          <w:szCs w:val="20"/>
        </w:rPr>
        <w:t xml:space="preserve"> 12.</w:t>
      </w:r>
    </w:p>
  </w:footnote>
  <w:footnote w:id="103">
    <w:p w14:paraId="52A8B9D2" w14:textId="065F9B1E"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Voon</w:t>
      </w:r>
      <w:proofErr w:type="spellEnd"/>
      <w:r w:rsidRPr="0037198D">
        <w:rPr>
          <w:rFonts w:ascii="Garamond" w:hAnsi="Garamond"/>
        </w:rPr>
        <w:t xml:space="preserve"> and Merryman, see also German Model Treaty 2007 which makes exceptions for public security and p</w:t>
      </w:r>
      <w:r w:rsidR="00796E8C" w:rsidRPr="0037198D">
        <w:rPr>
          <w:rFonts w:ascii="Garamond" w:hAnsi="Garamond"/>
        </w:rPr>
        <w:t>u</w:t>
      </w:r>
      <w:r w:rsidRPr="0037198D">
        <w:rPr>
          <w:rFonts w:ascii="Garamond" w:hAnsi="Garamond"/>
        </w:rPr>
        <w:t>blic order measures in its national treatment and MFN clause.</w:t>
      </w:r>
    </w:p>
  </w:footnote>
  <w:footnote w:id="104">
    <w:p w14:paraId="4E78214C" w14:textId="69A7EA86"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Voon</w:t>
      </w:r>
      <w:proofErr w:type="spellEnd"/>
      <w:r w:rsidRPr="0037198D">
        <w:rPr>
          <w:rFonts w:ascii="Garamond" w:hAnsi="Garamond"/>
        </w:rPr>
        <w:t xml:space="preserve"> and Merryman</w:t>
      </w:r>
      <w:r w:rsidR="00796E8C" w:rsidRPr="0037198D">
        <w:rPr>
          <w:rFonts w:ascii="Garamond" w:hAnsi="Garamond"/>
        </w:rPr>
        <w:t>, at</w:t>
      </w:r>
      <w:r w:rsidRPr="0037198D">
        <w:rPr>
          <w:rFonts w:ascii="Garamond" w:hAnsi="Garamond"/>
        </w:rPr>
        <w:t xml:space="preserve"> </w:t>
      </w:r>
      <w:r w:rsidR="0037198D">
        <w:rPr>
          <w:rFonts w:ascii="Garamond" w:hAnsi="Garamond"/>
        </w:rPr>
        <w:t xml:space="preserve">p. </w:t>
      </w:r>
      <w:r w:rsidRPr="0037198D">
        <w:rPr>
          <w:rFonts w:ascii="Garamond" w:hAnsi="Garamond"/>
        </w:rPr>
        <w:t>31</w:t>
      </w:r>
      <w:r w:rsidR="0037198D">
        <w:rPr>
          <w:rFonts w:ascii="Garamond" w:hAnsi="Garamond"/>
        </w:rPr>
        <w:t>.</w:t>
      </w:r>
    </w:p>
  </w:footnote>
  <w:footnote w:id="105">
    <w:p w14:paraId="5DA16EFF" w14:textId="0E95892D" w:rsidR="003442F7" w:rsidRPr="0037198D" w:rsidRDefault="003442F7" w:rsidP="002A3164">
      <w:pPr>
        <w:pStyle w:val="Heading1"/>
        <w:spacing w:before="0"/>
        <w:contextualSpacing/>
        <w:rPr>
          <w:rFonts w:ascii="Garamond" w:hAnsi="Garamond"/>
          <w:color w:val="auto"/>
          <w:sz w:val="20"/>
          <w:szCs w:val="20"/>
        </w:rPr>
      </w:pPr>
      <w:r w:rsidRPr="0037198D">
        <w:rPr>
          <w:rStyle w:val="FootnoteReference"/>
          <w:rFonts w:ascii="Garamond" w:hAnsi="Garamond"/>
          <w:color w:val="auto"/>
          <w:sz w:val="20"/>
          <w:szCs w:val="20"/>
        </w:rPr>
        <w:footnoteRef/>
      </w:r>
      <w:r w:rsidRPr="0037198D">
        <w:rPr>
          <w:rFonts w:ascii="Garamond" w:hAnsi="Garamond"/>
          <w:color w:val="auto"/>
          <w:sz w:val="20"/>
          <w:szCs w:val="20"/>
        </w:rPr>
        <w:t xml:space="preserve"> </w:t>
      </w:r>
      <w:r w:rsidRPr="0037198D">
        <w:rPr>
          <w:rFonts w:ascii="Garamond" w:hAnsi="Garamond"/>
          <w:i/>
          <w:color w:val="auto"/>
          <w:sz w:val="20"/>
          <w:szCs w:val="20"/>
        </w:rPr>
        <w:t>Global Telecom Holding S.A.E. v. Canada</w:t>
      </w:r>
      <w:r w:rsidRPr="0037198D">
        <w:rPr>
          <w:rFonts w:ascii="Garamond" w:hAnsi="Garamond"/>
          <w:color w:val="auto"/>
          <w:sz w:val="20"/>
          <w:szCs w:val="20"/>
        </w:rPr>
        <w:t>, ICSID Case No. ARB/16/16, Award, 27 March 2020.</w:t>
      </w:r>
    </w:p>
  </w:footnote>
  <w:footnote w:id="106">
    <w:p w14:paraId="000E33F8" w14:textId="5F28D601" w:rsidR="003442F7" w:rsidRPr="0037198D" w:rsidRDefault="003442F7" w:rsidP="002A3164">
      <w:pPr>
        <w:autoSpaceDE w:val="0"/>
        <w:autoSpaceDN w:val="0"/>
        <w:adjustRightInd w:val="0"/>
        <w:spacing w:after="0" w:line="240" w:lineRule="auto"/>
        <w:contextualSpacing/>
        <w:rPr>
          <w:rFonts w:ascii="Garamond" w:hAnsi="Garamond" w:cs="CIDFont+F1"/>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proofErr w:type="spellStart"/>
      <w:r w:rsidRPr="0037198D">
        <w:rPr>
          <w:rFonts w:ascii="Garamond" w:hAnsi="Garamond" w:cs="CIDFont+F2"/>
          <w:sz w:val="20"/>
          <w:szCs w:val="20"/>
        </w:rPr>
        <w:t>Charlotin</w:t>
      </w:r>
      <w:proofErr w:type="spellEnd"/>
      <w:r w:rsidRPr="0037198D">
        <w:rPr>
          <w:rFonts w:ascii="Garamond" w:hAnsi="Garamond" w:cs="CIDFont+F1"/>
          <w:sz w:val="20"/>
          <w:szCs w:val="20"/>
        </w:rPr>
        <w:t xml:space="preserve">, </w:t>
      </w:r>
      <w:r w:rsidR="00796E8C" w:rsidRPr="0037198D">
        <w:rPr>
          <w:rFonts w:ascii="Garamond" w:hAnsi="Garamond" w:cs="CIDFont+F1"/>
          <w:sz w:val="20"/>
          <w:szCs w:val="20"/>
        </w:rPr>
        <w:t>“</w:t>
      </w:r>
      <w:r w:rsidRPr="0037198D">
        <w:rPr>
          <w:rFonts w:ascii="Garamond" w:hAnsi="Garamond" w:cs="CIDFont+F1"/>
          <w:sz w:val="20"/>
          <w:szCs w:val="20"/>
        </w:rPr>
        <w:t>Analysis: in Global Telecom v. Canada, arbitrators unanimously reject FET, FPS and free transfer claims, but disagree on national treatment argument and foreign acquisition review exception</w:t>
      </w:r>
      <w:r w:rsidR="00796E8C" w:rsidRPr="0037198D">
        <w:rPr>
          <w:rFonts w:ascii="Garamond" w:hAnsi="Garamond" w:cs="CIDFont+F1"/>
          <w:sz w:val="20"/>
          <w:szCs w:val="20"/>
        </w:rPr>
        <w:t>”</w:t>
      </w:r>
      <w:r w:rsidRPr="0037198D">
        <w:rPr>
          <w:rFonts w:ascii="Garamond" w:hAnsi="Garamond" w:cs="CIDFont+F1"/>
          <w:sz w:val="20"/>
          <w:szCs w:val="20"/>
        </w:rPr>
        <w:t>, IA Reporter, April 29</w:t>
      </w:r>
      <w:r w:rsidR="00796E8C" w:rsidRPr="0037198D">
        <w:rPr>
          <w:rFonts w:ascii="Garamond" w:hAnsi="Garamond" w:cs="CIDFont+F1"/>
          <w:sz w:val="20"/>
          <w:szCs w:val="20"/>
        </w:rPr>
        <w:t>,</w:t>
      </w:r>
      <w:r w:rsidRPr="0037198D">
        <w:rPr>
          <w:rFonts w:ascii="Garamond" w:hAnsi="Garamond" w:cs="CIDFont+F1"/>
          <w:sz w:val="20"/>
          <w:szCs w:val="20"/>
        </w:rPr>
        <w:t xml:space="preserve"> 2020.</w:t>
      </w:r>
    </w:p>
  </w:footnote>
  <w:footnote w:id="107">
    <w:p w14:paraId="0771194C" w14:textId="6E213700"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para 333 of the award.</w:t>
      </w:r>
    </w:p>
  </w:footnote>
  <w:footnote w:id="108">
    <w:p w14:paraId="5693C4CC" w14:textId="2CA81EA7" w:rsidR="003442F7" w:rsidRPr="0037198D" w:rsidRDefault="003442F7" w:rsidP="002A3164">
      <w:pPr>
        <w:autoSpaceDE w:val="0"/>
        <w:autoSpaceDN w:val="0"/>
        <w:adjustRightInd w:val="0"/>
        <w:spacing w:after="0" w:line="240" w:lineRule="auto"/>
        <w:contextualSpacing/>
        <w:jc w:val="both"/>
        <w:rPr>
          <w:rFonts w:ascii="Garamond" w:eastAsia="Brill-Roman" w:hAnsi="Garamond" w:cs="Brill-Italic"/>
          <w:i/>
          <w:iCs/>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r w:rsidRPr="0037198D">
        <w:rPr>
          <w:rFonts w:ascii="Garamond" w:eastAsia="Brill-Roman" w:hAnsi="Garamond" w:cs="Brill-Roman"/>
          <w:sz w:val="20"/>
          <w:szCs w:val="20"/>
        </w:rPr>
        <w:t xml:space="preserve">Niamh Nic </w:t>
      </w:r>
      <w:proofErr w:type="spellStart"/>
      <w:r w:rsidRPr="0037198D">
        <w:rPr>
          <w:rFonts w:ascii="Garamond" w:eastAsia="Brill-Roman" w:hAnsi="Garamond" w:cs="Brill-Roman"/>
          <w:sz w:val="20"/>
          <w:szCs w:val="20"/>
        </w:rPr>
        <w:t>Shuibhne</w:t>
      </w:r>
      <w:proofErr w:type="spellEnd"/>
      <w:r w:rsidRPr="0037198D">
        <w:rPr>
          <w:rFonts w:ascii="Garamond" w:eastAsia="Brill-Roman" w:hAnsi="Garamond" w:cs="Brill-Roman"/>
          <w:sz w:val="20"/>
          <w:szCs w:val="20"/>
        </w:rPr>
        <w:t xml:space="preserve">, </w:t>
      </w:r>
      <w:r w:rsidRPr="0037198D">
        <w:rPr>
          <w:rFonts w:ascii="Garamond" w:eastAsia="Brill-Roman" w:hAnsi="Garamond" w:cs="Brill-Italic"/>
          <w:i/>
          <w:iCs/>
          <w:sz w:val="20"/>
          <w:szCs w:val="20"/>
        </w:rPr>
        <w:t xml:space="preserve">The Coherence of EU Free Movement Law: Constitutional Responsibility and the Court of Justice </w:t>
      </w:r>
      <w:r w:rsidRPr="0037198D">
        <w:rPr>
          <w:rFonts w:ascii="Garamond" w:eastAsia="Brill-Roman" w:hAnsi="Garamond" w:cs="Brill-Roman"/>
          <w:sz w:val="20"/>
          <w:szCs w:val="20"/>
        </w:rPr>
        <w:t>(OUP</w:t>
      </w:r>
      <w:r w:rsidR="00796E8C" w:rsidRPr="0037198D">
        <w:rPr>
          <w:rFonts w:ascii="Garamond" w:eastAsia="Brill-Roman" w:hAnsi="Garamond" w:cs="Brill-Roman"/>
          <w:sz w:val="20"/>
          <w:szCs w:val="20"/>
        </w:rPr>
        <w:t>,</w:t>
      </w:r>
      <w:r w:rsidRPr="0037198D">
        <w:rPr>
          <w:rFonts w:ascii="Garamond" w:eastAsia="Brill-Roman" w:hAnsi="Garamond" w:cs="Brill-Roman"/>
          <w:sz w:val="20"/>
          <w:szCs w:val="20"/>
        </w:rPr>
        <w:t xml:space="preserve"> 2013) </w:t>
      </w:r>
      <w:r w:rsidR="00796E8C" w:rsidRPr="0037198D">
        <w:rPr>
          <w:rFonts w:ascii="Garamond" w:eastAsia="Brill-Roman" w:hAnsi="Garamond" w:cs="Brill-Roman"/>
          <w:sz w:val="20"/>
          <w:szCs w:val="20"/>
        </w:rPr>
        <w:t xml:space="preserve">at </w:t>
      </w:r>
      <w:r w:rsidR="00A33965" w:rsidRPr="0037198D">
        <w:rPr>
          <w:rFonts w:ascii="Garamond" w:eastAsia="Brill-Roman" w:hAnsi="Garamond" w:cs="Brill-Roman"/>
          <w:sz w:val="20"/>
          <w:szCs w:val="20"/>
        </w:rPr>
        <w:t xml:space="preserve">p. </w:t>
      </w:r>
      <w:r w:rsidRPr="0037198D">
        <w:rPr>
          <w:rFonts w:ascii="Garamond" w:eastAsia="Brill-Roman" w:hAnsi="Garamond" w:cs="Brill-Roman"/>
          <w:sz w:val="20"/>
          <w:szCs w:val="20"/>
        </w:rPr>
        <w:t>26</w:t>
      </w:r>
      <w:r w:rsidR="00796E8C" w:rsidRPr="0037198D">
        <w:rPr>
          <w:rFonts w:ascii="Garamond" w:eastAsia="Brill-Roman" w:hAnsi="Garamond" w:cs="Brill-Roman"/>
          <w:sz w:val="20"/>
          <w:szCs w:val="20"/>
        </w:rPr>
        <w:t>.</w:t>
      </w:r>
    </w:p>
  </w:footnote>
  <w:footnote w:id="109">
    <w:p w14:paraId="555D04B6" w14:textId="3E451B5D" w:rsidR="003442F7" w:rsidRPr="0037198D" w:rsidRDefault="003442F7" w:rsidP="002A3164">
      <w:pPr>
        <w:autoSpaceDE w:val="0"/>
        <w:autoSpaceDN w:val="0"/>
        <w:adjustRightInd w:val="0"/>
        <w:spacing w:after="0" w:line="240" w:lineRule="auto"/>
        <w:contextualSpacing/>
        <w:jc w:val="both"/>
        <w:rPr>
          <w:rFonts w:ascii="Garamond" w:hAnsi="Garamond" w:cs="Brill-Italic"/>
          <w:i/>
          <w:iCs/>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proofErr w:type="spellStart"/>
      <w:r w:rsidRPr="0037198D">
        <w:rPr>
          <w:rFonts w:ascii="Garamond" w:hAnsi="Garamond" w:cs="Brill-Italic"/>
          <w:i/>
          <w:iCs/>
          <w:sz w:val="20"/>
          <w:szCs w:val="20"/>
        </w:rPr>
        <w:t>Renta</w:t>
      </w:r>
      <w:proofErr w:type="spellEnd"/>
      <w:r w:rsidRPr="0037198D">
        <w:rPr>
          <w:rFonts w:ascii="Garamond" w:hAnsi="Garamond" w:cs="Brill-Italic"/>
          <w:i/>
          <w:iCs/>
          <w:sz w:val="20"/>
          <w:szCs w:val="20"/>
        </w:rPr>
        <w:t xml:space="preserve"> 4 SVSA, </w:t>
      </w:r>
      <w:proofErr w:type="spellStart"/>
      <w:r w:rsidRPr="0037198D">
        <w:rPr>
          <w:rFonts w:ascii="Garamond" w:hAnsi="Garamond" w:cs="Brill-Italic"/>
          <w:i/>
          <w:iCs/>
          <w:sz w:val="20"/>
          <w:szCs w:val="20"/>
        </w:rPr>
        <w:t>Ahorro</w:t>
      </w:r>
      <w:proofErr w:type="spellEnd"/>
      <w:r w:rsidRPr="0037198D">
        <w:rPr>
          <w:rFonts w:ascii="Garamond" w:hAnsi="Garamond" w:cs="Brill-Italic"/>
          <w:i/>
          <w:iCs/>
          <w:sz w:val="20"/>
          <w:szCs w:val="20"/>
        </w:rPr>
        <w:t xml:space="preserve"> </w:t>
      </w:r>
      <w:proofErr w:type="spellStart"/>
      <w:r w:rsidRPr="0037198D">
        <w:rPr>
          <w:rFonts w:ascii="Garamond" w:hAnsi="Garamond" w:cs="Brill-Italic"/>
          <w:i/>
          <w:iCs/>
          <w:sz w:val="20"/>
          <w:szCs w:val="20"/>
        </w:rPr>
        <w:t>Corporación</w:t>
      </w:r>
      <w:proofErr w:type="spellEnd"/>
      <w:r w:rsidRPr="0037198D">
        <w:rPr>
          <w:rFonts w:ascii="Garamond" w:hAnsi="Garamond" w:cs="Brill-Italic"/>
          <w:i/>
          <w:iCs/>
          <w:sz w:val="20"/>
          <w:szCs w:val="20"/>
        </w:rPr>
        <w:t xml:space="preserve"> </w:t>
      </w:r>
      <w:proofErr w:type="spellStart"/>
      <w:r w:rsidRPr="0037198D">
        <w:rPr>
          <w:rFonts w:ascii="Garamond" w:hAnsi="Garamond" w:cs="Brill-Italic"/>
          <w:i/>
          <w:iCs/>
          <w:sz w:val="20"/>
          <w:szCs w:val="20"/>
        </w:rPr>
        <w:t>Emergentes</w:t>
      </w:r>
      <w:proofErr w:type="spellEnd"/>
      <w:r w:rsidRPr="0037198D">
        <w:rPr>
          <w:rFonts w:ascii="Garamond" w:hAnsi="Garamond" w:cs="Brill-Italic"/>
          <w:i/>
          <w:iCs/>
          <w:sz w:val="20"/>
          <w:szCs w:val="20"/>
        </w:rPr>
        <w:t xml:space="preserve"> FI, </w:t>
      </w:r>
      <w:proofErr w:type="spellStart"/>
      <w:r w:rsidRPr="0037198D">
        <w:rPr>
          <w:rFonts w:ascii="Garamond" w:hAnsi="Garamond" w:cs="Brill-Italic"/>
          <w:i/>
          <w:iCs/>
          <w:sz w:val="20"/>
          <w:szCs w:val="20"/>
        </w:rPr>
        <w:t>Ahorro</w:t>
      </w:r>
      <w:proofErr w:type="spellEnd"/>
      <w:r w:rsidRPr="0037198D">
        <w:rPr>
          <w:rFonts w:ascii="Garamond" w:hAnsi="Garamond" w:cs="Brill-Italic"/>
          <w:i/>
          <w:iCs/>
          <w:sz w:val="20"/>
          <w:szCs w:val="20"/>
        </w:rPr>
        <w:t xml:space="preserve"> </w:t>
      </w:r>
      <w:proofErr w:type="spellStart"/>
      <w:r w:rsidRPr="0037198D">
        <w:rPr>
          <w:rFonts w:ascii="Garamond" w:hAnsi="Garamond" w:cs="Brill-Italic"/>
          <w:i/>
          <w:iCs/>
          <w:sz w:val="20"/>
          <w:szCs w:val="20"/>
        </w:rPr>
        <w:t>Corporación</w:t>
      </w:r>
      <w:proofErr w:type="spellEnd"/>
      <w:r w:rsidRPr="0037198D">
        <w:rPr>
          <w:rFonts w:ascii="Garamond" w:hAnsi="Garamond" w:cs="Brill-Italic"/>
          <w:i/>
          <w:iCs/>
          <w:sz w:val="20"/>
          <w:szCs w:val="20"/>
        </w:rPr>
        <w:t xml:space="preserve"> </w:t>
      </w:r>
      <w:proofErr w:type="spellStart"/>
      <w:r w:rsidRPr="0037198D">
        <w:rPr>
          <w:rFonts w:ascii="Garamond" w:hAnsi="Garamond" w:cs="Brill-Italic"/>
          <w:i/>
          <w:iCs/>
          <w:sz w:val="20"/>
          <w:szCs w:val="20"/>
        </w:rPr>
        <w:t>Eurofondo</w:t>
      </w:r>
      <w:proofErr w:type="spellEnd"/>
      <w:r w:rsidRPr="0037198D">
        <w:rPr>
          <w:rFonts w:ascii="Garamond" w:hAnsi="Garamond" w:cs="Brill-Italic"/>
          <w:i/>
          <w:iCs/>
          <w:sz w:val="20"/>
          <w:szCs w:val="20"/>
        </w:rPr>
        <w:t xml:space="preserve"> FI,</w:t>
      </w:r>
      <w:r w:rsidR="00796E8C" w:rsidRPr="0037198D">
        <w:rPr>
          <w:rFonts w:ascii="Garamond" w:hAnsi="Garamond" w:cs="Brill-Italic"/>
          <w:i/>
          <w:iCs/>
          <w:sz w:val="20"/>
          <w:szCs w:val="20"/>
        </w:rPr>
        <w:t xml:space="preserve"> </w:t>
      </w:r>
      <w:proofErr w:type="spellStart"/>
      <w:r w:rsidRPr="0037198D">
        <w:rPr>
          <w:rFonts w:ascii="Garamond" w:hAnsi="Garamond" w:cs="Brill-Italic"/>
          <w:i/>
          <w:iCs/>
          <w:sz w:val="20"/>
          <w:szCs w:val="20"/>
        </w:rPr>
        <w:t>Rovime</w:t>
      </w:r>
      <w:proofErr w:type="spellEnd"/>
      <w:r w:rsidRPr="0037198D">
        <w:rPr>
          <w:rFonts w:ascii="Garamond" w:hAnsi="Garamond" w:cs="Brill-Italic"/>
          <w:i/>
          <w:iCs/>
          <w:sz w:val="20"/>
          <w:szCs w:val="20"/>
        </w:rPr>
        <w:t xml:space="preserve"> </w:t>
      </w:r>
      <w:proofErr w:type="spellStart"/>
      <w:r w:rsidRPr="0037198D">
        <w:rPr>
          <w:rFonts w:ascii="Garamond" w:hAnsi="Garamond" w:cs="Brill-Italic"/>
          <w:i/>
          <w:iCs/>
          <w:sz w:val="20"/>
          <w:szCs w:val="20"/>
        </w:rPr>
        <w:t>Inversiones</w:t>
      </w:r>
      <w:proofErr w:type="spellEnd"/>
      <w:r w:rsidRPr="0037198D">
        <w:rPr>
          <w:rFonts w:ascii="Garamond" w:hAnsi="Garamond" w:cs="Brill-Italic"/>
          <w:i/>
          <w:iCs/>
          <w:sz w:val="20"/>
          <w:szCs w:val="20"/>
        </w:rPr>
        <w:t xml:space="preserve"> SICAV SA, Quasar de </w:t>
      </w:r>
      <w:proofErr w:type="spellStart"/>
      <w:r w:rsidRPr="0037198D">
        <w:rPr>
          <w:rFonts w:ascii="Garamond" w:hAnsi="Garamond" w:cs="Brill-Italic"/>
          <w:i/>
          <w:iCs/>
          <w:sz w:val="20"/>
          <w:szCs w:val="20"/>
        </w:rPr>
        <w:t>Valors</w:t>
      </w:r>
      <w:proofErr w:type="spellEnd"/>
      <w:r w:rsidRPr="0037198D">
        <w:rPr>
          <w:rFonts w:ascii="Garamond" w:hAnsi="Garamond" w:cs="Brill-Italic"/>
          <w:i/>
          <w:iCs/>
          <w:sz w:val="20"/>
          <w:szCs w:val="20"/>
        </w:rPr>
        <w:t xml:space="preserve"> SICAV SA, </w:t>
      </w:r>
      <w:proofErr w:type="spellStart"/>
      <w:r w:rsidRPr="0037198D">
        <w:rPr>
          <w:rFonts w:ascii="Garamond" w:hAnsi="Garamond" w:cs="Brill-Italic"/>
          <w:i/>
          <w:iCs/>
          <w:sz w:val="20"/>
          <w:szCs w:val="20"/>
        </w:rPr>
        <w:t>Orgor</w:t>
      </w:r>
      <w:proofErr w:type="spellEnd"/>
      <w:r w:rsidRPr="0037198D">
        <w:rPr>
          <w:rFonts w:ascii="Garamond" w:hAnsi="Garamond" w:cs="Brill-Italic"/>
          <w:i/>
          <w:iCs/>
          <w:sz w:val="20"/>
          <w:szCs w:val="20"/>
        </w:rPr>
        <w:t xml:space="preserve"> de </w:t>
      </w:r>
      <w:proofErr w:type="spellStart"/>
      <w:r w:rsidRPr="0037198D">
        <w:rPr>
          <w:rFonts w:ascii="Garamond" w:hAnsi="Garamond" w:cs="Brill-Italic"/>
          <w:i/>
          <w:iCs/>
          <w:sz w:val="20"/>
          <w:szCs w:val="20"/>
        </w:rPr>
        <w:t>Valores</w:t>
      </w:r>
      <w:proofErr w:type="spellEnd"/>
      <w:r w:rsidRPr="0037198D">
        <w:rPr>
          <w:rFonts w:ascii="Garamond" w:hAnsi="Garamond" w:cs="Brill-Italic"/>
          <w:i/>
          <w:iCs/>
          <w:sz w:val="20"/>
          <w:szCs w:val="20"/>
        </w:rPr>
        <w:t xml:space="preserve"> SICAV SA, GBI</w:t>
      </w:r>
      <w:r w:rsidR="00796E8C" w:rsidRPr="0037198D">
        <w:rPr>
          <w:rFonts w:ascii="Garamond" w:hAnsi="Garamond" w:cs="Brill-Italic"/>
          <w:i/>
          <w:iCs/>
          <w:sz w:val="20"/>
          <w:szCs w:val="20"/>
        </w:rPr>
        <w:t xml:space="preserve"> </w:t>
      </w:r>
      <w:r w:rsidRPr="0037198D">
        <w:rPr>
          <w:rFonts w:ascii="Garamond" w:hAnsi="Garamond" w:cs="Brill-Italic"/>
          <w:i/>
          <w:iCs/>
          <w:sz w:val="20"/>
          <w:szCs w:val="20"/>
        </w:rPr>
        <w:t>9000 SICAV SA v The Russian Federation</w:t>
      </w:r>
      <w:r w:rsidRPr="0037198D">
        <w:rPr>
          <w:rFonts w:ascii="Garamond" w:eastAsia="Brill-Roman" w:hAnsi="Garamond" w:cs="Brill-Roman"/>
          <w:sz w:val="20"/>
          <w:szCs w:val="20"/>
        </w:rPr>
        <w:t>, SCC No 24/2007, Award (20 July 2012)</w:t>
      </w:r>
      <w:r w:rsidRPr="0037198D">
        <w:rPr>
          <w:rFonts w:ascii="Garamond" w:hAnsi="Garamond"/>
          <w:sz w:val="20"/>
          <w:szCs w:val="20"/>
        </w:rPr>
        <w:t xml:space="preserve"> para 21</w:t>
      </w:r>
      <w:r w:rsidR="00796E8C" w:rsidRPr="0037198D">
        <w:rPr>
          <w:rFonts w:ascii="Garamond" w:hAnsi="Garamond"/>
          <w:sz w:val="20"/>
          <w:szCs w:val="20"/>
        </w:rPr>
        <w:t>.</w:t>
      </w:r>
    </w:p>
  </w:footnote>
  <w:footnote w:id="110">
    <w:p w14:paraId="1560646D" w14:textId="5B6C38AE" w:rsidR="003442F7" w:rsidRPr="0037198D" w:rsidRDefault="003442F7" w:rsidP="002A3164">
      <w:pPr>
        <w:autoSpaceDE w:val="0"/>
        <w:autoSpaceDN w:val="0"/>
        <w:adjustRightInd w:val="0"/>
        <w:spacing w:after="0" w:line="240" w:lineRule="auto"/>
        <w:contextualSpacing/>
        <w:jc w:val="both"/>
        <w:rPr>
          <w:rFonts w:ascii="Garamond" w:eastAsia="Brill-Roman" w:hAnsi="Garamond" w:cs="Brill-Roman"/>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Ibid </w:t>
      </w:r>
      <w:r w:rsidRPr="0037198D">
        <w:rPr>
          <w:rFonts w:ascii="Garamond" w:eastAsia="Brill-Roman" w:hAnsi="Garamond" w:cs="Brill-Roman"/>
          <w:sz w:val="20"/>
          <w:szCs w:val="20"/>
        </w:rPr>
        <w:t>paras 21–23</w:t>
      </w:r>
    </w:p>
  </w:footnote>
  <w:footnote w:id="111">
    <w:p w14:paraId="4FEF32A0" w14:textId="4382A0FC" w:rsidR="003442F7" w:rsidRPr="0037198D" w:rsidRDefault="003442F7" w:rsidP="002A3164">
      <w:pPr>
        <w:autoSpaceDE w:val="0"/>
        <w:autoSpaceDN w:val="0"/>
        <w:adjustRightInd w:val="0"/>
        <w:spacing w:after="0" w:line="240" w:lineRule="auto"/>
        <w:contextualSpacing/>
        <w:rPr>
          <w:rFonts w:ascii="Garamond" w:hAnsi="Garamond" w:cs="Palatino-Roman"/>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r w:rsidRPr="0037198D">
        <w:rPr>
          <w:rFonts w:ascii="Garamond" w:hAnsi="Garamond" w:cs="Palatino-Roman"/>
          <w:sz w:val="20"/>
          <w:szCs w:val="20"/>
        </w:rPr>
        <w:t xml:space="preserve">See </w:t>
      </w:r>
      <w:proofErr w:type="spellStart"/>
      <w:r w:rsidRPr="0037198D">
        <w:rPr>
          <w:rFonts w:ascii="Garamond" w:hAnsi="Garamond" w:cs="Palatino-Roman"/>
          <w:sz w:val="20"/>
          <w:szCs w:val="20"/>
        </w:rPr>
        <w:t>eg</w:t>
      </w:r>
      <w:proofErr w:type="spellEnd"/>
      <w:r w:rsidRPr="0037198D">
        <w:rPr>
          <w:rFonts w:ascii="Garamond" w:hAnsi="Garamond" w:cs="Palatino-Roman"/>
          <w:sz w:val="20"/>
          <w:szCs w:val="20"/>
        </w:rPr>
        <w:t xml:space="preserve"> SGS </w:t>
      </w:r>
      <w:proofErr w:type="gramStart"/>
      <w:r w:rsidRPr="0037198D">
        <w:rPr>
          <w:rFonts w:ascii="Garamond" w:hAnsi="Garamond" w:cs="Palatino-Italic"/>
          <w:i/>
          <w:iCs/>
          <w:sz w:val="20"/>
          <w:szCs w:val="20"/>
        </w:rPr>
        <w:t>Société  Générale</w:t>
      </w:r>
      <w:proofErr w:type="gramEnd"/>
      <w:r w:rsidRPr="0037198D">
        <w:rPr>
          <w:rFonts w:ascii="Garamond" w:hAnsi="Garamond" w:cs="Palatino-Italic"/>
          <w:i/>
          <w:iCs/>
          <w:sz w:val="20"/>
          <w:szCs w:val="20"/>
        </w:rPr>
        <w:t xml:space="preserve"> de Surveillance SA v Philippines </w:t>
      </w:r>
      <w:r w:rsidRPr="0037198D">
        <w:rPr>
          <w:rFonts w:ascii="Garamond" w:hAnsi="Garamond" w:cs="Palatino-Roman"/>
          <w:sz w:val="20"/>
          <w:szCs w:val="20"/>
        </w:rPr>
        <w:t>, Decision on Objections to</w:t>
      </w:r>
      <w:r w:rsidR="00796E8C" w:rsidRPr="0037198D">
        <w:rPr>
          <w:rFonts w:ascii="Garamond" w:hAnsi="Garamond" w:cs="Palatino-Roman"/>
          <w:sz w:val="20"/>
          <w:szCs w:val="20"/>
        </w:rPr>
        <w:t xml:space="preserve"> </w:t>
      </w:r>
      <w:r w:rsidRPr="0037198D">
        <w:rPr>
          <w:rFonts w:ascii="Garamond" w:hAnsi="Garamond" w:cs="Palatino-Roman"/>
          <w:sz w:val="20"/>
          <w:szCs w:val="20"/>
        </w:rPr>
        <w:t xml:space="preserve">Jurisdiction and Separate Declaration, 29 January 2004 , ICSID Case No ARB/02/6, </w:t>
      </w:r>
      <w:r w:rsidRPr="0037198D">
        <w:rPr>
          <w:rFonts w:ascii="Garamond" w:hAnsi="Garamond"/>
          <w:sz w:val="20"/>
          <w:szCs w:val="20"/>
        </w:rPr>
        <w:t>para 116.</w:t>
      </w:r>
    </w:p>
  </w:footnote>
  <w:footnote w:id="112">
    <w:p w14:paraId="48BBEC0A" w14:textId="7051D73B" w:rsidR="003442F7" w:rsidRPr="0037198D" w:rsidRDefault="003442F7" w:rsidP="002A3164">
      <w:pPr>
        <w:autoSpaceDE w:val="0"/>
        <w:autoSpaceDN w:val="0"/>
        <w:adjustRightInd w:val="0"/>
        <w:spacing w:after="0" w:line="240" w:lineRule="auto"/>
        <w:contextualSpacing/>
        <w:jc w:val="both"/>
        <w:rPr>
          <w:rFonts w:ascii="Garamond" w:hAnsi="Garamond" w:cs="AdvP101883"/>
          <w:sz w:val="20"/>
          <w:szCs w:val="20"/>
        </w:rPr>
      </w:pPr>
      <w:r w:rsidRPr="0037198D">
        <w:rPr>
          <w:rStyle w:val="FootnoteReference"/>
          <w:rFonts w:ascii="Garamond" w:hAnsi="Garamond"/>
          <w:sz w:val="20"/>
          <w:szCs w:val="20"/>
        </w:rPr>
        <w:footnoteRef/>
      </w:r>
      <w:r w:rsidRPr="0037198D">
        <w:rPr>
          <w:rFonts w:ascii="Garamond" w:hAnsi="Garamond" w:cs="AdvP101883"/>
          <w:sz w:val="20"/>
          <w:szCs w:val="20"/>
        </w:rPr>
        <w:t xml:space="preserve"> </w:t>
      </w:r>
      <w:proofErr w:type="spellStart"/>
      <w:r w:rsidRPr="0037198D">
        <w:rPr>
          <w:rFonts w:ascii="Garamond" w:hAnsi="Garamond" w:cs="AdvP101883"/>
          <w:sz w:val="20"/>
          <w:szCs w:val="20"/>
        </w:rPr>
        <w:t>Paschalidis</w:t>
      </w:r>
      <w:proofErr w:type="spellEnd"/>
      <w:r w:rsidRPr="0037198D">
        <w:rPr>
          <w:rFonts w:ascii="Garamond" w:hAnsi="Garamond" w:cs="AdvP101883"/>
          <w:sz w:val="20"/>
          <w:szCs w:val="20"/>
        </w:rPr>
        <w:t>, ‘The Impact of EU State Aid Law on International Investment Law and Arbitration’ in</w:t>
      </w:r>
      <w:r w:rsidR="00796E8C" w:rsidRPr="0037198D">
        <w:rPr>
          <w:rFonts w:ascii="Garamond" w:hAnsi="Garamond" w:cs="AdvP101883"/>
          <w:sz w:val="20"/>
          <w:szCs w:val="20"/>
        </w:rPr>
        <w:t xml:space="preserve"> </w:t>
      </w:r>
      <w:proofErr w:type="spellStart"/>
      <w:r w:rsidRPr="0037198D">
        <w:rPr>
          <w:rFonts w:ascii="Garamond" w:hAnsi="Garamond" w:cs="AdvP101883"/>
          <w:sz w:val="20"/>
          <w:szCs w:val="20"/>
        </w:rPr>
        <w:t>Fach</w:t>
      </w:r>
      <w:proofErr w:type="spellEnd"/>
      <w:r w:rsidRPr="0037198D">
        <w:rPr>
          <w:rFonts w:ascii="Garamond" w:hAnsi="Garamond" w:cs="AdvP101883"/>
          <w:sz w:val="20"/>
          <w:szCs w:val="20"/>
        </w:rPr>
        <w:t xml:space="preserve"> </w:t>
      </w:r>
      <w:proofErr w:type="spellStart"/>
      <w:r w:rsidRPr="0037198D">
        <w:rPr>
          <w:rFonts w:ascii="Garamond" w:hAnsi="Garamond" w:cs="AdvP101883"/>
          <w:sz w:val="20"/>
          <w:szCs w:val="20"/>
        </w:rPr>
        <w:t>Go´mez</w:t>
      </w:r>
      <w:proofErr w:type="spellEnd"/>
      <w:r w:rsidRPr="0037198D">
        <w:rPr>
          <w:rFonts w:ascii="Garamond" w:hAnsi="Garamond" w:cs="AdvP101883"/>
          <w:sz w:val="20"/>
          <w:szCs w:val="20"/>
        </w:rPr>
        <w:t xml:space="preserve">, </w:t>
      </w:r>
      <w:proofErr w:type="spellStart"/>
      <w:r w:rsidRPr="0037198D">
        <w:rPr>
          <w:rFonts w:ascii="Garamond" w:hAnsi="Garamond" w:cs="AdvP101883"/>
          <w:sz w:val="20"/>
          <w:szCs w:val="20"/>
        </w:rPr>
        <w:t>Gourgourinis</w:t>
      </w:r>
      <w:proofErr w:type="spellEnd"/>
      <w:r w:rsidRPr="0037198D">
        <w:rPr>
          <w:rFonts w:ascii="Garamond" w:hAnsi="Garamond" w:cs="AdvP101883"/>
          <w:sz w:val="20"/>
          <w:szCs w:val="20"/>
        </w:rPr>
        <w:t xml:space="preserve"> and</w:t>
      </w:r>
      <w:r w:rsidR="00796E8C" w:rsidRPr="0037198D">
        <w:rPr>
          <w:rFonts w:ascii="Garamond" w:hAnsi="Garamond" w:cs="AdvP101883"/>
          <w:sz w:val="20"/>
          <w:szCs w:val="20"/>
        </w:rPr>
        <w:t xml:space="preserve"> </w:t>
      </w:r>
      <w:r w:rsidRPr="0037198D">
        <w:rPr>
          <w:rFonts w:ascii="Garamond" w:hAnsi="Garamond" w:cs="AdvP101883"/>
          <w:sz w:val="20"/>
          <w:szCs w:val="20"/>
        </w:rPr>
        <w:t>Titi (</w:t>
      </w:r>
      <w:r w:rsidR="00796E8C" w:rsidRPr="0037198D">
        <w:rPr>
          <w:rFonts w:ascii="Garamond" w:hAnsi="Garamond" w:cs="AdvP101883"/>
          <w:sz w:val="20"/>
          <w:szCs w:val="20"/>
        </w:rPr>
        <w:t>E</w:t>
      </w:r>
      <w:r w:rsidRPr="0037198D">
        <w:rPr>
          <w:rFonts w:ascii="Garamond" w:hAnsi="Garamond" w:cs="AdvP101883"/>
          <w:sz w:val="20"/>
          <w:szCs w:val="20"/>
        </w:rPr>
        <w:t>ds</w:t>
      </w:r>
      <w:r w:rsidR="00796E8C" w:rsidRPr="0037198D">
        <w:rPr>
          <w:rFonts w:ascii="Garamond" w:hAnsi="Garamond" w:cs="AdvP101883"/>
          <w:sz w:val="20"/>
          <w:szCs w:val="20"/>
        </w:rPr>
        <w:t>.</w:t>
      </w:r>
      <w:r w:rsidRPr="0037198D">
        <w:rPr>
          <w:rFonts w:ascii="Garamond" w:hAnsi="Garamond" w:cs="AdvP101883"/>
          <w:sz w:val="20"/>
          <w:szCs w:val="20"/>
        </w:rPr>
        <w:t xml:space="preserve">) </w:t>
      </w:r>
      <w:r w:rsidRPr="0037198D">
        <w:rPr>
          <w:rFonts w:ascii="Garamond" w:hAnsi="Garamond" w:cs="AdvP101884"/>
          <w:sz w:val="20"/>
          <w:szCs w:val="20"/>
        </w:rPr>
        <w:t xml:space="preserve">European Yearbook of International Economic Law. Special Issue: </w:t>
      </w:r>
      <w:r w:rsidRPr="0037198D">
        <w:rPr>
          <w:rFonts w:ascii="Garamond" w:hAnsi="Garamond" w:cs="AdvP101884"/>
          <w:i/>
          <w:sz w:val="20"/>
          <w:szCs w:val="20"/>
        </w:rPr>
        <w:t>International Investment Law and Competition Law</w:t>
      </w:r>
      <w:r w:rsidRPr="0037198D">
        <w:rPr>
          <w:rFonts w:ascii="Garamond" w:hAnsi="Garamond" w:cs="AdvP101884"/>
          <w:sz w:val="20"/>
          <w:szCs w:val="20"/>
        </w:rPr>
        <w:t xml:space="preserve"> </w:t>
      </w:r>
      <w:r w:rsidRPr="0037198D">
        <w:rPr>
          <w:rFonts w:ascii="Garamond" w:hAnsi="Garamond" w:cs="AdvP101883"/>
          <w:sz w:val="20"/>
          <w:szCs w:val="20"/>
        </w:rPr>
        <w:t>(Springer</w:t>
      </w:r>
      <w:r w:rsidR="00796E8C" w:rsidRPr="0037198D">
        <w:rPr>
          <w:rFonts w:ascii="Garamond" w:hAnsi="Garamond" w:cs="AdvP101883"/>
          <w:sz w:val="20"/>
          <w:szCs w:val="20"/>
        </w:rPr>
        <w:t>,</w:t>
      </w:r>
      <w:r w:rsidRPr="0037198D">
        <w:rPr>
          <w:rFonts w:ascii="Garamond" w:hAnsi="Garamond" w:cs="AdvP101883"/>
          <w:sz w:val="20"/>
          <w:szCs w:val="20"/>
        </w:rPr>
        <w:t xml:space="preserve"> 2020) </w:t>
      </w:r>
      <w:r w:rsidR="00A33965" w:rsidRPr="0037198D">
        <w:rPr>
          <w:rFonts w:ascii="Garamond" w:hAnsi="Garamond" w:cs="AdvP101883"/>
          <w:sz w:val="20"/>
          <w:szCs w:val="20"/>
        </w:rPr>
        <w:t xml:space="preserve">at p. </w:t>
      </w:r>
      <w:r w:rsidRPr="0037198D">
        <w:rPr>
          <w:rFonts w:ascii="Garamond" w:hAnsi="Garamond" w:cs="AdvP101883"/>
          <w:sz w:val="20"/>
          <w:szCs w:val="20"/>
        </w:rPr>
        <w:t>179.</w:t>
      </w:r>
    </w:p>
  </w:footnote>
  <w:footnote w:id="113">
    <w:p w14:paraId="6311089D" w14:textId="6D4CE320" w:rsidR="003442F7" w:rsidRPr="0037198D" w:rsidRDefault="003442F7" w:rsidP="002A3164">
      <w:pPr>
        <w:autoSpaceDE w:val="0"/>
        <w:autoSpaceDN w:val="0"/>
        <w:adjustRightInd w:val="0"/>
        <w:spacing w:after="0" w:line="240" w:lineRule="auto"/>
        <w:contextualSpacing/>
        <w:jc w:val="both"/>
        <w:rPr>
          <w:rFonts w:ascii="Garamond" w:hAnsi="Garamond" w:cs="AdvP101883"/>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proofErr w:type="spellStart"/>
      <w:r w:rsidRPr="0037198D">
        <w:rPr>
          <w:rFonts w:ascii="Garamond" w:hAnsi="Garamond" w:cs="AdvP101883"/>
          <w:sz w:val="20"/>
          <w:szCs w:val="20"/>
        </w:rPr>
        <w:t>Barto´k</w:t>
      </w:r>
      <w:proofErr w:type="spellEnd"/>
      <w:r w:rsidRPr="0037198D">
        <w:rPr>
          <w:rFonts w:ascii="Garamond" w:hAnsi="Garamond" w:cs="AdvP101883"/>
          <w:sz w:val="20"/>
          <w:szCs w:val="20"/>
        </w:rPr>
        <w:t xml:space="preserve"> and </w:t>
      </w:r>
      <w:proofErr w:type="spellStart"/>
      <w:r w:rsidRPr="0037198D">
        <w:rPr>
          <w:rFonts w:ascii="Garamond" w:hAnsi="Garamond" w:cs="AdvP101883"/>
          <w:sz w:val="20"/>
          <w:szCs w:val="20"/>
        </w:rPr>
        <w:t>Miroudot</w:t>
      </w:r>
      <w:proofErr w:type="spellEnd"/>
      <w:r w:rsidRPr="0037198D">
        <w:rPr>
          <w:rFonts w:ascii="Garamond" w:hAnsi="Garamond" w:cs="AdvP101883"/>
          <w:sz w:val="20"/>
          <w:szCs w:val="20"/>
        </w:rPr>
        <w:t>, ‘The Interaction amongst Trade, Investment and Competition Policies’</w:t>
      </w:r>
      <w:r w:rsidR="00BE7FDF">
        <w:rPr>
          <w:rFonts w:ascii="Garamond" w:hAnsi="Garamond" w:cs="AdvP101883"/>
          <w:sz w:val="20"/>
          <w:szCs w:val="20"/>
        </w:rPr>
        <w:t xml:space="preserve"> </w:t>
      </w:r>
      <w:r w:rsidRPr="0037198D">
        <w:rPr>
          <w:rFonts w:ascii="Garamond" w:hAnsi="Garamond" w:cs="AdvP101883"/>
          <w:sz w:val="20"/>
          <w:szCs w:val="20"/>
        </w:rPr>
        <w:t>(2008) 60 OECD Trade Policy Papers 4.</w:t>
      </w:r>
    </w:p>
  </w:footnote>
  <w:footnote w:id="114">
    <w:p w14:paraId="6EDCACAA" w14:textId="3EFBCD1A" w:rsidR="003442F7" w:rsidRPr="0037198D" w:rsidRDefault="003442F7" w:rsidP="002A3164">
      <w:pPr>
        <w:widowControl w:val="0"/>
        <w:spacing w:after="0" w:line="240" w:lineRule="auto"/>
        <w:contextualSpacing/>
        <w:jc w:val="both"/>
        <w:rPr>
          <w:rFonts w:ascii="Garamond" w:hAnsi="Garamond" w:cs="Times New Roman"/>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See </w:t>
      </w:r>
      <w:r w:rsidRPr="0037198D">
        <w:rPr>
          <w:rFonts w:ascii="Garamond" w:hAnsi="Garamond" w:cs="Times New Roman"/>
          <w:i/>
          <w:sz w:val="20"/>
          <w:szCs w:val="20"/>
        </w:rPr>
        <w:t xml:space="preserve">International </w:t>
      </w:r>
      <w:r w:rsidRPr="0037198D">
        <w:rPr>
          <w:rStyle w:val="csshit"/>
          <w:rFonts w:ascii="Garamond" w:hAnsi="Garamond" w:cs="Times New Roman"/>
          <w:i/>
          <w:sz w:val="20"/>
          <w:szCs w:val="20"/>
        </w:rPr>
        <w:t>Thunderbird</w:t>
      </w:r>
      <w:r w:rsidRPr="0037198D">
        <w:rPr>
          <w:rFonts w:ascii="Garamond" w:hAnsi="Garamond" w:cs="Times New Roman"/>
          <w:i/>
          <w:sz w:val="20"/>
          <w:szCs w:val="20"/>
        </w:rPr>
        <w:t xml:space="preserve"> Gaming Corporation v Mexico</w:t>
      </w:r>
      <w:r w:rsidRPr="0037198D">
        <w:rPr>
          <w:rFonts w:ascii="Garamond" w:hAnsi="Garamond" w:cs="Times New Roman"/>
          <w:sz w:val="20"/>
          <w:szCs w:val="20"/>
        </w:rPr>
        <w:t>, Award, 26 January 2006.</w:t>
      </w:r>
    </w:p>
  </w:footnote>
  <w:footnote w:id="115">
    <w:p w14:paraId="61F41A05" w14:textId="5DC52CDB"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See Feldman, </w:t>
      </w:r>
      <w:r w:rsidR="00796E8C" w:rsidRPr="0037198D">
        <w:rPr>
          <w:rFonts w:ascii="Garamond" w:hAnsi="Garamond"/>
        </w:rPr>
        <w:t>“</w:t>
      </w:r>
      <w:r w:rsidRPr="0037198D">
        <w:rPr>
          <w:rFonts w:ascii="Garamond" w:hAnsi="Garamond"/>
        </w:rPr>
        <w:t>State-owned Enterprises as Claimants in International Investment Arbitration</w:t>
      </w:r>
      <w:r w:rsidR="00796E8C" w:rsidRPr="0037198D">
        <w:rPr>
          <w:rFonts w:ascii="Garamond" w:hAnsi="Garamond"/>
        </w:rPr>
        <w:t>”</w:t>
      </w:r>
      <w:r w:rsidRPr="0037198D">
        <w:rPr>
          <w:rFonts w:ascii="Garamond" w:hAnsi="Garamond"/>
        </w:rPr>
        <w:t xml:space="preserve">, also </w:t>
      </w:r>
      <w:r w:rsidRPr="0037198D">
        <w:rPr>
          <w:rFonts w:ascii="Garamond" w:hAnsi="Garamond" w:cs="Arial"/>
        </w:rPr>
        <w:t xml:space="preserve">Walid Ben Hamida, </w:t>
      </w:r>
      <w:r w:rsidR="00A33965" w:rsidRPr="0037198D">
        <w:rPr>
          <w:rFonts w:ascii="Garamond" w:hAnsi="Garamond" w:cs="Arial"/>
        </w:rPr>
        <w:t>“</w:t>
      </w:r>
      <w:r w:rsidRPr="0037198D">
        <w:rPr>
          <w:rFonts w:ascii="Garamond" w:hAnsi="Garamond" w:cs="Arial"/>
        </w:rPr>
        <w:t>Sovereign FDI and international investment agreements: questions relating to the</w:t>
      </w:r>
      <w:r w:rsidRPr="0037198D">
        <w:rPr>
          <w:rFonts w:ascii="Garamond" w:hAnsi="Garamond"/>
        </w:rPr>
        <w:br/>
      </w:r>
      <w:r w:rsidRPr="0037198D">
        <w:rPr>
          <w:rFonts w:ascii="Garamond" w:hAnsi="Garamond" w:cs="Arial"/>
        </w:rPr>
        <w:t>qualification of sovereign entities and the admission of their investments under investment agreements</w:t>
      </w:r>
      <w:r w:rsidR="00A33965" w:rsidRPr="0037198D">
        <w:rPr>
          <w:rFonts w:ascii="Garamond" w:hAnsi="Garamond" w:cs="Arial"/>
        </w:rPr>
        <w:t xml:space="preserve">”, </w:t>
      </w:r>
      <w:r w:rsidRPr="0037198D">
        <w:rPr>
          <w:rFonts w:ascii="Garamond" w:hAnsi="Garamond" w:cs="Arial"/>
        </w:rPr>
        <w:t xml:space="preserve">9 Law &amp; Practice of International Courts and Tribunals </w:t>
      </w:r>
      <w:r w:rsidR="00A33965" w:rsidRPr="0037198D">
        <w:rPr>
          <w:rFonts w:ascii="Garamond" w:hAnsi="Garamond" w:cs="Arial"/>
        </w:rPr>
        <w:t>(2010)</w:t>
      </w:r>
      <w:r w:rsidRPr="0037198D">
        <w:rPr>
          <w:rFonts w:ascii="Garamond" w:hAnsi="Garamond" w:cs="Arial"/>
        </w:rPr>
        <w:t xml:space="preserve">17. See also </w:t>
      </w:r>
      <w:r w:rsidR="00A33965" w:rsidRPr="0037198D">
        <w:rPr>
          <w:rFonts w:ascii="Garamond" w:hAnsi="Garamond" w:cs="Arial"/>
        </w:rPr>
        <w:t xml:space="preserve">the </w:t>
      </w:r>
      <w:r w:rsidR="00796E8C" w:rsidRPr="0037198D">
        <w:rPr>
          <w:rFonts w:ascii="Garamond" w:hAnsi="Garamond" w:cs="Arial"/>
        </w:rPr>
        <w:t>I</w:t>
      </w:r>
      <w:r w:rsidRPr="0037198D">
        <w:rPr>
          <w:rFonts w:ascii="Garamond" w:hAnsi="Garamond" w:cs="Arial"/>
        </w:rPr>
        <w:t>nvestment Protection Agreement between the European Union and its Member States, of the one part, and the</w:t>
      </w:r>
      <w:r w:rsidRPr="0037198D">
        <w:rPr>
          <w:rFonts w:ascii="Garamond" w:hAnsi="Garamond"/>
        </w:rPr>
        <w:br/>
      </w:r>
      <w:r w:rsidRPr="0037198D">
        <w:rPr>
          <w:rFonts w:ascii="Garamond" w:hAnsi="Garamond" w:cs="Arial"/>
        </w:rPr>
        <w:t>Republic of Singapore, of the other part (signed 15 October 2018, not in force), Article 4.8. The agreement appears to implicitly cover sovereign wealth funds.</w:t>
      </w:r>
    </w:p>
  </w:footnote>
  <w:footnote w:id="116">
    <w:p w14:paraId="27E163A9" w14:textId="69DD081E"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Pr="0037198D">
        <w:rPr>
          <w:rFonts w:ascii="Garamond" w:hAnsi="Garamond"/>
          <w:i/>
        </w:rPr>
        <w:t xml:space="preserve">Masdar Solar &amp; Wind </w:t>
      </w:r>
      <w:proofErr w:type="spellStart"/>
      <w:r w:rsidRPr="0037198D">
        <w:rPr>
          <w:rFonts w:ascii="Garamond" w:hAnsi="Garamond"/>
          <w:i/>
        </w:rPr>
        <w:t>Cooperatif</w:t>
      </w:r>
      <w:proofErr w:type="spellEnd"/>
      <w:r w:rsidRPr="0037198D">
        <w:rPr>
          <w:rFonts w:ascii="Garamond" w:hAnsi="Garamond"/>
          <w:i/>
        </w:rPr>
        <w:t xml:space="preserve"> U.A. v Kingdom of Spain</w:t>
      </w:r>
      <w:r w:rsidRPr="0037198D">
        <w:rPr>
          <w:rFonts w:ascii="Garamond" w:hAnsi="Garamond"/>
        </w:rPr>
        <w:t xml:space="preserve">, </w:t>
      </w:r>
      <w:r w:rsidRPr="0037198D">
        <w:rPr>
          <w:rStyle w:val="markedcontent"/>
          <w:rFonts w:ascii="Garamond" w:hAnsi="Garamond"/>
        </w:rPr>
        <w:t>ICSID Case No. ARB/14/1, Award, 16 May 2018</w:t>
      </w:r>
      <w:r w:rsidR="0037198D">
        <w:rPr>
          <w:rStyle w:val="markedcontent"/>
          <w:rFonts w:ascii="Garamond" w:hAnsi="Garamond"/>
        </w:rPr>
        <w:t>.</w:t>
      </w:r>
    </w:p>
  </w:footnote>
  <w:footnote w:id="117">
    <w:p w14:paraId="09981046" w14:textId="01A92646"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 para 230</w:t>
      </w:r>
    </w:p>
  </w:footnote>
  <w:footnote w:id="118">
    <w:p w14:paraId="432F1AA2" w14:textId="4CA74BD2"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 paras 253-4</w:t>
      </w:r>
    </w:p>
  </w:footnote>
  <w:footnote w:id="119">
    <w:p w14:paraId="7DC847BE" w14:textId="7056AE70"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796E8C" w:rsidRPr="0037198D">
        <w:rPr>
          <w:rFonts w:ascii="Garamond" w:hAnsi="Garamond"/>
        </w:rPr>
        <w:t>COM (2021) 66 final,</w:t>
      </w:r>
      <w:r w:rsidR="00A33965" w:rsidRPr="0037198D">
        <w:rPr>
          <w:rFonts w:ascii="Garamond" w:hAnsi="Garamond"/>
        </w:rPr>
        <w:t xml:space="preserve"> </w:t>
      </w:r>
      <w:r w:rsidR="00796E8C" w:rsidRPr="0037198D">
        <w:rPr>
          <w:rFonts w:ascii="Garamond" w:hAnsi="Garamond"/>
        </w:rPr>
        <w:t>“</w:t>
      </w:r>
      <w:r w:rsidRPr="0037198D">
        <w:rPr>
          <w:rFonts w:ascii="Garamond" w:hAnsi="Garamond"/>
        </w:rPr>
        <w:t>Trade Policy Review - An Open, Sustainable and Assertive Trade Policy</w:t>
      </w:r>
      <w:r w:rsidR="00796E8C" w:rsidRPr="0037198D">
        <w:rPr>
          <w:rFonts w:ascii="Garamond" w:hAnsi="Garamond"/>
        </w:rPr>
        <w:t>”, at p. 10.</w:t>
      </w:r>
    </w:p>
  </w:footnote>
  <w:footnote w:id="120">
    <w:p w14:paraId="06945948" w14:textId="6256F483"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A33965" w:rsidRPr="0037198D">
        <w:rPr>
          <w:rFonts w:ascii="Garamond" w:hAnsi="Garamond"/>
        </w:rPr>
        <w:t>For discussions of various manifestations of this asymmetry,</w:t>
      </w:r>
      <w:r w:rsidR="0037198D">
        <w:rPr>
          <w:rFonts w:ascii="Garamond" w:hAnsi="Garamond"/>
        </w:rPr>
        <w:t xml:space="preserve"> see </w:t>
      </w:r>
      <w:proofErr w:type="spellStart"/>
      <w:r w:rsidR="0037198D" w:rsidRPr="0037198D">
        <w:rPr>
          <w:rFonts w:ascii="Garamond" w:hAnsi="Garamond"/>
        </w:rPr>
        <w:t>Gathii</w:t>
      </w:r>
      <w:proofErr w:type="spellEnd"/>
      <w:r w:rsidR="0037198D" w:rsidRPr="0037198D">
        <w:rPr>
          <w:rFonts w:ascii="Garamond" w:hAnsi="Garamond"/>
        </w:rPr>
        <w:t xml:space="preserve"> and Puig, “</w:t>
      </w:r>
      <w:r w:rsidR="0037198D" w:rsidRPr="0037198D">
        <w:rPr>
          <w:rFonts w:ascii="Garamond" w:hAnsi="Garamond"/>
          <w:bCs/>
        </w:rPr>
        <w:t>Investor Responsibility: The Next Frontier in International Investment Law”, 113 AJIL Unbound (2019)</w:t>
      </w:r>
      <w:r w:rsidR="0037198D">
        <w:rPr>
          <w:rFonts w:ascii="Garamond" w:hAnsi="Garamond"/>
        </w:rPr>
        <w:t>1</w:t>
      </w:r>
      <w:r w:rsidR="00796E8C" w:rsidRPr="0037198D">
        <w:rPr>
          <w:rFonts w:ascii="Garamond" w:hAnsi="Garamond"/>
        </w:rPr>
        <w:t>.</w:t>
      </w:r>
    </w:p>
  </w:footnote>
  <w:footnote w:id="121">
    <w:p w14:paraId="741A6CD3" w14:textId="58FBA223" w:rsidR="003442F7" w:rsidRPr="0037198D" w:rsidRDefault="003442F7" w:rsidP="002A3164">
      <w:pPr>
        <w:pStyle w:val="FootnoteText"/>
        <w:contextualSpacing/>
        <w:jc w:val="both"/>
        <w:rPr>
          <w:rFonts w:ascii="Garamond" w:hAnsi="Garamond"/>
          <w:bCs/>
        </w:rPr>
      </w:pPr>
      <w:r w:rsidRPr="0037198D">
        <w:rPr>
          <w:rStyle w:val="FootnoteReference"/>
          <w:rFonts w:ascii="Garamond" w:hAnsi="Garamond"/>
        </w:rPr>
        <w:footnoteRef/>
      </w:r>
      <w:r w:rsidRPr="0037198D">
        <w:rPr>
          <w:rFonts w:ascii="Garamond" w:hAnsi="Garamond"/>
        </w:rPr>
        <w:t xml:space="preserve"> </w:t>
      </w:r>
      <w:r w:rsidR="0037198D">
        <w:rPr>
          <w:rFonts w:ascii="Garamond" w:hAnsi="Garamond"/>
        </w:rPr>
        <w:t>Ibid</w:t>
      </w:r>
      <w:r w:rsidR="00796E8C" w:rsidRPr="0037198D">
        <w:rPr>
          <w:rFonts w:ascii="Garamond" w:hAnsi="Garamond"/>
          <w:bCs/>
        </w:rPr>
        <w:t xml:space="preserve"> at</w:t>
      </w:r>
      <w:r w:rsidRPr="0037198D">
        <w:rPr>
          <w:rFonts w:ascii="Garamond" w:hAnsi="Garamond"/>
          <w:bCs/>
        </w:rPr>
        <w:t xml:space="preserve"> </w:t>
      </w:r>
      <w:r w:rsidR="0037198D">
        <w:rPr>
          <w:rFonts w:ascii="Garamond" w:hAnsi="Garamond"/>
          <w:bCs/>
        </w:rPr>
        <w:t xml:space="preserve">p. </w:t>
      </w:r>
      <w:r w:rsidRPr="0037198D">
        <w:rPr>
          <w:rFonts w:ascii="Garamond" w:hAnsi="Garamond"/>
          <w:bCs/>
        </w:rPr>
        <w:t xml:space="preserve">1. </w:t>
      </w:r>
    </w:p>
  </w:footnote>
  <w:footnote w:id="122">
    <w:p w14:paraId="0AB9BCC1" w14:textId="41409773" w:rsidR="003442F7" w:rsidRPr="0037198D" w:rsidRDefault="003442F7" w:rsidP="00E1789E">
      <w:pPr>
        <w:autoSpaceDE w:val="0"/>
        <w:autoSpaceDN w:val="0"/>
        <w:adjustRightInd w:val="0"/>
        <w:snapToGrid w:val="0"/>
        <w:spacing w:after="0" w:line="240" w:lineRule="auto"/>
        <w:rPr>
          <w:rFonts w:ascii="Garamond" w:hAnsi="Garamond" w:cs="AdvOT1ef757c0"/>
          <w:sz w:val="20"/>
          <w:szCs w:val="20"/>
        </w:rPr>
      </w:pPr>
      <w:r w:rsidRPr="0037198D">
        <w:rPr>
          <w:rStyle w:val="FootnoteReference"/>
          <w:rFonts w:ascii="Garamond" w:hAnsi="Garamond"/>
          <w:sz w:val="20"/>
          <w:szCs w:val="20"/>
        </w:rPr>
        <w:footnoteRef/>
      </w:r>
      <w:r w:rsidRPr="0037198D">
        <w:rPr>
          <w:rFonts w:ascii="Garamond" w:hAnsi="Garamond"/>
          <w:sz w:val="20"/>
          <w:szCs w:val="20"/>
        </w:rPr>
        <w:t xml:space="preserve"> </w:t>
      </w:r>
      <w:r w:rsidRPr="0037198D">
        <w:rPr>
          <w:rFonts w:ascii="Garamond" w:hAnsi="Garamond" w:cs="AdvP94BD"/>
          <w:sz w:val="20"/>
          <w:szCs w:val="20"/>
        </w:rPr>
        <w:t xml:space="preserve">van </w:t>
      </w:r>
      <w:proofErr w:type="spellStart"/>
      <w:r w:rsidRPr="0037198D">
        <w:rPr>
          <w:rFonts w:ascii="Garamond" w:hAnsi="Garamond" w:cs="AdvP94BD"/>
          <w:sz w:val="20"/>
          <w:szCs w:val="20"/>
        </w:rPr>
        <w:t>Harten</w:t>
      </w:r>
      <w:proofErr w:type="spellEnd"/>
      <w:r w:rsidRPr="0037198D">
        <w:rPr>
          <w:rFonts w:ascii="Garamond" w:hAnsi="Garamond" w:cs="AdvOT1ef757c0"/>
          <w:sz w:val="20"/>
          <w:szCs w:val="20"/>
        </w:rPr>
        <w:t>, ‘Reforming the system of international</w:t>
      </w:r>
      <w:r w:rsidR="00796E8C" w:rsidRPr="0037198D">
        <w:rPr>
          <w:rFonts w:ascii="Garamond" w:hAnsi="Garamond" w:cs="AdvOT1ef757c0"/>
          <w:sz w:val="20"/>
          <w:szCs w:val="20"/>
        </w:rPr>
        <w:t xml:space="preserve"> </w:t>
      </w:r>
      <w:r w:rsidRPr="0037198D">
        <w:rPr>
          <w:rFonts w:ascii="Garamond" w:hAnsi="Garamond" w:cs="AdvOT1ef757c0"/>
          <w:sz w:val="20"/>
          <w:szCs w:val="20"/>
        </w:rPr>
        <w:t>investment dispute settlement’ in Lim (</w:t>
      </w:r>
      <w:r w:rsidR="00796E8C" w:rsidRPr="0037198D">
        <w:rPr>
          <w:rFonts w:ascii="Garamond" w:hAnsi="Garamond" w:cs="AdvOT1ef757c0"/>
          <w:sz w:val="20"/>
          <w:szCs w:val="20"/>
        </w:rPr>
        <w:t>E</w:t>
      </w:r>
      <w:r w:rsidRPr="0037198D">
        <w:rPr>
          <w:rFonts w:ascii="Garamond" w:hAnsi="Garamond" w:cs="AdvOT1ef757c0"/>
          <w:sz w:val="20"/>
          <w:szCs w:val="20"/>
        </w:rPr>
        <w:t>d</w:t>
      </w:r>
      <w:r w:rsidR="00796E8C" w:rsidRPr="0037198D">
        <w:rPr>
          <w:rFonts w:ascii="Garamond" w:hAnsi="Garamond" w:cs="AdvOT1ef757c0"/>
          <w:sz w:val="20"/>
          <w:szCs w:val="20"/>
        </w:rPr>
        <w:t>.</w:t>
      </w:r>
      <w:r w:rsidRPr="0037198D">
        <w:rPr>
          <w:rFonts w:ascii="Garamond" w:hAnsi="Garamond" w:cs="AdvOT1ef757c0"/>
          <w:sz w:val="20"/>
          <w:szCs w:val="20"/>
        </w:rPr>
        <w:t xml:space="preserve">) </w:t>
      </w:r>
      <w:r w:rsidRPr="0037198D">
        <w:rPr>
          <w:rFonts w:ascii="Garamond" w:hAnsi="Garamond" w:cs="AdvOT1ef757c0"/>
          <w:i/>
          <w:sz w:val="20"/>
          <w:szCs w:val="20"/>
        </w:rPr>
        <w:t>Alternative Visions of the International Law on Foreign Investment</w:t>
      </w:r>
      <w:r w:rsidRPr="0037198D">
        <w:rPr>
          <w:rFonts w:ascii="Garamond" w:hAnsi="Garamond" w:cs="AdvOT1ef757c0"/>
          <w:sz w:val="20"/>
          <w:szCs w:val="20"/>
        </w:rPr>
        <w:t xml:space="preserve"> (</w:t>
      </w:r>
      <w:r w:rsidR="00796E8C" w:rsidRPr="0037198D">
        <w:rPr>
          <w:rFonts w:ascii="Garamond" w:hAnsi="Garamond" w:cs="AdvOT1ef757c0"/>
          <w:sz w:val="20"/>
          <w:szCs w:val="20"/>
        </w:rPr>
        <w:t xml:space="preserve">CUP, </w:t>
      </w:r>
      <w:r w:rsidRPr="0037198D">
        <w:rPr>
          <w:rFonts w:ascii="Garamond" w:hAnsi="Garamond" w:cs="AdvOT1ef757c0"/>
          <w:sz w:val="20"/>
          <w:szCs w:val="20"/>
        </w:rPr>
        <w:t>2016)</w:t>
      </w:r>
      <w:r w:rsidR="00796E8C" w:rsidRPr="0037198D">
        <w:rPr>
          <w:rFonts w:ascii="Garamond" w:hAnsi="Garamond" w:cs="AdvOT1ef757c0"/>
          <w:sz w:val="20"/>
          <w:szCs w:val="20"/>
        </w:rPr>
        <w:t>, at</w:t>
      </w:r>
      <w:r w:rsidRPr="0037198D">
        <w:rPr>
          <w:rFonts w:ascii="Garamond" w:hAnsi="Garamond" w:cs="AdvOT1ef757c0"/>
          <w:sz w:val="20"/>
          <w:szCs w:val="20"/>
        </w:rPr>
        <w:t xml:space="preserve"> </w:t>
      </w:r>
      <w:r w:rsidRPr="0037198D">
        <w:rPr>
          <w:rFonts w:ascii="Garamond" w:hAnsi="Garamond"/>
          <w:sz w:val="20"/>
          <w:szCs w:val="20"/>
        </w:rPr>
        <w:t>123</w:t>
      </w:r>
      <w:r w:rsidR="00796E8C" w:rsidRPr="0037198D">
        <w:rPr>
          <w:rFonts w:ascii="Garamond" w:hAnsi="Garamond"/>
          <w:sz w:val="20"/>
          <w:szCs w:val="20"/>
        </w:rPr>
        <w:t>.</w:t>
      </w:r>
    </w:p>
  </w:footnote>
  <w:footnote w:id="123">
    <w:p w14:paraId="0DA888BF" w14:textId="0E9DB4E5" w:rsidR="003442F7" w:rsidRPr="0037198D" w:rsidRDefault="003442F7" w:rsidP="00E1789E">
      <w:pPr>
        <w:pStyle w:val="FootnoteText"/>
        <w:snapToGrid w:val="0"/>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Gathii</w:t>
      </w:r>
      <w:proofErr w:type="spellEnd"/>
      <w:r w:rsidRPr="0037198D">
        <w:rPr>
          <w:rFonts w:ascii="Garamond" w:hAnsi="Garamond"/>
        </w:rPr>
        <w:t xml:space="preserve"> and Puig, </w:t>
      </w:r>
      <w:r w:rsidR="00A33965" w:rsidRPr="0037198D">
        <w:rPr>
          <w:rFonts w:ascii="Garamond" w:hAnsi="Garamond"/>
        </w:rPr>
        <w:t>“</w:t>
      </w:r>
      <w:r w:rsidR="00A33965" w:rsidRPr="0037198D">
        <w:rPr>
          <w:rFonts w:ascii="Garamond" w:hAnsi="Garamond"/>
          <w:bCs/>
        </w:rPr>
        <w:t>Investor Responsibility”.</w:t>
      </w:r>
    </w:p>
  </w:footnote>
  <w:footnote w:id="124">
    <w:p w14:paraId="5B740855" w14:textId="33299C56"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Puig &amp; Shaffer, </w:t>
      </w:r>
      <w:r w:rsidR="00796E8C" w:rsidRPr="0037198D">
        <w:rPr>
          <w:rFonts w:ascii="Garamond" w:hAnsi="Garamond"/>
        </w:rPr>
        <w:t>“</w:t>
      </w:r>
      <w:r w:rsidRPr="0037198D">
        <w:rPr>
          <w:rFonts w:ascii="Garamond" w:hAnsi="Garamond"/>
        </w:rPr>
        <w:t>Imperfect Alternatives: Institutional Choice and the Reform of Investment Law</w:t>
      </w:r>
      <w:r w:rsidR="00796E8C" w:rsidRPr="0037198D">
        <w:rPr>
          <w:rFonts w:ascii="Garamond" w:hAnsi="Garamond"/>
        </w:rPr>
        <w:t>”,</w:t>
      </w:r>
      <w:r w:rsidRPr="0037198D">
        <w:rPr>
          <w:rFonts w:ascii="Garamond" w:hAnsi="Garamond"/>
        </w:rPr>
        <w:t xml:space="preserve"> 112 AJIL</w:t>
      </w:r>
      <w:r w:rsidR="00796E8C" w:rsidRPr="0037198D">
        <w:rPr>
          <w:rFonts w:ascii="Garamond" w:hAnsi="Garamond"/>
        </w:rPr>
        <w:t xml:space="preserve"> (2018)</w:t>
      </w:r>
      <w:r w:rsidRPr="0037198D">
        <w:rPr>
          <w:rFonts w:ascii="Garamond" w:hAnsi="Garamond"/>
        </w:rPr>
        <w:t xml:space="preserve"> 361, </w:t>
      </w:r>
      <w:r w:rsidR="00796E8C" w:rsidRPr="0037198D">
        <w:rPr>
          <w:rFonts w:ascii="Garamond" w:hAnsi="Garamond"/>
        </w:rPr>
        <w:t xml:space="preserve">at </w:t>
      </w:r>
      <w:r w:rsidRPr="0037198D">
        <w:rPr>
          <w:rFonts w:ascii="Garamond" w:hAnsi="Garamond"/>
        </w:rPr>
        <w:t>367.</w:t>
      </w:r>
    </w:p>
  </w:footnote>
  <w:footnote w:id="125">
    <w:p w14:paraId="5BB60530" w14:textId="2DF93106"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Pr="0037198D">
        <w:rPr>
          <w:rFonts w:ascii="Garamond" w:hAnsi="Garamond"/>
        </w:rPr>
        <w:t>Simma</w:t>
      </w:r>
      <w:proofErr w:type="spellEnd"/>
      <w:r w:rsidRPr="0037198D">
        <w:rPr>
          <w:rFonts w:ascii="Garamond" w:hAnsi="Garamond"/>
        </w:rPr>
        <w:t xml:space="preserve">, </w:t>
      </w:r>
      <w:r w:rsidR="00796E8C" w:rsidRPr="0037198D">
        <w:rPr>
          <w:rFonts w:ascii="Garamond" w:hAnsi="Garamond"/>
        </w:rPr>
        <w:t>“</w:t>
      </w:r>
      <w:r w:rsidRPr="0037198D">
        <w:rPr>
          <w:rFonts w:ascii="Garamond" w:hAnsi="Garamond"/>
        </w:rPr>
        <w:t>Foreign Invest</w:t>
      </w:r>
      <w:r w:rsidR="00796E8C" w:rsidRPr="0037198D">
        <w:rPr>
          <w:rFonts w:ascii="Garamond" w:hAnsi="Garamond"/>
        </w:rPr>
        <w:t>m</w:t>
      </w:r>
      <w:r w:rsidRPr="0037198D">
        <w:rPr>
          <w:rFonts w:ascii="Garamond" w:hAnsi="Garamond"/>
        </w:rPr>
        <w:t>ent Arbitration: A Place for Human Rights?</w:t>
      </w:r>
      <w:r w:rsidR="00796E8C" w:rsidRPr="0037198D">
        <w:rPr>
          <w:rFonts w:ascii="Garamond" w:hAnsi="Garamond"/>
        </w:rPr>
        <w:t>”,</w:t>
      </w:r>
      <w:r w:rsidRPr="0037198D">
        <w:rPr>
          <w:rFonts w:ascii="Garamond" w:hAnsi="Garamond"/>
        </w:rPr>
        <w:t xml:space="preserve"> 60 ICLQ</w:t>
      </w:r>
      <w:r w:rsidR="00796E8C" w:rsidRPr="0037198D">
        <w:rPr>
          <w:rFonts w:ascii="Garamond" w:hAnsi="Garamond"/>
        </w:rPr>
        <w:t xml:space="preserve"> (2011)</w:t>
      </w:r>
      <w:r w:rsidRPr="0037198D">
        <w:rPr>
          <w:rFonts w:ascii="Garamond" w:hAnsi="Garamond"/>
        </w:rPr>
        <w:t xml:space="preserve"> 573,</w:t>
      </w:r>
      <w:r w:rsidR="00796E8C" w:rsidRPr="0037198D">
        <w:rPr>
          <w:rFonts w:ascii="Garamond" w:hAnsi="Garamond"/>
        </w:rPr>
        <w:t xml:space="preserve"> at</w:t>
      </w:r>
      <w:r w:rsidRPr="0037198D">
        <w:rPr>
          <w:rFonts w:ascii="Garamond" w:hAnsi="Garamond"/>
        </w:rPr>
        <w:t xml:space="preserve"> 591</w:t>
      </w:r>
      <w:r w:rsidR="00796E8C" w:rsidRPr="0037198D">
        <w:rPr>
          <w:rFonts w:ascii="Garamond" w:hAnsi="Garamond"/>
        </w:rPr>
        <w:t>.</w:t>
      </w:r>
    </w:p>
  </w:footnote>
  <w:footnote w:id="126">
    <w:p w14:paraId="70D67A82" w14:textId="3BA35729"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ibid</w:t>
      </w:r>
    </w:p>
  </w:footnote>
  <w:footnote w:id="127">
    <w:p w14:paraId="6FD137E2" w14:textId="46BC2E20" w:rsidR="00161AA6" w:rsidRPr="0037198D" w:rsidRDefault="00161AA6" w:rsidP="002A3164">
      <w:pPr>
        <w:pStyle w:val="FootnoteText"/>
        <w:contextualSpacing/>
        <w:jc w:val="both"/>
        <w:rPr>
          <w:rFonts w:ascii="Garamond" w:hAnsi="Garamond"/>
          <w:color w:val="000000" w:themeColor="text1"/>
        </w:rPr>
      </w:pPr>
      <w:r w:rsidRPr="0037198D">
        <w:rPr>
          <w:rStyle w:val="FootnoteReference"/>
          <w:rFonts w:ascii="Garamond" w:hAnsi="Garamond"/>
          <w:color w:val="000000" w:themeColor="text1"/>
        </w:rPr>
        <w:footnoteRef/>
      </w:r>
      <w:r w:rsidRPr="0037198D">
        <w:rPr>
          <w:rFonts w:ascii="Garamond" w:hAnsi="Garamond"/>
          <w:color w:val="000000" w:themeColor="text1"/>
        </w:rPr>
        <w:t xml:space="preserve"> </w:t>
      </w:r>
      <w:r w:rsidRPr="0037198D">
        <w:rPr>
          <w:rFonts w:ascii="Garamond" w:hAnsi="Garamond" w:cs="Times New Roman"/>
          <w:color w:val="000000" w:themeColor="text1"/>
          <w:lang w:val="en-US"/>
        </w:rPr>
        <w:t xml:space="preserve">Gregory Shaffer, </w:t>
      </w:r>
      <w:r w:rsidR="007014D4" w:rsidRPr="0037198D">
        <w:rPr>
          <w:rFonts w:ascii="Garamond" w:hAnsi="Garamond" w:cs="Times New Roman"/>
          <w:color w:val="000000" w:themeColor="text1"/>
          <w:lang w:val="en-US"/>
        </w:rPr>
        <w:t>“</w:t>
      </w:r>
      <w:r w:rsidRPr="0037198D">
        <w:rPr>
          <w:rFonts w:ascii="Garamond" w:hAnsi="Garamond" w:cs="Times New Roman"/>
          <w:color w:val="000000" w:themeColor="text1"/>
          <w:lang w:val="en-US"/>
        </w:rPr>
        <w:t>Retooling Trade Agreements for Social Inclusion</w:t>
      </w:r>
      <w:r w:rsidR="007014D4" w:rsidRPr="0037198D">
        <w:rPr>
          <w:rFonts w:ascii="Garamond" w:hAnsi="Garamond" w:cs="Times New Roman"/>
          <w:color w:val="000000" w:themeColor="text1"/>
          <w:lang w:val="en-US"/>
        </w:rPr>
        <w:t>,”</w:t>
      </w:r>
      <w:r w:rsidRPr="0037198D">
        <w:rPr>
          <w:rFonts w:ascii="Garamond" w:hAnsi="Garamond" w:cs="Times New Roman"/>
          <w:color w:val="000000" w:themeColor="text1"/>
          <w:lang w:val="en-US"/>
        </w:rPr>
        <w:t xml:space="preserve"> U Ill L Rev </w:t>
      </w:r>
      <w:r w:rsidR="007014D4" w:rsidRPr="0037198D">
        <w:rPr>
          <w:rFonts w:ascii="Garamond" w:hAnsi="Garamond" w:cs="Times New Roman"/>
          <w:color w:val="000000" w:themeColor="text1"/>
          <w:lang w:val="en-US"/>
        </w:rPr>
        <w:t xml:space="preserve">(2019) </w:t>
      </w:r>
      <w:r w:rsidRPr="0037198D">
        <w:rPr>
          <w:rFonts w:ascii="Garamond" w:hAnsi="Garamond" w:cs="Times New Roman"/>
          <w:color w:val="000000" w:themeColor="text1"/>
          <w:lang w:val="en-US"/>
        </w:rPr>
        <w:t>1.</w:t>
      </w:r>
    </w:p>
  </w:footnote>
  <w:footnote w:id="128">
    <w:p w14:paraId="39B489D4" w14:textId="1D41F0CF" w:rsidR="00161AA6" w:rsidRPr="0037198D" w:rsidRDefault="00161AA6" w:rsidP="002A3164">
      <w:pPr>
        <w:widowControl w:val="0"/>
        <w:autoSpaceDE w:val="0"/>
        <w:autoSpaceDN w:val="0"/>
        <w:adjustRightInd w:val="0"/>
        <w:spacing w:after="0" w:line="240" w:lineRule="auto"/>
        <w:contextualSpacing/>
        <w:jc w:val="both"/>
        <w:rPr>
          <w:rFonts w:ascii="Garamond" w:eastAsia="Times New Roman" w:hAnsi="Garamond" w:cstheme="minorHAnsi"/>
          <w:color w:val="000000" w:themeColor="text1"/>
          <w:sz w:val="20"/>
          <w:szCs w:val="20"/>
        </w:rPr>
      </w:pPr>
      <w:r w:rsidRPr="0037198D">
        <w:rPr>
          <w:rStyle w:val="FootnoteReference"/>
          <w:rFonts w:ascii="Garamond" w:hAnsi="Garamond" w:cstheme="minorHAnsi"/>
          <w:color w:val="000000" w:themeColor="text1"/>
          <w:sz w:val="20"/>
          <w:szCs w:val="20"/>
        </w:rPr>
        <w:footnoteRef/>
      </w:r>
      <w:r w:rsidRPr="0037198D">
        <w:rPr>
          <w:rFonts w:ascii="Garamond" w:hAnsi="Garamond" w:cstheme="minorHAnsi"/>
          <w:color w:val="000000" w:themeColor="text1"/>
          <w:sz w:val="20"/>
          <w:szCs w:val="20"/>
        </w:rPr>
        <w:t xml:space="preserve"> UNCTAD, </w:t>
      </w:r>
      <w:r w:rsidRPr="0037198D">
        <w:rPr>
          <w:rFonts w:ascii="Garamond" w:hAnsi="Garamond" w:cstheme="minorHAnsi"/>
          <w:i/>
          <w:color w:val="000000" w:themeColor="text1"/>
          <w:sz w:val="20"/>
          <w:szCs w:val="20"/>
        </w:rPr>
        <w:t>World Investment Report 2015: Reforming International Investment Governance</w:t>
      </w:r>
      <w:r w:rsidRPr="0037198D">
        <w:rPr>
          <w:rFonts w:ascii="Garamond" w:hAnsi="Garamond" w:cstheme="minorHAnsi"/>
          <w:color w:val="000000" w:themeColor="text1"/>
          <w:sz w:val="20"/>
          <w:szCs w:val="20"/>
        </w:rPr>
        <w:t>, 126.</w:t>
      </w:r>
      <w:r w:rsidR="002A3164" w:rsidRPr="0037198D">
        <w:rPr>
          <w:rFonts w:ascii="Garamond" w:hAnsi="Garamond" w:cstheme="minorHAnsi"/>
          <w:color w:val="000000" w:themeColor="text1"/>
          <w:sz w:val="20"/>
          <w:szCs w:val="20"/>
        </w:rPr>
        <w:t xml:space="preserve"> For further discussion, see </w:t>
      </w:r>
      <w:proofErr w:type="spellStart"/>
      <w:r w:rsidR="002A3164" w:rsidRPr="0037198D">
        <w:rPr>
          <w:rFonts w:ascii="Garamond" w:hAnsi="Garamond" w:cstheme="minorHAnsi"/>
          <w:color w:val="000000" w:themeColor="text1"/>
          <w:sz w:val="20"/>
          <w:szCs w:val="20"/>
        </w:rPr>
        <w:t>Sattorova</w:t>
      </w:r>
      <w:proofErr w:type="spellEnd"/>
      <w:r w:rsidR="002A3164" w:rsidRPr="0037198D">
        <w:rPr>
          <w:rFonts w:ascii="Garamond" w:hAnsi="Garamond" w:cstheme="minorHAnsi"/>
          <w:color w:val="000000" w:themeColor="text1"/>
          <w:sz w:val="20"/>
          <w:szCs w:val="20"/>
        </w:rPr>
        <w:t>, “</w:t>
      </w:r>
      <w:r w:rsidR="002A3164" w:rsidRPr="0037198D">
        <w:rPr>
          <w:rFonts w:ascii="Garamond" w:eastAsia="Times New Roman" w:hAnsi="Garamond" w:cstheme="minorHAnsi"/>
          <w:color w:val="000000" w:themeColor="text1"/>
          <w:sz w:val="20"/>
          <w:szCs w:val="20"/>
        </w:rPr>
        <w:t xml:space="preserve">The Foreign Investor as a Good Citizen: Investor Obligations to Do Good” in Ho and </w:t>
      </w:r>
      <w:proofErr w:type="spellStart"/>
      <w:r w:rsidR="002A3164" w:rsidRPr="0037198D">
        <w:rPr>
          <w:rFonts w:ascii="Garamond" w:eastAsia="Times New Roman" w:hAnsi="Garamond" w:cstheme="minorHAnsi"/>
          <w:color w:val="000000" w:themeColor="text1"/>
          <w:sz w:val="20"/>
          <w:szCs w:val="20"/>
        </w:rPr>
        <w:t>Sattorova</w:t>
      </w:r>
      <w:proofErr w:type="spellEnd"/>
      <w:r w:rsidR="002A3164" w:rsidRPr="0037198D">
        <w:rPr>
          <w:rFonts w:ascii="Garamond" w:eastAsia="Times New Roman" w:hAnsi="Garamond" w:cstheme="minorHAnsi"/>
          <w:color w:val="000000" w:themeColor="text1"/>
          <w:sz w:val="20"/>
          <w:szCs w:val="20"/>
        </w:rPr>
        <w:t xml:space="preserve"> (Eds.) </w:t>
      </w:r>
      <w:r w:rsidR="002A3164" w:rsidRPr="0037198D">
        <w:rPr>
          <w:rFonts w:ascii="Garamond" w:eastAsia="Times New Roman" w:hAnsi="Garamond" w:cstheme="minorHAnsi"/>
          <w:i/>
          <w:color w:val="000000" w:themeColor="text1"/>
          <w:sz w:val="20"/>
          <w:szCs w:val="20"/>
        </w:rPr>
        <w:t>Investors’ International Law</w:t>
      </w:r>
      <w:r w:rsidR="002A3164" w:rsidRPr="0037198D">
        <w:rPr>
          <w:rFonts w:ascii="Garamond" w:eastAsia="Times New Roman" w:hAnsi="Garamond" w:cstheme="minorHAnsi"/>
          <w:color w:val="000000" w:themeColor="text1"/>
          <w:sz w:val="20"/>
          <w:szCs w:val="20"/>
        </w:rPr>
        <w:t xml:space="preserve"> (Bloomsbury, 2021) 45.</w:t>
      </w:r>
    </w:p>
  </w:footnote>
  <w:footnote w:id="129">
    <w:p w14:paraId="3637936C" w14:textId="67F2872D" w:rsidR="003442F7" w:rsidRPr="0037198D" w:rsidRDefault="003442F7" w:rsidP="002A3164">
      <w:pPr>
        <w:pStyle w:val="FootnoteText"/>
        <w:contextualSpacing/>
        <w:jc w:val="both"/>
        <w:rPr>
          <w:rFonts w:ascii="Garamond" w:hAnsi="Garamond"/>
          <w:bCs/>
        </w:rPr>
      </w:pPr>
      <w:r w:rsidRPr="0037198D">
        <w:rPr>
          <w:rStyle w:val="FootnoteReference"/>
          <w:rFonts w:ascii="Garamond" w:hAnsi="Garamond"/>
        </w:rPr>
        <w:footnoteRef/>
      </w:r>
      <w:r w:rsidRPr="0037198D">
        <w:rPr>
          <w:rFonts w:ascii="Garamond" w:hAnsi="Garamond"/>
        </w:rPr>
        <w:t xml:space="preserve"> Simon, </w:t>
      </w:r>
      <w:r w:rsidR="00796E8C" w:rsidRPr="0037198D">
        <w:rPr>
          <w:rFonts w:ascii="Garamond" w:hAnsi="Garamond"/>
        </w:rPr>
        <w:t>“</w:t>
      </w:r>
      <w:r w:rsidRPr="0037198D">
        <w:rPr>
          <w:rFonts w:ascii="Garamond" w:hAnsi="Garamond"/>
          <w:bCs/>
        </w:rPr>
        <w:t>Another blow for Energy Charter Treaty as Luxembourg announces exit</w:t>
      </w:r>
      <w:r w:rsidR="00796E8C" w:rsidRPr="0037198D">
        <w:rPr>
          <w:rFonts w:ascii="Garamond" w:hAnsi="Garamond"/>
          <w:bCs/>
        </w:rPr>
        <w:t>”,</w:t>
      </w:r>
      <w:r w:rsidRPr="0037198D">
        <w:rPr>
          <w:rFonts w:ascii="Garamond" w:hAnsi="Garamond"/>
          <w:bCs/>
        </w:rPr>
        <w:t xml:space="preserve"> 18 Nov 2022, </w:t>
      </w:r>
      <w:proofErr w:type="spellStart"/>
      <w:r w:rsidRPr="0037198D">
        <w:rPr>
          <w:rFonts w:ascii="Garamond" w:hAnsi="Garamond"/>
          <w:bCs/>
        </w:rPr>
        <w:t>Euractiv</w:t>
      </w:r>
      <w:proofErr w:type="spellEnd"/>
      <w:r w:rsidRPr="0037198D">
        <w:rPr>
          <w:rFonts w:ascii="Garamond" w:hAnsi="Garamond"/>
          <w:bCs/>
        </w:rPr>
        <w:t xml:space="preserve">; see also </w:t>
      </w:r>
      <w:r w:rsidRPr="0037198D">
        <w:rPr>
          <w:rFonts w:ascii="Garamond" w:hAnsi="Garamond"/>
        </w:rPr>
        <w:t xml:space="preserve">The Guardian, </w:t>
      </w:r>
      <w:r w:rsidR="00796E8C" w:rsidRPr="0037198D">
        <w:rPr>
          <w:rFonts w:ascii="Garamond" w:hAnsi="Garamond"/>
        </w:rPr>
        <w:t>“</w:t>
      </w:r>
      <w:r w:rsidRPr="0037198D">
        <w:rPr>
          <w:rFonts w:ascii="Garamond" w:hAnsi="Garamond"/>
        </w:rPr>
        <w:t>France becomes latest country to leave controversial energy charter treaty</w:t>
      </w:r>
      <w:r w:rsidR="00796E8C" w:rsidRPr="0037198D">
        <w:rPr>
          <w:rFonts w:ascii="Garamond" w:hAnsi="Garamond"/>
        </w:rPr>
        <w:t>”,</w:t>
      </w:r>
      <w:r w:rsidRPr="0037198D">
        <w:rPr>
          <w:rFonts w:ascii="Garamond" w:hAnsi="Garamond"/>
        </w:rPr>
        <w:t xml:space="preserve"> 21 October 2022.</w:t>
      </w:r>
    </w:p>
  </w:footnote>
  <w:footnote w:id="130">
    <w:p w14:paraId="42142283" w14:textId="5D6E2926" w:rsidR="003442F7" w:rsidRPr="0037198D" w:rsidRDefault="003442F7" w:rsidP="002A3164">
      <w:pPr>
        <w:pStyle w:val="FootnoteText"/>
        <w:contextualSpacing/>
        <w:rPr>
          <w:rFonts w:ascii="Garamond" w:hAnsi="Garamond"/>
        </w:rPr>
      </w:pPr>
      <w:r w:rsidRPr="0037198D">
        <w:rPr>
          <w:rStyle w:val="FootnoteReference"/>
          <w:rFonts w:ascii="Garamond" w:hAnsi="Garamond"/>
        </w:rPr>
        <w:footnoteRef/>
      </w:r>
      <w:r w:rsidRPr="0037198D">
        <w:rPr>
          <w:rFonts w:ascii="Garamond" w:hAnsi="Garamond"/>
        </w:rPr>
        <w:t xml:space="preserve"> European Commission, </w:t>
      </w:r>
      <w:r w:rsidRPr="0037198D">
        <w:rPr>
          <w:rStyle w:val="markedcontent"/>
          <w:rFonts w:ascii="Garamond" w:hAnsi="Garamond" w:cs="Arial"/>
        </w:rPr>
        <w:t>New Investment</w:t>
      </w:r>
      <w:r w:rsidRPr="0037198D">
        <w:rPr>
          <w:rFonts w:ascii="Garamond" w:hAnsi="Garamond"/>
        </w:rPr>
        <w:t xml:space="preserve"> </w:t>
      </w:r>
      <w:r w:rsidRPr="0037198D">
        <w:rPr>
          <w:rStyle w:val="markedcontent"/>
          <w:rFonts w:ascii="Garamond" w:hAnsi="Garamond" w:cs="Arial"/>
        </w:rPr>
        <w:t>Protection Agreements</w:t>
      </w:r>
      <w:r w:rsidRPr="0037198D">
        <w:rPr>
          <w:rFonts w:ascii="Garamond" w:hAnsi="Garamond"/>
        </w:rPr>
        <w:t xml:space="preserve"> </w:t>
      </w:r>
      <w:r w:rsidRPr="0037198D">
        <w:rPr>
          <w:rStyle w:val="markedcontent"/>
          <w:rFonts w:ascii="Garamond" w:hAnsi="Garamond" w:cs="Arial"/>
        </w:rPr>
        <w:t>Better protection for investors – and better protection for citizen, https://trade.ec.europa.eu/doclib/docs/2020/july/tradoc_158908.pdf</w:t>
      </w:r>
    </w:p>
  </w:footnote>
  <w:footnote w:id="131">
    <w:p w14:paraId="28ACD8BA" w14:textId="42E6BFEA"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B457B3" w:rsidRPr="0037198D">
        <w:rPr>
          <w:rFonts w:ascii="Garamond" w:hAnsi="Garamond"/>
        </w:rPr>
        <w:t>Ibid</w:t>
      </w:r>
      <w:r w:rsidR="00796E8C" w:rsidRPr="0037198D">
        <w:rPr>
          <w:rFonts w:ascii="Garamond" w:hAnsi="Garamond"/>
        </w:rPr>
        <w:t>.</w:t>
      </w:r>
    </w:p>
  </w:footnote>
  <w:footnote w:id="132">
    <w:p w14:paraId="0C173CC6" w14:textId="080104C7"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B457B3" w:rsidRPr="0037198D">
        <w:rPr>
          <w:rFonts w:ascii="Garamond" w:hAnsi="Garamond"/>
        </w:rPr>
        <w:t xml:space="preserve">Ibid </w:t>
      </w:r>
    </w:p>
  </w:footnote>
  <w:footnote w:id="133">
    <w:p w14:paraId="1F2B7375" w14:textId="03BBE659"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By contrast, the recent investment chapters in US FTAs tend to expressly exclude the protection of legitimate expectations from the scope of the fair and equitable treatment standard. The idea that investors are entitled to the protection of their legitimate expectations was a cornerstone in recent disputed brought against Spain and Italy in connection with the changes in their regulatory frameworks on renewable energy incentives. It served as a device enabling the investors to successfully claim damages, with a small number of arbitrators dissenting and arguing that legitimate expectations should not be seen as part of the corpus of international investment law.</w:t>
      </w:r>
    </w:p>
  </w:footnote>
  <w:footnote w:id="134">
    <w:p w14:paraId="5DABD73F" w14:textId="453A8A6A" w:rsidR="00B457B3" w:rsidRPr="0037198D" w:rsidRDefault="00B457B3" w:rsidP="002A3164">
      <w:pPr>
        <w:pStyle w:val="Heading1"/>
        <w:spacing w:before="0"/>
        <w:contextualSpacing/>
        <w:rPr>
          <w:rFonts w:ascii="Garamond" w:hAnsi="Garamond"/>
          <w:color w:val="auto"/>
          <w:sz w:val="20"/>
          <w:szCs w:val="20"/>
        </w:rPr>
      </w:pPr>
      <w:r w:rsidRPr="0037198D">
        <w:rPr>
          <w:rStyle w:val="FootnoteReference"/>
          <w:rFonts w:ascii="Garamond" w:hAnsi="Garamond"/>
          <w:color w:val="auto"/>
          <w:sz w:val="20"/>
          <w:szCs w:val="20"/>
        </w:rPr>
        <w:footnoteRef/>
      </w:r>
      <w:r w:rsidRPr="0037198D">
        <w:rPr>
          <w:rFonts w:ascii="Garamond" w:hAnsi="Garamond"/>
          <w:color w:val="auto"/>
          <w:sz w:val="20"/>
          <w:szCs w:val="20"/>
        </w:rPr>
        <w:t xml:space="preserve"> See Paine, </w:t>
      </w:r>
      <w:r w:rsidR="00A33965" w:rsidRPr="0037198D">
        <w:rPr>
          <w:rFonts w:ascii="Garamond" w:hAnsi="Garamond"/>
          <w:color w:val="auto"/>
          <w:sz w:val="20"/>
          <w:szCs w:val="20"/>
        </w:rPr>
        <w:t>“</w:t>
      </w:r>
      <w:r w:rsidRPr="0037198D">
        <w:rPr>
          <w:rFonts w:ascii="Garamond" w:hAnsi="Garamond"/>
          <w:i/>
          <w:color w:val="auto"/>
          <w:sz w:val="20"/>
          <w:szCs w:val="20"/>
        </w:rPr>
        <w:t>Bear Creek Mining Corporation v Republic of Peru</w:t>
      </w:r>
      <w:r w:rsidRPr="0037198D">
        <w:rPr>
          <w:rFonts w:ascii="Garamond" w:hAnsi="Garamond"/>
          <w:color w:val="auto"/>
          <w:sz w:val="20"/>
          <w:szCs w:val="20"/>
        </w:rPr>
        <w:t xml:space="preserve">: </w:t>
      </w:r>
      <w:r w:rsidRPr="0037198D">
        <w:rPr>
          <w:rStyle w:val="Emphasis"/>
          <w:rFonts w:ascii="Garamond" w:hAnsi="Garamond"/>
          <w:i w:val="0"/>
          <w:color w:val="auto"/>
          <w:sz w:val="20"/>
          <w:szCs w:val="20"/>
        </w:rPr>
        <w:t>Judging the Social License of Foreign Investments and Applying New Style Investment Treaties</w:t>
      </w:r>
      <w:r w:rsidR="00A33965" w:rsidRPr="0037198D">
        <w:rPr>
          <w:rStyle w:val="Emphasis"/>
          <w:rFonts w:ascii="Garamond" w:hAnsi="Garamond"/>
          <w:i w:val="0"/>
          <w:color w:val="auto"/>
          <w:sz w:val="20"/>
          <w:szCs w:val="20"/>
        </w:rPr>
        <w:t>”</w:t>
      </w:r>
      <w:r w:rsidR="00A33965" w:rsidRPr="0037198D">
        <w:rPr>
          <w:rStyle w:val="Emphasis"/>
          <w:rFonts w:ascii="Garamond" w:hAnsi="Garamond"/>
          <w:color w:val="auto"/>
          <w:sz w:val="20"/>
          <w:szCs w:val="20"/>
        </w:rPr>
        <w:t>,</w:t>
      </w:r>
      <w:r w:rsidRPr="0037198D">
        <w:rPr>
          <w:rStyle w:val="Emphasis"/>
          <w:rFonts w:ascii="Garamond" w:hAnsi="Garamond"/>
          <w:color w:val="auto"/>
          <w:sz w:val="20"/>
          <w:szCs w:val="20"/>
        </w:rPr>
        <w:t xml:space="preserve"> </w:t>
      </w:r>
      <w:r w:rsidR="00A33965" w:rsidRPr="0037198D">
        <w:rPr>
          <w:rStyle w:val="Emphasis"/>
          <w:rFonts w:ascii="Garamond" w:hAnsi="Garamond"/>
          <w:i w:val="0"/>
          <w:color w:val="auto"/>
          <w:sz w:val="20"/>
          <w:szCs w:val="20"/>
        </w:rPr>
        <w:t xml:space="preserve">33 </w:t>
      </w:r>
      <w:r w:rsidRPr="0037198D">
        <w:rPr>
          <w:rStyle w:val="Emphasis"/>
          <w:rFonts w:ascii="Garamond" w:hAnsi="Garamond"/>
          <w:i w:val="0"/>
          <w:color w:val="auto"/>
          <w:sz w:val="20"/>
          <w:szCs w:val="20"/>
        </w:rPr>
        <w:t xml:space="preserve">ICSID Review </w:t>
      </w:r>
      <w:r w:rsidR="00A33965" w:rsidRPr="0037198D">
        <w:rPr>
          <w:rFonts w:ascii="Garamond" w:hAnsi="Garamond"/>
          <w:color w:val="auto"/>
          <w:sz w:val="20"/>
          <w:szCs w:val="20"/>
        </w:rPr>
        <w:t>(</w:t>
      </w:r>
      <w:r w:rsidRPr="0037198D">
        <w:rPr>
          <w:rFonts w:ascii="Garamond" w:hAnsi="Garamond"/>
          <w:color w:val="auto"/>
          <w:sz w:val="20"/>
          <w:szCs w:val="20"/>
        </w:rPr>
        <w:t>2018</w:t>
      </w:r>
      <w:r w:rsidR="00A33965" w:rsidRPr="0037198D">
        <w:rPr>
          <w:rFonts w:ascii="Garamond" w:hAnsi="Garamond"/>
          <w:color w:val="auto"/>
          <w:sz w:val="20"/>
          <w:szCs w:val="20"/>
        </w:rPr>
        <w:t>)</w:t>
      </w:r>
      <w:r w:rsidRPr="0037198D">
        <w:rPr>
          <w:rFonts w:ascii="Garamond" w:hAnsi="Garamond"/>
          <w:color w:val="auto"/>
          <w:sz w:val="20"/>
          <w:szCs w:val="20"/>
        </w:rPr>
        <w:t xml:space="preserve"> 340–348; </w:t>
      </w:r>
      <w:r w:rsidRPr="0037198D">
        <w:rPr>
          <w:rStyle w:val="Strong"/>
          <w:rFonts w:ascii="Garamond" w:hAnsi="Garamond"/>
          <w:b w:val="0"/>
          <w:color w:val="auto"/>
          <w:sz w:val="20"/>
          <w:szCs w:val="20"/>
        </w:rPr>
        <w:t>Heath</w:t>
      </w:r>
      <w:r w:rsidRPr="0037198D">
        <w:rPr>
          <w:rFonts w:ascii="Garamond" w:hAnsi="Garamond"/>
          <w:color w:val="auto"/>
          <w:sz w:val="20"/>
          <w:szCs w:val="20"/>
        </w:rPr>
        <w:t xml:space="preserve"> </w:t>
      </w:r>
      <w:r w:rsidR="00A33965" w:rsidRPr="0037198D">
        <w:rPr>
          <w:rFonts w:ascii="Garamond" w:hAnsi="Garamond"/>
          <w:color w:val="auto"/>
          <w:sz w:val="20"/>
          <w:szCs w:val="20"/>
        </w:rPr>
        <w:t>“</w:t>
      </w:r>
      <w:r w:rsidRPr="0037198D">
        <w:rPr>
          <w:rFonts w:ascii="Garamond" w:hAnsi="Garamond"/>
          <w:color w:val="auto"/>
          <w:sz w:val="20"/>
          <w:szCs w:val="20"/>
        </w:rPr>
        <w:t>Eco Oro and the twilight of policy exceptionalism</w:t>
      </w:r>
      <w:r w:rsidR="00A33965" w:rsidRPr="0037198D">
        <w:rPr>
          <w:rFonts w:ascii="Garamond" w:hAnsi="Garamond"/>
          <w:color w:val="auto"/>
          <w:sz w:val="20"/>
          <w:szCs w:val="20"/>
        </w:rPr>
        <w:t>”</w:t>
      </w:r>
      <w:r w:rsidRPr="0037198D">
        <w:rPr>
          <w:rFonts w:ascii="Garamond" w:hAnsi="Garamond"/>
          <w:color w:val="auto"/>
          <w:sz w:val="20"/>
          <w:szCs w:val="20"/>
        </w:rPr>
        <w:t>, Investment Treaty News</w:t>
      </w:r>
      <w:r w:rsidR="00A33965" w:rsidRPr="0037198D">
        <w:rPr>
          <w:rFonts w:ascii="Garamond" w:hAnsi="Garamond"/>
          <w:color w:val="auto"/>
          <w:sz w:val="20"/>
          <w:szCs w:val="20"/>
        </w:rPr>
        <w:t>,</w:t>
      </w:r>
      <w:r w:rsidRPr="0037198D">
        <w:rPr>
          <w:rFonts w:ascii="Garamond" w:hAnsi="Garamond"/>
          <w:color w:val="auto"/>
          <w:sz w:val="20"/>
          <w:szCs w:val="20"/>
        </w:rPr>
        <w:t xml:space="preserve"> 20 Dec</w:t>
      </w:r>
      <w:r w:rsidR="00A33965" w:rsidRPr="0037198D">
        <w:rPr>
          <w:rFonts w:ascii="Garamond" w:hAnsi="Garamond"/>
          <w:color w:val="auto"/>
          <w:sz w:val="20"/>
          <w:szCs w:val="20"/>
        </w:rPr>
        <w:t xml:space="preserve">ember </w:t>
      </w:r>
      <w:r w:rsidRPr="0037198D">
        <w:rPr>
          <w:rFonts w:ascii="Garamond" w:hAnsi="Garamond"/>
          <w:color w:val="auto"/>
          <w:sz w:val="20"/>
          <w:szCs w:val="20"/>
        </w:rPr>
        <w:t>2021.</w:t>
      </w:r>
    </w:p>
  </w:footnote>
  <w:footnote w:id="135">
    <w:p w14:paraId="19926247" w14:textId="733E1C3B"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proofErr w:type="spellStart"/>
      <w:r w:rsidR="00B457B3" w:rsidRPr="0037198D">
        <w:rPr>
          <w:rFonts w:ascii="Garamond" w:hAnsi="Garamond"/>
        </w:rPr>
        <w:t>Davitti</w:t>
      </w:r>
      <w:proofErr w:type="spellEnd"/>
      <w:r w:rsidR="00B457B3" w:rsidRPr="0037198D">
        <w:rPr>
          <w:rFonts w:ascii="Garamond" w:hAnsi="Garamond"/>
        </w:rPr>
        <w:t xml:space="preserve">, </w:t>
      </w:r>
      <w:r w:rsidR="00B457B3" w:rsidRPr="0037198D">
        <w:rPr>
          <w:rFonts w:ascii="Garamond" w:hAnsi="Garamond"/>
          <w:i/>
        </w:rPr>
        <w:t>Investment and Human Rights in Armed Conflict: Charting an Elusive Intersection</w:t>
      </w:r>
      <w:r w:rsidR="00B457B3" w:rsidRPr="0037198D">
        <w:rPr>
          <w:rFonts w:ascii="Garamond" w:hAnsi="Garamond"/>
        </w:rPr>
        <w:t xml:space="preserve"> (Hart Publishing</w:t>
      </w:r>
      <w:r w:rsidR="00A33965" w:rsidRPr="0037198D">
        <w:rPr>
          <w:rFonts w:ascii="Garamond" w:hAnsi="Garamond"/>
        </w:rPr>
        <w:t>,</w:t>
      </w:r>
      <w:r w:rsidR="00B457B3" w:rsidRPr="0037198D">
        <w:rPr>
          <w:rFonts w:ascii="Garamond" w:hAnsi="Garamond"/>
        </w:rPr>
        <w:t xml:space="preserve"> 2019) </w:t>
      </w:r>
      <w:r w:rsidR="00A33965" w:rsidRPr="0037198D">
        <w:rPr>
          <w:rFonts w:ascii="Garamond" w:hAnsi="Garamond"/>
        </w:rPr>
        <w:t xml:space="preserve">at p. </w:t>
      </w:r>
      <w:r w:rsidRPr="0037198D">
        <w:rPr>
          <w:rFonts w:ascii="Garamond" w:hAnsi="Garamond"/>
        </w:rPr>
        <w:t>189</w:t>
      </w:r>
      <w:r w:rsidR="00A33965" w:rsidRPr="0037198D">
        <w:rPr>
          <w:rFonts w:ascii="Garamond" w:hAnsi="Garamond"/>
        </w:rPr>
        <w:t>.</w:t>
      </w:r>
    </w:p>
  </w:footnote>
  <w:footnote w:id="136">
    <w:p w14:paraId="079E3693" w14:textId="4273341E"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00B457B3" w:rsidRPr="0037198D">
        <w:rPr>
          <w:rFonts w:ascii="Garamond" w:hAnsi="Garamond"/>
        </w:rPr>
        <w:t xml:space="preserve"> </w:t>
      </w:r>
      <w:r w:rsidR="00A33965" w:rsidRPr="0037198D">
        <w:rPr>
          <w:rFonts w:ascii="Garamond" w:hAnsi="Garamond" w:cstheme="minorHAnsi"/>
        </w:rPr>
        <w:t>“</w:t>
      </w:r>
      <w:r w:rsidR="00B457B3" w:rsidRPr="0037198D">
        <w:rPr>
          <w:rFonts w:ascii="Garamond" w:hAnsi="Garamond"/>
        </w:rPr>
        <w:t>Trade Policy Review - An Open, Sustainable and Assertive Trade Policy</w:t>
      </w:r>
      <w:r w:rsidR="00A33965" w:rsidRPr="0037198D">
        <w:rPr>
          <w:rFonts w:ascii="Garamond" w:hAnsi="Garamond"/>
        </w:rPr>
        <w:t>”, at p.</w:t>
      </w:r>
      <w:r w:rsidRPr="0037198D">
        <w:rPr>
          <w:rFonts w:ascii="Garamond" w:hAnsi="Garamond"/>
        </w:rPr>
        <w:t>10</w:t>
      </w:r>
      <w:r w:rsidR="00B457B3" w:rsidRPr="0037198D">
        <w:rPr>
          <w:rFonts w:ascii="Garamond" w:hAnsi="Garamond"/>
        </w:rPr>
        <w:t>.</w:t>
      </w:r>
    </w:p>
  </w:footnote>
  <w:footnote w:id="137">
    <w:p w14:paraId="0923D3C0" w14:textId="311E8D48" w:rsidR="003442F7" w:rsidRPr="0037198D" w:rsidRDefault="003442F7" w:rsidP="002A3164">
      <w:pPr>
        <w:pStyle w:val="FootnoteText"/>
        <w:contextualSpacing/>
        <w:jc w:val="both"/>
        <w:rPr>
          <w:rFonts w:ascii="Garamond" w:hAnsi="Garamond"/>
        </w:rPr>
      </w:pPr>
      <w:r w:rsidRPr="0037198D">
        <w:rPr>
          <w:rStyle w:val="FootnoteReference"/>
          <w:rFonts w:ascii="Garamond" w:hAnsi="Garamond"/>
        </w:rPr>
        <w:footnoteRef/>
      </w:r>
      <w:r w:rsidRPr="0037198D">
        <w:rPr>
          <w:rFonts w:ascii="Garamond" w:hAnsi="Garamond"/>
        </w:rPr>
        <w:t xml:space="preserve"> </w:t>
      </w:r>
      <w:r w:rsidR="00A33965" w:rsidRPr="0037198D">
        <w:rPr>
          <w:rFonts w:ascii="Garamond" w:hAnsi="Garamond"/>
        </w:rPr>
        <w:t>I</w:t>
      </w:r>
      <w:r w:rsidR="00B457B3" w:rsidRPr="0037198D">
        <w:rPr>
          <w:rFonts w:ascii="Garamond" w:hAnsi="Garamond"/>
        </w:rPr>
        <w:t>bid</w:t>
      </w:r>
      <w:r w:rsidR="00A33965" w:rsidRPr="0037198D">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8A9"/>
    <w:multiLevelType w:val="multilevel"/>
    <w:tmpl w:val="F048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F1BC3"/>
    <w:multiLevelType w:val="hybridMultilevel"/>
    <w:tmpl w:val="540821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63D0B"/>
    <w:multiLevelType w:val="multilevel"/>
    <w:tmpl w:val="394EDB30"/>
    <w:lvl w:ilvl="0">
      <w:start w:val="8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9C50618"/>
    <w:multiLevelType w:val="multilevel"/>
    <w:tmpl w:val="DBBEB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53FCD"/>
    <w:multiLevelType w:val="multilevel"/>
    <w:tmpl w:val="5BA2DBD4"/>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81311798">
    <w:abstractNumId w:val="3"/>
  </w:num>
  <w:num w:numId="2" w16cid:durableId="1313681086">
    <w:abstractNumId w:val="2"/>
  </w:num>
  <w:num w:numId="3" w16cid:durableId="2078279889">
    <w:abstractNumId w:val="4"/>
  </w:num>
  <w:num w:numId="4" w16cid:durableId="74475488">
    <w:abstractNumId w:val="1"/>
  </w:num>
  <w:num w:numId="5" w16cid:durableId="201865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76"/>
    <w:rsid w:val="000024BD"/>
    <w:rsid w:val="000047EA"/>
    <w:rsid w:val="00005899"/>
    <w:rsid w:val="00005F03"/>
    <w:rsid w:val="00005F23"/>
    <w:rsid w:val="000142B4"/>
    <w:rsid w:val="00022CD7"/>
    <w:rsid w:val="000325F4"/>
    <w:rsid w:val="000407D7"/>
    <w:rsid w:val="000430FB"/>
    <w:rsid w:val="00044804"/>
    <w:rsid w:val="00047B61"/>
    <w:rsid w:val="0005021A"/>
    <w:rsid w:val="0005291D"/>
    <w:rsid w:val="00057415"/>
    <w:rsid w:val="00061A4D"/>
    <w:rsid w:val="0007124F"/>
    <w:rsid w:val="0007319C"/>
    <w:rsid w:val="00075342"/>
    <w:rsid w:val="00080A76"/>
    <w:rsid w:val="0008337C"/>
    <w:rsid w:val="00085BDC"/>
    <w:rsid w:val="00090B6A"/>
    <w:rsid w:val="00093977"/>
    <w:rsid w:val="00095DC2"/>
    <w:rsid w:val="000969B2"/>
    <w:rsid w:val="000A1481"/>
    <w:rsid w:val="000A6B68"/>
    <w:rsid w:val="000A7FE7"/>
    <w:rsid w:val="000B2F76"/>
    <w:rsid w:val="000B5F68"/>
    <w:rsid w:val="000B7E16"/>
    <w:rsid w:val="000C25EE"/>
    <w:rsid w:val="000D1D26"/>
    <w:rsid w:val="000E0CCA"/>
    <w:rsid w:val="000E0D10"/>
    <w:rsid w:val="000E3CE9"/>
    <w:rsid w:val="000F654B"/>
    <w:rsid w:val="000F7A0D"/>
    <w:rsid w:val="00100C68"/>
    <w:rsid w:val="00120EAA"/>
    <w:rsid w:val="001214C9"/>
    <w:rsid w:val="001324B9"/>
    <w:rsid w:val="00133121"/>
    <w:rsid w:val="001342B4"/>
    <w:rsid w:val="00137E74"/>
    <w:rsid w:val="0015543A"/>
    <w:rsid w:val="0015650C"/>
    <w:rsid w:val="00161AA6"/>
    <w:rsid w:val="00162967"/>
    <w:rsid w:val="0017081B"/>
    <w:rsid w:val="001718A6"/>
    <w:rsid w:val="00171A56"/>
    <w:rsid w:val="001761E6"/>
    <w:rsid w:val="001779E2"/>
    <w:rsid w:val="00186CFB"/>
    <w:rsid w:val="001878CA"/>
    <w:rsid w:val="001913CF"/>
    <w:rsid w:val="001A5AAC"/>
    <w:rsid w:val="001B3F8C"/>
    <w:rsid w:val="001C4BDD"/>
    <w:rsid w:val="001D7206"/>
    <w:rsid w:val="001E21B5"/>
    <w:rsid w:val="001E23E4"/>
    <w:rsid w:val="001E54C8"/>
    <w:rsid w:val="001E74D2"/>
    <w:rsid w:val="0020360C"/>
    <w:rsid w:val="00226611"/>
    <w:rsid w:val="00234703"/>
    <w:rsid w:val="002435AD"/>
    <w:rsid w:val="00246313"/>
    <w:rsid w:val="00247C9F"/>
    <w:rsid w:val="0025257E"/>
    <w:rsid w:val="002533D2"/>
    <w:rsid w:val="00255CF6"/>
    <w:rsid w:val="00260312"/>
    <w:rsid w:val="002615A1"/>
    <w:rsid w:val="002646F7"/>
    <w:rsid w:val="002717CD"/>
    <w:rsid w:val="002741D4"/>
    <w:rsid w:val="002902A1"/>
    <w:rsid w:val="00291610"/>
    <w:rsid w:val="00296EAE"/>
    <w:rsid w:val="002A18DF"/>
    <w:rsid w:val="002A3164"/>
    <w:rsid w:val="002A45BB"/>
    <w:rsid w:val="002E0E32"/>
    <w:rsid w:val="002E3ABA"/>
    <w:rsid w:val="002E40DD"/>
    <w:rsid w:val="002E6747"/>
    <w:rsid w:val="002E6958"/>
    <w:rsid w:val="002F7285"/>
    <w:rsid w:val="00300FD4"/>
    <w:rsid w:val="00304EBB"/>
    <w:rsid w:val="0031161F"/>
    <w:rsid w:val="00322377"/>
    <w:rsid w:val="003348C5"/>
    <w:rsid w:val="00334DC1"/>
    <w:rsid w:val="00337167"/>
    <w:rsid w:val="003375F2"/>
    <w:rsid w:val="0034244A"/>
    <w:rsid w:val="003442F7"/>
    <w:rsid w:val="003450ED"/>
    <w:rsid w:val="00354F1E"/>
    <w:rsid w:val="003603CB"/>
    <w:rsid w:val="00364884"/>
    <w:rsid w:val="003700AE"/>
    <w:rsid w:val="0037180F"/>
    <w:rsid w:val="0037198D"/>
    <w:rsid w:val="003740C3"/>
    <w:rsid w:val="00381FD9"/>
    <w:rsid w:val="00385875"/>
    <w:rsid w:val="003A2008"/>
    <w:rsid w:val="003B0937"/>
    <w:rsid w:val="003C4C7D"/>
    <w:rsid w:val="003D2279"/>
    <w:rsid w:val="003D3BD9"/>
    <w:rsid w:val="003E321B"/>
    <w:rsid w:val="003F16CD"/>
    <w:rsid w:val="00407D5B"/>
    <w:rsid w:val="00412EED"/>
    <w:rsid w:val="0042012C"/>
    <w:rsid w:val="004216C2"/>
    <w:rsid w:val="00422820"/>
    <w:rsid w:val="00430F91"/>
    <w:rsid w:val="00431279"/>
    <w:rsid w:val="00443435"/>
    <w:rsid w:val="004521A2"/>
    <w:rsid w:val="004623DC"/>
    <w:rsid w:val="00463960"/>
    <w:rsid w:val="00472F24"/>
    <w:rsid w:val="00483EE7"/>
    <w:rsid w:val="004870D5"/>
    <w:rsid w:val="00492FAB"/>
    <w:rsid w:val="00495F1C"/>
    <w:rsid w:val="004A115B"/>
    <w:rsid w:val="004A668B"/>
    <w:rsid w:val="004B49A4"/>
    <w:rsid w:val="004B5851"/>
    <w:rsid w:val="004C0125"/>
    <w:rsid w:val="004C2A88"/>
    <w:rsid w:val="004C5299"/>
    <w:rsid w:val="004D044B"/>
    <w:rsid w:val="004D045A"/>
    <w:rsid w:val="004E0BB6"/>
    <w:rsid w:val="004E3134"/>
    <w:rsid w:val="004F4E05"/>
    <w:rsid w:val="00501FA5"/>
    <w:rsid w:val="00526835"/>
    <w:rsid w:val="00526C9E"/>
    <w:rsid w:val="005274D7"/>
    <w:rsid w:val="005509A5"/>
    <w:rsid w:val="00551557"/>
    <w:rsid w:val="00551717"/>
    <w:rsid w:val="005723D8"/>
    <w:rsid w:val="00574331"/>
    <w:rsid w:val="005743DA"/>
    <w:rsid w:val="005924D1"/>
    <w:rsid w:val="005A5514"/>
    <w:rsid w:val="005A66E4"/>
    <w:rsid w:val="005C4D45"/>
    <w:rsid w:val="005C7332"/>
    <w:rsid w:val="005D1445"/>
    <w:rsid w:val="005D4165"/>
    <w:rsid w:val="005D4FF6"/>
    <w:rsid w:val="005D7771"/>
    <w:rsid w:val="005F3BFE"/>
    <w:rsid w:val="006034D2"/>
    <w:rsid w:val="00604385"/>
    <w:rsid w:val="00610532"/>
    <w:rsid w:val="00617D7C"/>
    <w:rsid w:val="006247B4"/>
    <w:rsid w:val="00632FC7"/>
    <w:rsid w:val="00634E14"/>
    <w:rsid w:val="00645618"/>
    <w:rsid w:val="00645B11"/>
    <w:rsid w:val="00651081"/>
    <w:rsid w:val="00660E53"/>
    <w:rsid w:val="00664FA3"/>
    <w:rsid w:val="0066541D"/>
    <w:rsid w:val="006733AE"/>
    <w:rsid w:val="00675D0E"/>
    <w:rsid w:val="00680FDE"/>
    <w:rsid w:val="006961FC"/>
    <w:rsid w:val="006A464F"/>
    <w:rsid w:val="006A6970"/>
    <w:rsid w:val="006B1560"/>
    <w:rsid w:val="006C6DEB"/>
    <w:rsid w:val="006C7FF7"/>
    <w:rsid w:val="006D5599"/>
    <w:rsid w:val="006D694F"/>
    <w:rsid w:val="006D6B14"/>
    <w:rsid w:val="006E0D26"/>
    <w:rsid w:val="006E18B6"/>
    <w:rsid w:val="006F0881"/>
    <w:rsid w:val="006F42C9"/>
    <w:rsid w:val="0070119D"/>
    <w:rsid w:val="007014D4"/>
    <w:rsid w:val="00701AA7"/>
    <w:rsid w:val="007024E5"/>
    <w:rsid w:val="00704EFA"/>
    <w:rsid w:val="00722915"/>
    <w:rsid w:val="00732312"/>
    <w:rsid w:val="00737E85"/>
    <w:rsid w:val="00744A46"/>
    <w:rsid w:val="00745F37"/>
    <w:rsid w:val="00780ADA"/>
    <w:rsid w:val="007855D5"/>
    <w:rsid w:val="0078694E"/>
    <w:rsid w:val="00796CC7"/>
    <w:rsid w:val="00796E8C"/>
    <w:rsid w:val="007B007F"/>
    <w:rsid w:val="007B68D0"/>
    <w:rsid w:val="007E652A"/>
    <w:rsid w:val="00816D06"/>
    <w:rsid w:val="00830253"/>
    <w:rsid w:val="00832228"/>
    <w:rsid w:val="0085743B"/>
    <w:rsid w:val="0086709B"/>
    <w:rsid w:val="008707FD"/>
    <w:rsid w:val="008813F1"/>
    <w:rsid w:val="00891018"/>
    <w:rsid w:val="008A1FB7"/>
    <w:rsid w:val="008C0268"/>
    <w:rsid w:val="008D0917"/>
    <w:rsid w:val="008D7CAB"/>
    <w:rsid w:val="008E1F56"/>
    <w:rsid w:val="00900EF9"/>
    <w:rsid w:val="00906336"/>
    <w:rsid w:val="009067D8"/>
    <w:rsid w:val="0091112B"/>
    <w:rsid w:val="00920FBB"/>
    <w:rsid w:val="00921B5A"/>
    <w:rsid w:val="0093176D"/>
    <w:rsid w:val="00937967"/>
    <w:rsid w:val="009442A1"/>
    <w:rsid w:val="00950A08"/>
    <w:rsid w:val="0095164D"/>
    <w:rsid w:val="00953A79"/>
    <w:rsid w:val="009646E4"/>
    <w:rsid w:val="009745B6"/>
    <w:rsid w:val="009776E1"/>
    <w:rsid w:val="00980E04"/>
    <w:rsid w:val="009837DC"/>
    <w:rsid w:val="0099440A"/>
    <w:rsid w:val="0099513E"/>
    <w:rsid w:val="00996EFD"/>
    <w:rsid w:val="009A064B"/>
    <w:rsid w:val="009B2908"/>
    <w:rsid w:val="009C6B6C"/>
    <w:rsid w:val="009E0012"/>
    <w:rsid w:val="009E2843"/>
    <w:rsid w:val="009F6DDB"/>
    <w:rsid w:val="00A0006A"/>
    <w:rsid w:val="00A0126A"/>
    <w:rsid w:val="00A04BB1"/>
    <w:rsid w:val="00A13205"/>
    <w:rsid w:val="00A31118"/>
    <w:rsid w:val="00A32195"/>
    <w:rsid w:val="00A33965"/>
    <w:rsid w:val="00A34EE7"/>
    <w:rsid w:val="00A37C2E"/>
    <w:rsid w:val="00A411F4"/>
    <w:rsid w:val="00A41E7D"/>
    <w:rsid w:val="00A47916"/>
    <w:rsid w:val="00A50A55"/>
    <w:rsid w:val="00A52DBB"/>
    <w:rsid w:val="00A53E94"/>
    <w:rsid w:val="00A62720"/>
    <w:rsid w:val="00A73CE4"/>
    <w:rsid w:val="00A74338"/>
    <w:rsid w:val="00A8726F"/>
    <w:rsid w:val="00AB54F6"/>
    <w:rsid w:val="00AB76F5"/>
    <w:rsid w:val="00AC50D8"/>
    <w:rsid w:val="00AC7732"/>
    <w:rsid w:val="00AE3DD3"/>
    <w:rsid w:val="00B02005"/>
    <w:rsid w:val="00B03D1F"/>
    <w:rsid w:val="00B072FA"/>
    <w:rsid w:val="00B12580"/>
    <w:rsid w:val="00B165F8"/>
    <w:rsid w:val="00B35292"/>
    <w:rsid w:val="00B36286"/>
    <w:rsid w:val="00B3636B"/>
    <w:rsid w:val="00B457B3"/>
    <w:rsid w:val="00B46265"/>
    <w:rsid w:val="00B46744"/>
    <w:rsid w:val="00B46B41"/>
    <w:rsid w:val="00B532D1"/>
    <w:rsid w:val="00B616B0"/>
    <w:rsid w:val="00B67ED6"/>
    <w:rsid w:val="00B911E5"/>
    <w:rsid w:val="00BA3F76"/>
    <w:rsid w:val="00BA55F1"/>
    <w:rsid w:val="00BB02F3"/>
    <w:rsid w:val="00BB336E"/>
    <w:rsid w:val="00BB34BE"/>
    <w:rsid w:val="00BC3518"/>
    <w:rsid w:val="00BC4472"/>
    <w:rsid w:val="00BC7236"/>
    <w:rsid w:val="00BC7A17"/>
    <w:rsid w:val="00BD16BD"/>
    <w:rsid w:val="00BD55B0"/>
    <w:rsid w:val="00BE6A5C"/>
    <w:rsid w:val="00BE7FDF"/>
    <w:rsid w:val="00BF31D5"/>
    <w:rsid w:val="00BF7A1C"/>
    <w:rsid w:val="00C007D8"/>
    <w:rsid w:val="00C01E80"/>
    <w:rsid w:val="00C055B8"/>
    <w:rsid w:val="00C1066A"/>
    <w:rsid w:val="00C25239"/>
    <w:rsid w:val="00C451AD"/>
    <w:rsid w:val="00C50B1E"/>
    <w:rsid w:val="00C5752D"/>
    <w:rsid w:val="00C60ED5"/>
    <w:rsid w:val="00C6102E"/>
    <w:rsid w:val="00C718D5"/>
    <w:rsid w:val="00C8095F"/>
    <w:rsid w:val="00C80D34"/>
    <w:rsid w:val="00C95718"/>
    <w:rsid w:val="00C97A97"/>
    <w:rsid w:val="00CA6496"/>
    <w:rsid w:val="00CA763C"/>
    <w:rsid w:val="00CC5D2A"/>
    <w:rsid w:val="00CD1A74"/>
    <w:rsid w:val="00CD40F1"/>
    <w:rsid w:val="00CF1858"/>
    <w:rsid w:val="00CF1E52"/>
    <w:rsid w:val="00CF6139"/>
    <w:rsid w:val="00CF7112"/>
    <w:rsid w:val="00D04EE7"/>
    <w:rsid w:val="00D11833"/>
    <w:rsid w:val="00D13B48"/>
    <w:rsid w:val="00D155AA"/>
    <w:rsid w:val="00D15EAD"/>
    <w:rsid w:val="00D22A08"/>
    <w:rsid w:val="00D23AE6"/>
    <w:rsid w:val="00D3260E"/>
    <w:rsid w:val="00D5336D"/>
    <w:rsid w:val="00D610F4"/>
    <w:rsid w:val="00D61777"/>
    <w:rsid w:val="00D66D36"/>
    <w:rsid w:val="00D76B06"/>
    <w:rsid w:val="00D95A33"/>
    <w:rsid w:val="00DA4812"/>
    <w:rsid w:val="00DA61C4"/>
    <w:rsid w:val="00DB322C"/>
    <w:rsid w:val="00DC033F"/>
    <w:rsid w:val="00DC0E06"/>
    <w:rsid w:val="00DC4F10"/>
    <w:rsid w:val="00DC6DE0"/>
    <w:rsid w:val="00DD06A2"/>
    <w:rsid w:val="00DD1EF1"/>
    <w:rsid w:val="00DD7492"/>
    <w:rsid w:val="00DE2D4F"/>
    <w:rsid w:val="00DF0071"/>
    <w:rsid w:val="00E11728"/>
    <w:rsid w:val="00E13BA2"/>
    <w:rsid w:val="00E1789E"/>
    <w:rsid w:val="00E204DC"/>
    <w:rsid w:val="00E205FE"/>
    <w:rsid w:val="00E42387"/>
    <w:rsid w:val="00E570DA"/>
    <w:rsid w:val="00E57B04"/>
    <w:rsid w:val="00E6218C"/>
    <w:rsid w:val="00E66A33"/>
    <w:rsid w:val="00E74C24"/>
    <w:rsid w:val="00E74FA0"/>
    <w:rsid w:val="00E80548"/>
    <w:rsid w:val="00E90499"/>
    <w:rsid w:val="00E90BE9"/>
    <w:rsid w:val="00E93994"/>
    <w:rsid w:val="00EA1E46"/>
    <w:rsid w:val="00EA2537"/>
    <w:rsid w:val="00EB0FC1"/>
    <w:rsid w:val="00EB20E3"/>
    <w:rsid w:val="00EB2107"/>
    <w:rsid w:val="00EB7FCE"/>
    <w:rsid w:val="00EE1B04"/>
    <w:rsid w:val="00F079FE"/>
    <w:rsid w:val="00F10ED7"/>
    <w:rsid w:val="00F1284B"/>
    <w:rsid w:val="00F12F0E"/>
    <w:rsid w:val="00F14DBA"/>
    <w:rsid w:val="00F24C88"/>
    <w:rsid w:val="00F301AB"/>
    <w:rsid w:val="00F307CB"/>
    <w:rsid w:val="00F3736C"/>
    <w:rsid w:val="00F42898"/>
    <w:rsid w:val="00F433FB"/>
    <w:rsid w:val="00F449E9"/>
    <w:rsid w:val="00F47F68"/>
    <w:rsid w:val="00F51FE6"/>
    <w:rsid w:val="00F61A69"/>
    <w:rsid w:val="00F654B9"/>
    <w:rsid w:val="00F67414"/>
    <w:rsid w:val="00F90194"/>
    <w:rsid w:val="00F9498D"/>
    <w:rsid w:val="00F9776C"/>
    <w:rsid w:val="00F9783C"/>
    <w:rsid w:val="00FA049A"/>
    <w:rsid w:val="00FB23D4"/>
    <w:rsid w:val="00FB3283"/>
    <w:rsid w:val="00FB5085"/>
    <w:rsid w:val="00FB6E75"/>
    <w:rsid w:val="00FB7284"/>
    <w:rsid w:val="00FC1D31"/>
    <w:rsid w:val="00FC2B34"/>
    <w:rsid w:val="00FC7FE8"/>
    <w:rsid w:val="00FD2DD5"/>
    <w:rsid w:val="00FF1251"/>
    <w:rsid w:val="00FF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69C9"/>
  <w15:chartTrackingRefBased/>
  <w15:docId w15:val="{ACCD7EA7-9E30-4288-8FF1-43CF31B5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05"/>
  </w:style>
  <w:style w:type="paragraph" w:styleId="Heading1">
    <w:name w:val="heading 1"/>
    <w:basedOn w:val="Normal"/>
    <w:next w:val="Normal"/>
    <w:link w:val="Heading1Char"/>
    <w:uiPriority w:val="9"/>
    <w:qFormat/>
    <w:rsid w:val="00246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603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22A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66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Char1 Char, Char1 Char,Fußnotentext Char2,Fußnotentext Char1 Char,Fußnotentext Char2 Char Char,fn"/>
    <w:basedOn w:val="Normal"/>
    <w:link w:val="FootnoteTextChar"/>
    <w:unhideWhenUsed/>
    <w:qFormat/>
    <w:rsid w:val="00BA3F76"/>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Char1 Char Char, Char1 Char Char,Fußnotentext Char2 Char,fn Char"/>
    <w:basedOn w:val="DefaultParagraphFont"/>
    <w:link w:val="FootnoteText"/>
    <w:rsid w:val="00BA3F76"/>
    <w:rPr>
      <w:sz w:val="20"/>
      <w:szCs w:val="20"/>
    </w:rPr>
  </w:style>
  <w:style w:type="character" w:styleId="FootnoteReference">
    <w:name w:val="footnote reference"/>
    <w:aliases w:val="Ref,de nota al pie,FZ,ftref,Footnotes refss,註腳內容,de nota al pie + (Asian) MS Mincho,11 pt,Referencia nota al pie,Fago Fußnotenzeichen,Footnote Ref,16 Point,Superscript 6 Point,Style 21,Style 29,Style 11,Footnote Reference1,Ref1,4_G"/>
    <w:basedOn w:val="DefaultParagraphFont"/>
    <w:uiPriority w:val="99"/>
    <w:unhideWhenUsed/>
    <w:qFormat/>
    <w:rsid w:val="00BA3F76"/>
    <w:rPr>
      <w:vertAlign w:val="superscript"/>
    </w:rPr>
  </w:style>
  <w:style w:type="character" w:customStyle="1" w:styleId="markedcontent">
    <w:name w:val="markedcontent"/>
    <w:basedOn w:val="DefaultParagraphFont"/>
    <w:rsid w:val="00A50A55"/>
  </w:style>
  <w:style w:type="character" w:customStyle="1" w:styleId="highlight">
    <w:name w:val="highlight"/>
    <w:basedOn w:val="DefaultParagraphFont"/>
    <w:rsid w:val="00A50A55"/>
  </w:style>
  <w:style w:type="paragraph" w:customStyle="1" w:styleId="Default">
    <w:name w:val="Default"/>
    <w:rsid w:val="00CF18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37C2E"/>
    <w:rPr>
      <w:color w:val="0563C1" w:themeColor="hyperlink"/>
      <w:u w:val="single"/>
    </w:rPr>
  </w:style>
  <w:style w:type="character" w:styleId="UnresolvedMention">
    <w:name w:val="Unresolved Mention"/>
    <w:basedOn w:val="DefaultParagraphFont"/>
    <w:uiPriority w:val="99"/>
    <w:semiHidden/>
    <w:unhideWhenUsed/>
    <w:rsid w:val="00A37C2E"/>
    <w:rPr>
      <w:color w:val="605E5C"/>
      <w:shd w:val="clear" w:color="auto" w:fill="E1DFDD"/>
    </w:rPr>
  </w:style>
  <w:style w:type="character" w:styleId="CommentReference">
    <w:name w:val="annotation reference"/>
    <w:basedOn w:val="DefaultParagraphFont"/>
    <w:uiPriority w:val="99"/>
    <w:semiHidden/>
    <w:unhideWhenUsed/>
    <w:rsid w:val="0015543A"/>
    <w:rPr>
      <w:sz w:val="16"/>
      <w:szCs w:val="16"/>
    </w:rPr>
  </w:style>
  <w:style w:type="paragraph" w:styleId="CommentText">
    <w:name w:val="annotation text"/>
    <w:basedOn w:val="Normal"/>
    <w:link w:val="CommentTextChar"/>
    <w:uiPriority w:val="99"/>
    <w:semiHidden/>
    <w:unhideWhenUsed/>
    <w:rsid w:val="0015543A"/>
    <w:pPr>
      <w:spacing w:line="240" w:lineRule="auto"/>
    </w:pPr>
    <w:rPr>
      <w:sz w:val="20"/>
      <w:szCs w:val="20"/>
    </w:rPr>
  </w:style>
  <w:style w:type="character" w:customStyle="1" w:styleId="CommentTextChar">
    <w:name w:val="Comment Text Char"/>
    <w:basedOn w:val="DefaultParagraphFont"/>
    <w:link w:val="CommentText"/>
    <w:uiPriority w:val="99"/>
    <w:semiHidden/>
    <w:rsid w:val="0015543A"/>
    <w:rPr>
      <w:sz w:val="20"/>
      <w:szCs w:val="20"/>
    </w:rPr>
  </w:style>
  <w:style w:type="paragraph" w:styleId="CommentSubject">
    <w:name w:val="annotation subject"/>
    <w:basedOn w:val="CommentText"/>
    <w:next w:val="CommentText"/>
    <w:link w:val="CommentSubjectChar"/>
    <w:uiPriority w:val="99"/>
    <w:semiHidden/>
    <w:unhideWhenUsed/>
    <w:rsid w:val="0015543A"/>
    <w:rPr>
      <w:b/>
      <w:bCs/>
    </w:rPr>
  </w:style>
  <w:style w:type="character" w:customStyle="1" w:styleId="CommentSubjectChar">
    <w:name w:val="Comment Subject Char"/>
    <w:basedOn w:val="CommentTextChar"/>
    <w:link w:val="CommentSubject"/>
    <w:uiPriority w:val="99"/>
    <w:semiHidden/>
    <w:rsid w:val="0015543A"/>
    <w:rPr>
      <w:b/>
      <w:bCs/>
      <w:sz w:val="20"/>
      <w:szCs w:val="20"/>
    </w:rPr>
  </w:style>
  <w:style w:type="paragraph" w:styleId="BalloonText">
    <w:name w:val="Balloon Text"/>
    <w:basedOn w:val="Normal"/>
    <w:link w:val="BalloonTextChar"/>
    <w:uiPriority w:val="99"/>
    <w:semiHidden/>
    <w:unhideWhenUsed/>
    <w:rsid w:val="0015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3A"/>
    <w:rPr>
      <w:rFonts w:ascii="Segoe UI" w:hAnsi="Segoe UI" w:cs="Segoe UI"/>
      <w:sz w:val="18"/>
      <w:szCs w:val="18"/>
    </w:rPr>
  </w:style>
  <w:style w:type="character" w:styleId="Strong">
    <w:name w:val="Strong"/>
    <w:basedOn w:val="DefaultParagraphFont"/>
    <w:uiPriority w:val="22"/>
    <w:qFormat/>
    <w:rsid w:val="00C007D8"/>
    <w:rPr>
      <w:b/>
      <w:bCs/>
    </w:rPr>
  </w:style>
  <w:style w:type="paragraph" w:styleId="NormalWeb">
    <w:name w:val="Normal (Web)"/>
    <w:basedOn w:val="Normal"/>
    <w:uiPriority w:val="99"/>
    <w:unhideWhenUsed/>
    <w:rsid w:val="00C00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hit">
    <w:name w:val="csshit"/>
    <w:basedOn w:val="DefaultParagraphFont"/>
    <w:rsid w:val="006F0881"/>
  </w:style>
  <w:style w:type="character" w:styleId="Emphasis">
    <w:name w:val="Emphasis"/>
    <w:basedOn w:val="DefaultParagraphFont"/>
    <w:uiPriority w:val="20"/>
    <w:qFormat/>
    <w:rsid w:val="00246313"/>
    <w:rPr>
      <w:i/>
      <w:iCs/>
    </w:rPr>
  </w:style>
  <w:style w:type="character" w:customStyle="1" w:styleId="Heading1Char">
    <w:name w:val="Heading 1 Char"/>
    <w:basedOn w:val="DefaultParagraphFont"/>
    <w:link w:val="Heading1"/>
    <w:uiPriority w:val="9"/>
    <w:rsid w:val="00246313"/>
    <w:rPr>
      <w:rFonts w:asciiTheme="majorHAnsi" w:eastAsiaTheme="majorEastAsia" w:hAnsiTheme="majorHAnsi" w:cstheme="majorBidi"/>
      <w:color w:val="2F5496" w:themeColor="accent1" w:themeShade="BF"/>
      <w:sz w:val="32"/>
      <w:szCs w:val="32"/>
    </w:rPr>
  </w:style>
  <w:style w:type="character" w:customStyle="1" w:styleId="css-901oao">
    <w:name w:val="css-901oao"/>
    <w:basedOn w:val="DefaultParagraphFont"/>
    <w:rsid w:val="005A5514"/>
  </w:style>
  <w:style w:type="paragraph" w:styleId="ListParagraph">
    <w:name w:val="List Paragraph"/>
    <w:basedOn w:val="Normal"/>
    <w:uiPriority w:val="34"/>
    <w:qFormat/>
    <w:rsid w:val="00A0126A"/>
    <w:pPr>
      <w:ind w:left="720"/>
      <w:contextualSpacing/>
    </w:pPr>
  </w:style>
  <w:style w:type="paragraph" w:customStyle="1" w:styleId="title-bold">
    <w:name w:val="title-bold"/>
    <w:basedOn w:val="Normal"/>
    <w:rsid w:val="00A411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pname">
    <w:name w:val="ep_name"/>
    <w:basedOn w:val="DefaultParagraphFont"/>
    <w:rsid w:val="002717CD"/>
  </w:style>
  <w:style w:type="character" w:customStyle="1" w:styleId="personname">
    <w:name w:val="person_name"/>
    <w:basedOn w:val="DefaultParagraphFont"/>
    <w:rsid w:val="005A66E4"/>
  </w:style>
  <w:style w:type="character" w:customStyle="1" w:styleId="Heading5Char">
    <w:name w:val="Heading 5 Char"/>
    <w:basedOn w:val="DefaultParagraphFont"/>
    <w:link w:val="Heading5"/>
    <w:uiPriority w:val="9"/>
    <w:semiHidden/>
    <w:rsid w:val="005A66E4"/>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3603C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22A08"/>
    <w:rPr>
      <w:rFonts w:asciiTheme="majorHAnsi" w:eastAsiaTheme="majorEastAsia" w:hAnsiTheme="majorHAnsi" w:cstheme="majorBidi"/>
      <w:i/>
      <w:iCs/>
      <w:color w:val="2F5496" w:themeColor="accent1" w:themeShade="BF"/>
    </w:rPr>
  </w:style>
  <w:style w:type="character" w:customStyle="1" w:styleId="series-label">
    <w:name w:val="series-label"/>
    <w:basedOn w:val="DefaultParagraphFont"/>
    <w:rsid w:val="00D22A08"/>
  </w:style>
  <w:style w:type="character" w:customStyle="1" w:styleId="series-volume">
    <w:name w:val="series-volume"/>
    <w:basedOn w:val="DefaultParagraphFont"/>
    <w:rsid w:val="00D22A08"/>
  </w:style>
  <w:style w:type="character" w:customStyle="1" w:styleId="creator-type-label">
    <w:name w:val="creator-type-label"/>
    <w:basedOn w:val="DefaultParagraphFont"/>
    <w:rsid w:val="00D22A08"/>
  </w:style>
  <w:style w:type="character" w:customStyle="1" w:styleId="contributor-unlinked">
    <w:name w:val="contributor-unlinked"/>
    <w:basedOn w:val="DefaultParagraphFont"/>
    <w:rsid w:val="00D22A08"/>
  </w:style>
  <w:style w:type="character" w:customStyle="1" w:styleId="contributor-separator">
    <w:name w:val="contributor-separator"/>
    <w:basedOn w:val="DefaultParagraphFont"/>
    <w:rsid w:val="00D22A08"/>
  </w:style>
  <w:style w:type="paragraph" w:styleId="Revision">
    <w:name w:val="Revision"/>
    <w:hidden/>
    <w:uiPriority w:val="99"/>
    <w:semiHidden/>
    <w:rsid w:val="00F14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886">
      <w:bodyDiv w:val="1"/>
      <w:marLeft w:val="0"/>
      <w:marRight w:val="0"/>
      <w:marTop w:val="0"/>
      <w:marBottom w:val="0"/>
      <w:divBdr>
        <w:top w:val="none" w:sz="0" w:space="0" w:color="auto"/>
        <w:left w:val="none" w:sz="0" w:space="0" w:color="auto"/>
        <w:bottom w:val="none" w:sz="0" w:space="0" w:color="auto"/>
        <w:right w:val="none" w:sz="0" w:space="0" w:color="auto"/>
      </w:divBdr>
    </w:div>
    <w:div w:id="119346388">
      <w:bodyDiv w:val="1"/>
      <w:marLeft w:val="0"/>
      <w:marRight w:val="0"/>
      <w:marTop w:val="0"/>
      <w:marBottom w:val="0"/>
      <w:divBdr>
        <w:top w:val="none" w:sz="0" w:space="0" w:color="auto"/>
        <w:left w:val="none" w:sz="0" w:space="0" w:color="auto"/>
        <w:bottom w:val="none" w:sz="0" w:space="0" w:color="auto"/>
        <w:right w:val="none" w:sz="0" w:space="0" w:color="auto"/>
      </w:divBdr>
    </w:div>
    <w:div w:id="154418142">
      <w:bodyDiv w:val="1"/>
      <w:marLeft w:val="0"/>
      <w:marRight w:val="0"/>
      <w:marTop w:val="0"/>
      <w:marBottom w:val="0"/>
      <w:divBdr>
        <w:top w:val="none" w:sz="0" w:space="0" w:color="auto"/>
        <w:left w:val="none" w:sz="0" w:space="0" w:color="auto"/>
        <w:bottom w:val="none" w:sz="0" w:space="0" w:color="auto"/>
        <w:right w:val="none" w:sz="0" w:space="0" w:color="auto"/>
      </w:divBdr>
      <w:divsChild>
        <w:div w:id="1595821762">
          <w:marLeft w:val="0"/>
          <w:marRight w:val="0"/>
          <w:marTop w:val="0"/>
          <w:marBottom w:val="0"/>
          <w:divBdr>
            <w:top w:val="none" w:sz="0" w:space="0" w:color="auto"/>
            <w:left w:val="none" w:sz="0" w:space="0" w:color="auto"/>
            <w:bottom w:val="none" w:sz="0" w:space="0" w:color="auto"/>
            <w:right w:val="none" w:sz="0" w:space="0" w:color="auto"/>
          </w:divBdr>
          <w:divsChild>
            <w:div w:id="615521164">
              <w:marLeft w:val="0"/>
              <w:marRight w:val="0"/>
              <w:marTop w:val="0"/>
              <w:marBottom w:val="0"/>
              <w:divBdr>
                <w:top w:val="none" w:sz="0" w:space="0" w:color="auto"/>
                <w:left w:val="none" w:sz="0" w:space="0" w:color="auto"/>
                <w:bottom w:val="none" w:sz="0" w:space="0" w:color="auto"/>
                <w:right w:val="none" w:sz="0" w:space="0" w:color="auto"/>
              </w:divBdr>
              <w:divsChild>
                <w:div w:id="20859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6791">
      <w:bodyDiv w:val="1"/>
      <w:marLeft w:val="0"/>
      <w:marRight w:val="0"/>
      <w:marTop w:val="0"/>
      <w:marBottom w:val="0"/>
      <w:divBdr>
        <w:top w:val="none" w:sz="0" w:space="0" w:color="auto"/>
        <w:left w:val="none" w:sz="0" w:space="0" w:color="auto"/>
        <w:bottom w:val="none" w:sz="0" w:space="0" w:color="auto"/>
        <w:right w:val="none" w:sz="0" w:space="0" w:color="auto"/>
      </w:divBdr>
      <w:divsChild>
        <w:div w:id="1767070037">
          <w:marLeft w:val="0"/>
          <w:marRight w:val="0"/>
          <w:marTop w:val="0"/>
          <w:marBottom w:val="0"/>
          <w:divBdr>
            <w:top w:val="none" w:sz="0" w:space="0" w:color="auto"/>
            <w:left w:val="none" w:sz="0" w:space="0" w:color="auto"/>
            <w:bottom w:val="none" w:sz="0" w:space="0" w:color="auto"/>
            <w:right w:val="none" w:sz="0" w:space="0" w:color="auto"/>
          </w:divBdr>
        </w:div>
        <w:div w:id="904536073">
          <w:marLeft w:val="0"/>
          <w:marRight w:val="0"/>
          <w:marTop w:val="0"/>
          <w:marBottom w:val="0"/>
          <w:divBdr>
            <w:top w:val="none" w:sz="0" w:space="0" w:color="auto"/>
            <w:left w:val="none" w:sz="0" w:space="0" w:color="auto"/>
            <w:bottom w:val="none" w:sz="0" w:space="0" w:color="auto"/>
            <w:right w:val="none" w:sz="0" w:space="0" w:color="auto"/>
          </w:divBdr>
        </w:div>
        <w:div w:id="199440031">
          <w:marLeft w:val="0"/>
          <w:marRight w:val="0"/>
          <w:marTop w:val="0"/>
          <w:marBottom w:val="0"/>
          <w:divBdr>
            <w:top w:val="none" w:sz="0" w:space="0" w:color="auto"/>
            <w:left w:val="none" w:sz="0" w:space="0" w:color="auto"/>
            <w:bottom w:val="none" w:sz="0" w:space="0" w:color="auto"/>
            <w:right w:val="none" w:sz="0" w:space="0" w:color="auto"/>
          </w:divBdr>
        </w:div>
      </w:divsChild>
    </w:div>
    <w:div w:id="320236721">
      <w:bodyDiv w:val="1"/>
      <w:marLeft w:val="0"/>
      <w:marRight w:val="0"/>
      <w:marTop w:val="0"/>
      <w:marBottom w:val="0"/>
      <w:divBdr>
        <w:top w:val="none" w:sz="0" w:space="0" w:color="auto"/>
        <w:left w:val="none" w:sz="0" w:space="0" w:color="auto"/>
        <w:bottom w:val="none" w:sz="0" w:space="0" w:color="auto"/>
        <w:right w:val="none" w:sz="0" w:space="0" w:color="auto"/>
      </w:divBdr>
    </w:div>
    <w:div w:id="442500208">
      <w:bodyDiv w:val="1"/>
      <w:marLeft w:val="0"/>
      <w:marRight w:val="0"/>
      <w:marTop w:val="0"/>
      <w:marBottom w:val="0"/>
      <w:divBdr>
        <w:top w:val="none" w:sz="0" w:space="0" w:color="auto"/>
        <w:left w:val="none" w:sz="0" w:space="0" w:color="auto"/>
        <w:bottom w:val="none" w:sz="0" w:space="0" w:color="auto"/>
        <w:right w:val="none" w:sz="0" w:space="0" w:color="auto"/>
      </w:divBdr>
      <w:divsChild>
        <w:div w:id="1731424114">
          <w:marLeft w:val="0"/>
          <w:marRight w:val="0"/>
          <w:marTop w:val="0"/>
          <w:marBottom w:val="0"/>
          <w:divBdr>
            <w:top w:val="none" w:sz="0" w:space="0" w:color="auto"/>
            <w:left w:val="none" w:sz="0" w:space="0" w:color="auto"/>
            <w:bottom w:val="none" w:sz="0" w:space="0" w:color="auto"/>
            <w:right w:val="none" w:sz="0" w:space="0" w:color="auto"/>
          </w:divBdr>
          <w:divsChild>
            <w:div w:id="1638025971">
              <w:marLeft w:val="0"/>
              <w:marRight w:val="0"/>
              <w:marTop w:val="0"/>
              <w:marBottom w:val="0"/>
              <w:divBdr>
                <w:top w:val="none" w:sz="0" w:space="0" w:color="auto"/>
                <w:left w:val="none" w:sz="0" w:space="0" w:color="auto"/>
                <w:bottom w:val="none" w:sz="0" w:space="0" w:color="auto"/>
                <w:right w:val="none" w:sz="0" w:space="0" w:color="auto"/>
              </w:divBdr>
              <w:divsChild>
                <w:div w:id="5032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6281">
      <w:bodyDiv w:val="1"/>
      <w:marLeft w:val="0"/>
      <w:marRight w:val="0"/>
      <w:marTop w:val="0"/>
      <w:marBottom w:val="0"/>
      <w:divBdr>
        <w:top w:val="none" w:sz="0" w:space="0" w:color="auto"/>
        <w:left w:val="none" w:sz="0" w:space="0" w:color="auto"/>
        <w:bottom w:val="none" w:sz="0" w:space="0" w:color="auto"/>
        <w:right w:val="none" w:sz="0" w:space="0" w:color="auto"/>
      </w:divBdr>
      <w:divsChild>
        <w:div w:id="503713984">
          <w:marLeft w:val="0"/>
          <w:marRight w:val="0"/>
          <w:marTop w:val="0"/>
          <w:marBottom w:val="0"/>
          <w:divBdr>
            <w:top w:val="none" w:sz="0" w:space="0" w:color="auto"/>
            <w:left w:val="none" w:sz="0" w:space="0" w:color="auto"/>
            <w:bottom w:val="none" w:sz="0" w:space="0" w:color="auto"/>
            <w:right w:val="none" w:sz="0" w:space="0" w:color="auto"/>
          </w:divBdr>
          <w:divsChild>
            <w:div w:id="627976743">
              <w:marLeft w:val="0"/>
              <w:marRight w:val="0"/>
              <w:marTop w:val="0"/>
              <w:marBottom w:val="0"/>
              <w:divBdr>
                <w:top w:val="none" w:sz="0" w:space="0" w:color="auto"/>
                <w:left w:val="none" w:sz="0" w:space="0" w:color="auto"/>
                <w:bottom w:val="none" w:sz="0" w:space="0" w:color="auto"/>
                <w:right w:val="none" w:sz="0" w:space="0" w:color="auto"/>
              </w:divBdr>
              <w:divsChild>
                <w:div w:id="5465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7972">
      <w:bodyDiv w:val="1"/>
      <w:marLeft w:val="0"/>
      <w:marRight w:val="0"/>
      <w:marTop w:val="0"/>
      <w:marBottom w:val="0"/>
      <w:divBdr>
        <w:top w:val="none" w:sz="0" w:space="0" w:color="auto"/>
        <w:left w:val="none" w:sz="0" w:space="0" w:color="auto"/>
        <w:bottom w:val="none" w:sz="0" w:space="0" w:color="auto"/>
        <w:right w:val="none" w:sz="0" w:space="0" w:color="auto"/>
      </w:divBdr>
      <w:divsChild>
        <w:div w:id="994265427">
          <w:marLeft w:val="0"/>
          <w:marRight w:val="0"/>
          <w:marTop w:val="0"/>
          <w:marBottom w:val="0"/>
          <w:divBdr>
            <w:top w:val="none" w:sz="0" w:space="0" w:color="auto"/>
            <w:left w:val="none" w:sz="0" w:space="0" w:color="auto"/>
            <w:bottom w:val="none" w:sz="0" w:space="0" w:color="auto"/>
            <w:right w:val="none" w:sz="0" w:space="0" w:color="auto"/>
          </w:divBdr>
        </w:div>
      </w:divsChild>
    </w:div>
    <w:div w:id="581918071">
      <w:bodyDiv w:val="1"/>
      <w:marLeft w:val="0"/>
      <w:marRight w:val="0"/>
      <w:marTop w:val="0"/>
      <w:marBottom w:val="0"/>
      <w:divBdr>
        <w:top w:val="none" w:sz="0" w:space="0" w:color="auto"/>
        <w:left w:val="none" w:sz="0" w:space="0" w:color="auto"/>
        <w:bottom w:val="none" w:sz="0" w:space="0" w:color="auto"/>
        <w:right w:val="none" w:sz="0" w:space="0" w:color="auto"/>
      </w:divBdr>
      <w:divsChild>
        <w:div w:id="565192024">
          <w:marLeft w:val="0"/>
          <w:marRight w:val="0"/>
          <w:marTop w:val="0"/>
          <w:marBottom w:val="0"/>
          <w:divBdr>
            <w:top w:val="none" w:sz="0" w:space="0" w:color="auto"/>
            <w:left w:val="none" w:sz="0" w:space="0" w:color="auto"/>
            <w:bottom w:val="none" w:sz="0" w:space="0" w:color="auto"/>
            <w:right w:val="none" w:sz="0" w:space="0" w:color="auto"/>
          </w:divBdr>
          <w:divsChild>
            <w:div w:id="1512255802">
              <w:marLeft w:val="0"/>
              <w:marRight w:val="0"/>
              <w:marTop w:val="0"/>
              <w:marBottom w:val="0"/>
              <w:divBdr>
                <w:top w:val="none" w:sz="0" w:space="0" w:color="auto"/>
                <w:left w:val="none" w:sz="0" w:space="0" w:color="auto"/>
                <w:bottom w:val="none" w:sz="0" w:space="0" w:color="auto"/>
                <w:right w:val="none" w:sz="0" w:space="0" w:color="auto"/>
              </w:divBdr>
              <w:divsChild>
                <w:div w:id="9509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2547">
      <w:bodyDiv w:val="1"/>
      <w:marLeft w:val="0"/>
      <w:marRight w:val="0"/>
      <w:marTop w:val="0"/>
      <w:marBottom w:val="0"/>
      <w:divBdr>
        <w:top w:val="none" w:sz="0" w:space="0" w:color="auto"/>
        <w:left w:val="none" w:sz="0" w:space="0" w:color="auto"/>
        <w:bottom w:val="none" w:sz="0" w:space="0" w:color="auto"/>
        <w:right w:val="none" w:sz="0" w:space="0" w:color="auto"/>
      </w:divBdr>
      <w:divsChild>
        <w:div w:id="1087533979">
          <w:marLeft w:val="0"/>
          <w:marRight w:val="0"/>
          <w:marTop w:val="0"/>
          <w:marBottom w:val="0"/>
          <w:divBdr>
            <w:top w:val="none" w:sz="0" w:space="0" w:color="auto"/>
            <w:left w:val="none" w:sz="0" w:space="0" w:color="auto"/>
            <w:bottom w:val="none" w:sz="0" w:space="0" w:color="auto"/>
            <w:right w:val="none" w:sz="0" w:space="0" w:color="auto"/>
          </w:divBdr>
          <w:divsChild>
            <w:div w:id="1150169927">
              <w:marLeft w:val="0"/>
              <w:marRight w:val="0"/>
              <w:marTop w:val="0"/>
              <w:marBottom w:val="0"/>
              <w:divBdr>
                <w:top w:val="none" w:sz="0" w:space="0" w:color="auto"/>
                <w:left w:val="none" w:sz="0" w:space="0" w:color="auto"/>
                <w:bottom w:val="none" w:sz="0" w:space="0" w:color="auto"/>
                <w:right w:val="none" w:sz="0" w:space="0" w:color="auto"/>
              </w:divBdr>
              <w:divsChild>
                <w:div w:id="6869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797">
      <w:bodyDiv w:val="1"/>
      <w:marLeft w:val="0"/>
      <w:marRight w:val="0"/>
      <w:marTop w:val="0"/>
      <w:marBottom w:val="0"/>
      <w:divBdr>
        <w:top w:val="none" w:sz="0" w:space="0" w:color="auto"/>
        <w:left w:val="none" w:sz="0" w:space="0" w:color="auto"/>
        <w:bottom w:val="none" w:sz="0" w:space="0" w:color="auto"/>
        <w:right w:val="none" w:sz="0" w:space="0" w:color="auto"/>
      </w:divBdr>
    </w:div>
    <w:div w:id="844445266">
      <w:bodyDiv w:val="1"/>
      <w:marLeft w:val="0"/>
      <w:marRight w:val="0"/>
      <w:marTop w:val="0"/>
      <w:marBottom w:val="0"/>
      <w:divBdr>
        <w:top w:val="none" w:sz="0" w:space="0" w:color="auto"/>
        <w:left w:val="none" w:sz="0" w:space="0" w:color="auto"/>
        <w:bottom w:val="none" w:sz="0" w:space="0" w:color="auto"/>
        <w:right w:val="none" w:sz="0" w:space="0" w:color="auto"/>
      </w:divBdr>
    </w:div>
    <w:div w:id="876621006">
      <w:bodyDiv w:val="1"/>
      <w:marLeft w:val="0"/>
      <w:marRight w:val="0"/>
      <w:marTop w:val="0"/>
      <w:marBottom w:val="0"/>
      <w:divBdr>
        <w:top w:val="none" w:sz="0" w:space="0" w:color="auto"/>
        <w:left w:val="none" w:sz="0" w:space="0" w:color="auto"/>
        <w:bottom w:val="none" w:sz="0" w:space="0" w:color="auto"/>
        <w:right w:val="none" w:sz="0" w:space="0" w:color="auto"/>
      </w:divBdr>
      <w:divsChild>
        <w:div w:id="351689472">
          <w:marLeft w:val="0"/>
          <w:marRight w:val="0"/>
          <w:marTop w:val="0"/>
          <w:marBottom w:val="0"/>
          <w:divBdr>
            <w:top w:val="none" w:sz="0" w:space="0" w:color="auto"/>
            <w:left w:val="none" w:sz="0" w:space="0" w:color="auto"/>
            <w:bottom w:val="none" w:sz="0" w:space="0" w:color="auto"/>
            <w:right w:val="none" w:sz="0" w:space="0" w:color="auto"/>
          </w:divBdr>
          <w:divsChild>
            <w:div w:id="1451126272">
              <w:marLeft w:val="0"/>
              <w:marRight w:val="0"/>
              <w:marTop w:val="0"/>
              <w:marBottom w:val="0"/>
              <w:divBdr>
                <w:top w:val="none" w:sz="0" w:space="0" w:color="auto"/>
                <w:left w:val="none" w:sz="0" w:space="0" w:color="auto"/>
                <w:bottom w:val="none" w:sz="0" w:space="0" w:color="auto"/>
                <w:right w:val="none" w:sz="0" w:space="0" w:color="auto"/>
              </w:divBdr>
              <w:divsChild>
                <w:div w:id="12642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6191">
      <w:bodyDiv w:val="1"/>
      <w:marLeft w:val="0"/>
      <w:marRight w:val="0"/>
      <w:marTop w:val="0"/>
      <w:marBottom w:val="0"/>
      <w:divBdr>
        <w:top w:val="none" w:sz="0" w:space="0" w:color="auto"/>
        <w:left w:val="none" w:sz="0" w:space="0" w:color="auto"/>
        <w:bottom w:val="none" w:sz="0" w:space="0" w:color="auto"/>
        <w:right w:val="none" w:sz="0" w:space="0" w:color="auto"/>
      </w:divBdr>
      <w:divsChild>
        <w:div w:id="115830816">
          <w:marLeft w:val="0"/>
          <w:marRight w:val="0"/>
          <w:marTop w:val="0"/>
          <w:marBottom w:val="0"/>
          <w:divBdr>
            <w:top w:val="none" w:sz="0" w:space="0" w:color="auto"/>
            <w:left w:val="none" w:sz="0" w:space="0" w:color="auto"/>
            <w:bottom w:val="none" w:sz="0" w:space="0" w:color="auto"/>
            <w:right w:val="none" w:sz="0" w:space="0" w:color="auto"/>
          </w:divBdr>
          <w:divsChild>
            <w:div w:id="323945386">
              <w:marLeft w:val="0"/>
              <w:marRight w:val="0"/>
              <w:marTop w:val="0"/>
              <w:marBottom w:val="0"/>
              <w:divBdr>
                <w:top w:val="none" w:sz="0" w:space="0" w:color="auto"/>
                <w:left w:val="none" w:sz="0" w:space="0" w:color="auto"/>
                <w:bottom w:val="none" w:sz="0" w:space="0" w:color="auto"/>
                <w:right w:val="none" w:sz="0" w:space="0" w:color="auto"/>
              </w:divBdr>
              <w:divsChild>
                <w:div w:id="11160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3350">
      <w:bodyDiv w:val="1"/>
      <w:marLeft w:val="0"/>
      <w:marRight w:val="0"/>
      <w:marTop w:val="0"/>
      <w:marBottom w:val="0"/>
      <w:divBdr>
        <w:top w:val="none" w:sz="0" w:space="0" w:color="auto"/>
        <w:left w:val="none" w:sz="0" w:space="0" w:color="auto"/>
        <w:bottom w:val="none" w:sz="0" w:space="0" w:color="auto"/>
        <w:right w:val="none" w:sz="0" w:space="0" w:color="auto"/>
      </w:divBdr>
      <w:divsChild>
        <w:div w:id="1227687798">
          <w:marLeft w:val="0"/>
          <w:marRight w:val="0"/>
          <w:marTop w:val="0"/>
          <w:marBottom w:val="0"/>
          <w:divBdr>
            <w:top w:val="none" w:sz="0" w:space="0" w:color="auto"/>
            <w:left w:val="none" w:sz="0" w:space="0" w:color="auto"/>
            <w:bottom w:val="none" w:sz="0" w:space="0" w:color="auto"/>
            <w:right w:val="none" w:sz="0" w:space="0" w:color="auto"/>
          </w:divBdr>
        </w:div>
      </w:divsChild>
    </w:div>
    <w:div w:id="1071779532">
      <w:bodyDiv w:val="1"/>
      <w:marLeft w:val="0"/>
      <w:marRight w:val="0"/>
      <w:marTop w:val="0"/>
      <w:marBottom w:val="0"/>
      <w:divBdr>
        <w:top w:val="none" w:sz="0" w:space="0" w:color="auto"/>
        <w:left w:val="none" w:sz="0" w:space="0" w:color="auto"/>
        <w:bottom w:val="none" w:sz="0" w:space="0" w:color="auto"/>
        <w:right w:val="none" w:sz="0" w:space="0" w:color="auto"/>
      </w:divBdr>
      <w:divsChild>
        <w:div w:id="218790081">
          <w:marLeft w:val="0"/>
          <w:marRight w:val="0"/>
          <w:marTop w:val="0"/>
          <w:marBottom w:val="0"/>
          <w:divBdr>
            <w:top w:val="none" w:sz="0" w:space="0" w:color="auto"/>
            <w:left w:val="none" w:sz="0" w:space="0" w:color="auto"/>
            <w:bottom w:val="none" w:sz="0" w:space="0" w:color="auto"/>
            <w:right w:val="none" w:sz="0" w:space="0" w:color="auto"/>
          </w:divBdr>
          <w:divsChild>
            <w:div w:id="143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4008">
      <w:bodyDiv w:val="1"/>
      <w:marLeft w:val="0"/>
      <w:marRight w:val="0"/>
      <w:marTop w:val="0"/>
      <w:marBottom w:val="0"/>
      <w:divBdr>
        <w:top w:val="none" w:sz="0" w:space="0" w:color="auto"/>
        <w:left w:val="none" w:sz="0" w:space="0" w:color="auto"/>
        <w:bottom w:val="none" w:sz="0" w:space="0" w:color="auto"/>
        <w:right w:val="none" w:sz="0" w:space="0" w:color="auto"/>
      </w:divBdr>
    </w:div>
    <w:div w:id="1280717332">
      <w:bodyDiv w:val="1"/>
      <w:marLeft w:val="0"/>
      <w:marRight w:val="0"/>
      <w:marTop w:val="0"/>
      <w:marBottom w:val="0"/>
      <w:divBdr>
        <w:top w:val="none" w:sz="0" w:space="0" w:color="auto"/>
        <w:left w:val="none" w:sz="0" w:space="0" w:color="auto"/>
        <w:bottom w:val="none" w:sz="0" w:space="0" w:color="auto"/>
        <w:right w:val="none" w:sz="0" w:space="0" w:color="auto"/>
      </w:divBdr>
    </w:div>
    <w:div w:id="1289244896">
      <w:bodyDiv w:val="1"/>
      <w:marLeft w:val="0"/>
      <w:marRight w:val="0"/>
      <w:marTop w:val="0"/>
      <w:marBottom w:val="0"/>
      <w:divBdr>
        <w:top w:val="none" w:sz="0" w:space="0" w:color="auto"/>
        <w:left w:val="none" w:sz="0" w:space="0" w:color="auto"/>
        <w:bottom w:val="none" w:sz="0" w:space="0" w:color="auto"/>
        <w:right w:val="none" w:sz="0" w:space="0" w:color="auto"/>
      </w:divBdr>
      <w:divsChild>
        <w:div w:id="1351493156">
          <w:marLeft w:val="0"/>
          <w:marRight w:val="0"/>
          <w:marTop w:val="0"/>
          <w:marBottom w:val="0"/>
          <w:divBdr>
            <w:top w:val="none" w:sz="0" w:space="0" w:color="auto"/>
            <w:left w:val="none" w:sz="0" w:space="0" w:color="auto"/>
            <w:bottom w:val="none" w:sz="0" w:space="0" w:color="auto"/>
            <w:right w:val="none" w:sz="0" w:space="0" w:color="auto"/>
          </w:divBdr>
        </w:div>
      </w:divsChild>
    </w:div>
    <w:div w:id="1308584188">
      <w:bodyDiv w:val="1"/>
      <w:marLeft w:val="0"/>
      <w:marRight w:val="0"/>
      <w:marTop w:val="0"/>
      <w:marBottom w:val="0"/>
      <w:divBdr>
        <w:top w:val="none" w:sz="0" w:space="0" w:color="auto"/>
        <w:left w:val="none" w:sz="0" w:space="0" w:color="auto"/>
        <w:bottom w:val="none" w:sz="0" w:space="0" w:color="auto"/>
        <w:right w:val="none" w:sz="0" w:space="0" w:color="auto"/>
      </w:divBdr>
      <w:divsChild>
        <w:div w:id="1176531928">
          <w:marLeft w:val="0"/>
          <w:marRight w:val="0"/>
          <w:marTop w:val="0"/>
          <w:marBottom w:val="0"/>
          <w:divBdr>
            <w:top w:val="none" w:sz="0" w:space="0" w:color="auto"/>
            <w:left w:val="none" w:sz="0" w:space="0" w:color="auto"/>
            <w:bottom w:val="none" w:sz="0" w:space="0" w:color="auto"/>
            <w:right w:val="none" w:sz="0" w:space="0" w:color="auto"/>
          </w:divBdr>
          <w:divsChild>
            <w:div w:id="620917957">
              <w:marLeft w:val="0"/>
              <w:marRight w:val="0"/>
              <w:marTop w:val="0"/>
              <w:marBottom w:val="0"/>
              <w:divBdr>
                <w:top w:val="none" w:sz="0" w:space="0" w:color="auto"/>
                <w:left w:val="none" w:sz="0" w:space="0" w:color="auto"/>
                <w:bottom w:val="none" w:sz="0" w:space="0" w:color="auto"/>
                <w:right w:val="none" w:sz="0" w:space="0" w:color="auto"/>
              </w:divBdr>
              <w:divsChild>
                <w:div w:id="1348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5434">
      <w:bodyDiv w:val="1"/>
      <w:marLeft w:val="0"/>
      <w:marRight w:val="0"/>
      <w:marTop w:val="0"/>
      <w:marBottom w:val="0"/>
      <w:divBdr>
        <w:top w:val="none" w:sz="0" w:space="0" w:color="auto"/>
        <w:left w:val="none" w:sz="0" w:space="0" w:color="auto"/>
        <w:bottom w:val="none" w:sz="0" w:space="0" w:color="auto"/>
        <w:right w:val="none" w:sz="0" w:space="0" w:color="auto"/>
      </w:divBdr>
    </w:div>
    <w:div w:id="1522860920">
      <w:bodyDiv w:val="1"/>
      <w:marLeft w:val="0"/>
      <w:marRight w:val="0"/>
      <w:marTop w:val="0"/>
      <w:marBottom w:val="0"/>
      <w:divBdr>
        <w:top w:val="none" w:sz="0" w:space="0" w:color="auto"/>
        <w:left w:val="none" w:sz="0" w:space="0" w:color="auto"/>
        <w:bottom w:val="none" w:sz="0" w:space="0" w:color="auto"/>
        <w:right w:val="none" w:sz="0" w:space="0" w:color="auto"/>
      </w:divBdr>
      <w:divsChild>
        <w:div w:id="1887136414">
          <w:marLeft w:val="0"/>
          <w:marRight w:val="0"/>
          <w:marTop w:val="0"/>
          <w:marBottom w:val="0"/>
          <w:divBdr>
            <w:top w:val="none" w:sz="0" w:space="0" w:color="auto"/>
            <w:left w:val="none" w:sz="0" w:space="0" w:color="auto"/>
            <w:bottom w:val="none" w:sz="0" w:space="0" w:color="auto"/>
            <w:right w:val="none" w:sz="0" w:space="0" w:color="auto"/>
          </w:divBdr>
          <w:divsChild>
            <w:div w:id="509373620">
              <w:marLeft w:val="0"/>
              <w:marRight w:val="0"/>
              <w:marTop w:val="0"/>
              <w:marBottom w:val="0"/>
              <w:divBdr>
                <w:top w:val="none" w:sz="0" w:space="0" w:color="auto"/>
                <w:left w:val="none" w:sz="0" w:space="0" w:color="auto"/>
                <w:bottom w:val="none" w:sz="0" w:space="0" w:color="auto"/>
                <w:right w:val="none" w:sz="0" w:space="0" w:color="auto"/>
              </w:divBdr>
              <w:divsChild>
                <w:div w:id="10857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304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44">
          <w:marLeft w:val="0"/>
          <w:marRight w:val="0"/>
          <w:marTop w:val="0"/>
          <w:marBottom w:val="0"/>
          <w:divBdr>
            <w:top w:val="none" w:sz="0" w:space="0" w:color="auto"/>
            <w:left w:val="none" w:sz="0" w:space="0" w:color="auto"/>
            <w:bottom w:val="none" w:sz="0" w:space="0" w:color="auto"/>
            <w:right w:val="none" w:sz="0" w:space="0" w:color="auto"/>
          </w:divBdr>
        </w:div>
      </w:divsChild>
    </w:div>
    <w:div w:id="1702779150">
      <w:bodyDiv w:val="1"/>
      <w:marLeft w:val="0"/>
      <w:marRight w:val="0"/>
      <w:marTop w:val="0"/>
      <w:marBottom w:val="0"/>
      <w:divBdr>
        <w:top w:val="none" w:sz="0" w:space="0" w:color="auto"/>
        <w:left w:val="none" w:sz="0" w:space="0" w:color="auto"/>
        <w:bottom w:val="none" w:sz="0" w:space="0" w:color="auto"/>
        <w:right w:val="none" w:sz="0" w:space="0" w:color="auto"/>
      </w:divBdr>
    </w:div>
    <w:div w:id="1709598330">
      <w:bodyDiv w:val="1"/>
      <w:marLeft w:val="0"/>
      <w:marRight w:val="0"/>
      <w:marTop w:val="0"/>
      <w:marBottom w:val="0"/>
      <w:divBdr>
        <w:top w:val="none" w:sz="0" w:space="0" w:color="auto"/>
        <w:left w:val="none" w:sz="0" w:space="0" w:color="auto"/>
        <w:bottom w:val="none" w:sz="0" w:space="0" w:color="auto"/>
        <w:right w:val="none" w:sz="0" w:space="0" w:color="auto"/>
      </w:divBdr>
      <w:divsChild>
        <w:div w:id="827206775">
          <w:marLeft w:val="0"/>
          <w:marRight w:val="0"/>
          <w:marTop w:val="0"/>
          <w:marBottom w:val="0"/>
          <w:divBdr>
            <w:top w:val="none" w:sz="0" w:space="0" w:color="auto"/>
            <w:left w:val="none" w:sz="0" w:space="0" w:color="auto"/>
            <w:bottom w:val="none" w:sz="0" w:space="0" w:color="auto"/>
            <w:right w:val="none" w:sz="0" w:space="0" w:color="auto"/>
          </w:divBdr>
          <w:divsChild>
            <w:div w:id="1240139080">
              <w:marLeft w:val="0"/>
              <w:marRight w:val="0"/>
              <w:marTop w:val="0"/>
              <w:marBottom w:val="0"/>
              <w:divBdr>
                <w:top w:val="none" w:sz="0" w:space="0" w:color="auto"/>
                <w:left w:val="none" w:sz="0" w:space="0" w:color="auto"/>
                <w:bottom w:val="none" w:sz="0" w:space="0" w:color="auto"/>
                <w:right w:val="none" w:sz="0" w:space="0" w:color="auto"/>
              </w:divBdr>
              <w:divsChild>
                <w:div w:id="20934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91489">
      <w:bodyDiv w:val="1"/>
      <w:marLeft w:val="0"/>
      <w:marRight w:val="0"/>
      <w:marTop w:val="0"/>
      <w:marBottom w:val="0"/>
      <w:divBdr>
        <w:top w:val="none" w:sz="0" w:space="0" w:color="auto"/>
        <w:left w:val="none" w:sz="0" w:space="0" w:color="auto"/>
        <w:bottom w:val="none" w:sz="0" w:space="0" w:color="auto"/>
        <w:right w:val="none" w:sz="0" w:space="0" w:color="auto"/>
      </w:divBdr>
      <w:divsChild>
        <w:div w:id="236281432">
          <w:marLeft w:val="0"/>
          <w:marRight w:val="0"/>
          <w:marTop w:val="0"/>
          <w:marBottom w:val="0"/>
          <w:divBdr>
            <w:top w:val="none" w:sz="0" w:space="0" w:color="auto"/>
            <w:left w:val="none" w:sz="0" w:space="0" w:color="auto"/>
            <w:bottom w:val="none" w:sz="0" w:space="0" w:color="auto"/>
            <w:right w:val="none" w:sz="0" w:space="0" w:color="auto"/>
          </w:divBdr>
          <w:divsChild>
            <w:div w:id="2026514682">
              <w:marLeft w:val="0"/>
              <w:marRight w:val="0"/>
              <w:marTop w:val="0"/>
              <w:marBottom w:val="0"/>
              <w:divBdr>
                <w:top w:val="none" w:sz="0" w:space="0" w:color="auto"/>
                <w:left w:val="none" w:sz="0" w:space="0" w:color="auto"/>
                <w:bottom w:val="none" w:sz="0" w:space="0" w:color="auto"/>
                <w:right w:val="none" w:sz="0" w:space="0" w:color="auto"/>
              </w:divBdr>
              <w:divsChild>
                <w:div w:id="15315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6013">
      <w:bodyDiv w:val="1"/>
      <w:marLeft w:val="0"/>
      <w:marRight w:val="0"/>
      <w:marTop w:val="0"/>
      <w:marBottom w:val="0"/>
      <w:divBdr>
        <w:top w:val="none" w:sz="0" w:space="0" w:color="auto"/>
        <w:left w:val="none" w:sz="0" w:space="0" w:color="auto"/>
        <w:bottom w:val="none" w:sz="0" w:space="0" w:color="auto"/>
        <w:right w:val="none" w:sz="0" w:space="0" w:color="auto"/>
      </w:divBdr>
    </w:div>
    <w:div w:id="1786460559">
      <w:bodyDiv w:val="1"/>
      <w:marLeft w:val="0"/>
      <w:marRight w:val="0"/>
      <w:marTop w:val="0"/>
      <w:marBottom w:val="0"/>
      <w:divBdr>
        <w:top w:val="none" w:sz="0" w:space="0" w:color="auto"/>
        <w:left w:val="none" w:sz="0" w:space="0" w:color="auto"/>
        <w:bottom w:val="none" w:sz="0" w:space="0" w:color="auto"/>
        <w:right w:val="none" w:sz="0" w:space="0" w:color="auto"/>
      </w:divBdr>
      <w:divsChild>
        <w:div w:id="345643816">
          <w:marLeft w:val="0"/>
          <w:marRight w:val="0"/>
          <w:marTop w:val="0"/>
          <w:marBottom w:val="0"/>
          <w:divBdr>
            <w:top w:val="none" w:sz="0" w:space="0" w:color="auto"/>
            <w:left w:val="none" w:sz="0" w:space="0" w:color="auto"/>
            <w:bottom w:val="none" w:sz="0" w:space="0" w:color="auto"/>
            <w:right w:val="none" w:sz="0" w:space="0" w:color="auto"/>
          </w:divBdr>
          <w:divsChild>
            <w:div w:id="1762330455">
              <w:marLeft w:val="0"/>
              <w:marRight w:val="0"/>
              <w:marTop w:val="0"/>
              <w:marBottom w:val="0"/>
              <w:divBdr>
                <w:top w:val="none" w:sz="0" w:space="0" w:color="auto"/>
                <w:left w:val="none" w:sz="0" w:space="0" w:color="auto"/>
                <w:bottom w:val="none" w:sz="0" w:space="0" w:color="auto"/>
                <w:right w:val="none" w:sz="0" w:space="0" w:color="auto"/>
              </w:divBdr>
              <w:divsChild>
                <w:div w:id="16376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6969">
      <w:bodyDiv w:val="1"/>
      <w:marLeft w:val="0"/>
      <w:marRight w:val="0"/>
      <w:marTop w:val="0"/>
      <w:marBottom w:val="0"/>
      <w:divBdr>
        <w:top w:val="none" w:sz="0" w:space="0" w:color="auto"/>
        <w:left w:val="none" w:sz="0" w:space="0" w:color="auto"/>
        <w:bottom w:val="none" w:sz="0" w:space="0" w:color="auto"/>
        <w:right w:val="none" w:sz="0" w:space="0" w:color="auto"/>
      </w:divBdr>
      <w:divsChild>
        <w:div w:id="970089572">
          <w:marLeft w:val="0"/>
          <w:marRight w:val="0"/>
          <w:marTop w:val="0"/>
          <w:marBottom w:val="0"/>
          <w:divBdr>
            <w:top w:val="none" w:sz="0" w:space="0" w:color="auto"/>
            <w:left w:val="none" w:sz="0" w:space="0" w:color="auto"/>
            <w:bottom w:val="none" w:sz="0" w:space="0" w:color="auto"/>
            <w:right w:val="none" w:sz="0" w:space="0" w:color="auto"/>
          </w:divBdr>
          <w:divsChild>
            <w:div w:id="1709521892">
              <w:marLeft w:val="0"/>
              <w:marRight w:val="0"/>
              <w:marTop w:val="0"/>
              <w:marBottom w:val="0"/>
              <w:divBdr>
                <w:top w:val="none" w:sz="0" w:space="0" w:color="auto"/>
                <w:left w:val="none" w:sz="0" w:space="0" w:color="auto"/>
                <w:bottom w:val="none" w:sz="0" w:space="0" w:color="auto"/>
                <w:right w:val="none" w:sz="0" w:space="0" w:color="auto"/>
              </w:divBdr>
              <w:divsChild>
                <w:div w:id="1486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101">
      <w:bodyDiv w:val="1"/>
      <w:marLeft w:val="0"/>
      <w:marRight w:val="0"/>
      <w:marTop w:val="0"/>
      <w:marBottom w:val="0"/>
      <w:divBdr>
        <w:top w:val="none" w:sz="0" w:space="0" w:color="auto"/>
        <w:left w:val="none" w:sz="0" w:space="0" w:color="auto"/>
        <w:bottom w:val="none" w:sz="0" w:space="0" w:color="auto"/>
        <w:right w:val="none" w:sz="0" w:space="0" w:color="auto"/>
      </w:divBdr>
      <w:divsChild>
        <w:div w:id="337729681">
          <w:marLeft w:val="0"/>
          <w:marRight w:val="0"/>
          <w:marTop w:val="0"/>
          <w:marBottom w:val="0"/>
          <w:divBdr>
            <w:top w:val="none" w:sz="0" w:space="0" w:color="auto"/>
            <w:left w:val="none" w:sz="0" w:space="0" w:color="auto"/>
            <w:bottom w:val="none" w:sz="0" w:space="0" w:color="auto"/>
            <w:right w:val="none" w:sz="0" w:space="0" w:color="auto"/>
          </w:divBdr>
          <w:divsChild>
            <w:div w:id="1779566423">
              <w:marLeft w:val="0"/>
              <w:marRight w:val="0"/>
              <w:marTop w:val="0"/>
              <w:marBottom w:val="0"/>
              <w:divBdr>
                <w:top w:val="none" w:sz="0" w:space="0" w:color="auto"/>
                <w:left w:val="none" w:sz="0" w:space="0" w:color="auto"/>
                <w:bottom w:val="none" w:sz="0" w:space="0" w:color="auto"/>
                <w:right w:val="none" w:sz="0" w:space="0" w:color="auto"/>
              </w:divBdr>
              <w:divsChild>
                <w:div w:id="1591549733">
                  <w:marLeft w:val="0"/>
                  <w:marRight w:val="0"/>
                  <w:marTop w:val="0"/>
                  <w:marBottom w:val="0"/>
                  <w:divBdr>
                    <w:top w:val="none" w:sz="0" w:space="0" w:color="auto"/>
                    <w:left w:val="none" w:sz="0" w:space="0" w:color="auto"/>
                    <w:bottom w:val="none" w:sz="0" w:space="0" w:color="auto"/>
                    <w:right w:val="none" w:sz="0" w:space="0" w:color="auto"/>
                  </w:divBdr>
                  <w:divsChild>
                    <w:div w:id="18913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6784">
          <w:marLeft w:val="0"/>
          <w:marRight w:val="0"/>
          <w:marTop w:val="0"/>
          <w:marBottom w:val="0"/>
          <w:divBdr>
            <w:top w:val="none" w:sz="0" w:space="0" w:color="auto"/>
            <w:left w:val="none" w:sz="0" w:space="0" w:color="auto"/>
            <w:bottom w:val="none" w:sz="0" w:space="0" w:color="auto"/>
            <w:right w:val="none" w:sz="0" w:space="0" w:color="auto"/>
          </w:divBdr>
          <w:divsChild>
            <w:div w:id="1907179708">
              <w:marLeft w:val="0"/>
              <w:marRight w:val="0"/>
              <w:marTop w:val="0"/>
              <w:marBottom w:val="0"/>
              <w:divBdr>
                <w:top w:val="none" w:sz="0" w:space="0" w:color="auto"/>
                <w:left w:val="none" w:sz="0" w:space="0" w:color="auto"/>
                <w:bottom w:val="none" w:sz="0" w:space="0" w:color="auto"/>
                <w:right w:val="none" w:sz="0" w:space="0" w:color="auto"/>
              </w:divBdr>
              <w:divsChild>
                <w:div w:id="1274941704">
                  <w:marLeft w:val="0"/>
                  <w:marRight w:val="0"/>
                  <w:marTop w:val="0"/>
                  <w:marBottom w:val="0"/>
                  <w:divBdr>
                    <w:top w:val="none" w:sz="0" w:space="0" w:color="auto"/>
                    <w:left w:val="none" w:sz="0" w:space="0" w:color="auto"/>
                    <w:bottom w:val="none" w:sz="0" w:space="0" w:color="auto"/>
                    <w:right w:val="none" w:sz="0" w:space="0" w:color="auto"/>
                  </w:divBdr>
                  <w:divsChild>
                    <w:div w:id="1319964345">
                      <w:marLeft w:val="0"/>
                      <w:marRight w:val="0"/>
                      <w:marTop w:val="0"/>
                      <w:marBottom w:val="0"/>
                      <w:divBdr>
                        <w:top w:val="none" w:sz="0" w:space="0" w:color="auto"/>
                        <w:left w:val="none" w:sz="0" w:space="0" w:color="auto"/>
                        <w:bottom w:val="none" w:sz="0" w:space="0" w:color="auto"/>
                        <w:right w:val="none" w:sz="0" w:space="0" w:color="auto"/>
                      </w:divBdr>
                      <w:divsChild>
                        <w:div w:id="901717219">
                          <w:marLeft w:val="0"/>
                          <w:marRight w:val="0"/>
                          <w:marTop w:val="0"/>
                          <w:marBottom w:val="0"/>
                          <w:divBdr>
                            <w:top w:val="none" w:sz="0" w:space="0" w:color="auto"/>
                            <w:left w:val="none" w:sz="0" w:space="0" w:color="auto"/>
                            <w:bottom w:val="none" w:sz="0" w:space="0" w:color="auto"/>
                            <w:right w:val="none" w:sz="0" w:space="0" w:color="auto"/>
                          </w:divBdr>
                          <w:divsChild>
                            <w:div w:id="1253079744">
                              <w:marLeft w:val="0"/>
                              <w:marRight w:val="0"/>
                              <w:marTop w:val="0"/>
                              <w:marBottom w:val="0"/>
                              <w:divBdr>
                                <w:top w:val="none" w:sz="0" w:space="0" w:color="auto"/>
                                <w:left w:val="none" w:sz="0" w:space="0" w:color="auto"/>
                                <w:bottom w:val="none" w:sz="0" w:space="0" w:color="auto"/>
                                <w:right w:val="none" w:sz="0" w:space="0" w:color="auto"/>
                              </w:divBdr>
                              <w:divsChild>
                                <w:div w:id="1135559054">
                                  <w:marLeft w:val="0"/>
                                  <w:marRight w:val="0"/>
                                  <w:marTop w:val="0"/>
                                  <w:marBottom w:val="0"/>
                                  <w:divBdr>
                                    <w:top w:val="none" w:sz="0" w:space="0" w:color="auto"/>
                                    <w:left w:val="none" w:sz="0" w:space="0" w:color="auto"/>
                                    <w:bottom w:val="none" w:sz="0" w:space="0" w:color="auto"/>
                                    <w:right w:val="none" w:sz="0" w:space="0" w:color="auto"/>
                                  </w:divBdr>
                                </w:div>
                                <w:div w:id="177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323575">
      <w:bodyDiv w:val="1"/>
      <w:marLeft w:val="0"/>
      <w:marRight w:val="0"/>
      <w:marTop w:val="0"/>
      <w:marBottom w:val="0"/>
      <w:divBdr>
        <w:top w:val="none" w:sz="0" w:space="0" w:color="auto"/>
        <w:left w:val="none" w:sz="0" w:space="0" w:color="auto"/>
        <w:bottom w:val="none" w:sz="0" w:space="0" w:color="auto"/>
        <w:right w:val="none" w:sz="0" w:space="0" w:color="auto"/>
      </w:divBdr>
      <w:divsChild>
        <w:div w:id="377123758">
          <w:marLeft w:val="0"/>
          <w:marRight w:val="0"/>
          <w:marTop w:val="0"/>
          <w:marBottom w:val="0"/>
          <w:divBdr>
            <w:top w:val="none" w:sz="0" w:space="0" w:color="auto"/>
            <w:left w:val="none" w:sz="0" w:space="0" w:color="auto"/>
            <w:bottom w:val="none" w:sz="0" w:space="0" w:color="auto"/>
            <w:right w:val="none" w:sz="0" w:space="0" w:color="auto"/>
          </w:divBdr>
        </w:div>
      </w:divsChild>
    </w:div>
    <w:div w:id="2018727759">
      <w:bodyDiv w:val="1"/>
      <w:marLeft w:val="0"/>
      <w:marRight w:val="0"/>
      <w:marTop w:val="0"/>
      <w:marBottom w:val="0"/>
      <w:divBdr>
        <w:top w:val="none" w:sz="0" w:space="0" w:color="auto"/>
        <w:left w:val="none" w:sz="0" w:space="0" w:color="auto"/>
        <w:bottom w:val="none" w:sz="0" w:space="0" w:color="auto"/>
        <w:right w:val="none" w:sz="0" w:space="0" w:color="auto"/>
      </w:divBdr>
      <w:divsChild>
        <w:div w:id="644503518">
          <w:marLeft w:val="0"/>
          <w:marRight w:val="0"/>
          <w:marTop w:val="0"/>
          <w:marBottom w:val="0"/>
          <w:divBdr>
            <w:top w:val="none" w:sz="0" w:space="0" w:color="auto"/>
            <w:left w:val="none" w:sz="0" w:space="0" w:color="auto"/>
            <w:bottom w:val="none" w:sz="0" w:space="0" w:color="auto"/>
            <w:right w:val="none" w:sz="0" w:space="0" w:color="auto"/>
          </w:divBdr>
        </w:div>
      </w:divsChild>
    </w:div>
    <w:div w:id="2022506828">
      <w:bodyDiv w:val="1"/>
      <w:marLeft w:val="0"/>
      <w:marRight w:val="0"/>
      <w:marTop w:val="0"/>
      <w:marBottom w:val="0"/>
      <w:divBdr>
        <w:top w:val="none" w:sz="0" w:space="0" w:color="auto"/>
        <w:left w:val="none" w:sz="0" w:space="0" w:color="auto"/>
        <w:bottom w:val="none" w:sz="0" w:space="0" w:color="auto"/>
        <w:right w:val="none" w:sz="0" w:space="0" w:color="auto"/>
      </w:divBdr>
      <w:divsChild>
        <w:div w:id="1435321318">
          <w:marLeft w:val="0"/>
          <w:marRight w:val="0"/>
          <w:marTop w:val="0"/>
          <w:marBottom w:val="0"/>
          <w:divBdr>
            <w:top w:val="none" w:sz="0" w:space="0" w:color="auto"/>
            <w:left w:val="none" w:sz="0" w:space="0" w:color="auto"/>
            <w:bottom w:val="none" w:sz="0" w:space="0" w:color="auto"/>
            <w:right w:val="none" w:sz="0" w:space="0" w:color="auto"/>
          </w:divBdr>
          <w:divsChild>
            <w:div w:id="1223178573">
              <w:marLeft w:val="0"/>
              <w:marRight w:val="0"/>
              <w:marTop w:val="0"/>
              <w:marBottom w:val="0"/>
              <w:divBdr>
                <w:top w:val="none" w:sz="0" w:space="0" w:color="auto"/>
                <w:left w:val="none" w:sz="0" w:space="0" w:color="auto"/>
                <w:bottom w:val="none" w:sz="0" w:space="0" w:color="auto"/>
                <w:right w:val="none" w:sz="0" w:space="0" w:color="auto"/>
              </w:divBdr>
              <w:divsChild>
                <w:div w:id="20933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28179">
      <w:bodyDiv w:val="1"/>
      <w:marLeft w:val="0"/>
      <w:marRight w:val="0"/>
      <w:marTop w:val="0"/>
      <w:marBottom w:val="0"/>
      <w:divBdr>
        <w:top w:val="none" w:sz="0" w:space="0" w:color="auto"/>
        <w:left w:val="none" w:sz="0" w:space="0" w:color="auto"/>
        <w:bottom w:val="none" w:sz="0" w:space="0" w:color="auto"/>
        <w:right w:val="none" w:sz="0" w:space="0" w:color="auto"/>
      </w:divBdr>
    </w:div>
    <w:div w:id="2089882985">
      <w:bodyDiv w:val="1"/>
      <w:marLeft w:val="0"/>
      <w:marRight w:val="0"/>
      <w:marTop w:val="0"/>
      <w:marBottom w:val="0"/>
      <w:divBdr>
        <w:top w:val="none" w:sz="0" w:space="0" w:color="auto"/>
        <w:left w:val="none" w:sz="0" w:space="0" w:color="auto"/>
        <w:bottom w:val="none" w:sz="0" w:space="0" w:color="auto"/>
        <w:right w:val="none" w:sz="0" w:space="0" w:color="auto"/>
      </w:divBdr>
      <w:divsChild>
        <w:div w:id="21252548">
          <w:marLeft w:val="0"/>
          <w:marRight w:val="0"/>
          <w:marTop w:val="0"/>
          <w:marBottom w:val="0"/>
          <w:divBdr>
            <w:top w:val="none" w:sz="0" w:space="0" w:color="auto"/>
            <w:left w:val="none" w:sz="0" w:space="0" w:color="auto"/>
            <w:bottom w:val="none" w:sz="0" w:space="0" w:color="auto"/>
            <w:right w:val="none" w:sz="0" w:space="0" w:color="auto"/>
          </w:divBdr>
        </w:div>
      </w:divsChild>
    </w:div>
    <w:div w:id="2117485741">
      <w:bodyDiv w:val="1"/>
      <w:marLeft w:val="0"/>
      <w:marRight w:val="0"/>
      <w:marTop w:val="0"/>
      <w:marBottom w:val="0"/>
      <w:divBdr>
        <w:top w:val="none" w:sz="0" w:space="0" w:color="auto"/>
        <w:left w:val="none" w:sz="0" w:space="0" w:color="auto"/>
        <w:bottom w:val="none" w:sz="0" w:space="0" w:color="auto"/>
        <w:right w:val="none" w:sz="0" w:space="0" w:color="auto"/>
      </w:divBdr>
      <w:divsChild>
        <w:div w:id="2044090424">
          <w:marLeft w:val="0"/>
          <w:marRight w:val="0"/>
          <w:marTop w:val="0"/>
          <w:marBottom w:val="0"/>
          <w:divBdr>
            <w:top w:val="none" w:sz="0" w:space="0" w:color="auto"/>
            <w:left w:val="none" w:sz="0" w:space="0" w:color="auto"/>
            <w:bottom w:val="none" w:sz="0" w:space="0" w:color="auto"/>
            <w:right w:val="none" w:sz="0" w:space="0" w:color="auto"/>
          </w:divBdr>
          <w:divsChild>
            <w:div w:id="1921984131">
              <w:marLeft w:val="0"/>
              <w:marRight w:val="0"/>
              <w:marTop w:val="0"/>
              <w:marBottom w:val="0"/>
              <w:divBdr>
                <w:top w:val="none" w:sz="0" w:space="0" w:color="auto"/>
                <w:left w:val="none" w:sz="0" w:space="0" w:color="auto"/>
                <w:bottom w:val="none" w:sz="0" w:space="0" w:color="auto"/>
                <w:right w:val="none" w:sz="0" w:space="0" w:color="auto"/>
              </w:divBdr>
              <w:divsChild>
                <w:div w:id="1306349688">
                  <w:marLeft w:val="0"/>
                  <w:marRight w:val="0"/>
                  <w:marTop w:val="0"/>
                  <w:marBottom w:val="0"/>
                  <w:divBdr>
                    <w:top w:val="none" w:sz="0" w:space="0" w:color="auto"/>
                    <w:left w:val="none" w:sz="0" w:space="0" w:color="auto"/>
                    <w:bottom w:val="none" w:sz="0" w:space="0" w:color="auto"/>
                    <w:right w:val="none" w:sz="0" w:space="0" w:color="auto"/>
                  </w:divBdr>
                </w:div>
                <w:div w:id="754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036">
          <w:marLeft w:val="0"/>
          <w:marRight w:val="0"/>
          <w:marTop w:val="0"/>
          <w:marBottom w:val="0"/>
          <w:divBdr>
            <w:top w:val="none" w:sz="0" w:space="0" w:color="auto"/>
            <w:left w:val="none" w:sz="0" w:space="0" w:color="auto"/>
            <w:bottom w:val="none" w:sz="0" w:space="0" w:color="auto"/>
            <w:right w:val="none" w:sz="0" w:space="0" w:color="auto"/>
          </w:divBdr>
          <w:divsChild>
            <w:div w:id="1445617778">
              <w:marLeft w:val="0"/>
              <w:marRight w:val="0"/>
              <w:marTop w:val="0"/>
              <w:marBottom w:val="0"/>
              <w:divBdr>
                <w:top w:val="none" w:sz="0" w:space="0" w:color="auto"/>
                <w:left w:val="none" w:sz="0" w:space="0" w:color="auto"/>
                <w:bottom w:val="none" w:sz="0" w:space="0" w:color="auto"/>
                <w:right w:val="none" w:sz="0" w:space="0" w:color="auto"/>
              </w:divBdr>
              <w:divsChild>
                <w:div w:id="2713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opa.eu/rapid/press-release_SPEECH-17-3165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10754</Words>
  <Characters>61195</Characters>
  <Application>Microsoft Office Word</Application>
  <DocSecurity>0</DocSecurity>
  <Lines>838</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Sattorova, Mavluda</dc:creator>
  <cp:keywords/>
  <dc:description/>
  <cp:lastModifiedBy>Sattorova, Mavluda</cp:lastModifiedBy>
  <cp:revision>2</cp:revision>
  <dcterms:created xsi:type="dcterms:W3CDTF">2023-02-08T09:20:00Z</dcterms:created>
  <dcterms:modified xsi:type="dcterms:W3CDTF">2023-02-08T09:20:00Z</dcterms:modified>
</cp:coreProperties>
</file>