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E3317" w14:textId="77777777" w:rsidR="00E84166" w:rsidRPr="003B0E6F" w:rsidRDefault="00000000" w:rsidP="003B0E6F">
      <w:pPr>
        <w:pStyle w:val="Text"/>
        <w:spacing w:line="360" w:lineRule="auto"/>
        <w:jc w:val="center"/>
        <w:rPr>
          <w:rFonts w:ascii="Times New Roman" w:eastAsia="Garamond" w:hAnsi="Times New Roman" w:cs="Times New Roman"/>
          <w:b/>
          <w:bCs/>
          <w:sz w:val="24"/>
          <w:szCs w:val="24"/>
          <w:lang w:val="en-GB"/>
        </w:rPr>
      </w:pPr>
      <w:r w:rsidRPr="003B0E6F">
        <w:rPr>
          <w:rFonts w:ascii="Times New Roman" w:hAnsi="Times New Roman" w:cs="Times New Roman"/>
          <w:b/>
          <w:bCs/>
          <w:sz w:val="24"/>
          <w:szCs w:val="24"/>
          <w:lang w:val="en-GB"/>
        </w:rPr>
        <w:t>Greed and grievance: corporations, states and international investment law in times of conflict</w:t>
      </w:r>
    </w:p>
    <w:p w14:paraId="50EAD571" w14:textId="1AC37119" w:rsidR="00E84166" w:rsidRPr="003B0E6F" w:rsidRDefault="00FA5480" w:rsidP="003B0E6F">
      <w:pPr>
        <w:pStyle w:val="Text"/>
        <w:spacing w:line="360" w:lineRule="auto"/>
        <w:jc w:val="center"/>
        <w:rPr>
          <w:rFonts w:ascii="Times New Roman" w:hAnsi="Times New Roman" w:cs="Times New Roman"/>
          <w:b/>
          <w:bCs/>
          <w:sz w:val="24"/>
          <w:szCs w:val="24"/>
          <w:lang w:val="en-GB"/>
        </w:rPr>
      </w:pPr>
      <w:proofErr w:type="spellStart"/>
      <w:r w:rsidRPr="003B0E6F">
        <w:rPr>
          <w:rFonts w:ascii="Times New Roman" w:hAnsi="Times New Roman" w:cs="Times New Roman"/>
          <w:b/>
          <w:bCs/>
          <w:sz w:val="24"/>
          <w:szCs w:val="24"/>
          <w:lang w:val="en-GB"/>
        </w:rPr>
        <w:t>Mavluda</w:t>
      </w:r>
      <w:proofErr w:type="spellEnd"/>
      <w:r w:rsidRPr="003B0E6F">
        <w:rPr>
          <w:rFonts w:ascii="Times New Roman" w:hAnsi="Times New Roman" w:cs="Times New Roman"/>
          <w:b/>
          <w:bCs/>
          <w:sz w:val="24"/>
          <w:szCs w:val="24"/>
          <w:lang w:val="en-GB"/>
        </w:rPr>
        <w:t xml:space="preserve"> </w:t>
      </w:r>
      <w:proofErr w:type="spellStart"/>
      <w:r w:rsidRPr="003B0E6F">
        <w:rPr>
          <w:rFonts w:ascii="Times New Roman" w:hAnsi="Times New Roman" w:cs="Times New Roman"/>
          <w:b/>
          <w:bCs/>
          <w:sz w:val="24"/>
          <w:szCs w:val="24"/>
          <w:lang w:val="en-GB"/>
        </w:rPr>
        <w:t>Sattorova</w:t>
      </w:r>
      <w:proofErr w:type="spellEnd"/>
    </w:p>
    <w:p w14:paraId="56D67BA9" w14:textId="7D52E958" w:rsidR="00FA5480" w:rsidRPr="003B0E6F" w:rsidRDefault="00FA5480" w:rsidP="003B0E6F">
      <w:pPr>
        <w:pStyle w:val="Text"/>
        <w:spacing w:line="276" w:lineRule="auto"/>
        <w:jc w:val="center"/>
        <w:rPr>
          <w:rFonts w:ascii="Times New Roman" w:hAnsi="Times New Roman" w:cs="Times New Roman"/>
          <w:b/>
          <w:bCs/>
          <w:sz w:val="24"/>
          <w:szCs w:val="24"/>
          <w:lang w:val="en-GB"/>
        </w:rPr>
      </w:pPr>
    </w:p>
    <w:p w14:paraId="56434672" w14:textId="12608EB0" w:rsidR="00FA5480" w:rsidRPr="003B0E6F" w:rsidRDefault="00FA5480" w:rsidP="003B0E6F">
      <w:pPr>
        <w:pStyle w:val="Text"/>
        <w:spacing w:line="276" w:lineRule="auto"/>
        <w:rPr>
          <w:rFonts w:ascii="Times New Roman" w:hAnsi="Times New Roman" w:cs="Times New Roman"/>
          <w:b/>
          <w:bCs/>
          <w:sz w:val="24"/>
          <w:szCs w:val="24"/>
          <w:lang w:val="en-GB"/>
        </w:rPr>
      </w:pPr>
      <w:r w:rsidRPr="003B0E6F">
        <w:rPr>
          <w:rFonts w:ascii="Times New Roman" w:hAnsi="Times New Roman" w:cs="Times New Roman"/>
          <w:b/>
          <w:bCs/>
          <w:sz w:val="24"/>
          <w:szCs w:val="24"/>
          <w:lang w:val="en-GB"/>
        </w:rPr>
        <w:t xml:space="preserve">Abstract </w:t>
      </w:r>
    </w:p>
    <w:p w14:paraId="37D2D08C" w14:textId="3DCB225C" w:rsidR="00231715" w:rsidRPr="003B0E6F" w:rsidRDefault="00FA5480" w:rsidP="001F6568">
      <w:pPr>
        <w:jc w:val="both"/>
      </w:pPr>
      <w:r w:rsidRPr="003B0E6F">
        <w:t>For those on the ground, conflict brings about devastation and displacement. For foreign investors who frequently seek commercial opportunities far and wide afield, conflict is not just a fellow traveller but a crucial element of the environment in which international investment law was conceived and later took shape.</w:t>
      </w:r>
      <w:r w:rsidR="00231715" w:rsidRPr="003B0E6F">
        <w:t xml:space="preserve"> </w:t>
      </w:r>
      <w:r w:rsidR="003D5656" w:rsidRPr="003B0E6F">
        <w:t>This essay seeks</w:t>
      </w:r>
      <w:r w:rsidR="00231715" w:rsidRPr="003B0E6F">
        <w:t xml:space="preserve"> to uncover some of the fundamental and overarching themes underpinning </w:t>
      </w:r>
      <w:r w:rsidR="003D5656" w:rsidRPr="003B0E6F">
        <w:t xml:space="preserve">the relationships between foreign corporations, states and local communities in times of conflict. By focusing on the distinct roles played by the corporation in situations of conflict—as a victim, contributor, beneficiary, perpetrator and accomplice—the essay aims to cast light on international law’s troublesome origins, biases and complicities, and to highlight a growing concern over the enduring lack of effective avenues for corporate accountability. </w:t>
      </w:r>
    </w:p>
    <w:p w14:paraId="068E712D" w14:textId="2D9765E6" w:rsidR="00FA5480" w:rsidRPr="003B0E6F" w:rsidRDefault="00FA5480" w:rsidP="003B0E6F">
      <w:pPr>
        <w:pStyle w:val="Text"/>
        <w:spacing w:line="276" w:lineRule="auto"/>
        <w:jc w:val="both"/>
        <w:rPr>
          <w:rFonts w:ascii="Times New Roman" w:eastAsia="Garamond" w:hAnsi="Times New Roman" w:cs="Times New Roman"/>
          <w:b/>
          <w:bCs/>
          <w:sz w:val="24"/>
          <w:szCs w:val="24"/>
          <w:lang w:val="en-GB"/>
        </w:rPr>
      </w:pPr>
    </w:p>
    <w:p w14:paraId="5C0B32F4" w14:textId="77777777" w:rsidR="00E84166" w:rsidRPr="003B0E6F" w:rsidRDefault="00000000" w:rsidP="003B0E6F">
      <w:pPr>
        <w:pStyle w:val="berschrift"/>
        <w:spacing w:line="276" w:lineRule="auto"/>
        <w:rPr>
          <w:rFonts w:ascii="Times New Roman" w:eastAsia="Garamond" w:hAnsi="Times New Roman" w:cs="Times New Roman"/>
          <w:color w:val="000000"/>
          <w:sz w:val="24"/>
          <w:szCs w:val="24"/>
          <w:u w:color="000000"/>
          <w:lang w:val="en-GB"/>
        </w:rPr>
      </w:pPr>
      <w:r w:rsidRPr="003B0E6F">
        <w:rPr>
          <w:rFonts w:ascii="Times New Roman" w:hAnsi="Times New Roman" w:cs="Times New Roman"/>
          <w:color w:val="000000"/>
          <w:sz w:val="24"/>
          <w:szCs w:val="24"/>
          <w:u w:color="000000"/>
          <w:lang w:val="en-GB"/>
        </w:rPr>
        <w:t xml:space="preserve">Review essay of Daria </w:t>
      </w:r>
      <w:proofErr w:type="spellStart"/>
      <w:r w:rsidRPr="003B0E6F">
        <w:rPr>
          <w:rFonts w:ascii="Times New Roman" w:hAnsi="Times New Roman" w:cs="Times New Roman"/>
          <w:color w:val="000000"/>
          <w:sz w:val="24"/>
          <w:szCs w:val="24"/>
          <w:u w:color="000000"/>
          <w:lang w:val="en-GB"/>
        </w:rPr>
        <w:t>Davitti</w:t>
      </w:r>
      <w:proofErr w:type="spellEnd"/>
      <w:r w:rsidRPr="003B0E6F">
        <w:rPr>
          <w:rFonts w:ascii="Times New Roman" w:hAnsi="Times New Roman" w:cs="Times New Roman"/>
          <w:color w:val="000000"/>
          <w:sz w:val="24"/>
          <w:szCs w:val="24"/>
          <w:u w:color="000000"/>
          <w:lang w:val="en-GB"/>
        </w:rPr>
        <w:t xml:space="preserve">, </w:t>
      </w:r>
      <w:r w:rsidRPr="003B0E6F">
        <w:rPr>
          <w:rFonts w:ascii="Times New Roman" w:hAnsi="Times New Roman" w:cs="Times New Roman"/>
          <w:i/>
          <w:iCs/>
          <w:color w:val="000000"/>
          <w:sz w:val="24"/>
          <w:szCs w:val="24"/>
          <w:u w:color="000000"/>
          <w:lang w:val="en-GB"/>
        </w:rPr>
        <w:t>Investment and Human Rights in Armed Conflict: Charting an Elusive Intersection</w:t>
      </w:r>
      <w:r w:rsidRPr="003B0E6F">
        <w:rPr>
          <w:rFonts w:ascii="Times New Roman" w:hAnsi="Times New Roman" w:cs="Times New Roman"/>
          <w:color w:val="000000"/>
          <w:sz w:val="24"/>
          <w:szCs w:val="24"/>
          <w:u w:color="000000"/>
          <w:lang w:val="en-GB"/>
        </w:rPr>
        <w:t xml:space="preserve"> (Hart Publishing 2019); Jure </w:t>
      </w:r>
      <w:proofErr w:type="spellStart"/>
      <w:r w:rsidRPr="003B0E6F">
        <w:rPr>
          <w:rFonts w:ascii="Times New Roman" w:hAnsi="Times New Roman" w:cs="Times New Roman"/>
          <w:color w:val="000000"/>
          <w:sz w:val="24"/>
          <w:szCs w:val="24"/>
          <w:u w:color="000000"/>
          <w:lang w:val="en-GB"/>
        </w:rPr>
        <w:t>Zrilic</w:t>
      </w:r>
      <w:proofErr w:type="spellEnd"/>
      <w:r w:rsidRPr="003B0E6F">
        <w:rPr>
          <w:rFonts w:ascii="Times New Roman" w:hAnsi="Times New Roman" w:cs="Times New Roman"/>
          <w:color w:val="000000"/>
          <w:sz w:val="24"/>
          <w:szCs w:val="24"/>
          <w:u w:color="000000"/>
          <w:lang w:val="en-GB"/>
        </w:rPr>
        <w:t xml:space="preserve">, </w:t>
      </w:r>
      <w:r w:rsidRPr="003B0E6F">
        <w:rPr>
          <w:rFonts w:ascii="Times New Roman" w:hAnsi="Times New Roman" w:cs="Times New Roman"/>
          <w:i/>
          <w:iCs/>
          <w:color w:val="000000"/>
          <w:sz w:val="24"/>
          <w:szCs w:val="24"/>
          <w:u w:color="000000"/>
          <w:lang w:val="en-GB"/>
        </w:rPr>
        <w:t>The Protection of Foreign Investment in Times of Armed Conflict</w:t>
      </w:r>
      <w:r w:rsidRPr="003B0E6F">
        <w:rPr>
          <w:rFonts w:ascii="Times New Roman" w:hAnsi="Times New Roman" w:cs="Times New Roman"/>
          <w:color w:val="000000"/>
          <w:sz w:val="24"/>
          <w:szCs w:val="24"/>
          <w:u w:color="000000"/>
          <w:lang w:val="en-GB"/>
        </w:rPr>
        <w:t xml:space="preserve"> (OUP 2019); Katia </w:t>
      </w:r>
      <w:proofErr w:type="spellStart"/>
      <w:r w:rsidRPr="003B0E6F">
        <w:rPr>
          <w:rFonts w:ascii="Times New Roman" w:hAnsi="Times New Roman" w:cs="Times New Roman"/>
          <w:color w:val="000000"/>
          <w:sz w:val="24"/>
          <w:szCs w:val="24"/>
          <w:u w:color="000000"/>
          <w:lang w:val="en-GB"/>
        </w:rPr>
        <w:t>Fach</w:t>
      </w:r>
      <w:proofErr w:type="spellEnd"/>
      <w:r w:rsidRPr="003B0E6F">
        <w:rPr>
          <w:rFonts w:ascii="Times New Roman" w:hAnsi="Times New Roman" w:cs="Times New Roman"/>
          <w:color w:val="000000"/>
          <w:sz w:val="24"/>
          <w:szCs w:val="24"/>
          <w:u w:color="000000"/>
          <w:lang w:val="en-GB"/>
        </w:rPr>
        <w:t xml:space="preserve"> Gómez, Anastasios </w:t>
      </w:r>
      <w:proofErr w:type="spellStart"/>
      <w:r w:rsidRPr="003B0E6F">
        <w:rPr>
          <w:rFonts w:ascii="Times New Roman" w:hAnsi="Times New Roman" w:cs="Times New Roman"/>
          <w:color w:val="000000"/>
          <w:sz w:val="24"/>
          <w:szCs w:val="24"/>
          <w:u w:color="000000"/>
          <w:lang w:val="en-GB"/>
        </w:rPr>
        <w:t>Gourgourinis</w:t>
      </w:r>
      <w:proofErr w:type="spellEnd"/>
      <w:r w:rsidRPr="003B0E6F">
        <w:rPr>
          <w:rFonts w:ascii="Times New Roman" w:hAnsi="Times New Roman" w:cs="Times New Roman"/>
          <w:color w:val="000000"/>
          <w:sz w:val="24"/>
          <w:szCs w:val="24"/>
          <w:u w:color="000000"/>
          <w:lang w:val="en-GB"/>
        </w:rPr>
        <w:t xml:space="preserve">, and Catharine Titi (eds) </w:t>
      </w:r>
      <w:r w:rsidRPr="003B0E6F">
        <w:rPr>
          <w:rFonts w:ascii="Times New Roman" w:hAnsi="Times New Roman" w:cs="Times New Roman"/>
          <w:i/>
          <w:iCs/>
          <w:color w:val="000000"/>
          <w:sz w:val="24"/>
          <w:szCs w:val="24"/>
          <w:u w:color="000000"/>
          <w:lang w:val="en-GB"/>
        </w:rPr>
        <w:t>International Investment Law and the Law of Armed Conflict</w:t>
      </w:r>
      <w:r w:rsidRPr="003B0E6F">
        <w:rPr>
          <w:rFonts w:ascii="Times New Roman" w:hAnsi="Times New Roman" w:cs="Times New Roman"/>
          <w:color w:val="000000"/>
          <w:sz w:val="24"/>
          <w:szCs w:val="24"/>
          <w:u w:color="000000"/>
          <w:lang w:val="en-GB"/>
        </w:rPr>
        <w:t xml:space="preserve"> (Springer 2019). </w:t>
      </w:r>
    </w:p>
    <w:p w14:paraId="34AEB1DA" w14:textId="77777777" w:rsidR="00E84166" w:rsidRPr="003B0E6F" w:rsidRDefault="00E84166" w:rsidP="003B0E6F">
      <w:pPr>
        <w:pStyle w:val="Text"/>
        <w:spacing w:line="360" w:lineRule="auto"/>
        <w:jc w:val="both"/>
        <w:rPr>
          <w:rFonts w:ascii="Times New Roman" w:eastAsia="Garamond" w:hAnsi="Times New Roman" w:cs="Times New Roman"/>
          <w:sz w:val="24"/>
          <w:szCs w:val="24"/>
          <w:lang w:val="en-GB"/>
        </w:rPr>
      </w:pPr>
    </w:p>
    <w:p w14:paraId="2CE9D1A9" w14:textId="7EC6FF6B" w:rsidR="00E84166" w:rsidRPr="003B0E6F" w:rsidRDefault="00AA6E6D" w:rsidP="003B0E6F">
      <w:pPr>
        <w:pStyle w:val="Text"/>
        <w:numPr>
          <w:ilvl w:val="0"/>
          <w:numId w:val="1"/>
        </w:numPr>
        <w:spacing w:after="0" w:line="360" w:lineRule="auto"/>
        <w:jc w:val="both"/>
        <w:rPr>
          <w:rFonts w:ascii="Times New Roman" w:eastAsia="Garamond" w:hAnsi="Times New Roman" w:cs="Times New Roman"/>
          <w:b/>
          <w:bCs/>
          <w:lang w:val="en-GB"/>
        </w:rPr>
      </w:pPr>
      <w:r w:rsidRPr="003B0E6F">
        <w:rPr>
          <w:rFonts w:ascii="Times New Roman" w:hAnsi="Times New Roman" w:cs="Times New Roman"/>
          <w:b/>
          <w:bCs/>
          <w:lang w:val="en-GB"/>
        </w:rPr>
        <w:t>Introduction: investors, wars and the making of international law</w:t>
      </w:r>
    </w:p>
    <w:p w14:paraId="211D1597" w14:textId="77777777" w:rsidR="00E84166" w:rsidRPr="003B0E6F" w:rsidRDefault="00E84166" w:rsidP="003B0E6F">
      <w:pPr>
        <w:pStyle w:val="Text"/>
        <w:spacing w:after="0" w:line="360" w:lineRule="auto"/>
        <w:jc w:val="both"/>
        <w:rPr>
          <w:rFonts w:ascii="Times New Roman" w:eastAsia="Garamond" w:hAnsi="Times New Roman" w:cs="Times New Roman"/>
          <w:b/>
          <w:bCs/>
          <w:lang w:val="en-GB"/>
        </w:rPr>
      </w:pPr>
    </w:p>
    <w:p w14:paraId="73D2097C" w14:textId="30F5A6CA" w:rsidR="00E84166" w:rsidRPr="003B0E6F" w:rsidRDefault="00000000" w:rsidP="003B0E6F">
      <w:pPr>
        <w:pStyle w:val="Text"/>
        <w:spacing w:after="0"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The idea for this review essay was conceived shortly before the world was hit by the Covid-19 pandemic, which not only once again upended the prevailing views about the international legal order and its role in addressing social crises but, more mundanely, entailed interruptions and delays in the production and publication of scholarship. Yet as the subsequent completion of this essay coincided with the aftermath of the Western retreat from Afghanistan and the invasion by Russia of Ukraine, its timing could not be more apt: war is a uniting theme for the books on which the essay draws. Owing to the numerous pandemic-related postponements the essay has been finalised at a time when the </w:t>
      </w:r>
      <w:r w:rsidR="007B1F3A" w:rsidRPr="003B0E6F">
        <w:rPr>
          <w:rFonts w:ascii="Times New Roman" w:hAnsi="Times New Roman" w:cs="Times New Roman"/>
          <w:sz w:val="24"/>
          <w:szCs w:val="24"/>
          <w:lang w:val="en-GB"/>
        </w:rPr>
        <w:t>ongoing conflict</w:t>
      </w:r>
      <w:r w:rsidRPr="003B0E6F">
        <w:rPr>
          <w:rFonts w:ascii="Times New Roman" w:hAnsi="Times New Roman" w:cs="Times New Roman"/>
          <w:sz w:val="24"/>
          <w:szCs w:val="24"/>
          <w:lang w:val="en-GB"/>
        </w:rPr>
        <w:t xml:space="preserve"> in Afghanistan and Ukraine resulted in an appraisal very different from what one could have produced three years earlier. </w:t>
      </w:r>
    </w:p>
    <w:p w14:paraId="5BC2CCC3" w14:textId="77777777" w:rsidR="00E84166" w:rsidRPr="003B0E6F" w:rsidRDefault="00E84166" w:rsidP="003B0E6F">
      <w:pPr>
        <w:pStyle w:val="Text"/>
        <w:spacing w:after="0" w:line="360" w:lineRule="auto"/>
        <w:jc w:val="both"/>
        <w:rPr>
          <w:rFonts w:ascii="Times New Roman" w:eastAsia="Garamond" w:hAnsi="Times New Roman" w:cs="Times New Roman"/>
          <w:sz w:val="24"/>
          <w:szCs w:val="24"/>
          <w:lang w:val="en-GB"/>
        </w:rPr>
      </w:pPr>
    </w:p>
    <w:p w14:paraId="5B363246" w14:textId="302F9DEB" w:rsidR="00E84166" w:rsidRPr="003B0E6F" w:rsidRDefault="00000000" w:rsidP="003B0E6F">
      <w:pPr>
        <w:pStyle w:val="Text"/>
        <w:spacing w:after="0"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All three volumes under review were published 2019 and share a focus on armed conflict and its relevance to, relationship with, and impact on international investment. Although there is a </w:t>
      </w:r>
      <w:r w:rsidRPr="003B0E6F">
        <w:rPr>
          <w:rFonts w:ascii="Times New Roman" w:hAnsi="Times New Roman" w:cs="Times New Roman"/>
          <w:sz w:val="24"/>
          <w:szCs w:val="24"/>
          <w:lang w:val="en-GB"/>
        </w:rPr>
        <w:lastRenderedPageBreak/>
        <w:t xml:space="preserve">degree of overlap in the concepts, rules and caselaw discussed, each volume makes its own contribution to the literature by offering a unique lens through which the subject matter is explored. The books are also very different in terms of the aims they pursue. </w:t>
      </w:r>
      <w:proofErr w:type="spellStart"/>
      <w:r w:rsidRPr="003B0E6F">
        <w:rPr>
          <w:rFonts w:ascii="Times New Roman" w:hAnsi="Times New Roman" w:cs="Times New Roman"/>
          <w:sz w:val="24"/>
          <w:szCs w:val="24"/>
          <w:lang w:val="en-GB"/>
        </w:rPr>
        <w:t>Davitti’s</w:t>
      </w:r>
      <w:proofErr w:type="spellEnd"/>
      <w:r w:rsidRPr="003B0E6F">
        <w:rPr>
          <w:rFonts w:ascii="Times New Roman" w:hAnsi="Times New Roman" w:cs="Times New Roman"/>
          <w:sz w:val="24"/>
          <w:szCs w:val="24"/>
          <w:lang w:val="en-GB"/>
        </w:rPr>
        <w:t xml:space="preserve"> monograph interrogates the intersection between international investment law and human rights in armed conflict, drawing on the experience of Afghanistan and using the right to water and resource extraction as a case study to expose the shortcomings in both bodies of international law. Her aim, unremittingly and consistently maintained throughout all of the 268 pages, is to critique international law, challenge its existing orthodoxies and unveil the consequences of the status quo for the vulnerable. For </w:t>
      </w:r>
      <w:proofErr w:type="spellStart"/>
      <w:r w:rsidRPr="003B0E6F">
        <w:rPr>
          <w:rFonts w:ascii="Times New Roman" w:hAnsi="Times New Roman" w:cs="Times New Roman"/>
          <w:sz w:val="24"/>
          <w:szCs w:val="24"/>
          <w:lang w:val="en-GB"/>
        </w:rPr>
        <w:t>Zrilic</w:t>
      </w:r>
      <w:proofErr w:type="spellEnd"/>
      <w:r w:rsidRPr="003B0E6F">
        <w:rPr>
          <w:rFonts w:ascii="Times New Roman" w:hAnsi="Times New Roman" w:cs="Times New Roman"/>
          <w:sz w:val="24"/>
          <w:szCs w:val="24"/>
          <w:lang w:val="en-GB"/>
        </w:rPr>
        <w:t xml:space="preserve">, a key undertaking behind his monograph is to identify how to balance competing objectives: on the one hand, </w:t>
      </w:r>
      <w:r w:rsidR="0031385E" w:rsidRPr="003B0E6F">
        <w:rPr>
          <w:rFonts w:ascii="Times New Roman" w:hAnsi="Times New Roman" w:cs="Times New Roman"/>
          <w:sz w:val="24"/>
          <w:szCs w:val="24"/>
          <w:lang w:val="en-GB"/>
        </w:rPr>
        <w:t xml:space="preserve">the protection of </w:t>
      </w:r>
      <w:r w:rsidRPr="003B0E6F">
        <w:rPr>
          <w:rFonts w:ascii="Times New Roman" w:hAnsi="Times New Roman" w:cs="Times New Roman"/>
          <w:sz w:val="24"/>
          <w:szCs w:val="24"/>
          <w:lang w:val="en-GB"/>
        </w:rPr>
        <w:t xml:space="preserve">foreign investors’ commercial interests, certainty and stability of frameworks governing business enterprise abroad, and on the other hand, states’ sovereign right to </w:t>
      </w:r>
      <w:r w:rsidR="0031385E" w:rsidRPr="003B0E6F">
        <w:rPr>
          <w:rFonts w:ascii="Times New Roman" w:hAnsi="Times New Roman" w:cs="Times New Roman"/>
          <w:sz w:val="24"/>
          <w:szCs w:val="24"/>
          <w:lang w:val="en-GB"/>
        </w:rPr>
        <w:t>safeguard</w:t>
      </w:r>
      <w:r w:rsidRPr="003B0E6F">
        <w:rPr>
          <w:rFonts w:ascii="Times New Roman" w:hAnsi="Times New Roman" w:cs="Times New Roman"/>
          <w:sz w:val="24"/>
          <w:szCs w:val="24"/>
          <w:lang w:val="en-GB"/>
        </w:rPr>
        <w:t xml:space="preserve"> its security and peace. He pursues this aim by meticulously </w:t>
      </w:r>
      <w:r w:rsidR="002A0A6A" w:rsidRPr="003B0E6F">
        <w:rPr>
          <w:rFonts w:ascii="Times New Roman" w:hAnsi="Times New Roman" w:cs="Times New Roman"/>
          <w:sz w:val="24"/>
          <w:szCs w:val="24"/>
          <w:lang w:val="en-GB"/>
        </w:rPr>
        <w:t>revealing</w:t>
      </w:r>
      <w:r w:rsidRPr="003B0E6F">
        <w:rPr>
          <w:rFonts w:ascii="Times New Roman" w:hAnsi="Times New Roman" w:cs="Times New Roman"/>
          <w:sz w:val="24"/>
          <w:szCs w:val="24"/>
          <w:lang w:val="en-GB"/>
        </w:rPr>
        <w:t xml:space="preserve">, articulating and systematising the origins and current workings of international investment law as part of a broader but fragmented universe comprising international humanitarian law, human rights, and the law of state responsibility. The volume edited by Gomez, </w:t>
      </w:r>
      <w:proofErr w:type="spellStart"/>
      <w:r w:rsidRPr="003B0E6F">
        <w:rPr>
          <w:rFonts w:ascii="Times New Roman" w:hAnsi="Times New Roman" w:cs="Times New Roman"/>
          <w:sz w:val="24"/>
          <w:szCs w:val="24"/>
          <w:lang w:val="en-GB"/>
        </w:rPr>
        <w:t>Gourgourinis</w:t>
      </w:r>
      <w:proofErr w:type="spellEnd"/>
      <w:r w:rsidRPr="003B0E6F">
        <w:rPr>
          <w:rFonts w:ascii="Times New Roman" w:hAnsi="Times New Roman" w:cs="Times New Roman"/>
          <w:sz w:val="24"/>
          <w:szCs w:val="24"/>
          <w:lang w:val="en-GB"/>
        </w:rPr>
        <w:t xml:space="preserve"> and Titi comprises a selection of peer-reviewed papers presented at the 2017 Colloquium on “International Investment Law &amp; the Law of Armed Conflict.” To this reader, owing to its size – 23 chapters and 536 pages – the edited collection achieves a multitude of objectives, with its most valuable accomplishment being the sheer breadth of issues </w:t>
      </w:r>
      <w:r w:rsidR="00B30414" w:rsidRPr="003B0E6F">
        <w:rPr>
          <w:rFonts w:ascii="Times New Roman" w:hAnsi="Times New Roman" w:cs="Times New Roman"/>
          <w:sz w:val="24"/>
          <w:szCs w:val="24"/>
          <w:lang w:val="en-GB"/>
        </w:rPr>
        <w:t xml:space="preserve">explored </w:t>
      </w:r>
      <w:r w:rsidRPr="003B0E6F">
        <w:rPr>
          <w:rFonts w:ascii="Times New Roman" w:hAnsi="Times New Roman" w:cs="Times New Roman"/>
          <w:sz w:val="24"/>
          <w:szCs w:val="24"/>
          <w:lang w:val="en-GB"/>
        </w:rPr>
        <w:t>at the interface of investment and armed conflict.</w:t>
      </w:r>
      <w:r w:rsidR="002A0A6A" w:rsidRPr="003B0E6F">
        <w:rPr>
          <w:rFonts w:ascii="Times New Roman" w:hAnsi="Times New Roman" w:cs="Times New Roman"/>
          <w:sz w:val="24"/>
          <w:szCs w:val="24"/>
          <w:lang w:val="en-GB"/>
        </w:rPr>
        <w:t xml:space="preserve"> </w:t>
      </w:r>
      <w:r w:rsidR="00E105E3" w:rsidRPr="003B0E6F">
        <w:rPr>
          <w:rFonts w:ascii="Times New Roman" w:hAnsi="Times New Roman" w:cs="Times New Roman"/>
          <w:sz w:val="24"/>
          <w:szCs w:val="24"/>
          <w:lang w:val="en-GB"/>
        </w:rPr>
        <w:t>While t</w:t>
      </w:r>
      <w:r w:rsidR="002A0A6A" w:rsidRPr="003B0E6F">
        <w:rPr>
          <w:rFonts w:ascii="Times New Roman" w:hAnsi="Times New Roman" w:cs="Times New Roman"/>
          <w:sz w:val="24"/>
          <w:szCs w:val="24"/>
          <w:lang w:val="en-GB"/>
        </w:rPr>
        <w:t xml:space="preserve">he defining feature of the </w:t>
      </w:r>
      <w:r w:rsidR="0031385E" w:rsidRPr="003B0E6F">
        <w:rPr>
          <w:rFonts w:ascii="Times New Roman" w:hAnsi="Times New Roman" w:cs="Times New Roman"/>
          <w:sz w:val="24"/>
          <w:szCs w:val="24"/>
          <w:lang w:val="en-GB"/>
        </w:rPr>
        <w:t>edited volume</w:t>
      </w:r>
      <w:r w:rsidR="002A0A6A" w:rsidRPr="003B0E6F">
        <w:rPr>
          <w:rFonts w:ascii="Times New Roman" w:hAnsi="Times New Roman" w:cs="Times New Roman"/>
          <w:sz w:val="24"/>
          <w:szCs w:val="24"/>
          <w:lang w:val="en-GB"/>
        </w:rPr>
        <w:t xml:space="preserve"> is </w:t>
      </w:r>
      <w:r w:rsidR="00B30414" w:rsidRPr="003B0E6F">
        <w:rPr>
          <w:rFonts w:ascii="Times New Roman" w:hAnsi="Times New Roman" w:cs="Times New Roman"/>
          <w:sz w:val="24"/>
          <w:szCs w:val="24"/>
          <w:lang w:val="en-GB"/>
        </w:rPr>
        <w:t xml:space="preserve">its </w:t>
      </w:r>
      <w:r w:rsidR="00041C2A" w:rsidRPr="003B0E6F">
        <w:rPr>
          <w:rFonts w:ascii="Times New Roman" w:hAnsi="Times New Roman" w:cs="Times New Roman"/>
          <w:sz w:val="24"/>
          <w:szCs w:val="24"/>
          <w:lang w:val="en-GB"/>
        </w:rPr>
        <w:t>use of</w:t>
      </w:r>
      <w:r w:rsidR="00B30414" w:rsidRPr="003B0E6F">
        <w:rPr>
          <w:rFonts w:ascii="Times New Roman" w:hAnsi="Times New Roman" w:cs="Times New Roman"/>
          <w:sz w:val="24"/>
          <w:szCs w:val="24"/>
          <w:lang w:val="en-GB"/>
        </w:rPr>
        <w:t xml:space="preserve"> </w:t>
      </w:r>
      <w:r w:rsidR="00041C2A" w:rsidRPr="003B0E6F">
        <w:rPr>
          <w:rFonts w:ascii="Times New Roman" w:hAnsi="Times New Roman" w:cs="Times New Roman"/>
          <w:sz w:val="24"/>
          <w:szCs w:val="24"/>
          <w:lang w:val="en-GB"/>
        </w:rPr>
        <w:t>t</w:t>
      </w:r>
      <w:r w:rsidR="00B30414" w:rsidRPr="003B0E6F">
        <w:rPr>
          <w:rFonts w:ascii="Times New Roman" w:hAnsi="Times New Roman" w:cs="Times New Roman"/>
          <w:sz w:val="24"/>
          <w:szCs w:val="24"/>
          <w:lang w:val="en-GB"/>
        </w:rPr>
        <w:t xml:space="preserve">he doctrinal </w:t>
      </w:r>
      <w:r w:rsidR="0031385E" w:rsidRPr="003B0E6F">
        <w:rPr>
          <w:rFonts w:ascii="Times New Roman" w:hAnsi="Times New Roman" w:cs="Times New Roman"/>
          <w:sz w:val="24"/>
          <w:szCs w:val="24"/>
          <w:lang w:val="en-GB"/>
        </w:rPr>
        <w:t xml:space="preserve">and descriptive </w:t>
      </w:r>
      <w:r w:rsidR="00B30414" w:rsidRPr="003B0E6F">
        <w:rPr>
          <w:rFonts w:ascii="Times New Roman" w:hAnsi="Times New Roman" w:cs="Times New Roman"/>
          <w:sz w:val="24"/>
          <w:szCs w:val="24"/>
          <w:lang w:val="en-GB"/>
        </w:rPr>
        <w:t>analysis</w:t>
      </w:r>
      <w:r w:rsidR="00041C2A" w:rsidRPr="003B0E6F">
        <w:rPr>
          <w:rFonts w:ascii="Times New Roman" w:hAnsi="Times New Roman" w:cs="Times New Roman"/>
          <w:sz w:val="24"/>
          <w:szCs w:val="24"/>
          <w:lang w:val="en-GB"/>
        </w:rPr>
        <w:t xml:space="preserve"> as a principal analytical device</w:t>
      </w:r>
      <w:r w:rsidR="00B30414" w:rsidRPr="003B0E6F">
        <w:rPr>
          <w:rFonts w:ascii="Times New Roman" w:hAnsi="Times New Roman" w:cs="Times New Roman"/>
          <w:sz w:val="24"/>
          <w:szCs w:val="24"/>
          <w:lang w:val="en-GB"/>
        </w:rPr>
        <w:t xml:space="preserve">, </w:t>
      </w:r>
      <w:r w:rsidR="00E105E3" w:rsidRPr="003B0E6F">
        <w:rPr>
          <w:rFonts w:ascii="Times New Roman" w:hAnsi="Times New Roman" w:cs="Times New Roman"/>
          <w:sz w:val="24"/>
          <w:szCs w:val="24"/>
          <w:lang w:val="en-GB"/>
        </w:rPr>
        <w:t>the</w:t>
      </w:r>
      <w:r w:rsidR="00B30414" w:rsidRPr="003B0E6F">
        <w:rPr>
          <w:rFonts w:ascii="Times New Roman" w:hAnsi="Times New Roman" w:cs="Times New Roman"/>
          <w:sz w:val="24"/>
          <w:szCs w:val="24"/>
          <w:lang w:val="en-GB"/>
        </w:rPr>
        <w:t xml:space="preserve"> coverage is remarkably comprehensive</w:t>
      </w:r>
      <w:r w:rsidR="00041C2A" w:rsidRPr="003B0E6F">
        <w:rPr>
          <w:rFonts w:ascii="Times New Roman" w:hAnsi="Times New Roman" w:cs="Times New Roman"/>
          <w:sz w:val="24"/>
          <w:szCs w:val="24"/>
          <w:lang w:val="en-GB"/>
        </w:rPr>
        <w:t>:</w:t>
      </w:r>
      <w:r w:rsidR="00B30414" w:rsidRPr="003B0E6F">
        <w:rPr>
          <w:rFonts w:ascii="Times New Roman" w:hAnsi="Times New Roman" w:cs="Times New Roman"/>
          <w:sz w:val="24"/>
          <w:szCs w:val="24"/>
          <w:lang w:val="en-GB"/>
        </w:rPr>
        <w:t xml:space="preserve"> </w:t>
      </w:r>
      <w:r w:rsidR="00041C2A" w:rsidRPr="003B0E6F">
        <w:rPr>
          <w:rFonts w:ascii="Times New Roman" w:hAnsi="Times New Roman" w:cs="Times New Roman"/>
          <w:sz w:val="24"/>
          <w:szCs w:val="24"/>
          <w:lang w:val="en-GB"/>
        </w:rPr>
        <w:t>s</w:t>
      </w:r>
      <w:r w:rsidR="00AA12B5" w:rsidRPr="003B0E6F">
        <w:rPr>
          <w:rFonts w:ascii="Times New Roman" w:hAnsi="Times New Roman" w:cs="Times New Roman"/>
          <w:sz w:val="24"/>
          <w:szCs w:val="24"/>
          <w:lang w:val="en-GB"/>
        </w:rPr>
        <w:t>ome</w:t>
      </w:r>
      <w:r w:rsidR="009204DA" w:rsidRPr="003B0E6F">
        <w:rPr>
          <w:rFonts w:ascii="Times New Roman" w:hAnsi="Times New Roman" w:cs="Times New Roman"/>
          <w:sz w:val="24"/>
          <w:szCs w:val="24"/>
          <w:lang w:val="en-GB"/>
        </w:rPr>
        <w:t xml:space="preserve"> contributors </w:t>
      </w:r>
      <w:r w:rsidR="00041C2A" w:rsidRPr="003B0E6F">
        <w:rPr>
          <w:rFonts w:ascii="Times New Roman" w:hAnsi="Times New Roman" w:cs="Times New Roman"/>
          <w:sz w:val="24"/>
          <w:szCs w:val="24"/>
          <w:lang w:val="en-GB"/>
        </w:rPr>
        <w:t>tackle</w:t>
      </w:r>
      <w:r w:rsidR="009204DA" w:rsidRPr="003B0E6F">
        <w:rPr>
          <w:rFonts w:ascii="Times New Roman" w:hAnsi="Times New Roman" w:cs="Times New Roman"/>
          <w:sz w:val="24"/>
          <w:szCs w:val="24"/>
          <w:lang w:val="en-GB"/>
        </w:rPr>
        <w:t xml:space="preserve"> </w:t>
      </w:r>
      <w:r w:rsidR="00B30414" w:rsidRPr="003B0E6F">
        <w:rPr>
          <w:rFonts w:ascii="Times New Roman" w:hAnsi="Times New Roman" w:cs="Times New Roman"/>
          <w:sz w:val="24"/>
          <w:szCs w:val="24"/>
          <w:lang w:val="en-GB"/>
        </w:rPr>
        <w:t xml:space="preserve">the salient issues of investment treaty law </w:t>
      </w:r>
      <w:r w:rsidR="00041C2A" w:rsidRPr="003B0E6F">
        <w:rPr>
          <w:rFonts w:ascii="Times New Roman" w:hAnsi="Times New Roman" w:cs="Times New Roman"/>
          <w:sz w:val="24"/>
          <w:szCs w:val="24"/>
          <w:lang w:val="en-GB"/>
        </w:rPr>
        <w:t>whereas</w:t>
      </w:r>
      <w:r w:rsidR="00AA12B5" w:rsidRPr="003B0E6F">
        <w:rPr>
          <w:rFonts w:ascii="Times New Roman" w:hAnsi="Times New Roman" w:cs="Times New Roman"/>
          <w:sz w:val="24"/>
          <w:szCs w:val="24"/>
          <w:lang w:val="en-GB"/>
        </w:rPr>
        <w:t xml:space="preserve"> others</w:t>
      </w:r>
      <w:r w:rsidR="009204DA" w:rsidRPr="003B0E6F">
        <w:rPr>
          <w:rFonts w:ascii="Times New Roman" w:hAnsi="Times New Roman" w:cs="Times New Roman"/>
          <w:sz w:val="24"/>
          <w:szCs w:val="24"/>
          <w:lang w:val="en-GB"/>
        </w:rPr>
        <w:t xml:space="preserve"> go beyond the narrow confines of the discipline and </w:t>
      </w:r>
      <w:r w:rsidR="00AA12B5" w:rsidRPr="003B0E6F">
        <w:rPr>
          <w:rFonts w:ascii="Times New Roman" w:hAnsi="Times New Roman" w:cs="Times New Roman"/>
          <w:sz w:val="24"/>
          <w:szCs w:val="24"/>
          <w:lang w:val="en-GB"/>
        </w:rPr>
        <w:t>highlight the relevance of</w:t>
      </w:r>
      <w:r w:rsidR="00E105E3" w:rsidRPr="003B0E6F">
        <w:rPr>
          <w:rFonts w:ascii="Times New Roman" w:hAnsi="Times New Roman" w:cs="Times New Roman"/>
          <w:sz w:val="24"/>
          <w:szCs w:val="24"/>
          <w:lang w:val="en-GB"/>
        </w:rPr>
        <w:t xml:space="preserve"> other international legal frameworks governing the corporate behaviour in times of conflict</w:t>
      </w:r>
      <w:r w:rsidR="00041C2A" w:rsidRPr="003B0E6F">
        <w:rPr>
          <w:rFonts w:ascii="Times New Roman" w:hAnsi="Times New Roman" w:cs="Times New Roman"/>
          <w:sz w:val="24"/>
          <w:szCs w:val="24"/>
          <w:lang w:val="en-GB"/>
        </w:rPr>
        <w:t xml:space="preserve"> – from international criminal law to the rules governing the operation of private military contractors and soft laws on responsible business conduct.</w:t>
      </w:r>
    </w:p>
    <w:p w14:paraId="493394AD" w14:textId="77777777" w:rsidR="00E84166" w:rsidRPr="003B0E6F" w:rsidRDefault="00E84166" w:rsidP="003B0E6F">
      <w:pPr>
        <w:pStyle w:val="Text"/>
        <w:spacing w:after="0" w:line="360" w:lineRule="auto"/>
        <w:jc w:val="both"/>
        <w:rPr>
          <w:rFonts w:ascii="Times New Roman" w:eastAsia="Garamond" w:hAnsi="Times New Roman" w:cs="Times New Roman"/>
          <w:sz w:val="24"/>
          <w:szCs w:val="24"/>
          <w:lang w:val="en-GB"/>
        </w:rPr>
      </w:pPr>
    </w:p>
    <w:p w14:paraId="5ADB843E" w14:textId="17EF3B04" w:rsidR="00E84166" w:rsidRPr="003B0E6F" w:rsidRDefault="00000000" w:rsidP="003B0E6F">
      <w:pPr>
        <w:pStyle w:val="Text"/>
        <w:spacing w:after="0"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The fact that at least three distinct volumes were published in the same year not only testifies to the recent intensification of the interest in the subject matter and the attendant proliferation in the literature but also reflects a world increasingly beset by successive wars, disturbances and disorders. For those on the ground, conflict brings about devastation and displacement. For foreign investors who frequently seek commercial opportunities far and wide afield, conflict is not just a fellow </w:t>
      </w:r>
      <w:r w:rsidR="00AA6E6D" w:rsidRPr="003B0E6F">
        <w:rPr>
          <w:rFonts w:ascii="Times New Roman" w:hAnsi="Times New Roman" w:cs="Times New Roman"/>
          <w:sz w:val="24"/>
          <w:szCs w:val="24"/>
          <w:lang w:val="en-GB"/>
        </w:rPr>
        <w:t>traveller</w:t>
      </w:r>
      <w:r w:rsidRPr="003B0E6F">
        <w:rPr>
          <w:rFonts w:ascii="Times New Roman" w:hAnsi="Times New Roman" w:cs="Times New Roman"/>
          <w:sz w:val="24"/>
          <w:szCs w:val="24"/>
          <w:lang w:val="en-GB"/>
        </w:rPr>
        <w:t xml:space="preserve"> but a crucial element of the environment in which international </w:t>
      </w:r>
      <w:r w:rsidRPr="003B0E6F">
        <w:rPr>
          <w:rFonts w:ascii="Times New Roman" w:hAnsi="Times New Roman" w:cs="Times New Roman"/>
          <w:sz w:val="24"/>
          <w:szCs w:val="24"/>
          <w:lang w:val="en-GB"/>
        </w:rPr>
        <w:lastRenderedPageBreak/>
        <w:t xml:space="preserve">investment law was conceived and later took shape. As </w:t>
      </w:r>
      <w:proofErr w:type="spellStart"/>
      <w:r w:rsidRPr="003B0E6F">
        <w:rPr>
          <w:rFonts w:ascii="Times New Roman" w:hAnsi="Times New Roman" w:cs="Times New Roman"/>
          <w:sz w:val="24"/>
          <w:szCs w:val="24"/>
          <w:lang w:val="en-GB"/>
        </w:rPr>
        <w:t>Gathii</w:t>
      </w:r>
      <w:proofErr w:type="spellEnd"/>
      <w:r w:rsidRPr="003B0E6F">
        <w:rPr>
          <w:rFonts w:ascii="Times New Roman" w:hAnsi="Times New Roman" w:cs="Times New Roman"/>
          <w:sz w:val="24"/>
          <w:szCs w:val="24"/>
          <w:lang w:val="en-GB"/>
        </w:rPr>
        <w:t xml:space="preserve"> reminds </w:t>
      </w:r>
      <w:r w:rsidR="003B0E6F">
        <w:rPr>
          <w:rFonts w:ascii="Times New Roman" w:hAnsi="Times New Roman" w:cs="Times New Roman"/>
          <w:sz w:val="24"/>
          <w:szCs w:val="24"/>
          <w:lang w:val="en-GB"/>
        </w:rPr>
        <w:t xml:space="preserve">us </w:t>
      </w:r>
      <w:r w:rsidRPr="003B0E6F">
        <w:rPr>
          <w:rFonts w:ascii="Times New Roman" w:hAnsi="Times New Roman" w:cs="Times New Roman"/>
          <w:sz w:val="24"/>
          <w:szCs w:val="24"/>
          <w:lang w:val="en-GB"/>
        </w:rPr>
        <w:t>in his earlier writings on the subject, war has played a constitutive role in shaping the rules of international investment law since at least the late nineteenth century.</w:t>
      </w:r>
      <w:r w:rsidRPr="003B0E6F">
        <w:rPr>
          <w:rStyle w:val="FootnoteReference"/>
          <w:rFonts w:ascii="Times New Roman" w:hAnsi="Times New Roman" w:cs="Times New Roman"/>
        </w:rPr>
        <w:footnoteReference w:id="2"/>
      </w:r>
      <w:r w:rsidRPr="003B0E6F">
        <w:rPr>
          <w:rFonts w:ascii="Times New Roman" w:hAnsi="Times New Roman" w:cs="Times New Roman"/>
          <w:sz w:val="24"/>
          <w:szCs w:val="24"/>
          <w:lang w:val="en-GB"/>
        </w:rPr>
        <w:t xml:space="preserve"> A classic example of gunboat diplomacy, or using force to protect foreign investors’ rights, took place in 1902, when Venezuela was subjected to a blockade in response to its sovereign debt default and a refusal to honour the demands of bondholders from Great Britain, Germany, and Italy. This led to Luis M. Drago, then the Venezuelan Secretary of Foreign Affairs, to formally protest the ‘collection of loan by military means’ which he equated with ‘territorial occupation’ of Venezuelan territory.</w:t>
      </w:r>
      <w:r w:rsidRPr="003B0E6F">
        <w:rPr>
          <w:rStyle w:val="FootnoteReference"/>
          <w:rFonts w:ascii="Times New Roman" w:hAnsi="Times New Roman" w:cs="Times New Roman"/>
        </w:rPr>
        <w:footnoteReference w:id="3"/>
      </w:r>
      <w:r w:rsidRPr="003B0E6F">
        <w:rPr>
          <w:rFonts w:ascii="Times New Roman" w:hAnsi="Times New Roman" w:cs="Times New Roman"/>
          <w:sz w:val="24"/>
          <w:szCs w:val="24"/>
          <w:lang w:val="en-GB"/>
        </w:rPr>
        <w:t xml:space="preserve"> The Drago doctrine heralded the subsequent crystallisation of the prohibition of the use of force in collecting contract debt as a principle of international law in the early twentieth century.</w:t>
      </w:r>
      <w:r w:rsidRPr="003B0E6F">
        <w:rPr>
          <w:rStyle w:val="FootnoteReference"/>
          <w:rFonts w:ascii="Times New Roman" w:hAnsi="Times New Roman" w:cs="Times New Roman"/>
        </w:rPr>
        <w:footnoteReference w:id="4"/>
      </w:r>
      <w:r w:rsidRPr="003B0E6F">
        <w:rPr>
          <w:rFonts w:ascii="Times New Roman" w:hAnsi="Times New Roman" w:cs="Times New Roman"/>
          <w:sz w:val="24"/>
          <w:szCs w:val="24"/>
          <w:lang w:val="en-GB"/>
        </w:rPr>
        <w:t xml:space="preserve"> </w:t>
      </w:r>
    </w:p>
    <w:p w14:paraId="06C43805" w14:textId="43845773" w:rsidR="004E3091" w:rsidRPr="003B0E6F" w:rsidRDefault="00000000" w:rsidP="003B0E6F">
      <w:pPr>
        <w:pStyle w:val="NormalWeb"/>
        <w:shd w:val="clear" w:color="auto" w:fill="FFFFFF"/>
        <w:spacing w:line="360" w:lineRule="auto"/>
        <w:jc w:val="both"/>
        <w:rPr>
          <w:color w:val="282828"/>
        </w:rPr>
      </w:pPr>
      <w:r w:rsidRPr="003B0E6F">
        <w:t>In the aftermath of the Second World War protecting commerce from the scourge of war became a primary inspiration for a new international economic order.</w:t>
      </w:r>
      <w:r w:rsidRPr="003B0E6F">
        <w:rPr>
          <w:rStyle w:val="FootnoteReference"/>
          <w:rFonts w:eastAsia="Garamond"/>
        </w:rPr>
        <w:footnoteReference w:id="5"/>
      </w:r>
      <w:r w:rsidRPr="003B0E6F">
        <w:t xml:space="preserve"> The devastating effects of World War II inspired the creation of the Bretton Woods institutions and the United Nations as the principal tenets of an institutional framework predicated on peaceful resolution of conflict. Simultaneously, the post-World War II international economic governance also supplied alternatives to territorial conquests as means of accessing resources by private corporate actors.</w:t>
      </w:r>
      <w:r w:rsidRPr="003B0E6F">
        <w:rPr>
          <w:rStyle w:val="FootnoteReference"/>
          <w:rFonts w:eastAsia="Garamond"/>
        </w:rPr>
        <w:footnoteReference w:id="6"/>
      </w:r>
      <w:r w:rsidRPr="003B0E6F">
        <w:t xml:space="preserve"> Although the early celebration of international law as an entirely noncoercive solution for resolving domestic and global issues has been subjected to much scrutiny, for </w:t>
      </w:r>
      <w:proofErr w:type="spellStart"/>
      <w:r w:rsidRPr="003B0E6F">
        <w:t>Gathii</w:t>
      </w:r>
      <w:proofErr w:type="spellEnd"/>
      <w:r w:rsidRPr="003B0E6F">
        <w:t xml:space="preserve"> the pragmatism and functionalism of international law still have much to offer to counter the dark forces that ha</w:t>
      </w:r>
      <w:r w:rsidR="003B0E6F">
        <w:t>ve</w:t>
      </w:r>
      <w:r w:rsidRPr="003B0E6F">
        <w:t xml:space="preserve"> led to violent conflict in the past.</w:t>
      </w:r>
      <w:r w:rsidRPr="003B0E6F">
        <w:rPr>
          <w:rStyle w:val="FootnoteReference"/>
          <w:rFonts w:eastAsia="Garamond"/>
        </w:rPr>
        <w:footnoteReference w:id="7"/>
      </w:r>
      <w:r w:rsidRPr="003B0E6F">
        <w:t xml:space="preserve"> This promise of international law, however, does not obviate the need—and perhaps renders it even more essential—to acknowledge and articulate the legacies of imperial and colonial conquests that the rules and doctrines of international law relating to war and commerce carry with them.</w:t>
      </w:r>
      <w:r w:rsidRPr="003B0E6F">
        <w:rPr>
          <w:rStyle w:val="FootnoteReference"/>
          <w:rFonts w:eastAsia="Garamond"/>
        </w:rPr>
        <w:footnoteReference w:id="8"/>
      </w:r>
      <w:r w:rsidRPr="003B0E6F">
        <w:t xml:space="preserve"> </w:t>
      </w:r>
      <w:r w:rsidR="00DE435A" w:rsidRPr="003B0E6F">
        <w:rPr>
          <w:color w:val="282828"/>
        </w:rPr>
        <w:t xml:space="preserve">International economic law has its foundations in what </w:t>
      </w:r>
      <w:proofErr w:type="spellStart"/>
      <w:r w:rsidR="00DE435A" w:rsidRPr="003B0E6F">
        <w:rPr>
          <w:color w:val="282828"/>
        </w:rPr>
        <w:t>Beckert</w:t>
      </w:r>
      <w:proofErr w:type="spellEnd"/>
      <w:r w:rsidR="00DE435A" w:rsidRPr="003B0E6F">
        <w:rPr>
          <w:color w:val="282828"/>
        </w:rPr>
        <w:t xml:space="preserve"> called the ‘war capitalism’</w:t>
      </w:r>
      <w:r w:rsidR="007B1F3A" w:rsidRPr="003B0E6F">
        <w:rPr>
          <w:color w:val="282828"/>
        </w:rPr>
        <w:t>,</w:t>
      </w:r>
      <w:r w:rsidR="00DE435A" w:rsidRPr="003B0E6F">
        <w:rPr>
          <w:color w:val="282828"/>
        </w:rPr>
        <w:t xml:space="preserve"> and its history is </w:t>
      </w:r>
      <w:r w:rsidR="00DE435A" w:rsidRPr="003B0E6F">
        <w:rPr>
          <w:color w:val="282828"/>
        </w:rPr>
        <w:lastRenderedPageBreak/>
        <w:t>‘rooted in forms of coercion and violence designed to promote the interests of powerful states and their multinational enterprises.’</w:t>
      </w:r>
      <w:r w:rsidR="00DE435A" w:rsidRPr="003B0E6F">
        <w:rPr>
          <w:rStyle w:val="FootnoteReference"/>
        </w:rPr>
        <w:footnoteReference w:id="9"/>
      </w:r>
      <w:r w:rsidR="00DE435A" w:rsidRPr="003B0E6F">
        <w:rPr>
          <w:color w:val="282828"/>
        </w:rPr>
        <w:t xml:space="preserve"> </w:t>
      </w:r>
    </w:p>
    <w:p w14:paraId="55BA1FFD" w14:textId="471BB902" w:rsidR="00E84166" w:rsidRPr="003B0E6F" w:rsidRDefault="00000000" w:rsidP="003B0E6F">
      <w:pPr>
        <w:pStyle w:val="NormalWeb"/>
        <w:shd w:val="clear" w:color="auto" w:fill="FFFFFF"/>
        <w:spacing w:line="360" w:lineRule="auto"/>
        <w:jc w:val="both"/>
      </w:pPr>
      <w:r w:rsidRPr="003B0E6F">
        <w:t xml:space="preserve">While all three books under review pursue different </w:t>
      </w:r>
      <w:r w:rsidR="00F40DCC" w:rsidRPr="003B0E6F">
        <w:t>objectives</w:t>
      </w:r>
      <w:r w:rsidRPr="003B0E6F">
        <w:t xml:space="preserve"> and ask different questions, the legacies of empire and colonialism inevitably resurface as the implicit, albeit often unarticulated, premise underlying all core issues of international investment law pertaining to armed conflict explored therein. A broader, more historically grounded reading of these diverse contributions invites us to look behind the key actors and processes of international investment law and to think beyond the </w:t>
      </w:r>
      <w:r w:rsidR="007B1F3A" w:rsidRPr="003B0E6F">
        <w:t>traditional</w:t>
      </w:r>
      <w:r w:rsidRPr="003B0E6F">
        <w:t xml:space="preserve"> justifications for the role international law plays or should play in protecting business actors in times of conflict. </w:t>
      </w:r>
      <w:r w:rsidR="00F40DCC" w:rsidRPr="003B0E6F">
        <w:t xml:space="preserve">In what follows, this essay will situate the core arguments made in the books under review within the </w:t>
      </w:r>
      <w:r w:rsidR="006F7319" w:rsidRPr="003B0E6F">
        <w:t>broader conceptual framework of the relationship</w:t>
      </w:r>
      <w:r w:rsidR="008121F2" w:rsidRPr="003B0E6F">
        <w:t>s</w:t>
      </w:r>
      <w:r w:rsidR="006F7319" w:rsidRPr="003B0E6F">
        <w:t xml:space="preserve"> between foreign corporations, states and </w:t>
      </w:r>
      <w:r w:rsidR="00370634" w:rsidRPr="003B0E6F">
        <w:t>local communities</w:t>
      </w:r>
      <w:r w:rsidR="006F7319" w:rsidRPr="003B0E6F">
        <w:t xml:space="preserve">. </w:t>
      </w:r>
      <w:r w:rsidR="00370634" w:rsidRPr="003B0E6F">
        <w:t xml:space="preserve">The principal objective is to uncover some of the fundamental and overarching themes underpinning such relationships and to articulate the issues that often remain hidden behind the traditional narratives and justifications of international investment law and other legal regimes governing investment and conflict. </w:t>
      </w:r>
      <w:r w:rsidR="00B42F4C" w:rsidRPr="003B0E6F">
        <w:t xml:space="preserve">By doing so, the essay seeks to go beyond the </w:t>
      </w:r>
      <w:r w:rsidR="00EF5DB1" w:rsidRPr="003B0E6F">
        <w:t>dominant narratives</w:t>
      </w:r>
      <w:r w:rsidR="00B42F4C" w:rsidRPr="003B0E6F">
        <w:t xml:space="preserve"> whereby private business actors are </w:t>
      </w:r>
      <w:r w:rsidR="00EF5DB1" w:rsidRPr="003B0E6F">
        <w:t>primarily</w:t>
      </w:r>
      <w:r w:rsidR="00623862" w:rsidRPr="003B0E6F">
        <w:t xml:space="preserve"> </w:t>
      </w:r>
      <w:r w:rsidR="00B42F4C" w:rsidRPr="003B0E6F">
        <w:t xml:space="preserve">seen as creators of prosperity and thus deserve extensive legal protections in host states. </w:t>
      </w:r>
      <w:r w:rsidR="00600761" w:rsidRPr="003B0E6F">
        <w:t>After taking a critical look at the typologies of conflict in Section 2, Sections 3-7 each focus</w:t>
      </w:r>
      <w:r w:rsidR="004E3091" w:rsidRPr="003B0E6F">
        <w:t xml:space="preserve"> on the </w:t>
      </w:r>
      <w:r w:rsidR="00600761" w:rsidRPr="003B0E6F">
        <w:t>distinct</w:t>
      </w:r>
      <w:r w:rsidR="004E3091" w:rsidRPr="003B0E6F">
        <w:t xml:space="preserve"> roles played by the corporation in situations of conflict</w:t>
      </w:r>
      <w:r w:rsidR="00600761" w:rsidRPr="003B0E6F">
        <w:t>: as a victim, contributor</w:t>
      </w:r>
      <w:r w:rsidR="00B42F4C" w:rsidRPr="003B0E6F">
        <w:t>, beneficiary,</w:t>
      </w:r>
      <w:r w:rsidR="00600761" w:rsidRPr="003B0E6F">
        <w:t xml:space="preserve"> perpetrator </w:t>
      </w:r>
      <w:r w:rsidR="00B42F4C" w:rsidRPr="003B0E6F">
        <w:t>and accomplice</w:t>
      </w:r>
      <w:r w:rsidR="00600761" w:rsidRPr="003B0E6F">
        <w:t xml:space="preserve">. </w:t>
      </w:r>
      <w:r w:rsidR="00B42F4C" w:rsidRPr="003B0E6F">
        <w:t>T</w:t>
      </w:r>
      <w:r w:rsidR="00096241" w:rsidRPr="003B0E6F">
        <w:t>he essay</w:t>
      </w:r>
      <w:r w:rsidR="00CD7238" w:rsidRPr="003B0E6F">
        <w:t xml:space="preserve"> aims to </w:t>
      </w:r>
      <w:r w:rsidR="00B42F4C" w:rsidRPr="003B0E6F">
        <w:t>cast light</w:t>
      </w:r>
      <w:r w:rsidR="00CD7238" w:rsidRPr="003B0E6F">
        <w:t xml:space="preserve"> </w:t>
      </w:r>
      <w:r w:rsidR="00094D11" w:rsidRPr="003B0E6F">
        <w:t xml:space="preserve">on </w:t>
      </w:r>
      <w:r w:rsidR="00CD7238" w:rsidRPr="003B0E6F">
        <w:t xml:space="preserve">international law’s </w:t>
      </w:r>
      <w:r w:rsidR="00096241" w:rsidRPr="003B0E6F">
        <w:t xml:space="preserve">troublesome origins, biases and </w:t>
      </w:r>
      <w:r w:rsidR="009C7423" w:rsidRPr="003B0E6F">
        <w:t>complicities</w:t>
      </w:r>
      <w:r w:rsidR="00370634" w:rsidRPr="003B0E6F">
        <w:t>,</w:t>
      </w:r>
      <w:r w:rsidR="00B42F4C" w:rsidRPr="003B0E6F">
        <w:t xml:space="preserve"> </w:t>
      </w:r>
      <w:r w:rsidR="00370634" w:rsidRPr="003B0E6F">
        <w:t>and to highlight</w:t>
      </w:r>
      <w:r w:rsidR="00860ED1" w:rsidRPr="003B0E6F">
        <w:t xml:space="preserve"> a growing concern over </w:t>
      </w:r>
      <w:r w:rsidR="00094D11" w:rsidRPr="003B0E6F">
        <w:t>the enduring lack of effective avenues for corporate accountability.</w:t>
      </w:r>
    </w:p>
    <w:p w14:paraId="606A0626" w14:textId="77777777" w:rsidR="00E84166" w:rsidRPr="003B0E6F" w:rsidRDefault="00E84166" w:rsidP="003B0E6F">
      <w:pPr>
        <w:pStyle w:val="Text"/>
        <w:spacing w:after="0" w:line="360" w:lineRule="auto"/>
        <w:jc w:val="both"/>
        <w:rPr>
          <w:rFonts w:ascii="Times New Roman" w:eastAsia="Garamond" w:hAnsi="Times New Roman" w:cs="Times New Roman"/>
          <w:sz w:val="24"/>
          <w:szCs w:val="24"/>
          <w:lang w:val="en-GB"/>
        </w:rPr>
      </w:pPr>
    </w:p>
    <w:p w14:paraId="5E7AC674" w14:textId="56AB7905" w:rsidR="00E84166" w:rsidRPr="003B0E6F" w:rsidRDefault="00523557" w:rsidP="003B0E6F">
      <w:pPr>
        <w:pStyle w:val="Text"/>
        <w:spacing w:after="0" w:line="360" w:lineRule="auto"/>
        <w:jc w:val="both"/>
        <w:rPr>
          <w:rFonts w:ascii="Times New Roman" w:eastAsia="Garamond" w:hAnsi="Times New Roman" w:cs="Times New Roman"/>
          <w:b/>
          <w:bCs/>
          <w:sz w:val="24"/>
          <w:szCs w:val="24"/>
          <w:lang w:val="en-GB"/>
        </w:rPr>
      </w:pPr>
      <w:r w:rsidRPr="003B0E6F">
        <w:rPr>
          <w:rFonts w:ascii="Times New Roman" w:hAnsi="Times New Roman" w:cs="Times New Roman"/>
          <w:b/>
          <w:bCs/>
          <w:sz w:val="24"/>
          <w:szCs w:val="24"/>
          <w:lang w:val="en-GB"/>
        </w:rPr>
        <w:t>2. Typologies of conflict</w:t>
      </w:r>
      <w:r w:rsidR="008D330D" w:rsidRPr="003B0E6F">
        <w:rPr>
          <w:rFonts w:ascii="Times New Roman" w:hAnsi="Times New Roman" w:cs="Times New Roman"/>
          <w:b/>
          <w:bCs/>
          <w:sz w:val="24"/>
          <w:szCs w:val="24"/>
          <w:lang w:val="en-GB"/>
        </w:rPr>
        <w:t xml:space="preserve"> and the many roles of corporation</w:t>
      </w:r>
    </w:p>
    <w:p w14:paraId="271C4A80" w14:textId="77777777" w:rsidR="00E84166" w:rsidRPr="003B0E6F" w:rsidRDefault="00000000" w:rsidP="003B0E6F">
      <w:pPr>
        <w:pStyle w:val="Text"/>
        <w:spacing w:after="0" w:line="360" w:lineRule="auto"/>
        <w:jc w:val="both"/>
        <w:rPr>
          <w:rFonts w:ascii="Times New Roman" w:eastAsia="Garamond" w:hAnsi="Times New Roman" w:cs="Times New Roman"/>
          <w:sz w:val="24"/>
          <w:szCs w:val="24"/>
          <w:lang w:val="en-GB"/>
        </w:rPr>
      </w:pPr>
      <w:r w:rsidRPr="003B0E6F">
        <w:rPr>
          <w:rFonts w:ascii="Times New Roman" w:eastAsia="Garamond" w:hAnsi="Times New Roman" w:cs="Times New Roman"/>
          <w:sz w:val="24"/>
          <w:szCs w:val="24"/>
          <w:lang w:val="en-GB"/>
        </w:rPr>
        <w:br/>
      </w:r>
    </w:p>
    <w:p w14:paraId="7A14149D" w14:textId="763D28C8" w:rsidR="000956E3" w:rsidRPr="003B0E6F" w:rsidRDefault="00000000" w:rsidP="003B0E6F">
      <w:pPr>
        <w:pStyle w:val="Text"/>
        <w:spacing w:line="360" w:lineRule="auto"/>
        <w:jc w:val="both"/>
        <w:rPr>
          <w:rFonts w:ascii="Times New Roman" w:hAnsi="Times New Roman" w:cs="Times New Roman"/>
          <w:sz w:val="24"/>
          <w:szCs w:val="24"/>
          <w:lang w:val="en-GB"/>
        </w:rPr>
      </w:pPr>
      <w:r w:rsidRPr="003B0E6F">
        <w:rPr>
          <w:rFonts w:ascii="Times New Roman" w:hAnsi="Times New Roman" w:cs="Times New Roman"/>
          <w:sz w:val="24"/>
          <w:szCs w:val="24"/>
          <w:lang w:val="en-GB"/>
        </w:rPr>
        <w:t xml:space="preserve">To begin with, what is conflict, and when and how do international investment protections come into play to safeguard commercial interests? In international humanitarian law (IHL) armed conflict is defined as a situation involving the ‘resort to armed forces between States or protracted armed violence between governmental authorities and organized armed groups or </w:t>
      </w:r>
      <w:r w:rsidRPr="003B0E6F">
        <w:rPr>
          <w:rFonts w:ascii="Times New Roman" w:hAnsi="Times New Roman" w:cs="Times New Roman"/>
          <w:sz w:val="24"/>
          <w:szCs w:val="24"/>
          <w:lang w:val="en-GB"/>
        </w:rPr>
        <w:lastRenderedPageBreak/>
        <w:t>between such groups within a State.’</w:t>
      </w:r>
      <w:r w:rsidRPr="003B0E6F">
        <w:rPr>
          <w:rStyle w:val="FootnoteReference"/>
          <w:rFonts w:ascii="Times New Roman" w:hAnsi="Times New Roman" w:cs="Times New Roman"/>
        </w:rPr>
        <w:footnoteReference w:id="10"/>
      </w:r>
      <w:r w:rsidRPr="003B0E6F">
        <w:rPr>
          <w:rFonts w:ascii="Times New Roman" w:hAnsi="Times New Roman" w:cs="Times New Roman"/>
          <w:sz w:val="24"/>
          <w:szCs w:val="24"/>
          <w:lang w:val="en-GB"/>
        </w:rPr>
        <w:t xml:space="preserve"> </w:t>
      </w:r>
      <w:proofErr w:type="spellStart"/>
      <w:r w:rsidRPr="003B0E6F">
        <w:rPr>
          <w:rFonts w:ascii="Times New Roman" w:hAnsi="Times New Roman" w:cs="Times New Roman"/>
          <w:sz w:val="24"/>
          <w:szCs w:val="24"/>
          <w:lang w:val="en-GB"/>
        </w:rPr>
        <w:t>Zrilic</w:t>
      </w:r>
      <w:proofErr w:type="spellEnd"/>
      <w:r w:rsidRPr="003B0E6F">
        <w:rPr>
          <w:rFonts w:ascii="Times New Roman" w:hAnsi="Times New Roman" w:cs="Times New Roman"/>
          <w:sz w:val="24"/>
          <w:szCs w:val="24"/>
          <w:lang w:val="en-GB"/>
        </w:rPr>
        <w:t xml:space="preserve"> notes that armed conflict clauses in </w:t>
      </w:r>
      <w:r w:rsidR="00EF5DB1" w:rsidRPr="003B0E6F">
        <w:rPr>
          <w:rFonts w:ascii="Times New Roman" w:hAnsi="Times New Roman" w:cs="Times New Roman"/>
          <w:sz w:val="24"/>
          <w:szCs w:val="24"/>
          <w:lang w:val="en-GB"/>
        </w:rPr>
        <w:t>investment treaties</w:t>
      </w:r>
      <w:r w:rsidRPr="003B0E6F">
        <w:rPr>
          <w:rFonts w:ascii="Times New Roman" w:hAnsi="Times New Roman" w:cs="Times New Roman"/>
          <w:sz w:val="24"/>
          <w:szCs w:val="24"/>
          <w:lang w:val="en-GB"/>
        </w:rPr>
        <w:t xml:space="preserve"> have engendered a different, autonomous concept of conflict – a concept that has a lower applicability threshold than that which was developed in IHL.</w:t>
      </w:r>
      <w:r w:rsidRPr="003B0E6F">
        <w:rPr>
          <w:rStyle w:val="FootnoteReference"/>
          <w:rFonts w:ascii="Times New Roman" w:hAnsi="Times New Roman" w:cs="Times New Roman"/>
        </w:rPr>
        <w:footnoteReference w:id="11"/>
      </w:r>
      <w:r w:rsidRPr="003B0E6F">
        <w:rPr>
          <w:rFonts w:ascii="Times New Roman" w:hAnsi="Times New Roman" w:cs="Times New Roman"/>
          <w:sz w:val="24"/>
          <w:szCs w:val="24"/>
          <w:lang w:val="en-GB"/>
        </w:rPr>
        <w:t xml:space="preserve"> Drawing on the insights from the nineteenth- and early twentieth-century scholarly debates, legislative proposals, and investment jurisprudence, </w:t>
      </w:r>
      <w:proofErr w:type="spellStart"/>
      <w:r w:rsidRPr="003B0E6F">
        <w:rPr>
          <w:rFonts w:ascii="Times New Roman" w:hAnsi="Times New Roman" w:cs="Times New Roman"/>
          <w:sz w:val="24"/>
          <w:szCs w:val="24"/>
          <w:lang w:val="en-GB"/>
        </w:rPr>
        <w:t>Zrilic</w:t>
      </w:r>
      <w:proofErr w:type="spellEnd"/>
      <w:r w:rsidRPr="003B0E6F">
        <w:rPr>
          <w:rFonts w:ascii="Times New Roman" w:hAnsi="Times New Roman" w:cs="Times New Roman"/>
          <w:sz w:val="24"/>
          <w:szCs w:val="24"/>
          <w:lang w:val="en-GB"/>
        </w:rPr>
        <w:t xml:space="preserve"> proposes a typology of conflicts, distinguishing between (1) international armed conflicts, (2) internal armed conflicts, and (3) collective protests, including riots and violent demonstrations.</w:t>
      </w:r>
      <w:r w:rsidRPr="003B0E6F">
        <w:rPr>
          <w:rStyle w:val="FootnoteReference"/>
          <w:rFonts w:ascii="Times New Roman" w:hAnsi="Times New Roman" w:cs="Times New Roman"/>
        </w:rPr>
        <w:footnoteReference w:id="12"/>
      </w:r>
      <w:r w:rsidRPr="003B0E6F">
        <w:rPr>
          <w:rFonts w:ascii="Times New Roman" w:hAnsi="Times New Roman" w:cs="Times New Roman"/>
          <w:sz w:val="24"/>
          <w:szCs w:val="24"/>
          <w:lang w:val="en-GB"/>
        </w:rPr>
        <w:t xml:space="preserve"> What is notable is that internal conflicts include armed violent events that involve non-state groups fighting the governing regime or fighting between themselves. This category, notes </w:t>
      </w:r>
      <w:proofErr w:type="spellStart"/>
      <w:r w:rsidRPr="003B0E6F">
        <w:rPr>
          <w:rFonts w:ascii="Times New Roman" w:hAnsi="Times New Roman" w:cs="Times New Roman"/>
          <w:sz w:val="24"/>
          <w:szCs w:val="24"/>
          <w:lang w:val="en-GB"/>
        </w:rPr>
        <w:t>Zrilic</w:t>
      </w:r>
      <w:proofErr w:type="spellEnd"/>
      <w:r w:rsidRPr="003B0E6F">
        <w:rPr>
          <w:rFonts w:ascii="Times New Roman" w:hAnsi="Times New Roman" w:cs="Times New Roman"/>
          <w:sz w:val="24"/>
          <w:szCs w:val="24"/>
          <w:lang w:val="en-GB"/>
        </w:rPr>
        <w:t>, crosses the rigid frontiers of armed conflict defined by the IHL and includes such events as internal disturbances like the Arab Spring revolutions, where the host government may lose control over the situation or part of the territory.</w:t>
      </w:r>
      <w:r w:rsidRPr="003B0E6F">
        <w:rPr>
          <w:rStyle w:val="FootnoteReference"/>
          <w:rFonts w:ascii="Times New Roman" w:hAnsi="Times New Roman" w:cs="Times New Roman"/>
        </w:rPr>
        <w:footnoteReference w:id="13"/>
      </w:r>
      <w:r w:rsidRPr="003B0E6F">
        <w:rPr>
          <w:rFonts w:ascii="Times New Roman" w:hAnsi="Times New Roman" w:cs="Times New Roman"/>
          <w:sz w:val="24"/>
          <w:szCs w:val="24"/>
          <w:lang w:val="en-GB"/>
        </w:rPr>
        <w:t xml:space="preserve"> The third category, in turn, comprises ‘violent events and clashes carried out by a large group of people that are typically precipitated by unpopular economic or social policies or motivated by xenophobic sentiments.’</w:t>
      </w:r>
      <w:r w:rsidRPr="003B0E6F">
        <w:rPr>
          <w:rStyle w:val="FootnoteReference"/>
          <w:rFonts w:ascii="Times New Roman" w:hAnsi="Times New Roman" w:cs="Times New Roman"/>
        </w:rPr>
        <w:footnoteReference w:id="14"/>
      </w:r>
      <w:r w:rsidRPr="003B0E6F">
        <w:rPr>
          <w:rFonts w:ascii="Times New Roman" w:hAnsi="Times New Roman" w:cs="Times New Roman"/>
          <w:sz w:val="24"/>
          <w:szCs w:val="24"/>
          <w:lang w:val="en-GB"/>
        </w:rPr>
        <w:t xml:space="preserve"> </w:t>
      </w:r>
    </w:p>
    <w:p w14:paraId="02945680" w14:textId="3321C19E" w:rsidR="00E84166" w:rsidRPr="003B0E6F" w:rsidRDefault="00A91479" w:rsidP="003B0E6F">
      <w:pPr>
        <w:pStyle w:val="Text"/>
        <w:spacing w:line="360" w:lineRule="auto"/>
        <w:jc w:val="both"/>
        <w:rPr>
          <w:rFonts w:ascii="Times New Roman" w:hAnsi="Times New Roman" w:cs="Times New Roman"/>
          <w:sz w:val="24"/>
          <w:szCs w:val="24"/>
          <w:lang w:val="en-GB"/>
        </w:rPr>
      </w:pPr>
      <w:r w:rsidRPr="003B0E6F">
        <w:rPr>
          <w:rFonts w:ascii="Times New Roman" w:hAnsi="Times New Roman" w:cs="Times New Roman"/>
          <w:sz w:val="24"/>
          <w:szCs w:val="24"/>
          <w:lang w:val="en-GB"/>
        </w:rPr>
        <w:t xml:space="preserve">While </w:t>
      </w:r>
      <w:proofErr w:type="spellStart"/>
      <w:r w:rsidRPr="003B0E6F">
        <w:rPr>
          <w:rFonts w:ascii="Times New Roman" w:hAnsi="Times New Roman" w:cs="Times New Roman"/>
          <w:sz w:val="24"/>
          <w:szCs w:val="24"/>
          <w:lang w:val="en-GB"/>
        </w:rPr>
        <w:t>Zrilic’s</w:t>
      </w:r>
      <w:proofErr w:type="spellEnd"/>
      <w:r w:rsidRPr="003B0E6F">
        <w:rPr>
          <w:rFonts w:ascii="Times New Roman" w:hAnsi="Times New Roman" w:cs="Times New Roman"/>
          <w:sz w:val="24"/>
          <w:szCs w:val="24"/>
          <w:lang w:val="en-GB"/>
        </w:rPr>
        <w:t xml:space="preserve"> typology is helpful for differentiating between distinct categories of conflict and </w:t>
      </w:r>
      <w:r w:rsidR="005C0E6E" w:rsidRPr="003B0E6F">
        <w:rPr>
          <w:rFonts w:ascii="Times New Roman" w:hAnsi="Times New Roman" w:cs="Times New Roman"/>
          <w:sz w:val="24"/>
          <w:szCs w:val="24"/>
          <w:lang w:val="en-GB"/>
        </w:rPr>
        <w:t xml:space="preserve">identifying the applicable legal rules, </w:t>
      </w:r>
      <w:r w:rsidR="00AA648D" w:rsidRPr="003B0E6F">
        <w:rPr>
          <w:rFonts w:ascii="Times New Roman" w:hAnsi="Times New Roman" w:cs="Times New Roman"/>
          <w:sz w:val="24"/>
          <w:szCs w:val="24"/>
          <w:lang w:val="en-GB"/>
        </w:rPr>
        <w:t xml:space="preserve">it </w:t>
      </w:r>
      <w:r w:rsidR="00026E5A" w:rsidRPr="003B0E6F">
        <w:rPr>
          <w:rFonts w:ascii="Times New Roman" w:hAnsi="Times New Roman" w:cs="Times New Roman"/>
          <w:sz w:val="24"/>
          <w:szCs w:val="24"/>
          <w:lang w:val="en-GB"/>
        </w:rPr>
        <w:t>r</w:t>
      </w:r>
      <w:r w:rsidR="00AA648D" w:rsidRPr="003B0E6F">
        <w:rPr>
          <w:rFonts w:ascii="Times New Roman" w:hAnsi="Times New Roman" w:cs="Times New Roman"/>
          <w:sz w:val="24"/>
          <w:szCs w:val="24"/>
          <w:lang w:val="en-GB"/>
        </w:rPr>
        <w:t xml:space="preserve">eminds us that the root causes of conflict </w:t>
      </w:r>
      <w:r w:rsidR="00CF3471" w:rsidRPr="003B0E6F">
        <w:rPr>
          <w:rFonts w:ascii="Times New Roman" w:hAnsi="Times New Roman" w:cs="Times New Roman"/>
          <w:sz w:val="24"/>
          <w:szCs w:val="24"/>
          <w:lang w:val="en-GB"/>
        </w:rPr>
        <w:t>may defy a rigid categorization</w:t>
      </w:r>
      <w:r w:rsidR="000956E3" w:rsidRPr="003B0E6F">
        <w:rPr>
          <w:rFonts w:ascii="Times New Roman" w:hAnsi="Times New Roman" w:cs="Times New Roman"/>
          <w:sz w:val="24"/>
          <w:szCs w:val="24"/>
          <w:lang w:val="en-GB"/>
        </w:rPr>
        <w:t xml:space="preserve">. </w:t>
      </w:r>
      <w:r w:rsidR="00026E5A" w:rsidRPr="003B0E6F">
        <w:rPr>
          <w:rFonts w:ascii="Times New Roman" w:hAnsi="Times New Roman" w:cs="Times New Roman"/>
          <w:sz w:val="24"/>
          <w:szCs w:val="24"/>
          <w:lang w:val="en-GB"/>
        </w:rPr>
        <w:t xml:space="preserve">It also reminds us that </w:t>
      </w:r>
      <w:r w:rsidR="000956E3" w:rsidRPr="003B0E6F">
        <w:rPr>
          <w:rFonts w:ascii="Times New Roman" w:hAnsi="Times New Roman" w:cs="Times New Roman"/>
          <w:sz w:val="24"/>
          <w:szCs w:val="24"/>
          <w:lang w:val="en-GB"/>
        </w:rPr>
        <w:t>t</w:t>
      </w:r>
      <w:r w:rsidRPr="003B0E6F">
        <w:rPr>
          <w:rFonts w:ascii="Times New Roman" w:hAnsi="Times New Roman" w:cs="Times New Roman"/>
          <w:sz w:val="24"/>
          <w:szCs w:val="24"/>
          <w:lang w:val="en-GB"/>
        </w:rPr>
        <w:t xml:space="preserve">he varying definitions and typologies of conflict are not just an exercise in disciplinary ordering; rather, the </w:t>
      </w:r>
      <w:r w:rsidR="00AA648D" w:rsidRPr="003B0E6F">
        <w:rPr>
          <w:rFonts w:ascii="Times New Roman" w:hAnsi="Times New Roman" w:cs="Times New Roman"/>
          <w:sz w:val="24"/>
          <w:szCs w:val="24"/>
          <w:lang w:val="en-GB"/>
        </w:rPr>
        <w:t>existing categori</w:t>
      </w:r>
      <w:r w:rsidR="00026E5A" w:rsidRPr="003B0E6F">
        <w:rPr>
          <w:rFonts w:ascii="Times New Roman" w:hAnsi="Times New Roman" w:cs="Times New Roman"/>
          <w:sz w:val="24"/>
          <w:szCs w:val="24"/>
          <w:lang w:val="en-GB"/>
        </w:rPr>
        <w:t>es</w:t>
      </w:r>
      <w:r w:rsidR="00AA648D" w:rsidRPr="003B0E6F">
        <w:rPr>
          <w:rFonts w:ascii="Times New Roman" w:hAnsi="Times New Roman" w:cs="Times New Roman"/>
          <w:sz w:val="24"/>
          <w:szCs w:val="24"/>
          <w:lang w:val="en-GB"/>
        </w:rPr>
        <w:t xml:space="preserve"> can</w:t>
      </w:r>
      <w:r w:rsidR="000956E3" w:rsidRPr="003B0E6F">
        <w:rPr>
          <w:rFonts w:ascii="Times New Roman" w:hAnsi="Times New Roman" w:cs="Times New Roman"/>
          <w:sz w:val="24"/>
          <w:szCs w:val="24"/>
          <w:lang w:val="en-GB"/>
        </w:rPr>
        <w:t xml:space="preserve"> </w:t>
      </w:r>
      <w:r w:rsidRPr="003B0E6F">
        <w:rPr>
          <w:rFonts w:ascii="Times New Roman" w:hAnsi="Times New Roman" w:cs="Times New Roman"/>
          <w:sz w:val="24"/>
          <w:szCs w:val="24"/>
          <w:lang w:val="en-GB"/>
        </w:rPr>
        <w:t xml:space="preserve">obscure the multitude of forces and actors at play </w:t>
      </w:r>
      <w:r w:rsidR="00CF3471" w:rsidRPr="003B0E6F">
        <w:rPr>
          <w:rFonts w:ascii="Times New Roman" w:hAnsi="Times New Roman" w:cs="Times New Roman"/>
          <w:sz w:val="24"/>
          <w:szCs w:val="24"/>
          <w:lang w:val="en-GB"/>
        </w:rPr>
        <w:t xml:space="preserve">in each type of conflict </w:t>
      </w:r>
      <w:r w:rsidRPr="003B0E6F">
        <w:rPr>
          <w:rFonts w:ascii="Times New Roman" w:hAnsi="Times New Roman" w:cs="Times New Roman"/>
          <w:sz w:val="24"/>
          <w:szCs w:val="24"/>
          <w:lang w:val="en-GB"/>
        </w:rPr>
        <w:t xml:space="preserve">and </w:t>
      </w:r>
      <w:r w:rsidR="00CF3471" w:rsidRPr="003B0E6F">
        <w:rPr>
          <w:rFonts w:ascii="Times New Roman" w:hAnsi="Times New Roman" w:cs="Times New Roman"/>
          <w:sz w:val="24"/>
          <w:szCs w:val="24"/>
          <w:lang w:val="en-GB"/>
        </w:rPr>
        <w:t>distinct international legal responses they elicit</w:t>
      </w:r>
      <w:r w:rsidRPr="003B0E6F">
        <w:rPr>
          <w:rFonts w:ascii="Times New Roman" w:hAnsi="Times New Roman" w:cs="Times New Roman"/>
          <w:sz w:val="24"/>
          <w:szCs w:val="24"/>
          <w:lang w:val="en-GB"/>
        </w:rPr>
        <w:t>. What th</w:t>
      </w:r>
      <w:r w:rsidR="00CF3471" w:rsidRPr="003B0E6F">
        <w:rPr>
          <w:rFonts w:ascii="Times New Roman" w:hAnsi="Times New Roman" w:cs="Times New Roman"/>
          <w:sz w:val="24"/>
          <w:szCs w:val="24"/>
          <w:lang w:val="en-GB"/>
        </w:rPr>
        <w:t>e</w:t>
      </w:r>
      <w:r w:rsidRPr="003B0E6F">
        <w:rPr>
          <w:rFonts w:ascii="Times New Roman" w:hAnsi="Times New Roman" w:cs="Times New Roman"/>
          <w:sz w:val="24"/>
          <w:szCs w:val="24"/>
          <w:lang w:val="en-GB"/>
        </w:rPr>
        <w:t xml:space="preserve"> reader could glean from all three volumes under review is that the </w:t>
      </w:r>
      <w:r w:rsidR="00026E5A" w:rsidRPr="003B0E6F">
        <w:rPr>
          <w:rFonts w:ascii="Times New Roman" w:hAnsi="Times New Roman" w:cs="Times New Roman"/>
          <w:sz w:val="24"/>
          <w:szCs w:val="24"/>
          <w:lang w:val="en-GB"/>
        </w:rPr>
        <w:t>prevailing</w:t>
      </w:r>
      <w:r w:rsidRPr="003B0E6F">
        <w:rPr>
          <w:rFonts w:ascii="Times New Roman" w:hAnsi="Times New Roman" w:cs="Times New Roman"/>
          <w:sz w:val="24"/>
          <w:szCs w:val="24"/>
          <w:lang w:val="en-GB"/>
        </w:rPr>
        <w:t xml:space="preserve"> legal definitions and typologies of conflict—and the attendant notions of states’ international responsibility to protect commercial interests—are predicated on a certain vision of statehood, here the Westphalian state with exclusive territorial jurisdiction and control.</w:t>
      </w:r>
      <w:r w:rsidRPr="003B0E6F">
        <w:rPr>
          <w:rStyle w:val="FootnoteReference"/>
          <w:rFonts w:ascii="Times New Roman" w:hAnsi="Times New Roman" w:cs="Times New Roman"/>
        </w:rPr>
        <w:footnoteReference w:id="15"/>
      </w:r>
      <w:r w:rsidRPr="003B0E6F">
        <w:rPr>
          <w:rFonts w:ascii="Times New Roman" w:hAnsi="Times New Roman" w:cs="Times New Roman"/>
          <w:sz w:val="24"/>
          <w:szCs w:val="24"/>
          <w:lang w:val="en-GB"/>
        </w:rPr>
        <w:t xml:space="preserve"> </w:t>
      </w:r>
    </w:p>
    <w:p w14:paraId="5A053DAD" w14:textId="77777777" w:rsidR="0004778D" w:rsidRPr="003B0E6F" w:rsidRDefault="00000000" w:rsidP="003B0E6F">
      <w:pPr>
        <w:pStyle w:val="Text"/>
        <w:spacing w:line="360" w:lineRule="auto"/>
        <w:jc w:val="both"/>
        <w:rPr>
          <w:rFonts w:ascii="Times New Roman" w:hAnsi="Times New Roman" w:cs="Times New Roman"/>
          <w:sz w:val="24"/>
          <w:szCs w:val="24"/>
          <w:lang w:val="en-GB"/>
        </w:rPr>
      </w:pPr>
      <w:r w:rsidRPr="003B0E6F">
        <w:rPr>
          <w:rFonts w:ascii="Times New Roman" w:hAnsi="Times New Roman" w:cs="Times New Roman"/>
          <w:sz w:val="24"/>
          <w:szCs w:val="24"/>
          <w:lang w:val="en-GB"/>
        </w:rPr>
        <w:t xml:space="preserve">What is more, the definitions of conflict in contemporary international law have long underplayed the role of private actors, including private business actors, in using </w:t>
      </w:r>
      <w:r w:rsidR="00026E5A" w:rsidRPr="003B0E6F">
        <w:rPr>
          <w:rFonts w:ascii="Times New Roman" w:hAnsi="Times New Roman" w:cs="Times New Roman"/>
          <w:sz w:val="24"/>
          <w:szCs w:val="24"/>
          <w:lang w:val="en-GB"/>
        </w:rPr>
        <w:t xml:space="preserve">or encouraging the use </w:t>
      </w:r>
      <w:r w:rsidRPr="003B0E6F">
        <w:rPr>
          <w:rFonts w:ascii="Times New Roman" w:hAnsi="Times New Roman" w:cs="Times New Roman"/>
          <w:sz w:val="24"/>
          <w:szCs w:val="24"/>
          <w:lang w:val="en-GB"/>
        </w:rPr>
        <w:t xml:space="preserve">force, waging wars or otherwise benefitting from violence. Already in the eighteenth and nineteenth centuries, chartered trading corporations were mandated to wage war </w:t>
      </w:r>
      <w:r w:rsidRPr="003B0E6F">
        <w:rPr>
          <w:rFonts w:ascii="Times New Roman" w:hAnsi="Times New Roman" w:cs="Times New Roman"/>
          <w:sz w:val="24"/>
          <w:szCs w:val="24"/>
          <w:lang w:val="en-GB"/>
        </w:rPr>
        <w:lastRenderedPageBreak/>
        <w:t>to expand the commercial interests of European powers.</w:t>
      </w:r>
      <w:r w:rsidRPr="003B0E6F">
        <w:rPr>
          <w:rStyle w:val="FootnoteReference"/>
          <w:rFonts w:ascii="Times New Roman" w:hAnsi="Times New Roman" w:cs="Times New Roman"/>
        </w:rPr>
        <w:footnoteReference w:id="16"/>
      </w:r>
      <w:r w:rsidRPr="003B0E6F">
        <w:rPr>
          <w:rFonts w:ascii="Times New Roman" w:hAnsi="Times New Roman" w:cs="Times New Roman"/>
          <w:sz w:val="24"/>
          <w:szCs w:val="24"/>
          <w:lang w:val="en-GB"/>
        </w:rPr>
        <w:t xml:space="preserve"> Vested with military, judicial and diplomatic power, these mercantile corporations eroded the boundaries between ‘the economic and political, non-state and state, property rights and sovereignty, the public and private.’</w:t>
      </w:r>
      <w:r w:rsidRPr="003B0E6F">
        <w:rPr>
          <w:rStyle w:val="FootnoteReference"/>
          <w:rFonts w:ascii="Times New Roman" w:hAnsi="Times New Roman" w:cs="Times New Roman"/>
        </w:rPr>
        <w:footnoteReference w:id="17"/>
      </w:r>
      <w:r w:rsidRPr="003B0E6F">
        <w:rPr>
          <w:rFonts w:ascii="Times New Roman" w:hAnsi="Times New Roman" w:cs="Times New Roman"/>
          <w:sz w:val="24"/>
          <w:szCs w:val="24"/>
          <w:lang w:val="en-GB"/>
        </w:rPr>
        <w:t xml:space="preserve"> Violence has long been ‘marketized as a commodity beyond the presumed monopoly of the state.’</w:t>
      </w:r>
      <w:r w:rsidRPr="003B0E6F">
        <w:rPr>
          <w:rStyle w:val="FootnoteReference"/>
          <w:rFonts w:ascii="Times New Roman" w:hAnsi="Times New Roman" w:cs="Times New Roman"/>
        </w:rPr>
        <w:footnoteReference w:id="18"/>
      </w:r>
      <w:r w:rsidRPr="003B0E6F">
        <w:rPr>
          <w:rFonts w:ascii="Times New Roman" w:hAnsi="Times New Roman" w:cs="Times New Roman"/>
          <w:sz w:val="24"/>
          <w:szCs w:val="24"/>
          <w:lang w:val="en-GB"/>
        </w:rPr>
        <w:t xml:space="preserve"> </w:t>
      </w:r>
    </w:p>
    <w:p w14:paraId="64C3AFC3" w14:textId="7E132269" w:rsidR="00E84166" w:rsidRPr="003B0E6F" w:rsidRDefault="00000000" w:rsidP="003B0E6F">
      <w:pPr>
        <w:pStyle w:val="Text"/>
        <w:spacing w:line="360" w:lineRule="auto"/>
        <w:jc w:val="both"/>
        <w:rPr>
          <w:rFonts w:ascii="Times New Roman" w:hAnsi="Times New Roman" w:cs="Times New Roman"/>
          <w:sz w:val="24"/>
          <w:szCs w:val="24"/>
          <w:lang w:val="en-GB"/>
        </w:rPr>
      </w:pPr>
      <w:r w:rsidRPr="003B0E6F">
        <w:rPr>
          <w:rFonts w:ascii="Times New Roman" w:hAnsi="Times New Roman" w:cs="Times New Roman"/>
          <w:sz w:val="24"/>
          <w:szCs w:val="24"/>
          <w:lang w:val="en-GB"/>
        </w:rPr>
        <w:t xml:space="preserve">Indeed, one of the key themes that run through all three volumes is the different roles the corporation has historically played on the conflict stage. While none of the three books have the corporation as the principal </w:t>
      </w:r>
      <w:r w:rsidR="00F50CB7" w:rsidRPr="003B0E6F">
        <w:rPr>
          <w:rFonts w:ascii="Times New Roman" w:hAnsi="Times New Roman" w:cs="Times New Roman"/>
          <w:sz w:val="24"/>
          <w:szCs w:val="24"/>
          <w:lang w:val="en-GB"/>
        </w:rPr>
        <w:t>object</w:t>
      </w:r>
      <w:r w:rsidRPr="003B0E6F">
        <w:rPr>
          <w:rFonts w:ascii="Times New Roman" w:hAnsi="Times New Roman" w:cs="Times New Roman"/>
          <w:sz w:val="24"/>
          <w:szCs w:val="24"/>
          <w:lang w:val="en-GB"/>
        </w:rPr>
        <w:t xml:space="preserve"> of analysis, the narratives and arguments advanced invariably converge around </w:t>
      </w:r>
      <w:r w:rsidR="00EF5DB1" w:rsidRPr="003B0E6F">
        <w:rPr>
          <w:rFonts w:ascii="Times New Roman" w:hAnsi="Times New Roman" w:cs="Times New Roman"/>
          <w:sz w:val="24"/>
          <w:szCs w:val="24"/>
          <w:lang w:val="en-GB"/>
        </w:rPr>
        <w:t xml:space="preserve">the </w:t>
      </w:r>
      <w:r w:rsidRPr="003B0E6F">
        <w:rPr>
          <w:rFonts w:ascii="Times New Roman" w:hAnsi="Times New Roman" w:cs="Times New Roman"/>
          <w:sz w:val="24"/>
          <w:szCs w:val="24"/>
          <w:lang w:val="en-GB"/>
        </w:rPr>
        <w:t xml:space="preserve">corporation as a salient albeit not always the most visible actor in armed conflict. </w:t>
      </w:r>
      <w:r w:rsidR="003E3D1D" w:rsidRPr="003B0E6F">
        <w:rPr>
          <w:rFonts w:ascii="Times New Roman" w:hAnsi="Times New Roman" w:cs="Times New Roman"/>
          <w:sz w:val="24"/>
          <w:szCs w:val="24"/>
          <w:lang w:val="en-GB"/>
        </w:rPr>
        <w:t xml:space="preserve">Although </w:t>
      </w:r>
      <w:r w:rsidRPr="003B0E6F">
        <w:rPr>
          <w:rFonts w:ascii="Times New Roman" w:hAnsi="Times New Roman" w:cs="Times New Roman"/>
          <w:sz w:val="24"/>
          <w:szCs w:val="24"/>
          <w:lang w:val="en-GB"/>
        </w:rPr>
        <w:t xml:space="preserve">the corporation </w:t>
      </w:r>
      <w:r w:rsidR="003E3D1D" w:rsidRPr="003B0E6F">
        <w:rPr>
          <w:rFonts w:ascii="Times New Roman" w:hAnsi="Times New Roman" w:cs="Times New Roman"/>
          <w:sz w:val="24"/>
          <w:szCs w:val="24"/>
          <w:lang w:val="en-GB"/>
        </w:rPr>
        <w:t>can</w:t>
      </w:r>
      <w:r w:rsidRPr="003B0E6F">
        <w:rPr>
          <w:rFonts w:ascii="Times New Roman" w:hAnsi="Times New Roman" w:cs="Times New Roman"/>
          <w:sz w:val="24"/>
          <w:szCs w:val="24"/>
          <w:lang w:val="en-GB"/>
        </w:rPr>
        <w:t xml:space="preserve"> simultaneously or otherwise </w:t>
      </w:r>
      <w:r w:rsidR="003E3D1D" w:rsidRPr="003B0E6F">
        <w:rPr>
          <w:rFonts w:ascii="Times New Roman" w:hAnsi="Times New Roman" w:cs="Times New Roman"/>
          <w:sz w:val="24"/>
          <w:szCs w:val="24"/>
          <w:lang w:val="en-GB"/>
        </w:rPr>
        <w:t xml:space="preserve">be </w:t>
      </w:r>
      <w:r w:rsidRPr="003B0E6F">
        <w:rPr>
          <w:rFonts w:ascii="Times New Roman" w:hAnsi="Times New Roman" w:cs="Times New Roman"/>
          <w:sz w:val="24"/>
          <w:szCs w:val="24"/>
          <w:lang w:val="en-GB"/>
        </w:rPr>
        <w:t>a victim, perpetrator, accomplice and benefactor of violence</w:t>
      </w:r>
      <w:r w:rsidR="003E3D1D" w:rsidRPr="003B0E6F">
        <w:rPr>
          <w:rFonts w:ascii="Times New Roman" w:hAnsi="Times New Roman" w:cs="Times New Roman"/>
          <w:sz w:val="24"/>
          <w:szCs w:val="24"/>
          <w:lang w:val="en-GB"/>
        </w:rPr>
        <w:t xml:space="preserve">, international investment law—and the wider corpus of rules governing armed conflict and the rights of those affected by it—tend to favour </w:t>
      </w:r>
      <w:r w:rsidR="004B067E" w:rsidRPr="003B0E6F">
        <w:rPr>
          <w:rFonts w:ascii="Times New Roman" w:hAnsi="Times New Roman" w:cs="Times New Roman"/>
          <w:sz w:val="24"/>
          <w:szCs w:val="24"/>
          <w:lang w:val="en-GB"/>
        </w:rPr>
        <w:t xml:space="preserve">their own, distinct visions of the role </w:t>
      </w:r>
      <w:r w:rsidR="00EF5DB1" w:rsidRPr="003B0E6F">
        <w:rPr>
          <w:rFonts w:ascii="Times New Roman" w:hAnsi="Times New Roman" w:cs="Times New Roman"/>
          <w:sz w:val="24"/>
          <w:szCs w:val="24"/>
          <w:lang w:val="en-GB"/>
        </w:rPr>
        <w:t>private business actors</w:t>
      </w:r>
      <w:r w:rsidR="004B067E" w:rsidRPr="003B0E6F">
        <w:rPr>
          <w:rFonts w:ascii="Times New Roman" w:hAnsi="Times New Roman" w:cs="Times New Roman"/>
          <w:sz w:val="24"/>
          <w:szCs w:val="24"/>
          <w:lang w:val="en-GB"/>
        </w:rPr>
        <w:t xml:space="preserve"> play in monetising, encouraging the use of, or suffering from, violence</w:t>
      </w:r>
      <w:r w:rsidR="000466D9" w:rsidRPr="003B0E6F">
        <w:rPr>
          <w:rFonts w:ascii="Times New Roman" w:hAnsi="Times New Roman" w:cs="Times New Roman"/>
          <w:sz w:val="24"/>
          <w:szCs w:val="24"/>
          <w:lang w:val="en-GB"/>
        </w:rPr>
        <w:t xml:space="preserve">. As </w:t>
      </w:r>
      <w:r w:rsidR="00EC3795" w:rsidRPr="003B0E6F">
        <w:rPr>
          <w:rFonts w:ascii="Times New Roman" w:hAnsi="Times New Roman" w:cs="Times New Roman"/>
          <w:sz w:val="24"/>
          <w:szCs w:val="24"/>
          <w:lang w:val="en-GB"/>
        </w:rPr>
        <w:t xml:space="preserve">discussed in </w:t>
      </w:r>
      <w:r w:rsidR="000466D9" w:rsidRPr="003B0E6F">
        <w:rPr>
          <w:rFonts w:ascii="Times New Roman" w:hAnsi="Times New Roman" w:cs="Times New Roman"/>
          <w:sz w:val="24"/>
          <w:szCs w:val="24"/>
          <w:lang w:val="en-GB"/>
        </w:rPr>
        <w:t xml:space="preserve">the following sections, </w:t>
      </w:r>
      <w:r w:rsidR="00EC3795" w:rsidRPr="003B0E6F">
        <w:rPr>
          <w:rFonts w:ascii="Times New Roman" w:hAnsi="Times New Roman" w:cs="Times New Roman"/>
          <w:sz w:val="24"/>
          <w:szCs w:val="24"/>
          <w:lang w:val="en-GB"/>
        </w:rPr>
        <w:t xml:space="preserve">all three books under review compellingly demonstrate that </w:t>
      </w:r>
      <w:r w:rsidR="000466D9" w:rsidRPr="003B0E6F">
        <w:rPr>
          <w:rFonts w:ascii="Times New Roman" w:hAnsi="Times New Roman" w:cs="Times New Roman"/>
          <w:sz w:val="24"/>
          <w:szCs w:val="24"/>
          <w:lang w:val="en-GB"/>
        </w:rPr>
        <w:t>for international investment law the corporation is predominantly a victim of conflict</w:t>
      </w:r>
      <w:r w:rsidR="00463983" w:rsidRPr="003B0E6F">
        <w:rPr>
          <w:rFonts w:ascii="Times New Roman" w:hAnsi="Times New Roman" w:cs="Times New Roman"/>
          <w:sz w:val="24"/>
          <w:szCs w:val="24"/>
          <w:lang w:val="en-GB"/>
        </w:rPr>
        <w:t>,</w:t>
      </w:r>
      <w:r w:rsidR="00863A2A" w:rsidRPr="003B0E6F">
        <w:rPr>
          <w:rFonts w:ascii="Times New Roman" w:hAnsi="Times New Roman" w:cs="Times New Roman"/>
          <w:sz w:val="24"/>
          <w:szCs w:val="24"/>
          <w:lang w:val="en-GB"/>
        </w:rPr>
        <w:t xml:space="preserve"> and it is perhaps this clarity of vision that lies beneath the creation of some of the most wide-ranging, powerful and enforceable protections afforded to private business actors in international law.</w:t>
      </w:r>
      <w:r w:rsidR="00463983" w:rsidRPr="003B0E6F">
        <w:rPr>
          <w:rFonts w:ascii="Times New Roman" w:hAnsi="Times New Roman" w:cs="Times New Roman"/>
          <w:sz w:val="24"/>
          <w:szCs w:val="24"/>
          <w:lang w:val="en-GB"/>
        </w:rPr>
        <w:t xml:space="preserve"> </w:t>
      </w:r>
      <w:r w:rsidR="00EC3795" w:rsidRPr="003B0E6F">
        <w:rPr>
          <w:rFonts w:ascii="Times New Roman" w:hAnsi="Times New Roman" w:cs="Times New Roman"/>
          <w:sz w:val="24"/>
          <w:szCs w:val="24"/>
          <w:lang w:val="en-GB"/>
        </w:rPr>
        <w:t xml:space="preserve">Contrastingly, </w:t>
      </w:r>
      <w:r w:rsidR="007142FB" w:rsidRPr="003B0E6F">
        <w:rPr>
          <w:rFonts w:ascii="Times New Roman" w:hAnsi="Times New Roman" w:cs="Times New Roman"/>
          <w:sz w:val="24"/>
          <w:szCs w:val="24"/>
          <w:lang w:val="en-GB"/>
        </w:rPr>
        <w:t>readers will find that international law is</w:t>
      </w:r>
      <w:r w:rsidR="00DF3037" w:rsidRPr="003B0E6F">
        <w:rPr>
          <w:rFonts w:ascii="Times New Roman" w:hAnsi="Times New Roman" w:cs="Times New Roman"/>
          <w:sz w:val="24"/>
          <w:szCs w:val="24"/>
          <w:lang w:val="en-GB"/>
        </w:rPr>
        <w:t xml:space="preserve"> yet to effectively address </w:t>
      </w:r>
      <w:r w:rsidR="00EC3795" w:rsidRPr="003B0E6F">
        <w:rPr>
          <w:rFonts w:ascii="Times New Roman" w:hAnsi="Times New Roman" w:cs="Times New Roman"/>
          <w:sz w:val="24"/>
          <w:szCs w:val="24"/>
          <w:lang w:val="en-GB"/>
        </w:rPr>
        <w:t>t</w:t>
      </w:r>
      <w:r w:rsidR="00463983" w:rsidRPr="003B0E6F">
        <w:rPr>
          <w:rFonts w:ascii="Times New Roman" w:hAnsi="Times New Roman" w:cs="Times New Roman"/>
          <w:sz w:val="24"/>
          <w:szCs w:val="24"/>
          <w:lang w:val="en-GB"/>
        </w:rPr>
        <w:t>he</w:t>
      </w:r>
      <w:r w:rsidR="00DF3037" w:rsidRPr="003B0E6F">
        <w:rPr>
          <w:rFonts w:ascii="Times New Roman" w:hAnsi="Times New Roman" w:cs="Times New Roman"/>
          <w:sz w:val="24"/>
          <w:szCs w:val="24"/>
          <w:lang w:val="en-GB"/>
        </w:rPr>
        <w:t xml:space="preserve"> rather</w:t>
      </w:r>
      <w:r w:rsidR="00463983" w:rsidRPr="003B0E6F">
        <w:rPr>
          <w:rFonts w:ascii="Times New Roman" w:hAnsi="Times New Roman" w:cs="Times New Roman"/>
          <w:sz w:val="24"/>
          <w:szCs w:val="24"/>
          <w:lang w:val="en-GB"/>
        </w:rPr>
        <w:t xml:space="preserve"> contentious, troubling and under-regulated roles the corporation can play</w:t>
      </w:r>
      <w:r w:rsidR="00DF3037" w:rsidRPr="003B0E6F">
        <w:rPr>
          <w:rFonts w:ascii="Times New Roman" w:hAnsi="Times New Roman" w:cs="Times New Roman"/>
          <w:sz w:val="24"/>
          <w:szCs w:val="24"/>
          <w:lang w:val="en-GB"/>
        </w:rPr>
        <w:t>, including as an</w:t>
      </w:r>
      <w:r w:rsidR="00463983" w:rsidRPr="003B0E6F">
        <w:rPr>
          <w:rFonts w:ascii="Times New Roman" w:hAnsi="Times New Roman" w:cs="Times New Roman"/>
          <w:sz w:val="24"/>
          <w:szCs w:val="24"/>
          <w:lang w:val="en-GB"/>
        </w:rPr>
        <w:t xml:space="preserve"> enabl</w:t>
      </w:r>
      <w:r w:rsidR="00DF3037" w:rsidRPr="003B0E6F">
        <w:rPr>
          <w:rFonts w:ascii="Times New Roman" w:hAnsi="Times New Roman" w:cs="Times New Roman"/>
          <w:sz w:val="24"/>
          <w:szCs w:val="24"/>
          <w:lang w:val="en-GB"/>
        </w:rPr>
        <w:t>er</w:t>
      </w:r>
      <w:r w:rsidR="00463983" w:rsidRPr="003B0E6F">
        <w:rPr>
          <w:rFonts w:ascii="Times New Roman" w:hAnsi="Times New Roman" w:cs="Times New Roman"/>
          <w:sz w:val="24"/>
          <w:szCs w:val="24"/>
          <w:lang w:val="en-GB"/>
        </w:rPr>
        <w:t xml:space="preserve">, </w:t>
      </w:r>
      <w:r w:rsidR="00DF3037" w:rsidRPr="003B0E6F">
        <w:rPr>
          <w:rFonts w:ascii="Times New Roman" w:hAnsi="Times New Roman" w:cs="Times New Roman"/>
          <w:sz w:val="24"/>
          <w:szCs w:val="24"/>
          <w:lang w:val="en-GB"/>
        </w:rPr>
        <w:t>contributor and beneficiary of conflict.</w:t>
      </w:r>
      <w:r w:rsidR="00EC3795" w:rsidRPr="003B0E6F">
        <w:rPr>
          <w:rFonts w:ascii="Times New Roman" w:hAnsi="Times New Roman" w:cs="Times New Roman"/>
          <w:sz w:val="24"/>
          <w:szCs w:val="24"/>
          <w:lang w:val="en-GB"/>
        </w:rPr>
        <w:t xml:space="preserve">  </w:t>
      </w:r>
    </w:p>
    <w:p w14:paraId="423AAAC6" w14:textId="4F9C5059" w:rsidR="00E84166" w:rsidRPr="003B0E6F" w:rsidRDefault="00000000" w:rsidP="003B0E6F">
      <w:pPr>
        <w:pStyle w:val="Text"/>
        <w:numPr>
          <w:ilvl w:val="0"/>
          <w:numId w:val="3"/>
        </w:numPr>
        <w:spacing w:line="360" w:lineRule="auto"/>
        <w:jc w:val="both"/>
        <w:rPr>
          <w:rFonts w:ascii="Times New Roman" w:eastAsia="Garamond" w:hAnsi="Times New Roman" w:cs="Times New Roman"/>
          <w:b/>
          <w:bCs/>
          <w:sz w:val="24"/>
          <w:szCs w:val="24"/>
          <w:lang w:val="en-GB"/>
        </w:rPr>
      </w:pPr>
      <w:r w:rsidRPr="003B0E6F">
        <w:rPr>
          <w:rFonts w:ascii="Times New Roman" w:hAnsi="Times New Roman" w:cs="Times New Roman"/>
          <w:b/>
          <w:bCs/>
          <w:sz w:val="24"/>
          <w:szCs w:val="24"/>
          <w:lang w:val="en-GB"/>
        </w:rPr>
        <w:t>Corporation as a victim of conflict</w:t>
      </w:r>
      <w:r w:rsidR="00463983" w:rsidRPr="003B0E6F">
        <w:rPr>
          <w:rFonts w:ascii="Times New Roman" w:hAnsi="Times New Roman" w:cs="Times New Roman"/>
          <w:b/>
          <w:bCs/>
          <w:sz w:val="24"/>
          <w:szCs w:val="24"/>
          <w:lang w:val="en-GB"/>
        </w:rPr>
        <w:t xml:space="preserve"> in developing states</w:t>
      </w:r>
    </w:p>
    <w:p w14:paraId="5FB64D16" w14:textId="3E82344C"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In keeping with its time-honoured tradition, the primary objective of international investment law and the protections it offers is to ensure the investor is safeguarded from outbreaks of war. Regardless of whether the harm suffered by investors is attributed to the host state or third parties, the central premise of international investment law is that investors should be adequately shielded from violence and upheavals. In cases involving conflict-ridden states – as well as developing countries generally suffering from the lack of institutional resources – investors are often presented as victims of instability, or of non-existent or inadequate legal </w:t>
      </w:r>
      <w:r w:rsidRPr="003B0E6F">
        <w:rPr>
          <w:rFonts w:ascii="Times New Roman" w:hAnsi="Times New Roman" w:cs="Times New Roman"/>
          <w:sz w:val="24"/>
          <w:szCs w:val="24"/>
          <w:lang w:val="en-GB"/>
        </w:rPr>
        <w:lastRenderedPageBreak/>
        <w:t xml:space="preserve">and institutional mechanisms. This understanding reflects a particular vision of investors (deserving of strong and effective protections when operating abroad) and of host states (expected to be strong and effective, capable of pre-empting conflict, and maintaining the conditions essential for foreign investment to thrive). </w:t>
      </w:r>
    </w:p>
    <w:p w14:paraId="6FB8390E" w14:textId="1F9A4036"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The idea that weak states should be punished for their inability to prevent and rein in violence—and thus shield investors from conflict-related losses is not new. </w:t>
      </w:r>
      <w:proofErr w:type="spellStart"/>
      <w:r w:rsidRPr="003B0E6F">
        <w:rPr>
          <w:rFonts w:ascii="Times New Roman" w:hAnsi="Times New Roman" w:cs="Times New Roman"/>
          <w:sz w:val="24"/>
          <w:szCs w:val="24"/>
          <w:lang w:val="en-GB"/>
        </w:rPr>
        <w:t>Zrilic</w:t>
      </w:r>
      <w:proofErr w:type="spellEnd"/>
      <w:r w:rsidRPr="003B0E6F">
        <w:rPr>
          <w:rFonts w:ascii="Times New Roman" w:hAnsi="Times New Roman" w:cs="Times New Roman"/>
          <w:sz w:val="24"/>
          <w:szCs w:val="24"/>
          <w:lang w:val="en-GB"/>
        </w:rPr>
        <w:t xml:space="preserve"> recounts the </w:t>
      </w:r>
      <w:proofErr w:type="spellStart"/>
      <w:r w:rsidRPr="003B0E6F">
        <w:rPr>
          <w:rFonts w:ascii="Times New Roman" w:hAnsi="Times New Roman" w:cs="Times New Roman"/>
          <w:i/>
          <w:iCs/>
          <w:sz w:val="24"/>
          <w:szCs w:val="24"/>
          <w:lang w:val="en-GB"/>
        </w:rPr>
        <w:t>Sambiaggio</w:t>
      </w:r>
      <w:proofErr w:type="spellEnd"/>
      <w:r w:rsidRPr="003B0E6F">
        <w:rPr>
          <w:rFonts w:ascii="Times New Roman" w:hAnsi="Times New Roman" w:cs="Times New Roman"/>
          <w:sz w:val="24"/>
          <w:szCs w:val="24"/>
          <w:lang w:val="en-GB"/>
        </w:rPr>
        <w:t xml:space="preserve"> case</w:t>
      </w:r>
      <w:r w:rsidRPr="003B0E6F">
        <w:rPr>
          <w:rStyle w:val="FootnoteReference"/>
          <w:rFonts w:ascii="Times New Roman" w:hAnsi="Times New Roman" w:cs="Times New Roman"/>
        </w:rPr>
        <w:footnoteReference w:id="19"/>
      </w:r>
      <w:r w:rsidRPr="003B0E6F">
        <w:rPr>
          <w:rFonts w:ascii="Times New Roman" w:hAnsi="Times New Roman" w:cs="Times New Roman"/>
          <w:sz w:val="24"/>
          <w:szCs w:val="24"/>
          <w:lang w:val="en-GB"/>
        </w:rPr>
        <w:t xml:space="preserve"> in which the Italian-Venezuelan Claims Commission was tasked with determining whether the host state was responsible for losses incurred by Italian nationals during the 1892 revolution and civil war in Venezuela. In the Venezuelan commissioner’s view, situations involving lasting internal disorder reflected the state’s loss of control and demonstrated its inability to protect property and commercial interests of foreigners. He pointed out that foreigners had been aware of the circumstances and had willingly assumed the risk.</w:t>
      </w:r>
      <w:r w:rsidRPr="003B0E6F">
        <w:rPr>
          <w:rStyle w:val="FootnoteReference"/>
          <w:rFonts w:ascii="Times New Roman" w:hAnsi="Times New Roman" w:cs="Times New Roman"/>
        </w:rPr>
        <w:footnoteReference w:id="20"/>
      </w:r>
      <w:r w:rsidRPr="003B0E6F">
        <w:rPr>
          <w:rFonts w:ascii="Times New Roman" w:hAnsi="Times New Roman" w:cs="Times New Roman"/>
          <w:sz w:val="24"/>
          <w:szCs w:val="24"/>
          <w:lang w:val="en-GB"/>
        </w:rPr>
        <w:t xml:space="preserve"> By contrast, the Italian commissioner’s stance very much reflected the prevailing sentiments of US and European powers. He argued that countries in which internal disorders were commonplace, and therefore foreseeable, were under a duty to show higher levels of vigilance in protecting foreigners.’</w:t>
      </w:r>
      <w:r w:rsidRPr="003B0E6F">
        <w:rPr>
          <w:rStyle w:val="FootnoteReference"/>
          <w:rFonts w:ascii="Times New Roman" w:hAnsi="Times New Roman" w:cs="Times New Roman"/>
        </w:rPr>
        <w:footnoteReference w:id="21"/>
      </w:r>
      <w:r w:rsidRPr="003B0E6F">
        <w:rPr>
          <w:rFonts w:ascii="Times New Roman" w:hAnsi="Times New Roman" w:cs="Times New Roman"/>
          <w:sz w:val="24"/>
          <w:szCs w:val="24"/>
          <w:lang w:val="en-GB"/>
        </w:rPr>
        <w:t xml:space="preserve"> A similar stance was taken by the umpire, Henry M. Duffield, of the German Venezuelan Commission who considered that ‘the continuously turbulent conditions of the host state extended the scope of the state’s responsibility.’</w:t>
      </w:r>
      <w:r w:rsidRPr="003B0E6F">
        <w:rPr>
          <w:rStyle w:val="FootnoteReference"/>
          <w:rFonts w:ascii="Times New Roman" w:hAnsi="Times New Roman" w:cs="Times New Roman"/>
        </w:rPr>
        <w:footnoteReference w:id="22"/>
      </w:r>
      <w:r w:rsidRPr="003B0E6F">
        <w:rPr>
          <w:rFonts w:ascii="Times New Roman" w:hAnsi="Times New Roman" w:cs="Times New Roman"/>
          <w:sz w:val="24"/>
          <w:szCs w:val="24"/>
          <w:lang w:val="en-GB"/>
        </w:rPr>
        <w:t xml:space="preserve"> </w:t>
      </w:r>
    </w:p>
    <w:p w14:paraId="0971B5CA" w14:textId="294CD1DB"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To </w:t>
      </w:r>
      <w:proofErr w:type="spellStart"/>
      <w:r w:rsidRPr="003B0E6F">
        <w:rPr>
          <w:rFonts w:ascii="Times New Roman" w:hAnsi="Times New Roman" w:cs="Times New Roman"/>
          <w:sz w:val="24"/>
          <w:szCs w:val="24"/>
          <w:lang w:val="en-GB"/>
        </w:rPr>
        <w:t>Zrilic</w:t>
      </w:r>
      <w:proofErr w:type="spellEnd"/>
      <w:r w:rsidRPr="003B0E6F">
        <w:rPr>
          <w:rFonts w:ascii="Times New Roman" w:hAnsi="Times New Roman" w:cs="Times New Roman"/>
          <w:sz w:val="24"/>
          <w:szCs w:val="24"/>
          <w:lang w:val="en-GB"/>
        </w:rPr>
        <w:t xml:space="preserve">, these cases capture the profound schism between the views on what a well-organized state is expected to do and what a particular state is able to do for foreign investors in such circumstances. </w:t>
      </w:r>
      <w:proofErr w:type="spellStart"/>
      <w:r w:rsidRPr="003B0E6F">
        <w:rPr>
          <w:rFonts w:ascii="Times New Roman" w:hAnsi="Times New Roman" w:cs="Times New Roman"/>
          <w:sz w:val="24"/>
          <w:szCs w:val="24"/>
          <w:lang w:val="en-GB"/>
        </w:rPr>
        <w:t>Zrilic</w:t>
      </w:r>
      <w:proofErr w:type="spellEnd"/>
      <w:r w:rsidRPr="003B0E6F">
        <w:rPr>
          <w:rFonts w:ascii="Times New Roman" w:hAnsi="Times New Roman" w:cs="Times New Roman"/>
          <w:sz w:val="24"/>
          <w:szCs w:val="24"/>
          <w:lang w:val="en-GB"/>
        </w:rPr>
        <w:t xml:space="preserve"> notes that ‘[di]</w:t>
      </w:r>
      <w:proofErr w:type="spellStart"/>
      <w:r w:rsidRPr="003B0E6F">
        <w:rPr>
          <w:rFonts w:ascii="Times New Roman" w:hAnsi="Times New Roman" w:cs="Times New Roman"/>
          <w:sz w:val="24"/>
          <w:szCs w:val="24"/>
          <w:lang w:val="en-GB"/>
        </w:rPr>
        <w:t>fferentiation</w:t>
      </w:r>
      <w:proofErr w:type="spellEnd"/>
      <w:r w:rsidRPr="003B0E6F">
        <w:rPr>
          <w:rFonts w:ascii="Times New Roman" w:hAnsi="Times New Roman" w:cs="Times New Roman"/>
          <w:sz w:val="24"/>
          <w:szCs w:val="24"/>
          <w:lang w:val="en-GB"/>
        </w:rPr>
        <w:t xml:space="preserve"> between Western civilized nations and the unruly</w:t>
      </w:r>
      <w:r w:rsidRPr="003B0E6F">
        <w:rPr>
          <w:rFonts w:ascii="Times New Roman" w:hAnsi="Times New Roman" w:cs="Times New Roman"/>
          <w:b/>
          <w:bCs/>
          <w:sz w:val="24"/>
          <w:szCs w:val="24"/>
          <w:lang w:val="en-GB"/>
        </w:rPr>
        <w:t xml:space="preserve"> </w:t>
      </w:r>
      <w:r w:rsidRPr="003B0E6F">
        <w:rPr>
          <w:rFonts w:ascii="Times New Roman" w:hAnsi="Times New Roman" w:cs="Times New Roman"/>
          <w:sz w:val="24"/>
          <w:szCs w:val="24"/>
          <w:lang w:val="en-GB"/>
        </w:rPr>
        <w:t>periphery was advocated by influential, mostly American, legal scholars and diplomats’ and it was relied upon ‘as a legal justification for military intervention in less powerful countries when the latter failed to protect Western nationals and economic interests in the course of disorder.’</w:t>
      </w:r>
      <w:r w:rsidRPr="003B0E6F">
        <w:rPr>
          <w:rStyle w:val="FootnoteReference"/>
          <w:rFonts w:ascii="Times New Roman" w:hAnsi="Times New Roman" w:cs="Times New Roman"/>
        </w:rPr>
        <w:footnoteReference w:id="23"/>
      </w:r>
      <w:r w:rsidRPr="003B0E6F">
        <w:rPr>
          <w:rFonts w:ascii="Times New Roman" w:hAnsi="Times New Roman" w:cs="Times New Roman"/>
          <w:sz w:val="24"/>
          <w:szCs w:val="24"/>
          <w:lang w:val="en-GB"/>
        </w:rPr>
        <w:t xml:space="preserve">  He is critical of the stances whereby a failure to be well-organized should lead to state responsibility towards foreign investors. Instead, </w:t>
      </w:r>
      <w:proofErr w:type="spellStart"/>
      <w:r w:rsidRPr="003B0E6F">
        <w:rPr>
          <w:rFonts w:ascii="Times New Roman" w:hAnsi="Times New Roman" w:cs="Times New Roman"/>
          <w:sz w:val="24"/>
          <w:szCs w:val="24"/>
          <w:lang w:val="en-GB"/>
        </w:rPr>
        <w:t>Zrilic</w:t>
      </w:r>
      <w:proofErr w:type="spellEnd"/>
      <w:r w:rsidRPr="003B0E6F">
        <w:rPr>
          <w:rFonts w:ascii="Times New Roman" w:hAnsi="Times New Roman" w:cs="Times New Roman"/>
          <w:sz w:val="24"/>
          <w:szCs w:val="24"/>
          <w:lang w:val="en-GB"/>
        </w:rPr>
        <w:t xml:space="preserve"> advocates for a ‘more nuanced view’ </w:t>
      </w:r>
      <w:r w:rsidR="00B17235" w:rsidRPr="003B0E6F">
        <w:rPr>
          <w:rFonts w:ascii="Times New Roman" w:hAnsi="Times New Roman" w:cs="Times New Roman"/>
          <w:sz w:val="24"/>
          <w:szCs w:val="24"/>
          <w:lang w:val="en-GB"/>
        </w:rPr>
        <w:t>according to which</w:t>
      </w:r>
      <w:r w:rsidRPr="003B0E6F">
        <w:rPr>
          <w:rFonts w:ascii="Times New Roman" w:hAnsi="Times New Roman" w:cs="Times New Roman"/>
          <w:sz w:val="24"/>
          <w:szCs w:val="24"/>
          <w:lang w:val="en-GB"/>
        </w:rPr>
        <w:t xml:space="preserve"> the continuity or recurring nature of a conflict would necessitate foreign investors to adjust their expectations as to the level of security in a volatile </w:t>
      </w:r>
      <w:r w:rsidRPr="003B0E6F">
        <w:rPr>
          <w:rFonts w:ascii="Times New Roman" w:hAnsi="Times New Roman" w:cs="Times New Roman"/>
          <w:sz w:val="24"/>
          <w:szCs w:val="24"/>
          <w:lang w:val="en-GB"/>
        </w:rPr>
        <w:lastRenderedPageBreak/>
        <w:t>country; and require the state to adjust its means and capabilities to the new realities, to the extent this is possible.</w:t>
      </w:r>
      <w:r w:rsidRPr="003B0E6F">
        <w:rPr>
          <w:rStyle w:val="FootnoteReference"/>
          <w:rFonts w:ascii="Times New Roman" w:hAnsi="Times New Roman" w:cs="Times New Roman"/>
        </w:rPr>
        <w:footnoteReference w:id="24"/>
      </w:r>
    </w:p>
    <w:p w14:paraId="6A57C8D8" w14:textId="6558C1F3"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Echoes of the fundamental disagreement in the reasoning of the commissioners in </w:t>
      </w:r>
      <w:proofErr w:type="spellStart"/>
      <w:r w:rsidRPr="003B0E6F">
        <w:rPr>
          <w:rFonts w:ascii="Times New Roman" w:hAnsi="Times New Roman" w:cs="Times New Roman"/>
          <w:i/>
          <w:iCs/>
          <w:sz w:val="24"/>
          <w:szCs w:val="24"/>
          <w:lang w:val="en-GB"/>
        </w:rPr>
        <w:t>Sambiaggio</w:t>
      </w:r>
      <w:proofErr w:type="spellEnd"/>
      <w:r w:rsidRPr="003B0E6F">
        <w:rPr>
          <w:rFonts w:ascii="Times New Roman" w:hAnsi="Times New Roman" w:cs="Times New Roman"/>
          <w:i/>
          <w:iCs/>
          <w:sz w:val="24"/>
          <w:szCs w:val="24"/>
          <w:lang w:val="en-GB"/>
        </w:rPr>
        <w:t xml:space="preserve"> </w:t>
      </w:r>
      <w:r w:rsidRPr="003B0E6F">
        <w:rPr>
          <w:rFonts w:ascii="Times New Roman" w:hAnsi="Times New Roman" w:cs="Times New Roman"/>
          <w:sz w:val="24"/>
          <w:szCs w:val="24"/>
          <w:lang w:val="en-GB"/>
        </w:rPr>
        <w:t xml:space="preserve">can be detected in investment arbitration today. Contemporary international investment law largely preserves the continuity of the early twentieth century ideas that host states, irrespective of their historical struggles with conflict and instability and their inability to restore and maintain a lasting peace, owe investors the duty to protect against harm that arise as a result. One could argue that the two key investment treaty provisions governing state responsibility in times of conflict—the so-called war clauses and the full protection and security (FPS) standard—have been designed and continue to be construed in a manner that caters for the interests of powerful investors vis-à-vis weak(er) states of the global South. As Spears and </w:t>
      </w:r>
      <w:proofErr w:type="spellStart"/>
      <w:r w:rsidRPr="003B0E6F">
        <w:rPr>
          <w:rFonts w:ascii="Times New Roman" w:hAnsi="Times New Roman" w:cs="Times New Roman"/>
          <w:sz w:val="24"/>
          <w:szCs w:val="24"/>
          <w:lang w:val="en-GB"/>
        </w:rPr>
        <w:t>Agius</w:t>
      </w:r>
      <w:proofErr w:type="spellEnd"/>
      <w:r w:rsidRPr="003B0E6F">
        <w:rPr>
          <w:rFonts w:ascii="Times New Roman" w:hAnsi="Times New Roman" w:cs="Times New Roman"/>
          <w:sz w:val="24"/>
          <w:szCs w:val="24"/>
          <w:lang w:val="en-GB"/>
        </w:rPr>
        <w:t xml:space="preserve"> reveal in their chapter</w:t>
      </w:r>
      <w:r w:rsidR="00B17235" w:rsidRPr="003B0E6F">
        <w:rPr>
          <w:rFonts w:ascii="Times New Roman" w:hAnsi="Times New Roman" w:cs="Times New Roman"/>
          <w:sz w:val="24"/>
          <w:szCs w:val="24"/>
          <w:lang w:val="en-GB"/>
        </w:rPr>
        <w:t xml:space="preserve"> in the edited collection</w:t>
      </w:r>
      <w:r w:rsidRPr="003B0E6F">
        <w:rPr>
          <w:rFonts w:ascii="Times New Roman" w:hAnsi="Times New Roman" w:cs="Times New Roman"/>
          <w:sz w:val="24"/>
          <w:szCs w:val="24"/>
          <w:lang w:val="en-GB"/>
        </w:rPr>
        <w:t>, some investment treaties contain war clauses that impose a form of strict liability with/via an obligation for the host state to compensate investors for damage from war and civil disturbance, irrespective of whether the loss was caused by governmental forces or non-State actors.</w:t>
      </w:r>
      <w:r w:rsidRPr="003B0E6F">
        <w:rPr>
          <w:rStyle w:val="FootnoteReference"/>
          <w:rFonts w:ascii="Times New Roman" w:hAnsi="Times New Roman" w:cs="Times New Roman"/>
        </w:rPr>
        <w:footnoteReference w:id="25"/>
      </w:r>
      <w:r w:rsidRPr="003B0E6F">
        <w:rPr>
          <w:rFonts w:ascii="Times New Roman" w:hAnsi="Times New Roman" w:cs="Times New Roman"/>
          <w:sz w:val="24"/>
          <w:szCs w:val="24"/>
          <w:lang w:val="en-GB"/>
        </w:rPr>
        <w:t xml:space="preserve"> This is reminiscent of writings advocating the theory of absolute responsibility at the turn of the twentieth century. </w:t>
      </w:r>
      <w:proofErr w:type="spellStart"/>
      <w:r w:rsidRPr="003B0E6F">
        <w:rPr>
          <w:rFonts w:ascii="Times New Roman" w:hAnsi="Times New Roman" w:cs="Times New Roman"/>
          <w:sz w:val="24"/>
          <w:szCs w:val="24"/>
          <w:lang w:val="en-GB"/>
        </w:rPr>
        <w:t>Zrilic</w:t>
      </w:r>
      <w:proofErr w:type="spellEnd"/>
      <w:r w:rsidRPr="003B0E6F">
        <w:rPr>
          <w:rFonts w:ascii="Times New Roman" w:hAnsi="Times New Roman" w:cs="Times New Roman"/>
          <w:sz w:val="24"/>
          <w:szCs w:val="24"/>
          <w:lang w:val="en-GB"/>
        </w:rPr>
        <w:t xml:space="preserve"> draws attention to one such scholar, </w:t>
      </w:r>
      <w:proofErr w:type="spellStart"/>
      <w:r w:rsidRPr="003B0E6F">
        <w:rPr>
          <w:rFonts w:ascii="Times New Roman" w:hAnsi="Times New Roman" w:cs="Times New Roman"/>
          <w:sz w:val="24"/>
          <w:szCs w:val="24"/>
          <w:lang w:val="en-GB"/>
        </w:rPr>
        <w:t>Fauchille</w:t>
      </w:r>
      <w:proofErr w:type="spellEnd"/>
      <w:r w:rsidRPr="003B0E6F">
        <w:rPr>
          <w:rFonts w:ascii="Times New Roman" w:hAnsi="Times New Roman" w:cs="Times New Roman"/>
          <w:sz w:val="24"/>
          <w:szCs w:val="24"/>
          <w:lang w:val="en-GB"/>
        </w:rPr>
        <w:t xml:space="preserve">, who argued that ‘foreign investors brought development and money to the state in which they had invested and should therefore be protected under </w:t>
      </w:r>
      <w:proofErr w:type="spellStart"/>
      <w:r w:rsidRPr="003B0E6F">
        <w:rPr>
          <w:rFonts w:ascii="Times New Roman" w:hAnsi="Times New Roman" w:cs="Times New Roman"/>
          <w:sz w:val="24"/>
          <w:szCs w:val="24"/>
          <w:lang w:val="en-GB"/>
        </w:rPr>
        <w:t>risque</w:t>
      </w:r>
      <w:proofErr w:type="spellEnd"/>
      <w:r w:rsidRPr="003B0E6F">
        <w:rPr>
          <w:rFonts w:ascii="Times New Roman" w:hAnsi="Times New Roman" w:cs="Times New Roman"/>
          <w:sz w:val="24"/>
          <w:szCs w:val="24"/>
          <w:lang w:val="en-GB"/>
        </w:rPr>
        <w:t xml:space="preserve"> </w:t>
      </w:r>
      <w:proofErr w:type="spellStart"/>
      <w:r w:rsidRPr="003B0E6F">
        <w:rPr>
          <w:rFonts w:ascii="Times New Roman" w:hAnsi="Times New Roman" w:cs="Times New Roman"/>
          <w:sz w:val="24"/>
          <w:szCs w:val="24"/>
          <w:lang w:val="en-GB"/>
        </w:rPr>
        <w:t>étatif</w:t>
      </w:r>
      <w:proofErr w:type="spellEnd"/>
      <w:r w:rsidRPr="003B0E6F">
        <w:rPr>
          <w:rFonts w:ascii="Times New Roman" w:hAnsi="Times New Roman" w:cs="Times New Roman"/>
          <w:sz w:val="24"/>
          <w:szCs w:val="24"/>
          <w:lang w:val="en-GB"/>
        </w:rPr>
        <w:t>, hence obliging the host state to assume the risk of violent events and compensate investors for any damages suffered in the course thereof.’</w:t>
      </w:r>
      <w:r w:rsidRPr="003B0E6F">
        <w:rPr>
          <w:rStyle w:val="FootnoteReference"/>
          <w:rFonts w:ascii="Times New Roman" w:hAnsi="Times New Roman" w:cs="Times New Roman"/>
        </w:rPr>
        <w:footnoteReference w:id="26"/>
      </w:r>
      <w:r w:rsidRPr="003B0E6F">
        <w:rPr>
          <w:rFonts w:ascii="Times New Roman" w:hAnsi="Times New Roman" w:cs="Times New Roman"/>
          <w:sz w:val="24"/>
          <w:szCs w:val="24"/>
          <w:lang w:val="en-GB"/>
        </w:rPr>
        <w:t xml:space="preserve"> Even at the time, support for the idea of absolute responsibility was exceptional</w:t>
      </w:r>
      <w:r w:rsidRPr="003B0E6F">
        <w:rPr>
          <w:rStyle w:val="FootnoteReference"/>
          <w:rFonts w:ascii="Times New Roman" w:hAnsi="Times New Roman" w:cs="Times New Roman"/>
        </w:rPr>
        <w:footnoteReference w:id="27"/>
      </w:r>
      <w:r w:rsidRPr="003B0E6F">
        <w:rPr>
          <w:rFonts w:ascii="Times New Roman" w:hAnsi="Times New Roman" w:cs="Times New Roman"/>
          <w:sz w:val="24"/>
          <w:szCs w:val="24"/>
          <w:lang w:val="en-GB"/>
        </w:rPr>
        <w:t xml:space="preserve">, making it all the more startling that contemporary investment treaties still contain provisions to the same effect. </w:t>
      </w:r>
    </w:p>
    <w:p w14:paraId="44C0E4BB" w14:textId="053F2FA2"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It is, however, the FPS standard that exposes international law’s enduring juxtaposition between civilized nations and their ‘less orderly’ counterparts—and how these categories bear on the scope of privileges and protections afforded to corporations investing therein.  The edited volume by Gomez et al features Christoph </w:t>
      </w:r>
      <w:proofErr w:type="spellStart"/>
      <w:r w:rsidRPr="003B0E6F">
        <w:rPr>
          <w:rFonts w:ascii="Times New Roman" w:hAnsi="Times New Roman" w:cs="Times New Roman"/>
          <w:sz w:val="24"/>
          <w:szCs w:val="24"/>
          <w:lang w:val="en-GB"/>
        </w:rPr>
        <w:t>Schreuer’s</w:t>
      </w:r>
      <w:proofErr w:type="spellEnd"/>
      <w:r w:rsidRPr="003B0E6F">
        <w:rPr>
          <w:rFonts w:ascii="Times New Roman" w:hAnsi="Times New Roman" w:cs="Times New Roman"/>
          <w:sz w:val="24"/>
          <w:szCs w:val="24"/>
          <w:lang w:val="en-GB"/>
        </w:rPr>
        <w:t xml:space="preserve"> primer on the key standards of protection in times of conflict. </w:t>
      </w:r>
      <w:proofErr w:type="spellStart"/>
      <w:r w:rsidRPr="003B0E6F">
        <w:rPr>
          <w:rFonts w:ascii="Times New Roman" w:hAnsi="Times New Roman" w:cs="Times New Roman"/>
          <w:sz w:val="24"/>
          <w:szCs w:val="24"/>
          <w:lang w:val="en-GB"/>
        </w:rPr>
        <w:t>Schreuer</w:t>
      </w:r>
      <w:proofErr w:type="spellEnd"/>
      <w:r w:rsidRPr="003B0E6F">
        <w:rPr>
          <w:rFonts w:ascii="Times New Roman" w:hAnsi="Times New Roman" w:cs="Times New Roman"/>
          <w:sz w:val="24"/>
          <w:szCs w:val="24"/>
          <w:lang w:val="en-GB"/>
        </w:rPr>
        <w:t xml:space="preserve"> notes that the ubiquitous FPS standard is at times framed as the ‘most constant protection and security</w:t>
      </w:r>
      <w:r w:rsidR="00863A2A" w:rsidRPr="003B0E6F">
        <w:rPr>
          <w:rFonts w:ascii="Times New Roman" w:hAnsi="Times New Roman" w:cs="Times New Roman"/>
          <w:sz w:val="24"/>
          <w:szCs w:val="24"/>
          <w:lang w:val="en-GB"/>
        </w:rPr>
        <w:t>’</w:t>
      </w:r>
      <w:r w:rsidRPr="003B0E6F">
        <w:rPr>
          <w:rFonts w:ascii="Times New Roman" w:hAnsi="Times New Roman" w:cs="Times New Roman"/>
          <w:sz w:val="24"/>
          <w:szCs w:val="24"/>
          <w:lang w:val="en-GB"/>
        </w:rPr>
        <w:t xml:space="preserve"> standard. While </w:t>
      </w:r>
      <w:proofErr w:type="spellStart"/>
      <w:r w:rsidRPr="003B0E6F">
        <w:rPr>
          <w:rFonts w:ascii="Times New Roman" w:hAnsi="Times New Roman" w:cs="Times New Roman"/>
          <w:sz w:val="24"/>
          <w:szCs w:val="24"/>
          <w:lang w:val="en-GB"/>
        </w:rPr>
        <w:t>Schreuer</w:t>
      </w:r>
      <w:proofErr w:type="spellEnd"/>
      <w:r w:rsidRPr="003B0E6F">
        <w:rPr>
          <w:rFonts w:ascii="Times New Roman" w:hAnsi="Times New Roman" w:cs="Times New Roman"/>
          <w:sz w:val="24"/>
          <w:szCs w:val="24"/>
          <w:lang w:val="en-GB"/>
        </w:rPr>
        <w:t xml:space="preserve"> believes this </w:t>
      </w:r>
      <w:r w:rsidRPr="003B0E6F">
        <w:rPr>
          <w:rFonts w:ascii="Times New Roman" w:hAnsi="Times New Roman" w:cs="Times New Roman"/>
          <w:sz w:val="24"/>
          <w:szCs w:val="24"/>
          <w:lang w:val="en-GB"/>
        </w:rPr>
        <w:lastRenderedPageBreak/>
        <w:t>variation of the language to be of no significance, to this reviewer the term ‘most constant protection’ once again highlights the function of investment treaties as mechanisms designed to insulate investors from harm at all times, including when violence and conflict may upend the functioning of an entire society. This choice of language reflects what Greenman describes as ‘international investment law’s implication in a neoliberal project to entrench a particular vision of the strong but limited state’; the state, whose sole function is to ensure that the economic status quo, comprising the existing rights and privileges of foreign investors, is shielded from democratic or revolutionary contestation.</w:t>
      </w:r>
      <w:r w:rsidRPr="003B0E6F">
        <w:rPr>
          <w:rStyle w:val="FootnoteReference"/>
          <w:rFonts w:ascii="Times New Roman" w:hAnsi="Times New Roman" w:cs="Times New Roman"/>
        </w:rPr>
        <w:footnoteReference w:id="28"/>
      </w:r>
      <w:r w:rsidRPr="003B0E6F">
        <w:rPr>
          <w:rFonts w:ascii="Times New Roman" w:hAnsi="Times New Roman" w:cs="Times New Roman"/>
          <w:sz w:val="24"/>
          <w:szCs w:val="24"/>
          <w:lang w:val="en-GB"/>
        </w:rPr>
        <w:t xml:space="preserve"> The FPS standard is designed to achieve this effect by placing host states under an obligation of due diligence in protecting foreign investment: ‘full protection and security’ means that the host state is expected to act diligently and take measures necessary in order to protect investors from forcible interference.</w:t>
      </w:r>
      <w:r w:rsidRPr="003B0E6F">
        <w:rPr>
          <w:rStyle w:val="FootnoteReference"/>
          <w:rFonts w:ascii="Times New Roman" w:hAnsi="Times New Roman" w:cs="Times New Roman"/>
        </w:rPr>
        <w:footnoteReference w:id="29"/>
      </w:r>
      <w:r w:rsidRPr="003B0E6F">
        <w:rPr>
          <w:rFonts w:ascii="Times New Roman" w:hAnsi="Times New Roman" w:cs="Times New Roman"/>
          <w:sz w:val="24"/>
          <w:szCs w:val="24"/>
          <w:lang w:val="en-GB"/>
        </w:rPr>
        <w:t xml:space="preserve"> </w:t>
      </w:r>
    </w:p>
    <w:p w14:paraId="3713A0BE" w14:textId="4AF58313"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In </w:t>
      </w:r>
      <w:r w:rsidR="003E3D1D" w:rsidRPr="003B0E6F">
        <w:rPr>
          <w:rFonts w:ascii="Times New Roman" w:hAnsi="Times New Roman" w:cs="Times New Roman"/>
          <w:sz w:val="24"/>
          <w:szCs w:val="24"/>
          <w:lang w:val="en-GB"/>
        </w:rPr>
        <w:t>the</w:t>
      </w:r>
      <w:r w:rsidRPr="003B0E6F">
        <w:rPr>
          <w:rFonts w:ascii="Times New Roman" w:hAnsi="Times New Roman" w:cs="Times New Roman"/>
          <w:sz w:val="24"/>
          <w:szCs w:val="24"/>
          <w:lang w:val="en-GB"/>
        </w:rPr>
        <w:t xml:space="preserve"> investment treaty context, the contours of the FPS standard were first articulated in </w:t>
      </w:r>
      <w:r w:rsidRPr="003B0E6F">
        <w:rPr>
          <w:rFonts w:ascii="Times New Roman" w:hAnsi="Times New Roman" w:cs="Times New Roman"/>
          <w:i/>
          <w:iCs/>
          <w:sz w:val="24"/>
          <w:szCs w:val="24"/>
          <w:lang w:val="en-GB"/>
        </w:rPr>
        <w:t>AAPL v Sri Lanka</w:t>
      </w:r>
      <w:r w:rsidRPr="003B0E6F">
        <w:rPr>
          <w:rFonts w:ascii="Times New Roman" w:hAnsi="Times New Roman" w:cs="Times New Roman"/>
          <w:sz w:val="24"/>
          <w:szCs w:val="24"/>
          <w:lang w:val="en-GB"/>
        </w:rPr>
        <w:t xml:space="preserve">, a landmark investment arbitration award based on the events that took place in January 1987. The opening pages of </w:t>
      </w:r>
      <w:proofErr w:type="spellStart"/>
      <w:r w:rsidRPr="003B0E6F">
        <w:rPr>
          <w:rFonts w:ascii="Times New Roman" w:hAnsi="Times New Roman" w:cs="Times New Roman"/>
          <w:sz w:val="24"/>
          <w:szCs w:val="24"/>
          <w:lang w:val="en-GB"/>
        </w:rPr>
        <w:t>Zrilic’s</w:t>
      </w:r>
      <w:proofErr w:type="spellEnd"/>
      <w:r w:rsidRPr="003B0E6F">
        <w:rPr>
          <w:rFonts w:ascii="Times New Roman" w:hAnsi="Times New Roman" w:cs="Times New Roman"/>
          <w:sz w:val="24"/>
          <w:szCs w:val="24"/>
          <w:lang w:val="en-GB"/>
        </w:rPr>
        <w:t xml:space="preserve"> book provide a haunting reminder of the circumstances from which the case arose: </w:t>
      </w:r>
    </w:p>
    <w:p w14:paraId="070A6574" w14:textId="1E4812ED" w:rsidR="00E84166" w:rsidRPr="003B0E6F" w:rsidRDefault="00000000" w:rsidP="003B0E6F">
      <w:pPr>
        <w:pStyle w:val="Text"/>
        <w:spacing w:line="360" w:lineRule="auto"/>
        <w:ind w:left="709"/>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w:t>
      </w:r>
      <w:proofErr w:type="spellStart"/>
      <w:r w:rsidRPr="003B0E6F">
        <w:rPr>
          <w:rFonts w:ascii="Times New Roman" w:hAnsi="Times New Roman" w:cs="Times New Roman"/>
          <w:sz w:val="24"/>
          <w:szCs w:val="24"/>
          <w:lang w:val="en-GB"/>
        </w:rPr>
        <w:t>Mahiladittivu</w:t>
      </w:r>
      <w:proofErr w:type="spellEnd"/>
      <w:r w:rsidRPr="003B0E6F">
        <w:rPr>
          <w:rFonts w:ascii="Times New Roman" w:hAnsi="Times New Roman" w:cs="Times New Roman"/>
          <w:sz w:val="24"/>
          <w:szCs w:val="24"/>
          <w:lang w:val="en-GB"/>
        </w:rPr>
        <w:t xml:space="preserve"> is a small Tamil village, surrounded by paddy fields and a lagoo</w:t>
      </w:r>
      <w:r w:rsidR="003E3D1D" w:rsidRPr="003B0E6F">
        <w:rPr>
          <w:rFonts w:ascii="Times New Roman" w:hAnsi="Times New Roman" w:cs="Times New Roman"/>
          <w:sz w:val="24"/>
          <w:szCs w:val="24"/>
          <w:lang w:val="en-GB"/>
        </w:rPr>
        <w:t>n</w:t>
      </w:r>
      <w:r w:rsidRPr="003B0E6F">
        <w:rPr>
          <w:rFonts w:ascii="Times New Roman" w:hAnsi="Times New Roman" w:cs="Times New Roman"/>
          <w:sz w:val="24"/>
          <w:szCs w:val="24"/>
          <w:lang w:val="en-GB"/>
        </w:rPr>
        <w:t xml:space="preserve">, on the eastern coast of Sri </w:t>
      </w:r>
      <w:r w:rsidR="003E3D1D" w:rsidRPr="003B0E6F">
        <w:rPr>
          <w:rFonts w:ascii="Times New Roman" w:hAnsi="Times New Roman" w:cs="Times New Roman"/>
          <w:sz w:val="24"/>
          <w:szCs w:val="24"/>
          <w:lang w:val="en-GB"/>
        </w:rPr>
        <w:t>Lanka</w:t>
      </w:r>
      <w:r w:rsidRPr="003B0E6F">
        <w:rPr>
          <w:rFonts w:ascii="Times New Roman" w:hAnsi="Times New Roman" w:cs="Times New Roman"/>
          <w:sz w:val="24"/>
          <w:szCs w:val="24"/>
          <w:lang w:val="en-GB"/>
        </w:rPr>
        <w:t>. The villagers recall that there was a prawn farm that used to be the source of the local livelihood…On 28 January 1987, the Sri Lankan special task forces stormed into the village, besieging it from air, water, and land. Their target was the farm, where they rounded up the workers and the villagers who happened to be there, took them to the nearby road junction, and shot them. More than eighty Tamil civilians were killed, their bodies never to be retrieved. The farm was burnt to the ground…</w:t>
      </w:r>
      <w:r w:rsidRPr="003B0E6F">
        <w:rPr>
          <w:rStyle w:val="FootnoteReference"/>
          <w:rFonts w:ascii="Times New Roman" w:hAnsi="Times New Roman" w:cs="Times New Roman"/>
        </w:rPr>
        <w:footnoteReference w:id="30"/>
      </w:r>
    </w:p>
    <w:p w14:paraId="34E2D11B" w14:textId="36A732AF" w:rsidR="00E84166" w:rsidRPr="003B0E6F" w:rsidRDefault="00000000" w:rsidP="003B0E6F">
      <w:pPr>
        <w:pStyle w:val="Text"/>
        <w:spacing w:line="360" w:lineRule="auto"/>
        <w:jc w:val="both"/>
        <w:rPr>
          <w:rFonts w:ascii="Times New Roman" w:hAnsi="Times New Roman" w:cs="Times New Roman"/>
          <w:sz w:val="24"/>
          <w:szCs w:val="24"/>
          <w:lang w:val="en-GB"/>
        </w:rPr>
      </w:pPr>
      <w:r w:rsidRPr="003B0E6F">
        <w:rPr>
          <w:rFonts w:ascii="Times New Roman" w:hAnsi="Times New Roman" w:cs="Times New Roman"/>
          <w:sz w:val="24"/>
          <w:szCs w:val="24"/>
          <w:lang w:val="en-GB"/>
        </w:rPr>
        <w:t>The investor who owned the farm brought a case against Sri Lanka, arguing</w:t>
      </w:r>
      <w:r w:rsidR="00BA1941" w:rsidRPr="003B0E6F">
        <w:rPr>
          <w:rFonts w:ascii="Times New Roman" w:hAnsi="Times New Roman" w:cs="Times New Roman"/>
          <w:sz w:val="24"/>
          <w:szCs w:val="24"/>
          <w:lang w:val="en-GB"/>
        </w:rPr>
        <w:t xml:space="preserve"> </w:t>
      </w:r>
      <w:r w:rsidRPr="003B0E6F">
        <w:rPr>
          <w:rFonts w:ascii="Times New Roman" w:hAnsi="Times New Roman" w:cs="Times New Roman"/>
          <w:sz w:val="24"/>
          <w:szCs w:val="24"/>
          <w:lang w:val="en-GB"/>
        </w:rPr>
        <w:t xml:space="preserve">that the host government breached its FPS obligation. In applying the FPS standard to conflict-caused losses, the most fundamental question </w:t>
      </w:r>
      <w:r w:rsidR="00BA1941" w:rsidRPr="003B0E6F">
        <w:rPr>
          <w:rFonts w:ascii="Times New Roman" w:hAnsi="Times New Roman" w:cs="Times New Roman"/>
          <w:sz w:val="24"/>
          <w:szCs w:val="24"/>
          <w:lang w:val="en-GB"/>
        </w:rPr>
        <w:t>was</w:t>
      </w:r>
      <w:r w:rsidRPr="003B0E6F">
        <w:rPr>
          <w:rFonts w:ascii="Times New Roman" w:hAnsi="Times New Roman" w:cs="Times New Roman"/>
          <w:sz w:val="24"/>
          <w:szCs w:val="24"/>
          <w:lang w:val="en-GB"/>
        </w:rPr>
        <w:t xml:space="preserve"> whether the diligent conduct should be measured against an objective standard or against the background of local host state conditions.</w:t>
      </w:r>
      <w:r w:rsidRPr="003B0E6F">
        <w:rPr>
          <w:rStyle w:val="FootnoteReference"/>
          <w:rFonts w:ascii="Times New Roman" w:hAnsi="Times New Roman" w:cs="Times New Roman"/>
        </w:rPr>
        <w:footnoteReference w:id="31"/>
      </w:r>
      <w:r w:rsidRPr="003B0E6F">
        <w:rPr>
          <w:rFonts w:ascii="Times New Roman" w:hAnsi="Times New Roman" w:cs="Times New Roman"/>
          <w:sz w:val="24"/>
          <w:szCs w:val="24"/>
          <w:lang w:val="en-GB"/>
        </w:rPr>
        <w:t xml:space="preserve"> The spectrum of scholarly and jurisprudential takes on this question mirrors the long-standing </w:t>
      </w:r>
      <w:r w:rsidRPr="003B0E6F">
        <w:rPr>
          <w:rFonts w:ascii="Times New Roman" w:hAnsi="Times New Roman" w:cs="Times New Roman"/>
          <w:sz w:val="24"/>
          <w:szCs w:val="24"/>
          <w:lang w:val="en-GB"/>
        </w:rPr>
        <w:lastRenderedPageBreak/>
        <w:t xml:space="preserve">tradition of construing international obligations of a state </w:t>
      </w:r>
      <w:r w:rsidR="00BA1941" w:rsidRPr="003B0E6F">
        <w:rPr>
          <w:rFonts w:ascii="Times New Roman" w:hAnsi="Times New Roman" w:cs="Times New Roman"/>
          <w:sz w:val="24"/>
          <w:szCs w:val="24"/>
          <w:lang w:val="en-GB"/>
        </w:rPr>
        <w:t>depending</w:t>
      </w:r>
      <w:r w:rsidRPr="003B0E6F">
        <w:rPr>
          <w:rFonts w:ascii="Times New Roman" w:hAnsi="Times New Roman" w:cs="Times New Roman"/>
          <w:sz w:val="24"/>
          <w:szCs w:val="24"/>
          <w:lang w:val="en-GB"/>
        </w:rPr>
        <w:t xml:space="preserve"> on whether it is a member of a group of civilized nations or belongs to the unruly periphery. To illustrate the point: some authorities espouse the view that in determining whether a host state has fulfilled its due diligence obligation, its measures should be tested against the conduct of a modern, reasonably organized government under similar circumstances. The benchmark, in the words of the </w:t>
      </w:r>
      <w:r w:rsidRPr="003B0E6F">
        <w:rPr>
          <w:rFonts w:ascii="Times New Roman" w:hAnsi="Times New Roman" w:cs="Times New Roman"/>
          <w:i/>
          <w:iCs/>
          <w:sz w:val="24"/>
          <w:szCs w:val="24"/>
          <w:lang w:val="en-GB"/>
        </w:rPr>
        <w:t>AAPL</w:t>
      </w:r>
      <w:r w:rsidRPr="003B0E6F">
        <w:rPr>
          <w:rFonts w:ascii="Times New Roman" w:hAnsi="Times New Roman" w:cs="Times New Roman"/>
          <w:sz w:val="24"/>
          <w:szCs w:val="24"/>
          <w:lang w:val="en-GB"/>
        </w:rPr>
        <w:t xml:space="preserve"> tribunal, is what a “well-administrated government” could do in like circumstances. All states, regardless of their individual circumstances, </w:t>
      </w:r>
      <w:r w:rsidR="003E3D1D" w:rsidRPr="003B0E6F">
        <w:rPr>
          <w:rFonts w:ascii="Times New Roman" w:hAnsi="Times New Roman" w:cs="Times New Roman"/>
          <w:sz w:val="24"/>
          <w:szCs w:val="24"/>
          <w:lang w:val="en-GB"/>
        </w:rPr>
        <w:t>must</w:t>
      </w:r>
      <w:r w:rsidRPr="003B0E6F">
        <w:rPr>
          <w:rFonts w:ascii="Times New Roman" w:hAnsi="Times New Roman" w:cs="Times New Roman"/>
          <w:sz w:val="24"/>
          <w:szCs w:val="24"/>
          <w:lang w:val="en-GB"/>
        </w:rPr>
        <w:t xml:space="preserve"> adhere to this arguably objective benchma</w:t>
      </w:r>
      <w:r w:rsidR="003E3D1D" w:rsidRPr="003B0E6F">
        <w:rPr>
          <w:rFonts w:ascii="Times New Roman" w:hAnsi="Times New Roman" w:cs="Times New Roman"/>
          <w:sz w:val="24"/>
          <w:szCs w:val="24"/>
          <w:lang w:val="en-GB"/>
        </w:rPr>
        <w:t>rk.</w:t>
      </w:r>
      <w:r w:rsidRPr="003B0E6F">
        <w:rPr>
          <w:rStyle w:val="FootnoteReference"/>
          <w:rFonts w:ascii="Times New Roman" w:hAnsi="Times New Roman" w:cs="Times New Roman"/>
        </w:rPr>
        <w:footnoteReference w:id="32"/>
      </w:r>
      <w:r w:rsidRPr="003B0E6F">
        <w:rPr>
          <w:rFonts w:ascii="Times New Roman" w:hAnsi="Times New Roman" w:cs="Times New Roman"/>
          <w:sz w:val="24"/>
          <w:szCs w:val="24"/>
          <w:lang w:val="en-GB"/>
        </w:rPr>
        <w:t xml:space="preserve"> </w:t>
      </w:r>
    </w:p>
    <w:p w14:paraId="7C7CDAF6" w14:textId="1C5414DA"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The modified version of this objective standard</w:t>
      </w:r>
      <w:r w:rsidR="008B335B" w:rsidRPr="003B0E6F">
        <w:rPr>
          <w:rFonts w:ascii="Times New Roman" w:hAnsi="Times New Roman" w:cs="Times New Roman"/>
          <w:sz w:val="24"/>
          <w:szCs w:val="24"/>
          <w:lang w:val="en-GB"/>
        </w:rPr>
        <w:t xml:space="preserve">, as endorsed in the number of investment arbitration cases reflecting a shift towards what </w:t>
      </w:r>
      <w:proofErr w:type="spellStart"/>
      <w:r w:rsidR="008B335B" w:rsidRPr="003B0E6F">
        <w:rPr>
          <w:rFonts w:ascii="Times New Roman" w:hAnsi="Times New Roman" w:cs="Times New Roman"/>
          <w:sz w:val="24"/>
          <w:szCs w:val="24"/>
          <w:lang w:val="en-GB"/>
        </w:rPr>
        <w:t>Zrilic</w:t>
      </w:r>
      <w:proofErr w:type="spellEnd"/>
      <w:r w:rsidR="008B335B" w:rsidRPr="003B0E6F">
        <w:rPr>
          <w:rFonts w:ascii="Times New Roman" w:hAnsi="Times New Roman" w:cs="Times New Roman"/>
          <w:sz w:val="24"/>
          <w:szCs w:val="24"/>
          <w:lang w:val="en-GB"/>
        </w:rPr>
        <w:t xml:space="preserve"> describes as a more tempered approach,</w:t>
      </w:r>
      <w:r w:rsidRPr="003B0E6F">
        <w:rPr>
          <w:rFonts w:ascii="Times New Roman" w:hAnsi="Times New Roman" w:cs="Times New Roman"/>
          <w:sz w:val="24"/>
          <w:szCs w:val="24"/>
          <w:lang w:val="en-GB"/>
        </w:rPr>
        <w:t xml:space="preserve"> still requires the host state to exercise an objective minimum standard of due diligence,</w:t>
      </w:r>
      <w:r w:rsidR="008B335B" w:rsidRPr="003B0E6F">
        <w:rPr>
          <w:rStyle w:val="FootnoteReference"/>
          <w:rFonts w:ascii="Times New Roman" w:hAnsi="Times New Roman" w:cs="Times New Roman"/>
        </w:rPr>
        <w:footnoteReference w:id="33"/>
      </w:r>
      <w:r w:rsidRPr="003B0E6F">
        <w:rPr>
          <w:rFonts w:ascii="Times New Roman" w:hAnsi="Times New Roman" w:cs="Times New Roman"/>
          <w:sz w:val="24"/>
          <w:szCs w:val="24"/>
          <w:lang w:val="en-GB"/>
        </w:rPr>
        <w:t xml:space="preserve"> but subject to a concession that the state’s conduct is assessed against what could reasonably be expected of the state in the given circumstances and in the light of its resources.</w:t>
      </w:r>
      <w:r w:rsidRPr="003B0E6F">
        <w:rPr>
          <w:rStyle w:val="FootnoteReference"/>
          <w:rFonts w:ascii="Times New Roman" w:hAnsi="Times New Roman" w:cs="Times New Roman"/>
        </w:rPr>
        <w:footnoteReference w:id="34"/>
      </w:r>
      <w:r w:rsidRPr="003B0E6F">
        <w:rPr>
          <w:rFonts w:ascii="Times New Roman" w:hAnsi="Times New Roman" w:cs="Times New Roman"/>
          <w:sz w:val="24"/>
          <w:szCs w:val="24"/>
          <w:lang w:val="en-GB"/>
        </w:rPr>
        <w:t xml:space="preserve"> </w:t>
      </w:r>
      <w:proofErr w:type="spellStart"/>
      <w:r w:rsidRPr="003B0E6F">
        <w:rPr>
          <w:rFonts w:ascii="Times New Roman" w:hAnsi="Times New Roman" w:cs="Times New Roman"/>
          <w:sz w:val="24"/>
          <w:szCs w:val="24"/>
          <w:lang w:val="en-GB"/>
        </w:rPr>
        <w:t>Zrilic</w:t>
      </w:r>
      <w:proofErr w:type="spellEnd"/>
      <w:r w:rsidRPr="003B0E6F">
        <w:rPr>
          <w:rFonts w:ascii="Times New Roman" w:hAnsi="Times New Roman" w:cs="Times New Roman"/>
          <w:sz w:val="24"/>
          <w:szCs w:val="24"/>
          <w:lang w:val="en-GB"/>
        </w:rPr>
        <w:t xml:space="preserve"> points to the award in </w:t>
      </w:r>
      <w:proofErr w:type="spellStart"/>
      <w:r w:rsidRPr="003B0E6F">
        <w:rPr>
          <w:rFonts w:ascii="Times New Roman" w:hAnsi="Times New Roman" w:cs="Times New Roman"/>
          <w:i/>
          <w:iCs/>
          <w:sz w:val="24"/>
          <w:szCs w:val="24"/>
          <w:lang w:val="en-GB"/>
        </w:rPr>
        <w:t>Pantechniki</w:t>
      </w:r>
      <w:proofErr w:type="spellEnd"/>
      <w:r w:rsidRPr="003B0E6F">
        <w:rPr>
          <w:rFonts w:ascii="Times New Roman" w:hAnsi="Times New Roman" w:cs="Times New Roman"/>
          <w:i/>
          <w:iCs/>
          <w:sz w:val="24"/>
          <w:szCs w:val="24"/>
          <w:lang w:val="en-GB"/>
        </w:rPr>
        <w:t xml:space="preserve"> v Albania</w:t>
      </w:r>
      <w:r w:rsidRPr="003B0E6F">
        <w:rPr>
          <w:rFonts w:ascii="Times New Roman" w:hAnsi="Times New Roman" w:cs="Times New Roman"/>
          <w:sz w:val="24"/>
          <w:szCs w:val="24"/>
          <w:lang w:val="en-GB"/>
        </w:rPr>
        <w:t>, where the arbitrator stressed the importance of accounting for local conditions: ‘A failure of protection and security is …likely to arise in an unpredictable instance of civic disorder which could have been readily controlled by a powerful state but which overwhelms the limited capacities of one which is poor and fragile….it seems difficult to maintain that a government incurs international responsibility for failure to plan for unprecedented trouble or unprecedented magnitude in unprecedented places.’</w:t>
      </w:r>
      <w:r w:rsidRPr="003B0E6F">
        <w:rPr>
          <w:rStyle w:val="FootnoteReference"/>
          <w:rFonts w:ascii="Times New Roman" w:hAnsi="Times New Roman" w:cs="Times New Roman"/>
        </w:rPr>
        <w:footnoteReference w:id="35"/>
      </w:r>
      <w:r w:rsidRPr="003B0E6F">
        <w:rPr>
          <w:rFonts w:ascii="Times New Roman" w:hAnsi="Times New Roman" w:cs="Times New Roman"/>
          <w:sz w:val="24"/>
          <w:szCs w:val="24"/>
          <w:lang w:val="en-GB"/>
        </w:rPr>
        <w:t xml:space="preserve"> </w:t>
      </w:r>
    </w:p>
    <w:p w14:paraId="5CE90D9F" w14:textId="7CCE1488"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proofErr w:type="spellStart"/>
      <w:r w:rsidRPr="003B0E6F">
        <w:rPr>
          <w:rFonts w:ascii="Times New Roman" w:hAnsi="Times New Roman" w:cs="Times New Roman"/>
          <w:sz w:val="24"/>
          <w:szCs w:val="24"/>
          <w:lang w:val="en-GB"/>
        </w:rPr>
        <w:t>Ryk-Lakhman</w:t>
      </w:r>
      <w:proofErr w:type="spellEnd"/>
      <w:r w:rsidRPr="003B0E6F">
        <w:rPr>
          <w:rFonts w:ascii="Times New Roman" w:hAnsi="Times New Roman" w:cs="Times New Roman"/>
          <w:sz w:val="24"/>
          <w:szCs w:val="24"/>
          <w:lang w:val="en-GB"/>
        </w:rPr>
        <w:t xml:space="preserve"> endorses a broadly similar idea</w:t>
      </w:r>
      <w:r w:rsidR="008C1CD2" w:rsidRPr="003B0E6F">
        <w:rPr>
          <w:rFonts w:ascii="Times New Roman" w:hAnsi="Times New Roman" w:cs="Times New Roman"/>
          <w:sz w:val="24"/>
          <w:szCs w:val="24"/>
          <w:lang w:val="en-GB"/>
        </w:rPr>
        <w:t xml:space="preserve"> or a more tempered approach, this time</w:t>
      </w:r>
      <w:r w:rsidRPr="003B0E6F">
        <w:rPr>
          <w:rFonts w:ascii="Times New Roman" w:hAnsi="Times New Roman" w:cs="Times New Roman"/>
          <w:sz w:val="24"/>
          <w:szCs w:val="24"/>
          <w:lang w:val="en-GB"/>
        </w:rPr>
        <w:t xml:space="preserve"> by drawing parallels between the FPS and the customary international humanitarian law obligation to take precautionary measures against the effects of hostilities in her chapter in </w:t>
      </w:r>
      <w:r w:rsidR="0004778D" w:rsidRPr="003B0E6F">
        <w:rPr>
          <w:rFonts w:ascii="Times New Roman" w:hAnsi="Times New Roman" w:cs="Times New Roman"/>
          <w:sz w:val="24"/>
          <w:szCs w:val="24"/>
          <w:lang w:val="en-GB"/>
        </w:rPr>
        <w:t xml:space="preserve">the edited collection by Gomez </w:t>
      </w:r>
      <w:r w:rsidR="0004778D" w:rsidRPr="003B0E6F">
        <w:rPr>
          <w:rFonts w:ascii="Times New Roman" w:hAnsi="Times New Roman" w:cs="Times New Roman"/>
          <w:i/>
          <w:iCs/>
          <w:sz w:val="24"/>
          <w:szCs w:val="24"/>
          <w:lang w:val="en-GB"/>
        </w:rPr>
        <w:t>et al</w:t>
      </w:r>
      <w:r w:rsidRPr="003B0E6F">
        <w:rPr>
          <w:rFonts w:ascii="Times New Roman" w:hAnsi="Times New Roman" w:cs="Times New Roman"/>
          <w:sz w:val="24"/>
          <w:szCs w:val="24"/>
          <w:lang w:val="en-GB"/>
        </w:rPr>
        <w:t>.</w:t>
      </w:r>
      <w:r w:rsidRPr="003B0E6F">
        <w:rPr>
          <w:rStyle w:val="FootnoteReference"/>
          <w:rFonts w:ascii="Times New Roman" w:hAnsi="Times New Roman" w:cs="Times New Roman"/>
        </w:rPr>
        <w:footnoteReference w:id="36"/>
      </w:r>
      <w:r w:rsidRPr="003B0E6F">
        <w:rPr>
          <w:rFonts w:ascii="Times New Roman" w:hAnsi="Times New Roman" w:cs="Times New Roman"/>
          <w:sz w:val="24"/>
          <w:szCs w:val="24"/>
          <w:lang w:val="en-GB"/>
        </w:rPr>
        <w:t xml:space="preserve"> She supports the view that the assessment of a host state’s compliance with the FPS standard should turn on the particular circumstances of the host State, including its financial, technological, and human resources.</w:t>
      </w:r>
      <w:r w:rsidRPr="003B0E6F">
        <w:rPr>
          <w:rStyle w:val="FootnoteReference"/>
          <w:rFonts w:ascii="Times New Roman" w:hAnsi="Times New Roman" w:cs="Times New Roman"/>
        </w:rPr>
        <w:footnoteReference w:id="37"/>
      </w:r>
      <w:r w:rsidRPr="003B0E6F">
        <w:rPr>
          <w:rFonts w:ascii="Times New Roman" w:hAnsi="Times New Roman" w:cs="Times New Roman"/>
          <w:sz w:val="24"/>
          <w:szCs w:val="24"/>
          <w:lang w:val="en-GB"/>
        </w:rPr>
        <w:t xml:space="preserve"> At the other end of the spectrum are those who, like </w:t>
      </w:r>
      <w:proofErr w:type="spellStart"/>
      <w:r w:rsidRPr="003B0E6F">
        <w:rPr>
          <w:rFonts w:ascii="Times New Roman" w:hAnsi="Times New Roman" w:cs="Times New Roman"/>
          <w:sz w:val="24"/>
          <w:szCs w:val="24"/>
          <w:lang w:val="en-GB"/>
        </w:rPr>
        <w:t>Manciaux</w:t>
      </w:r>
      <w:proofErr w:type="spellEnd"/>
      <w:r w:rsidRPr="003B0E6F">
        <w:rPr>
          <w:rFonts w:ascii="Times New Roman" w:hAnsi="Times New Roman" w:cs="Times New Roman"/>
          <w:sz w:val="24"/>
          <w:szCs w:val="24"/>
          <w:lang w:val="en-GB"/>
        </w:rPr>
        <w:t xml:space="preserve"> in his contribution to the same volume, acknowledge that ‘not </w:t>
      </w:r>
      <w:r w:rsidRPr="003B0E6F">
        <w:rPr>
          <w:rFonts w:ascii="Times New Roman" w:hAnsi="Times New Roman" w:cs="Times New Roman"/>
          <w:sz w:val="24"/>
          <w:szCs w:val="24"/>
          <w:lang w:val="en-GB"/>
        </w:rPr>
        <w:lastRenderedPageBreak/>
        <w:t>all states are equal in terms of means at their disposal for complying with the due diligence commitment.’</w:t>
      </w:r>
      <w:r w:rsidR="008C1CD2" w:rsidRPr="003B0E6F">
        <w:rPr>
          <w:rStyle w:val="FootnoteReference"/>
          <w:rFonts w:ascii="Times New Roman" w:hAnsi="Times New Roman" w:cs="Times New Roman"/>
        </w:rPr>
        <w:footnoteReference w:id="38"/>
      </w:r>
      <w:r w:rsidRPr="003B0E6F">
        <w:rPr>
          <w:rFonts w:ascii="Times New Roman" w:hAnsi="Times New Roman" w:cs="Times New Roman"/>
          <w:sz w:val="24"/>
          <w:szCs w:val="24"/>
          <w:lang w:val="en-GB"/>
        </w:rPr>
        <w:t xml:space="preserve">Despite acknowledging the existence of inequality, these authors are unwilling to take it into account when determining the scope of state responsibility towards investors. ‘[I]t is certainly not desirable’, argues </w:t>
      </w:r>
      <w:proofErr w:type="spellStart"/>
      <w:r w:rsidRPr="003B0E6F">
        <w:rPr>
          <w:rFonts w:ascii="Times New Roman" w:hAnsi="Times New Roman" w:cs="Times New Roman"/>
          <w:sz w:val="24"/>
          <w:szCs w:val="24"/>
          <w:lang w:val="en-GB"/>
        </w:rPr>
        <w:t>Manciaux</w:t>
      </w:r>
      <w:proofErr w:type="spellEnd"/>
      <w:r w:rsidRPr="003B0E6F">
        <w:rPr>
          <w:rFonts w:ascii="Times New Roman" w:hAnsi="Times New Roman" w:cs="Times New Roman"/>
          <w:sz w:val="24"/>
          <w:szCs w:val="24"/>
          <w:lang w:val="en-GB"/>
        </w:rPr>
        <w:t>, ‘to allow less developed states to take advantage of their situation in order to escape from the commitments they took in this respect under international law.’</w:t>
      </w:r>
      <w:r w:rsidRPr="003B0E6F">
        <w:rPr>
          <w:rStyle w:val="FootnoteReference"/>
          <w:rFonts w:ascii="Times New Roman" w:hAnsi="Times New Roman" w:cs="Times New Roman"/>
        </w:rPr>
        <w:footnoteReference w:id="39"/>
      </w:r>
      <w:r w:rsidRPr="003B0E6F">
        <w:rPr>
          <w:rFonts w:ascii="Times New Roman" w:hAnsi="Times New Roman" w:cs="Times New Roman"/>
          <w:sz w:val="24"/>
          <w:szCs w:val="24"/>
          <w:lang w:val="en-GB"/>
        </w:rPr>
        <w:t xml:space="preserve"> </w:t>
      </w:r>
    </w:p>
    <w:p w14:paraId="0455F532" w14:textId="3912BBCC" w:rsidR="00434DDB" w:rsidRPr="003B0E6F" w:rsidRDefault="00000000" w:rsidP="003B0E6F">
      <w:pPr>
        <w:pStyle w:val="Text"/>
        <w:spacing w:line="360" w:lineRule="auto"/>
        <w:jc w:val="both"/>
        <w:rPr>
          <w:rFonts w:ascii="Times New Roman" w:hAnsi="Times New Roman" w:cs="Times New Roman"/>
          <w:sz w:val="24"/>
          <w:szCs w:val="24"/>
          <w:lang w:val="en-GB"/>
        </w:rPr>
      </w:pPr>
      <w:r w:rsidRPr="003B0E6F">
        <w:rPr>
          <w:rFonts w:ascii="Times New Roman" w:hAnsi="Times New Roman" w:cs="Times New Roman"/>
          <w:sz w:val="24"/>
          <w:szCs w:val="24"/>
          <w:lang w:val="en-GB"/>
        </w:rPr>
        <w:t>Irrespective of where one stands along this spectrum of views, the cost of due diligence can be sta</w:t>
      </w:r>
      <w:r w:rsidR="00E65D3F" w:rsidRPr="003B0E6F">
        <w:rPr>
          <w:rFonts w:ascii="Times New Roman" w:hAnsi="Times New Roman" w:cs="Times New Roman"/>
          <w:sz w:val="24"/>
          <w:szCs w:val="24"/>
          <w:lang w:val="en-GB"/>
        </w:rPr>
        <w:t xml:space="preserve">ggering. </w:t>
      </w:r>
      <w:proofErr w:type="spellStart"/>
      <w:r w:rsidRPr="003B0E6F">
        <w:rPr>
          <w:rFonts w:ascii="Times New Roman" w:hAnsi="Times New Roman" w:cs="Times New Roman"/>
          <w:sz w:val="24"/>
          <w:szCs w:val="24"/>
          <w:lang w:val="en-GB"/>
        </w:rPr>
        <w:t>Ryk-Lakham’s</w:t>
      </w:r>
      <w:proofErr w:type="spellEnd"/>
      <w:r w:rsidRPr="003B0E6F">
        <w:rPr>
          <w:rFonts w:ascii="Times New Roman" w:hAnsi="Times New Roman" w:cs="Times New Roman"/>
          <w:sz w:val="24"/>
          <w:szCs w:val="24"/>
          <w:lang w:val="en-GB"/>
        </w:rPr>
        <w:t xml:space="preserve"> chapter supplies a powerful example: in 2007, Afghanistan awarded a 30-year contract to extract copper at </w:t>
      </w:r>
      <w:proofErr w:type="spellStart"/>
      <w:r w:rsidRPr="003B0E6F">
        <w:rPr>
          <w:rFonts w:ascii="Times New Roman" w:hAnsi="Times New Roman" w:cs="Times New Roman"/>
          <w:sz w:val="24"/>
          <w:szCs w:val="24"/>
          <w:lang w:val="en-GB"/>
        </w:rPr>
        <w:t>Mes</w:t>
      </w:r>
      <w:proofErr w:type="spellEnd"/>
      <w:r w:rsidRPr="003B0E6F">
        <w:rPr>
          <w:rFonts w:ascii="Times New Roman" w:hAnsi="Times New Roman" w:cs="Times New Roman"/>
          <w:sz w:val="24"/>
          <w:szCs w:val="24"/>
          <w:lang w:val="en-GB"/>
        </w:rPr>
        <w:t xml:space="preserve"> </w:t>
      </w:r>
      <w:proofErr w:type="spellStart"/>
      <w:r w:rsidRPr="003B0E6F">
        <w:rPr>
          <w:rFonts w:ascii="Times New Roman" w:hAnsi="Times New Roman" w:cs="Times New Roman"/>
          <w:sz w:val="24"/>
          <w:szCs w:val="24"/>
          <w:lang w:val="en-GB"/>
        </w:rPr>
        <w:t>Aynak</w:t>
      </w:r>
      <w:proofErr w:type="spellEnd"/>
      <w:r w:rsidRPr="003B0E6F">
        <w:rPr>
          <w:rFonts w:ascii="Times New Roman" w:hAnsi="Times New Roman" w:cs="Times New Roman"/>
          <w:sz w:val="24"/>
          <w:szCs w:val="24"/>
          <w:lang w:val="en-GB"/>
        </w:rPr>
        <w:t xml:space="preserve"> to Metallurgical Corporation of China (MCC). Between 2008-2014, the copper mine investment was subjected to constant attacks by the Taliban, with the government of Afghanistan having to take costly measures to protect the MCC’s investment. Armed forces were deployed to guard the investment, workers supplied with armed vehicles, bunkers and shelters were built on site, all to the tune of over USD 210 million.</w:t>
      </w:r>
      <w:r w:rsidRPr="003B0E6F">
        <w:rPr>
          <w:rStyle w:val="FootnoteReference"/>
          <w:rFonts w:ascii="Times New Roman" w:hAnsi="Times New Roman" w:cs="Times New Roman"/>
        </w:rPr>
        <w:footnoteReference w:id="40"/>
      </w:r>
      <w:r w:rsidRPr="003B0E6F">
        <w:rPr>
          <w:rFonts w:ascii="Times New Roman" w:hAnsi="Times New Roman" w:cs="Times New Roman"/>
          <w:sz w:val="24"/>
          <w:szCs w:val="24"/>
          <w:lang w:val="en-GB"/>
        </w:rPr>
        <w:t xml:space="preserve"> These measures notwithstanding, the investment project incurred significant economic harm due to the attacks. </w:t>
      </w:r>
      <w:proofErr w:type="spellStart"/>
      <w:r w:rsidRPr="003B0E6F">
        <w:rPr>
          <w:rFonts w:ascii="Times New Roman" w:hAnsi="Times New Roman" w:cs="Times New Roman"/>
          <w:sz w:val="24"/>
          <w:szCs w:val="24"/>
          <w:lang w:val="en-GB"/>
        </w:rPr>
        <w:t>Ryk-Lakhman</w:t>
      </w:r>
      <w:proofErr w:type="spellEnd"/>
      <w:r w:rsidRPr="003B0E6F">
        <w:rPr>
          <w:rFonts w:ascii="Times New Roman" w:hAnsi="Times New Roman" w:cs="Times New Roman"/>
          <w:sz w:val="24"/>
          <w:szCs w:val="24"/>
          <w:lang w:val="en-GB"/>
        </w:rPr>
        <w:t xml:space="preserve"> argues that, with due regard given to the plight of Afghanistan, as one of the world’s poorest and conflict-ridden countries, the measures taken by the Afghan government to protect MCC’s operations met the standard of what is practicable in the prevailing circumstances under international humanitarian law, yet would likely fall short of the due diligence standard under the FPS provisions in investment treaty law.</w:t>
      </w:r>
      <w:r w:rsidRPr="003B0E6F">
        <w:rPr>
          <w:rStyle w:val="FootnoteReference"/>
          <w:rFonts w:ascii="Times New Roman" w:hAnsi="Times New Roman" w:cs="Times New Roman"/>
        </w:rPr>
        <w:footnoteReference w:id="41"/>
      </w:r>
      <w:r w:rsidRPr="003B0E6F">
        <w:rPr>
          <w:rFonts w:ascii="Times New Roman" w:hAnsi="Times New Roman" w:cs="Times New Roman"/>
          <w:sz w:val="24"/>
          <w:szCs w:val="24"/>
          <w:lang w:val="en-GB"/>
        </w:rPr>
        <w:t xml:space="preserve"> While foreign investors may indeed be frequent victims of conflict in developing states, they are also beneficiaries of the rules th</w:t>
      </w:r>
      <w:r w:rsidR="0004778D" w:rsidRPr="003B0E6F">
        <w:rPr>
          <w:rFonts w:ascii="Times New Roman" w:hAnsi="Times New Roman" w:cs="Times New Roman"/>
          <w:sz w:val="24"/>
          <w:szCs w:val="24"/>
          <w:lang w:val="en-GB"/>
        </w:rPr>
        <w:t>r</w:t>
      </w:r>
      <w:r w:rsidRPr="003B0E6F">
        <w:rPr>
          <w:rFonts w:ascii="Times New Roman" w:hAnsi="Times New Roman" w:cs="Times New Roman"/>
          <w:sz w:val="24"/>
          <w:szCs w:val="24"/>
          <w:lang w:val="en-GB"/>
        </w:rPr>
        <w:t>ough which international investment law hold such states to often unattainable standards.</w:t>
      </w:r>
    </w:p>
    <w:p w14:paraId="1E1AAF39" w14:textId="070CDC10" w:rsidR="00E84166" w:rsidRPr="003B0E6F" w:rsidRDefault="00000000" w:rsidP="003B0E6F">
      <w:pPr>
        <w:pStyle w:val="Text"/>
        <w:numPr>
          <w:ilvl w:val="0"/>
          <w:numId w:val="3"/>
        </w:numPr>
        <w:spacing w:line="360" w:lineRule="auto"/>
        <w:jc w:val="both"/>
        <w:rPr>
          <w:rFonts w:ascii="Times New Roman" w:eastAsia="Garamond" w:hAnsi="Times New Roman" w:cs="Times New Roman"/>
          <w:b/>
          <w:bCs/>
          <w:sz w:val="24"/>
          <w:szCs w:val="24"/>
          <w:lang w:val="en-GB"/>
        </w:rPr>
      </w:pPr>
      <w:r w:rsidRPr="003B0E6F">
        <w:rPr>
          <w:rFonts w:ascii="Times New Roman" w:hAnsi="Times New Roman" w:cs="Times New Roman"/>
          <w:b/>
          <w:bCs/>
          <w:sz w:val="24"/>
          <w:szCs w:val="24"/>
          <w:lang w:val="en-GB"/>
        </w:rPr>
        <w:t>Corporation as a victim of conflict: investors v aggressor host states</w:t>
      </w:r>
    </w:p>
    <w:p w14:paraId="00C0DE13" w14:textId="1AD28F1C"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One way in which the edited volume by Gomez </w:t>
      </w:r>
      <w:r w:rsidRPr="003B0E6F">
        <w:rPr>
          <w:rFonts w:ascii="Times New Roman" w:hAnsi="Times New Roman" w:cs="Times New Roman"/>
          <w:i/>
          <w:iCs/>
          <w:sz w:val="24"/>
          <w:szCs w:val="24"/>
          <w:lang w:val="en-GB"/>
        </w:rPr>
        <w:t xml:space="preserve">et al </w:t>
      </w:r>
      <w:r w:rsidRPr="003B0E6F">
        <w:rPr>
          <w:rFonts w:ascii="Times New Roman" w:hAnsi="Times New Roman" w:cs="Times New Roman"/>
          <w:sz w:val="24"/>
          <w:szCs w:val="24"/>
          <w:lang w:val="en-GB"/>
        </w:rPr>
        <w:t xml:space="preserve">makes a valuable contribution to the (largely doctrinal) literature on the subject is by casting light on the sites of recent conflicts and novel legal issues such conflicts have raised. Prominent among these accounts are those elucidating the legal issues concerning the status of foreign investment in areas under Russian control in the aftermath of the annexation of Crimea and in Eastern Ukraine. A number of </w:t>
      </w:r>
      <w:r w:rsidRPr="003B0E6F">
        <w:rPr>
          <w:rFonts w:ascii="Times New Roman" w:hAnsi="Times New Roman" w:cs="Times New Roman"/>
          <w:sz w:val="24"/>
          <w:szCs w:val="24"/>
          <w:lang w:val="en-GB"/>
        </w:rPr>
        <w:lastRenderedPageBreak/>
        <w:t xml:space="preserve">disputes have been initiated by investors claiming redress for the illegal use and expropriation of their investments. For instance, the dispute in </w:t>
      </w:r>
      <w:proofErr w:type="spellStart"/>
      <w:r w:rsidRPr="003B0E6F">
        <w:rPr>
          <w:rFonts w:ascii="Times New Roman" w:hAnsi="Times New Roman" w:cs="Times New Roman"/>
          <w:i/>
          <w:iCs/>
          <w:sz w:val="24"/>
          <w:szCs w:val="24"/>
          <w:lang w:val="en-GB"/>
        </w:rPr>
        <w:t>Belbek</w:t>
      </w:r>
      <w:proofErr w:type="spellEnd"/>
      <w:r w:rsidRPr="003B0E6F">
        <w:rPr>
          <w:rFonts w:ascii="Times New Roman" w:hAnsi="Times New Roman" w:cs="Times New Roman"/>
          <w:i/>
          <w:iCs/>
          <w:sz w:val="24"/>
          <w:szCs w:val="24"/>
          <w:lang w:val="en-GB"/>
        </w:rPr>
        <w:t xml:space="preserve"> v Russia </w:t>
      </w:r>
      <w:r w:rsidRPr="003B0E6F">
        <w:rPr>
          <w:rFonts w:ascii="Times New Roman" w:hAnsi="Times New Roman" w:cs="Times New Roman"/>
          <w:sz w:val="24"/>
          <w:szCs w:val="24"/>
          <w:lang w:val="en-GB"/>
        </w:rPr>
        <w:t xml:space="preserve">arose from the seizure of </w:t>
      </w:r>
      <w:proofErr w:type="spellStart"/>
      <w:r w:rsidRPr="003B0E6F">
        <w:rPr>
          <w:rFonts w:ascii="Times New Roman" w:hAnsi="Times New Roman" w:cs="Times New Roman"/>
          <w:sz w:val="24"/>
          <w:szCs w:val="24"/>
          <w:lang w:val="en-GB"/>
        </w:rPr>
        <w:t>Belbek</w:t>
      </w:r>
      <w:proofErr w:type="spellEnd"/>
      <w:r w:rsidRPr="003B0E6F">
        <w:rPr>
          <w:rFonts w:ascii="Times New Roman" w:hAnsi="Times New Roman" w:cs="Times New Roman"/>
          <w:sz w:val="24"/>
          <w:szCs w:val="24"/>
          <w:lang w:val="en-GB"/>
        </w:rPr>
        <w:t xml:space="preserve"> Airport by armed men, and a subsequently issued Russian decree confirming that the airport would be operated by pro-Russian authorities.</w:t>
      </w:r>
      <w:r w:rsidRPr="003B0E6F">
        <w:rPr>
          <w:rFonts w:ascii="Times New Roman" w:hAnsi="Times New Roman" w:cs="Times New Roman"/>
          <w:color w:val="0000FB"/>
          <w:sz w:val="24"/>
          <w:szCs w:val="24"/>
          <w:u w:color="0000FB"/>
          <w:lang w:val="en-GB"/>
        </w:rPr>
        <w:t xml:space="preserve">  </w:t>
      </w:r>
      <w:r w:rsidRPr="003B0E6F">
        <w:rPr>
          <w:rFonts w:ascii="Times New Roman" w:hAnsi="Times New Roman" w:cs="Times New Roman"/>
          <w:sz w:val="24"/>
          <w:szCs w:val="24"/>
          <w:lang w:val="en-GB"/>
        </w:rPr>
        <w:t xml:space="preserve">In </w:t>
      </w:r>
      <w:proofErr w:type="spellStart"/>
      <w:r w:rsidRPr="003B0E6F">
        <w:rPr>
          <w:rFonts w:ascii="Times New Roman" w:hAnsi="Times New Roman" w:cs="Times New Roman"/>
          <w:i/>
          <w:iCs/>
          <w:sz w:val="24"/>
          <w:szCs w:val="24"/>
          <w:lang w:val="en-GB"/>
        </w:rPr>
        <w:t>Naftogaz</w:t>
      </w:r>
      <w:proofErr w:type="spellEnd"/>
      <w:r w:rsidRPr="003B0E6F">
        <w:rPr>
          <w:rFonts w:ascii="Times New Roman" w:hAnsi="Times New Roman" w:cs="Times New Roman"/>
          <w:i/>
          <w:iCs/>
          <w:sz w:val="24"/>
          <w:szCs w:val="24"/>
          <w:lang w:val="en-GB"/>
        </w:rPr>
        <w:t xml:space="preserve"> and others v Russia</w:t>
      </w:r>
      <w:r w:rsidRPr="003B0E6F">
        <w:rPr>
          <w:rFonts w:ascii="Times New Roman" w:hAnsi="Times New Roman" w:cs="Times New Roman"/>
          <w:sz w:val="24"/>
          <w:szCs w:val="24"/>
          <w:lang w:val="en-GB"/>
        </w:rPr>
        <w:t>, the investors contended that Russia had undertaken a nationalization of the company’s assets in Crimea, ultimately transferring them to a Russian state-owned company.</w:t>
      </w:r>
      <w:r w:rsidRPr="003B0E6F">
        <w:rPr>
          <w:rStyle w:val="FootnoteReference"/>
          <w:rFonts w:ascii="Times New Roman" w:hAnsi="Times New Roman" w:cs="Times New Roman"/>
        </w:rPr>
        <w:footnoteReference w:id="42"/>
      </w:r>
      <w:r w:rsidRPr="003B0E6F">
        <w:rPr>
          <w:rFonts w:ascii="Times New Roman" w:hAnsi="Times New Roman" w:cs="Times New Roman"/>
          <w:sz w:val="24"/>
          <w:szCs w:val="24"/>
          <w:lang w:val="en-GB"/>
        </w:rPr>
        <w:t xml:space="preserve"> </w:t>
      </w:r>
    </w:p>
    <w:p w14:paraId="02143382" w14:textId="2915623C"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In these cases, foreign investors are as much the victims of illegal occupation as the host states that have lost control over their territory. Yet the protection of foreign investment in such circumstances raises important questions about the role international investment law plays in legitimizing occupation. Ackerman’s chapter highlights this tension. First, he explores the legal bases for the territorial application of the Russia-Ukraine BIT to disputes concerning foreign investment in Crimea. The key questions are: has Russia, through its annexation of Crimea, incurred responsibility for Ukrainian treaty obligations? Is Russia bound by its own treaty obligations by virtue of its control over Crimean territory? Can an investment tribunal exercise jurisdiction </w:t>
      </w:r>
      <w:proofErr w:type="spellStart"/>
      <w:r w:rsidRPr="003B0E6F">
        <w:rPr>
          <w:rFonts w:ascii="Times New Roman" w:hAnsi="Times New Roman" w:cs="Times New Roman"/>
          <w:i/>
          <w:iCs/>
          <w:sz w:val="24"/>
          <w:szCs w:val="24"/>
          <w:lang w:val="en-GB"/>
        </w:rPr>
        <w:t>ratione</w:t>
      </w:r>
      <w:proofErr w:type="spellEnd"/>
      <w:r w:rsidRPr="003B0E6F">
        <w:rPr>
          <w:rFonts w:ascii="Times New Roman" w:hAnsi="Times New Roman" w:cs="Times New Roman"/>
          <w:i/>
          <w:iCs/>
          <w:sz w:val="24"/>
          <w:szCs w:val="24"/>
          <w:lang w:val="en-GB"/>
        </w:rPr>
        <w:t xml:space="preserve"> loci </w:t>
      </w:r>
      <w:r w:rsidRPr="003B0E6F">
        <w:rPr>
          <w:rFonts w:ascii="Times New Roman" w:hAnsi="Times New Roman" w:cs="Times New Roman"/>
          <w:sz w:val="24"/>
          <w:szCs w:val="24"/>
          <w:lang w:val="en-GB"/>
        </w:rPr>
        <w:t>with regard to investments made in occupied territory—and importantly, what could be the broader overarching consequences of such exercise?</w:t>
      </w:r>
      <w:r w:rsidRPr="003B0E6F">
        <w:rPr>
          <w:rStyle w:val="FootnoteReference"/>
          <w:rFonts w:ascii="Times New Roman" w:hAnsi="Times New Roman" w:cs="Times New Roman"/>
        </w:rPr>
        <w:footnoteReference w:id="43"/>
      </w:r>
      <w:r w:rsidRPr="003B0E6F">
        <w:rPr>
          <w:rFonts w:ascii="Times New Roman" w:hAnsi="Times New Roman" w:cs="Times New Roman"/>
          <w:sz w:val="24"/>
          <w:szCs w:val="24"/>
          <w:lang w:val="en-GB"/>
        </w:rPr>
        <w:t xml:space="preserve"> </w:t>
      </w:r>
    </w:p>
    <w:p w14:paraId="5C08A2F8" w14:textId="346662BA"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Similar questions arise in relation to investments in Eastern Ukraine, in Donetsk and Lugansk, discussed by Rees-Evans in her chapter. Both authors concur that although Ukrainian investment treaties continue to form part of the laws in force in the occupied territory, the occupying state—Russia—is not directly bound by them. It is Russia’s own BITs that investors in Crimea have so far been able to draw on to bring their claims within the jurisdiction of arbitral tribunals. While the willingness of arbitral tribunals to accept de facto control by Russia over Crimea as a basis for exercising jurisdiction under the Russia-Ukraine BIT has served the interests of aggrieved investors, Ackerman sounds a note of caution against using the occupant’s own treaties to the occupied territory: albeit well-intentioned, such an interpretation of the territorial scope of investment treaties ‘threatens to normalise and thus prolong occupation or even contribute to the de facto legitimisation of illegal annexation.’</w:t>
      </w:r>
      <w:r w:rsidRPr="003B0E6F">
        <w:rPr>
          <w:rStyle w:val="FootnoteReference"/>
          <w:rFonts w:ascii="Times New Roman" w:hAnsi="Times New Roman" w:cs="Times New Roman"/>
        </w:rPr>
        <w:footnoteReference w:id="44"/>
      </w:r>
      <w:r w:rsidRPr="003B0E6F">
        <w:rPr>
          <w:rFonts w:ascii="Times New Roman" w:hAnsi="Times New Roman" w:cs="Times New Roman"/>
          <w:sz w:val="24"/>
          <w:szCs w:val="24"/>
          <w:lang w:val="en-GB"/>
        </w:rPr>
        <w:t xml:space="preserve"> The issue is of particular significance in the wake of Russia’s invasion of Ukraine: can international </w:t>
      </w:r>
      <w:r w:rsidRPr="003B0E6F">
        <w:rPr>
          <w:rFonts w:ascii="Times New Roman" w:hAnsi="Times New Roman" w:cs="Times New Roman"/>
          <w:sz w:val="24"/>
          <w:szCs w:val="24"/>
          <w:lang w:val="en-GB"/>
        </w:rPr>
        <w:lastRenderedPageBreak/>
        <w:t>investment law be complicit in legitimising illegal occupation in the name of protecting foreign commercial interests?</w:t>
      </w:r>
    </w:p>
    <w:p w14:paraId="5260F7E4" w14:textId="47503565" w:rsidR="00E84166" w:rsidRPr="003B0E6F" w:rsidRDefault="00000000" w:rsidP="003B0E6F">
      <w:pPr>
        <w:pStyle w:val="Text"/>
        <w:numPr>
          <w:ilvl w:val="0"/>
          <w:numId w:val="3"/>
        </w:numPr>
        <w:spacing w:line="360" w:lineRule="auto"/>
        <w:rPr>
          <w:rFonts w:ascii="Times New Roman" w:eastAsia="Garamond" w:hAnsi="Times New Roman" w:cs="Times New Roman"/>
          <w:b/>
          <w:bCs/>
          <w:sz w:val="24"/>
          <w:szCs w:val="24"/>
          <w:lang w:val="en-GB"/>
        </w:rPr>
      </w:pPr>
      <w:r w:rsidRPr="003B0E6F">
        <w:rPr>
          <w:rFonts w:ascii="Times New Roman" w:hAnsi="Times New Roman" w:cs="Times New Roman"/>
          <w:b/>
          <w:bCs/>
          <w:sz w:val="24"/>
          <w:szCs w:val="24"/>
          <w:lang w:val="en-GB"/>
        </w:rPr>
        <w:t>Corporation as a contributor to conflict: foreign investors and fuelling socio-economic discontent</w:t>
      </w:r>
    </w:p>
    <w:p w14:paraId="6D12D7B7" w14:textId="2F19EBAC"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The third category in </w:t>
      </w:r>
      <w:proofErr w:type="spellStart"/>
      <w:r w:rsidRPr="003B0E6F">
        <w:rPr>
          <w:rFonts w:ascii="Times New Roman" w:hAnsi="Times New Roman" w:cs="Times New Roman"/>
          <w:sz w:val="24"/>
          <w:szCs w:val="24"/>
          <w:lang w:val="en-GB"/>
        </w:rPr>
        <w:t>Zrilic’s</w:t>
      </w:r>
      <w:proofErr w:type="spellEnd"/>
      <w:r w:rsidRPr="003B0E6F">
        <w:rPr>
          <w:rFonts w:ascii="Times New Roman" w:hAnsi="Times New Roman" w:cs="Times New Roman"/>
          <w:sz w:val="24"/>
          <w:szCs w:val="24"/>
          <w:lang w:val="en-GB"/>
        </w:rPr>
        <w:t xml:space="preserve"> taxonomy of conflict is collective protests, including riots and violent demonstrations. This species of conflict comprises violent clashes involving a large group of people opposed to unpopular economic or social policies.</w:t>
      </w:r>
      <w:r w:rsidRPr="003B0E6F">
        <w:rPr>
          <w:rStyle w:val="FootnoteReference"/>
          <w:rFonts w:ascii="Times New Roman" w:hAnsi="Times New Roman" w:cs="Times New Roman"/>
        </w:rPr>
        <w:footnoteReference w:id="45"/>
      </w:r>
      <w:r w:rsidRPr="003B0E6F">
        <w:rPr>
          <w:rFonts w:ascii="Times New Roman" w:hAnsi="Times New Roman" w:cs="Times New Roman"/>
          <w:sz w:val="24"/>
          <w:szCs w:val="24"/>
          <w:lang w:val="en-GB"/>
        </w:rPr>
        <w:t xml:space="preserve"> A major question is who </w:t>
      </w:r>
      <w:r w:rsidR="00C1769F" w:rsidRPr="003B0E6F">
        <w:rPr>
          <w:rFonts w:ascii="Times New Roman" w:hAnsi="Times New Roman" w:cs="Times New Roman"/>
          <w:sz w:val="24"/>
          <w:szCs w:val="24"/>
          <w:lang w:val="en-GB"/>
        </w:rPr>
        <w:t>should be</w:t>
      </w:r>
      <w:r w:rsidRPr="003B0E6F">
        <w:rPr>
          <w:rFonts w:ascii="Times New Roman" w:hAnsi="Times New Roman" w:cs="Times New Roman"/>
          <w:sz w:val="24"/>
          <w:szCs w:val="24"/>
          <w:lang w:val="en-GB"/>
        </w:rPr>
        <w:t xml:space="preserve"> responsible for the loss occasioned during such events, especially since investment arbitration jurisprudence reveals that foreign investors are not always victims nor innocent bystanders and may on occasion be directly implicated in the origins or effects of disputed economic or social measures at the root of the unrest. For instance, in </w:t>
      </w:r>
      <w:r w:rsidRPr="003B0E6F">
        <w:rPr>
          <w:rFonts w:ascii="Times New Roman" w:hAnsi="Times New Roman" w:cs="Times New Roman"/>
          <w:i/>
          <w:iCs/>
          <w:sz w:val="24"/>
          <w:szCs w:val="24"/>
          <w:lang w:val="en-GB"/>
        </w:rPr>
        <w:t>Bear Creek v Peru</w:t>
      </w:r>
      <w:r w:rsidRPr="003B0E6F">
        <w:rPr>
          <w:rFonts w:ascii="Times New Roman" w:hAnsi="Times New Roman" w:cs="Times New Roman"/>
          <w:sz w:val="24"/>
          <w:szCs w:val="24"/>
          <w:lang w:val="en-GB"/>
        </w:rPr>
        <w:t xml:space="preserve">, the investor did not directly suffer from the effects of violence (the project had not started) but its conduct significantly contributed to the outbreak of protests and violent clashes. The dispute in </w:t>
      </w:r>
      <w:r w:rsidRPr="003B0E6F">
        <w:rPr>
          <w:rFonts w:ascii="Times New Roman" w:hAnsi="Times New Roman" w:cs="Times New Roman"/>
          <w:i/>
          <w:iCs/>
          <w:sz w:val="24"/>
          <w:szCs w:val="24"/>
          <w:lang w:val="en-GB"/>
        </w:rPr>
        <w:t>Bear Creek</w:t>
      </w:r>
      <w:r w:rsidRPr="003B0E6F">
        <w:rPr>
          <w:rFonts w:ascii="Times New Roman" w:hAnsi="Times New Roman" w:cs="Times New Roman"/>
          <w:sz w:val="24"/>
          <w:szCs w:val="24"/>
          <w:lang w:val="en-GB"/>
        </w:rPr>
        <w:t xml:space="preserve"> involved a Canadian investor’s mining license in Peru. From the outset, the investor’s projected mining operations engendered strong opposition among the local population.</w:t>
      </w:r>
      <w:r w:rsidRPr="003B0E6F">
        <w:rPr>
          <w:rStyle w:val="FootnoteReference"/>
          <w:rFonts w:ascii="Times New Roman" w:hAnsi="Times New Roman" w:cs="Times New Roman"/>
        </w:rPr>
        <w:footnoteReference w:id="46"/>
      </w:r>
      <w:r w:rsidRPr="003B0E6F">
        <w:rPr>
          <w:rFonts w:ascii="Times New Roman" w:hAnsi="Times New Roman" w:cs="Times New Roman"/>
          <w:sz w:val="24"/>
          <w:szCs w:val="24"/>
          <w:lang w:val="en-GB"/>
        </w:rPr>
        <w:t xml:space="preserve"> The project encompassed the lands traditionally occupied by the Aymara people, a group of interconnected indigenous communities.</w:t>
      </w:r>
      <w:r w:rsidRPr="003B0E6F">
        <w:rPr>
          <w:rStyle w:val="FootnoteReference"/>
          <w:rFonts w:ascii="Times New Roman" w:hAnsi="Times New Roman" w:cs="Times New Roman"/>
        </w:rPr>
        <w:footnoteReference w:id="47"/>
      </w:r>
      <w:r w:rsidRPr="003B0E6F">
        <w:rPr>
          <w:rFonts w:ascii="Times New Roman" w:hAnsi="Times New Roman" w:cs="Times New Roman"/>
          <w:sz w:val="24"/>
          <w:szCs w:val="24"/>
          <w:lang w:val="en-GB"/>
        </w:rPr>
        <w:t xml:space="preserve"> These communities expressed concerns over the project’s environmental impact on their lands. Significant concerns were voiced in relation to the economic benefits of the project nor were the investor’s promised social support commitments extended to all affected indigenous groups. While the investor was made aware of these grievances as early as 2008, by 2011 the members of the excluded communities manifested their opposition to the project by rejecting it at a public hearing, followed by a series of protests demanding the cancellation of the mining concessions.</w:t>
      </w:r>
      <w:r w:rsidRPr="003B0E6F">
        <w:rPr>
          <w:rStyle w:val="FootnoteReference"/>
          <w:rFonts w:ascii="Times New Roman" w:hAnsi="Times New Roman" w:cs="Times New Roman"/>
        </w:rPr>
        <w:footnoteReference w:id="48"/>
      </w:r>
      <w:r w:rsidRPr="003B0E6F">
        <w:rPr>
          <w:rFonts w:ascii="Times New Roman" w:hAnsi="Times New Roman" w:cs="Times New Roman"/>
          <w:sz w:val="24"/>
          <w:szCs w:val="24"/>
          <w:lang w:val="en-GB"/>
        </w:rPr>
        <w:t xml:space="preserve"> The protests subsequently escalated into the blockading of major roads and violent clashes with police, with the government of Peru having to bring in armed forces to contain the unrest.</w:t>
      </w:r>
      <w:r w:rsidRPr="003B0E6F">
        <w:rPr>
          <w:rStyle w:val="FootnoteReference"/>
          <w:rFonts w:ascii="Times New Roman" w:hAnsi="Times New Roman" w:cs="Times New Roman"/>
        </w:rPr>
        <w:footnoteReference w:id="49"/>
      </w:r>
      <w:r w:rsidRPr="003B0E6F">
        <w:rPr>
          <w:rFonts w:ascii="Times New Roman" w:hAnsi="Times New Roman" w:cs="Times New Roman"/>
          <w:sz w:val="24"/>
          <w:szCs w:val="24"/>
          <w:lang w:val="en-GB"/>
        </w:rPr>
        <w:t xml:space="preserve"> To resolve the situation, the Government announced a number of measures, including a decree revoking legal instruments constituting the basis of the investor’s mining rights.</w:t>
      </w:r>
      <w:r w:rsidRPr="003B0E6F">
        <w:rPr>
          <w:rStyle w:val="FootnoteReference"/>
          <w:rFonts w:ascii="Times New Roman" w:hAnsi="Times New Roman" w:cs="Times New Roman"/>
        </w:rPr>
        <w:footnoteReference w:id="50"/>
      </w:r>
      <w:r w:rsidRPr="003B0E6F">
        <w:rPr>
          <w:rFonts w:ascii="Times New Roman" w:hAnsi="Times New Roman" w:cs="Times New Roman"/>
          <w:sz w:val="24"/>
          <w:szCs w:val="24"/>
          <w:lang w:val="en-GB"/>
        </w:rPr>
        <w:t xml:space="preserve"> The investor disputed this </w:t>
      </w:r>
      <w:r w:rsidRPr="003B0E6F">
        <w:rPr>
          <w:rFonts w:ascii="Times New Roman" w:hAnsi="Times New Roman" w:cs="Times New Roman"/>
          <w:sz w:val="24"/>
          <w:szCs w:val="24"/>
          <w:lang w:val="en-GB"/>
        </w:rPr>
        <w:lastRenderedPageBreak/>
        <w:t xml:space="preserve">decision and was awarded damages for the actions , which the tribunal found to constitute an unlawful expropriation and a breach of fair and equitable treatment. </w:t>
      </w:r>
    </w:p>
    <w:p w14:paraId="06EA8B48" w14:textId="6B1D4B04"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Was the corporation in this case a victim of conflict or rather a perpetrator/contributor? The tribunal was split and the disagreement between the majority and the dissenting arbitrator is emblematic of a growing unease about how investment treaty law apportions responsibility in the aftermath of conflicts involving investors, aggrieved local communities and host states. Who should bear the economic costs of internal clashes prompted by a disagreement over the location, nature and socio-economic impacts of an investment project? The </w:t>
      </w:r>
      <w:r w:rsidRPr="003B0E6F">
        <w:rPr>
          <w:rFonts w:ascii="Times New Roman" w:hAnsi="Times New Roman" w:cs="Times New Roman"/>
          <w:i/>
          <w:iCs/>
          <w:sz w:val="24"/>
          <w:szCs w:val="24"/>
          <w:lang w:val="en-GB"/>
        </w:rPr>
        <w:t>Bear Creek</w:t>
      </w:r>
      <w:r w:rsidRPr="003B0E6F">
        <w:rPr>
          <w:rFonts w:ascii="Times New Roman" w:hAnsi="Times New Roman" w:cs="Times New Roman"/>
          <w:sz w:val="24"/>
          <w:szCs w:val="24"/>
          <w:lang w:val="en-GB"/>
        </w:rPr>
        <w:t xml:space="preserve"> majority expressly acknowledged that some local communities, including those likely to face the project’s negative effects on water and other natural resources, were not brought into the process and offered work or other forms of recompense.</w:t>
      </w:r>
      <w:r w:rsidRPr="003B0E6F">
        <w:rPr>
          <w:rStyle w:val="FootnoteReference"/>
          <w:rFonts w:ascii="Times New Roman" w:hAnsi="Times New Roman" w:cs="Times New Roman"/>
        </w:rPr>
        <w:footnoteReference w:id="51"/>
      </w:r>
      <w:r w:rsidRPr="003B0E6F">
        <w:rPr>
          <w:rFonts w:ascii="Times New Roman" w:hAnsi="Times New Roman" w:cs="Times New Roman"/>
          <w:sz w:val="24"/>
          <w:szCs w:val="24"/>
          <w:lang w:val="en-GB"/>
        </w:rPr>
        <w:t xml:space="preserve"> However, it denied the existence of a causal link between such failure on the part of the investor and the subsequent social unrest.</w:t>
      </w:r>
      <w:r w:rsidRPr="003B0E6F">
        <w:rPr>
          <w:rStyle w:val="FootnoteReference"/>
          <w:rFonts w:ascii="Times New Roman" w:hAnsi="Times New Roman" w:cs="Times New Roman"/>
        </w:rPr>
        <w:footnoteReference w:id="52"/>
      </w:r>
      <w:r w:rsidRPr="003B0E6F">
        <w:rPr>
          <w:rFonts w:ascii="Times New Roman" w:hAnsi="Times New Roman" w:cs="Times New Roman"/>
          <w:sz w:val="24"/>
          <w:szCs w:val="24"/>
          <w:lang w:val="en-GB"/>
        </w:rPr>
        <w:t xml:space="preserve"> By contrast, the dissenting arbitrator found the majority’s conclusion to be at odds with the totality of evidence heard by the panel as well as the majority’s earlier finding that the investor ‘did not do all it could have done to engage with all the affected communities’.</w:t>
      </w:r>
      <w:r w:rsidRPr="003B0E6F">
        <w:rPr>
          <w:rStyle w:val="FootnoteReference"/>
          <w:rFonts w:ascii="Times New Roman" w:hAnsi="Times New Roman" w:cs="Times New Roman"/>
        </w:rPr>
        <w:footnoteReference w:id="53"/>
      </w:r>
      <w:r w:rsidRPr="003B0E6F">
        <w:rPr>
          <w:rFonts w:ascii="Times New Roman" w:hAnsi="Times New Roman" w:cs="Times New Roman"/>
          <w:sz w:val="24"/>
          <w:szCs w:val="24"/>
          <w:lang w:val="en-GB"/>
        </w:rPr>
        <w:t xml:space="preserve"> In the view of the dissenting arbitrator, the investor’s contribution to the events culminating in the protests was significant and warranted the reduction of the amount of damages due.</w:t>
      </w:r>
      <w:r w:rsidRPr="003B0E6F">
        <w:rPr>
          <w:rStyle w:val="FootnoteReference"/>
          <w:rFonts w:ascii="Times New Roman" w:hAnsi="Times New Roman" w:cs="Times New Roman"/>
        </w:rPr>
        <w:footnoteReference w:id="54"/>
      </w:r>
      <w:r w:rsidRPr="003B0E6F">
        <w:rPr>
          <w:rFonts w:ascii="Times New Roman" w:hAnsi="Times New Roman" w:cs="Times New Roman"/>
          <w:sz w:val="24"/>
          <w:szCs w:val="24"/>
          <w:lang w:val="en-GB"/>
        </w:rPr>
        <w:t xml:space="preserve"> For the majority, the investor was a victim of the government’s failure to prevent the social unrest and of national laws that could have better implemented the ILO Convention principles concerning social license to operate. In the dissenting arbitrator’s opinion, the investor should have borne at least some responsibility for its contribution to the social unrest. </w:t>
      </w:r>
      <w:proofErr w:type="spellStart"/>
      <w:r w:rsidRPr="003B0E6F">
        <w:rPr>
          <w:rFonts w:ascii="Times New Roman" w:hAnsi="Times New Roman" w:cs="Times New Roman"/>
          <w:sz w:val="24"/>
          <w:szCs w:val="24"/>
          <w:lang w:val="en-GB"/>
        </w:rPr>
        <w:t>Merryl</w:t>
      </w:r>
      <w:proofErr w:type="spellEnd"/>
      <w:r w:rsidRPr="003B0E6F">
        <w:rPr>
          <w:rFonts w:ascii="Times New Roman" w:hAnsi="Times New Roman" w:cs="Times New Roman"/>
          <w:sz w:val="24"/>
          <w:szCs w:val="24"/>
          <w:lang w:val="en-GB"/>
        </w:rPr>
        <w:t xml:space="preserve"> Lawry-White’s</w:t>
      </w:r>
      <w:r w:rsidRPr="003B0E6F">
        <w:rPr>
          <w:rStyle w:val="FootnoteReference"/>
          <w:rFonts w:ascii="Times New Roman" w:hAnsi="Times New Roman" w:cs="Times New Roman"/>
        </w:rPr>
        <w:footnoteReference w:id="55"/>
      </w:r>
      <w:r w:rsidRPr="003B0E6F">
        <w:rPr>
          <w:rFonts w:ascii="Times New Roman" w:hAnsi="Times New Roman" w:cs="Times New Roman"/>
          <w:sz w:val="24"/>
          <w:szCs w:val="24"/>
          <w:lang w:val="en-GB"/>
        </w:rPr>
        <w:t xml:space="preserve"> chapter in the edited collection makes a brief reference to the principle of contributory fault—and a broader notion of responsible corporate conduct—as part of her analysis of the broader framework of binding and non-binding rules governing foreign investment. Despite her finding of ‘increasing emphasis on an expectation that corporations act as responsible “global citizens”’, </w:t>
      </w:r>
      <w:r w:rsidR="00C1769F" w:rsidRPr="003B0E6F">
        <w:rPr>
          <w:rFonts w:ascii="Times New Roman" w:hAnsi="Times New Roman" w:cs="Times New Roman"/>
          <w:sz w:val="24"/>
          <w:szCs w:val="24"/>
          <w:lang w:val="en-GB"/>
        </w:rPr>
        <w:t xml:space="preserve">cases such as </w:t>
      </w:r>
      <w:r w:rsidR="00C1769F" w:rsidRPr="003B0E6F">
        <w:rPr>
          <w:rFonts w:ascii="Times New Roman" w:hAnsi="Times New Roman" w:cs="Times New Roman"/>
          <w:i/>
          <w:iCs/>
          <w:sz w:val="24"/>
          <w:szCs w:val="24"/>
          <w:lang w:val="en-GB"/>
        </w:rPr>
        <w:t>Bear Creek</w:t>
      </w:r>
      <w:r w:rsidR="00C1769F" w:rsidRPr="003B0E6F">
        <w:rPr>
          <w:rFonts w:ascii="Times New Roman" w:hAnsi="Times New Roman" w:cs="Times New Roman"/>
          <w:sz w:val="24"/>
          <w:szCs w:val="24"/>
          <w:lang w:val="en-GB"/>
        </w:rPr>
        <w:t xml:space="preserve"> show</w:t>
      </w:r>
      <w:r w:rsidRPr="003B0E6F">
        <w:rPr>
          <w:rFonts w:ascii="Times New Roman" w:hAnsi="Times New Roman" w:cs="Times New Roman"/>
          <w:sz w:val="24"/>
          <w:szCs w:val="24"/>
          <w:lang w:val="en-GB"/>
        </w:rPr>
        <w:t xml:space="preserve"> that investment treaties still lack concrete mechanism</w:t>
      </w:r>
      <w:r w:rsidR="003B0E6F">
        <w:rPr>
          <w:rFonts w:ascii="Times New Roman" w:hAnsi="Times New Roman" w:cs="Times New Roman"/>
          <w:sz w:val="24"/>
          <w:szCs w:val="24"/>
          <w:lang w:val="en-GB"/>
        </w:rPr>
        <w:t>s</w:t>
      </w:r>
      <w:r w:rsidRPr="003B0E6F">
        <w:rPr>
          <w:rFonts w:ascii="Times New Roman" w:hAnsi="Times New Roman" w:cs="Times New Roman"/>
          <w:sz w:val="24"/>
          <w:szCs w:val="24"/>
          <w:lang w:val="en-GB"/>
        </w:rPr>
        <w:t xml:space="preserve"> to hold corporations to their promises, and that it is the host states rather than </w:t>
      </w:r>
      <w:r w:rsidRPr="003B0E6F">
        <w:rPr>
          <w:rFonts w:ascii="Times New Roman" w:hAnsi="Times New Roman" w:cs="Times New Roman"/>
          <w:sz w:val="24"/>
          <w:szCs w:val="24"/>
          <w:lang w:val="en-GB"/>
        </w:rPr>
        <w:lastRenderedPageBreak/>
        <w:t>investors that are expected ‘to facilitate a culture of and commitment to human rights, environmental and labour norms.’</w:t>
      </w:r>
      <w:r w:rsidRPr="003B0E6F">
        <w:rPr>
          <w:rStyle w:val="FootnoteReference"/>
          <w:rFonts w:ascii="Times New Roman" w:hAnsi="Times New Roman" w:cs="Times New Roman"/>
        </w:rPr>
        <w:footnoteReference w:id="56"/>
      </w:r>
    </w:p>
    <w:p w14:paraId="6EEE101C" w14:textId="43C69A85" w:rsidR="00E84166" w:rsidRPr="003B0E6F" w:rsidRDefault="00000000" w:rsidP="003B0E6F">
      <w:pPr>
        <w:pStyle w:val="Text"/>
        <w:numPr>
          <w:ilvl w:val="0"/>
          <w:numId w:val="3"/>
        </w:numPr>
        <w:spacing w:line="360" w:lineRule="auto"/>
        <w:jc w:val="both"/>
        <w:rPr>
          <w:rFonts w:ascii="Times New Roman" w:eastAsia="Garamond" w:hAnsi="Times New Roman" w:cs="Times New Roman"/>
          <w:b/>
          <w:bCs/>
          <w:sz w:val="24"/>
          <w:szCs w:val="24"/>
          <w:lang w:val="en-GB"/>
        </w:rPr>
      </w:pPr>
      <w:r w:rsidRPr="003B0E6F">
        <w:rPr>
          <w:rFonts w:ascii="Times New Roman" w:hAnsi="Times New Roman" w:cs="Times New Roman"/>
          <w:b/>
          <w:bCs/>
          <w:sz w:val="24"/>
          <w:szCs w:val="24"/>
          <w:lang w:val="en-GB"/>
        </w:rPr>
        <w:t xml:space="preserve">Corporation as a beneficiary of conflict </w:t>
      </w:r>
    </w:p>
    <w:p w14:paraId="3DED02E6" w14:textId="60AA5523"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In </w:t>
      </w:r>
      <w:proofErr w:type="spellStart"/>
      <w:r w:rsidRPr="003B0E6F">
        <w:rPr>
          <w:rFonts w:ascii="Times New Roman" w:hAnsi="Times New Roman" w:cs="Times New Roman"/>
          <w:sz w:val="24"/>
          <w:szCs w:val="24"/>
          <w:lang w:val="en-GB"/>
        </w:rPr>
        <w:t>Davitti’s</w:t>
      </w:r>
      <w:proofErr w:type="spellEnd"/>
      <w:r w:rsidRPr="003B0E6F">
        <w:rPr>
          <w:rFonts w:ascii="Times New Roman" w:hAnsi="Times New Roman" w:cs="Times New Roman"/>
          <w:sz w:val="24"/>
          <w:szCs w:val="24"/>
          <w:lang w:val="en-GB"/>
        </w:rPr>
        <w:t xml:space="preserve"> analysis of international investment law and its intersection with international human rights law (IHRL), the corporation is not only an occasional perpetrator of socio-economic in justices that fuel internal conflict but also a beneficiary of conflict, and international investment law is an enabler thereof. </w:t>
      </w:r>
      <w:proofErr w:type="spellStart"/>
      <w:r w:rsidRPr="003B0E6F">
        <w:rPr>
          <w:rFonts w:ascii="Times New Roman" w:hAnsi="Times New Roman" w:cs="Times New Roman"/>
          <w:sz w:val="24"/>
          <w:szCs w:val="24"/>
          <w:lang w:val="en-GB"/>
        </w:rPr>
        <w:t>Davitti</w:t>
      </w:r>
      <w:proofErr w:type="spellEnd"/>
      <w:r w:rsidRPr="003B0E6F">
        <w:rPr>
          <w:rFonts w:ascii="Times New Roman" w:hAnsi="Times New Roman" w:cs="Times New Roman"/>
          <w:sz w:val="24"/>
          <w:szCs w:val="24"/>
          <w:lang w:val="en-GB"/>
        </w:rPr>
        <w:t xml:space="preserve"> acknowledges that corporations are often attributed the powers of transforming armed conflict and building peace through their economic activities and corporate social responsibility.</w:t>
      </w:r>
      <w:r w:rsidRPr="003B0E6F">
        <w:rPr>
          <w:rStyle w:val="FootnoteReference"/>
          <w:rFonts w:ascii="Times New Roman" w:hAnsi="Times New Roman" w:cs="Times New Roman"/>
        </w:rPr>
        <w:footnoteReference w:id="57"/>
      </w:r>
      <w:r w:rsidRPr="003B0E6F">
        <w:rPr>
          <w:rFonts w:ascii="Times New Roman" w:hAnsi="Times New Roman" w:cs="Times New Roman"/>
          <w:sz w:val="24"/>
          <w:szCs w:val="24"/>
          <w:lang w:val="en-GB"/>
        </w:rPr>
        <w:t xml:space="preserve"> Yet corporations can also be potential ‘spoilers of peace’.</w:t>
      </w:r>
      <w:r w:rsidRPr="003B0E6F">
        <w:rPr>
          <w:rStyle w:val="FootnoteReference"/>
          <w:rFonts w:ascii="Times New Roman" w:hAnsi="Times New Roman" w:cs="Times New Roman"/>
        </w:rPr>
        <w:footnoteReference w:id="58"/>
      </w:r>
      <w:r w:rsidRPr="003B0E6F">
        <w:rPr>
          <w:rFonts w:ascii="Times New Roman" w:hAnsi="Times New Roman" w:cs="Times New Roman"/>
          <w:sz w:val="24"/>
          <w:szCs w:val="24"/>
          <w:lang w:val="en-GB"/>
        </w:rPr>
        <w:t xml:space="preserve"> In particular, foreign investors in the extractive sector can be seen as often fuelling armed conflict because they benefit from a weakened state capacity and/or willingness to protect the interests of its people. Such companies may end up participating in war economies which revolve around the exploitation of natural resources and create ‘new opportunities for the elites of competing factions to pursue their economic agenda.’</w:t>
      </w:r>
      <w:r w:rsidRPr="003B0E6F">
        <w:rPr>
          <w:rStyle w:val="FootnoteReference"/>
          <w:rFonts w:ascii="Times New Roman" w:hAnsi="Times New Roman" w:cs="Times New Roman"/>
        </w:rPr>
        <w:footnoteReference w:id="59"/>
      </w:r>
      <w:r w:rsidRPr="003B0E6F">
        <w:rPr>
          <w:rFonts w:ascii="Times New Roman" w:hAnsi="Times New Roman" w:cs="Times New Roman"/>
          <w:sz w:val="24"/>
          <w:szCs w:val="24"/>
          <w:lang w:val="en-GB"/>
        </w:rPr>
        <w:t xml:space="preserve"> </w:t>
      </w:r>
    </w:p>
    <w:p w14:paraId="48950DCB" w14:textId="2A768BF3"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Foreign investors may also be attracted by conflict because, despite the perils of instability, legal framework</w:t>
      </w:r>
      <w:r w:rsidR="0054666F" w:rsidRPr="003B0E6F">
        <w:rPr>
          <w:rFonts w:ascii="Times New Roman" w:hAnsi="Times New Roman" w:cs="Times New Roman"/>
          <w:sz w:val="24"/>
          <w:szCs w:val="24"/>
          <w:lang w:val="en-GB"/>
        </w:rPr>
        <w:t>s in conflict-ridden states</w:t>
      </w:r>
      <w:r w:rsidRPr="003B0E6F">
        <w:rPr>
          <w:rFonts w:ascii="Times New Roman" w:hAnsi="Times New Roman" w:cs="Times New Roman"/>
          <w:sz w:val="24"/>
          <w:szCs w:val="24"/>
          <w:lang w:val="en-GB"/>
        </w:rPr>
        <w:t xml:space="preserve"> </w:t>
      </w:r>
      <w:r w:rsidR="0054666F" w:rsidRPr="003B0E6F">
        <w:rPr>
          <w:rFonts w:ascii="Times New Roman" w:hAnsi="Times New Roman" w:cs="Times New Roman"/>
          <w:sz w:val="24"/>
          <w:szCs w:val="24"/>
          <w:lang w:val="en-GB"/>
        </w:rPr>
        <w:t>are frequently not</w:t>
      </w:r>
      <w:r w:rsidRPr="003B0E6F">
        <w:rPr>
          <w:rFonts w:ascii="Times New Roman" w:hAnsi="Times New Roman" w:cs="Times New Roman"/>
          <w:sz w:val="24"/>
          <w:szCs w:val="24"/>
          <w:lang w:val="en-GB"/>
        </w:rPr>
        <w:t xml:space="preserve"> sophisticated enough</w:t>
      </w:r>
      <w:r w:rsidR="00DD36A7" w:rsidRPr="003B0E6F">
        <w:rPr>
          <w:rFonts w:ascii="Times New Roman" w:hAnsi="Times New Roman" w:cs="Times New Roman"/>
          <w:sz w:val="24"/>
          <w:szCs w:val="24"/>
          <w:lang w:val="en-GB"/>
        </w:rPr>
        <w:t xml:space="preserve"> so</w:t>
      </w:r>
      <w:r w:rsidRPr="003B0E6F">
        <w:rPr>
          <w:rFonts w:ascii="Times New Roman" w:hAnsi="Times New Roman" w:cs="Times New Roman"/>
          <w:sz w:val="24"/>
          <w:szCs w:val="24"/>
          <w:lang w:val="en-GB"/>
        </w:rPr>
        <w:t xml:space="preserve"> as </w:t>
      </w:r>
      <w:r w:rsidR="00DD36A7" w:rsidRPr="003B0E6F">
        <w:rPr>
          <w:rFonts w:ascii="Times New Roman" w:hAnsi="Times New Roman" w:cs="Times New Roman"/>
          <w:sz w:val="24"/>
          <w:szCs w:val="24"/>
          <w:lang w:val="en-GB"/>
        </w:rPr>
        <w:t xml:space="preserve">to </w:t>
      </w:r>
      <w:r w:rsidRPr="003B0E6F">
        <w:rPr>
          <w:rFonts w:ascii="Times New Roman" w:hAnsi="Times New Roman" w:cs="Times New Roman"/>
          <w:sz w:val="24"/>
          <w:szCs w:val="24"/>
          <w:lang w:val="en-GB"/>
        </w:rPr>
        <w:t>subject</w:t>
      </w:r>
      <w:r w:rsidR="00DD36A7" w:rsidRPr="003B0E6F">
        <w:rPr>
          <w:rFonts w:ascii="Times New Roman" w:hAnsi="Times New Roman" w:cs="Times New Roman"/>
          <w:sz w:val="24"/>
          <w:szCs w:val="24"/>
          <w:lang w:val="en-GB"/>
        </w:rPr>
        <w:t xml:space="preserve"> the</w:t>
      </w:r>
      <w:r w:rsidRPr="003B0E6F">
        <w:rPr>
          <w:rFonts w:ascii="Times New Roman" w:hAnsi="Times New Roman" w:cs="Times New Roman"/>
          <w:sz w:val="24"/>
          <w:szCs w:val="24"/>
          <w:lang w:val="en-GB"/>
        </w:rPr>
        <w:t xml:space="preserve"> investor to stringent environmental protection and taxation.</w:t>
      </w:r>
      <w:r w:rsidRPr="003B0E6F">
        <w:rPr>
          <w:rStyle w:val="FootnoteReference"/>
          <w:rFonts w:ascii="Times New Roman" w:hAnsi="Times New Roman" w:cs="Times New Roman"/>
        </w:rPr>
        <w:footnoteReference w:id="60"/>
      </w:r>
      <w:r w:rsidRPr="003B0E6F">
        <w:rPr>
          <w:rFonts w:ascii="Times New Roman" w:hAnsi="Times New Roman" w:cs="Times New Roman"/>
          <w:sz w:val="24"/>
          <w:szCs w:val="24"/>
          <w:lang w:val="en-GB"/>
        </w:rPr>
        <w:t xml:space="preserve"> For instance, one of the most controversial foreign investment projects in recent times, </w:t>
      </w:r>
      <w:proofErr w:type="spellStart"/>
      <w:r w:rsidRPr="003B0E6F">
        <w:rPr>
          <w:rFonts w:ascii="Times New Roman" w:hAnsi="Times New Roman" w:cs="Times New Roman"/>
          <w:sz w:val="24"/>
          <w:szCs w:val="24"/>
          <w:lang w:val="en-GB"/>
        </w:rPr>
        <w:t>Mes</w:t>
      </w:r>
      <w:proofErr w:type="spellEnd"/>
      <w:r w:rsidRPr="003B0E6F">
        <w:rPr>
          <w:rFonts w:ascii="Times New Roman" w:hAnsi="Times New Roman" w:cs="Times New Roman"/>
          <w:sz w:val="24"/>
          <w:szCs w:val="24"/>
          <w:lang w:val="en-GB"/>
        </w:rPr>
        <w:t xml:space="preserve"> </w:t>
      </w:r>
      <w:proofErr w:type="spellStart"/>
      <w:r w:rsidRPr="003B0E6F">
        <w:rPr>
          <w:rFonts w:ascii="Times New Roman" w:hAnsi="Times New Roman" w:cs="Times New Roman"/>
          <w:sz w:val="24"/>
          <w:szCs w:val="24"/>
          <w:lang w:val="en-GB"/>
        </w:rPr>
        <w:t>Aynak</w:t>
      </w:r>
      <w:proofErr w:type="spellEnd"/>
      <w:r w:rsidRPr="003B0E6F">
        <w:rPr>
          <w:rFonts w:ascii="Times New Roman" w:hAnsi="Times New Roman" w:cs="Times New Roman"/>
          <w:sz w:val="24"/>
          <w:szCs w:val="24"/>
          <w:lang w:val="en-GB"/>
        </w:rPr>
        <w:t>, remained largely inaccessible to public scrutiny for years.</w:t>
      </w:r>
      <w:r w:rsidRPr="003B0E6F">
        <w:rPr>
          <w:rStyle w:val="FootnoteReference"/>
          <w:rFonts w:ascii="Times New Roman" w:hAnsi="Times New Roman" w:cs="Times New Roman"/>
        </w:rPr>
        <w:footnoteReference w:id="61"/>
      </w:r>
      <w:r w:rsidRPr="003B0E6F">
        <w:rPr>
          <w:rFonts w:ascii="Times New Roman" w:hAnsi="Times New Roman" w:cs="Times New Roman"/>
          <w:sz w:val="24"/>
          <w:szCs w:val="24"/>
          <w:lang w:val="en-GB"/>
        </w:rPr>
        <w:t xml:space="preserve"> No </w:t>
      </w:r>
      <w:r w:rsidRPr="003B0E6F">
        <w:rPr>
          <w:rFonts w:ascii="Times New Roman" w:hAnsi="Times New Roman" w:cs="Times New Roman"/>
          <w:i/>
          <w:iCs/>
          <w:sz w:val="24"/>
          <w:szCs w:val="24"/>
          <w:lang w:val="en-GB"/>
        </w:rPr>
        <w:t>ex ante</w:t>
      </w:r>
      <w:r w:rsidRPr="003B0E6F">
        <w:rPr>
          <w:rFonts w:ascii="Times New Roman" w:hAnsi="Times New Roman" w:cs="Times New Roman"/>
          <w:sz w:val="24"/>
          <w:szCs w:val="24"/>
          <w:lang w:val="en-GB"/>
        </w:rPr>
        <w:t xml:space="preserve"> environmental impact assessments and/or human rights impact assessments were undertaken to identify and address the negative impacts that copper extraction could have on the environment  and local communities.</w:t>
      </w:r>
      <w:r w:rsidRPr="003B0E6F">
        <w:rPr>
          <w:rStyle w:val="FootnoteReference"/>
          <w:rFonts w:ascii="Times New Roman" w:hAnsi="Times New Roman" w:cs="Times New Roman"/>
        </w:rPr>
        <w:footnoteReference w:id="62"/>
      </w:r>
      <w:r w:rsidRPr="003B0E6F">
        <w:rPr>
          <w:rFonts w:ascii="Times New Roman" w:hAnsi="Times New Roman" w:cs="Times New Roman"/>
          <w:sz w:val="24"/>
          <w:szCs w:val="24"/>
          <w:lang w:val="en-GB"/>
        </w:rPr>
        <w:t xml:space="preserve"> This is despite the fact that </w:t>
      </w:r>
      <w:proofErr w:type="spellStart"/>
      <w:r w:rsidRPr="003B0E6F">
        <w:rPr>
          <w:rFonts w:ascii="Times New Roman" w:hAnsi="Times New Roman" w:cs="Times New Roman"/>
          <w:sz w:val="24"/>
          <w:szCs w:val="24"/>
          <w:lang w:val="en-GB"/>
        </w:rPr>
        <w:t>Mes</w:t>
      </w:r>
      <w:proofErr w:type="spellEnd"/>
      <w:r w:rsidRPr="003B0E6F">
        <w:rPr>
          <w:rFonts w:ascii="Times New Roman" w:hAnsi="Times New Roman" w:cs="Times New Roman"/>
          <w:sz w:val="24"/>
          <w:szCs w:val="24"/>
          <w:lang w:val="en-GB"/>
        </w:rPr>
        <w:t xml:space="preserve"> </w:t>
      </w:r>
      <w:proofErr w:type="spellStart"/>
      <w:r w:rsidRPr="003B0E6F">
        <w:rPr>
          <w:rFonts w:ascii="Times New Roman" w:hAnsi="Times New Roman" w:cs="Times New Roman"/>
          <w:sz w:val="24"/>
          <w:szCs w:val="24"/>
          <w:lang w:val="en-GB"/>
        </w:rPr>
        <w:t>Aynak</w:t>
      </w:r>
      <w:proofErr w:type="spellEnd"/>
      <w:r w:rsidRPr="003B0E6F">
        <w:rPr>
          <w:rFonts w:ascii="Times New Roman" w:hAnsi="Times New Roman" w:cs="Times New Roman"/>
          <w:sz w:val="24"/>
          <w:szCs w:val="24"/>
          <w:lang w:val="en-GB"/>
        </w:rPr>
        <w:t xml:space="preserve"> deposit straddles the two main aquifers serving not only the Afghan capital Kabul and its over 3.5 million inhabitants but also the regions that stretch eastwards towards the border with Pakistan.</w:t>
      </w:r>
      <w:r w:rsidRPr="003B0E6F">
        <w:rPr>
          <w:rStyle w:val="FootnoteReference"/>
          <w:rFonts w:ascii="Times New Roman" w:hAnsi="Times New Roman" w:cs="Times New Roman"/>
        </w:rPr>
        <w:footnoteReference w:id="63"/>
      </w:r>
      <w:r w:rsidRPr="003B0E6F">
        <w:rPr>
          <w:rFonts w:ascii="Times New Roman" w:hAnsi="Times New Roman" w:cs="Times New Roman"/>
          <w:sz w:val="24"/>
          <w:szCs w:val="24"/>
          <w:lang w:val="en-GB"/>
        </w:rPr>
        <w:t xml:space="preserve"> </w:t>
      </w:r>
    </w:p>
    <w:p w14:paraId="193EEF3A" w14:textId="77777777"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lastRenderedPageBreak/>
        <w:t xml:space="preserve">To </w:t>
      </w:r>
      <w:proofErr w:type="spellStart"/>
      <w:r w:rsidRPr="003B0E6F">
        <w:rPr>
          <w:rFonts w:ascii="Times New Roman" w:hAnsi="Times New Roman" w:cs="Times New Roman"/>
          <w:sz w:val="24"/>
          <w:szCs w:val="24"/>
          <w:lang w:val="en-GB"/>
        </w:rPr>
        <w:t>Davitti</w:t>
      </w:r>
      <w:proofErr w:type="spellEnd"/>
      <w:r w:rsidRPr="003B0E6F">
        <w:rPr>
          <w:rFonts w:ascii="Times New Roman" w:hAnsi="Times New Roman" w:cs="Times New Roman"/>
          <w:sz w:val="24"/>
          <w:szCs w:val="24"/>
          <w:lang w:val="en-GB"/>
        </w:rPr>
        <w:t>, the characterisation of extractive companies as ‘pro-peace entrepreneurs’ or as predatory ‘conflict profiteers’ does not always reflect the practical situation on the ground. While admitting that extractive companies often play both positive and negative roles,</w:t>
      </w:r>
      <w:r w:rsidRPr="003B0E6F">
        <w:rPr>
          <w:rStyle w:val="FootnoteReference"/>
          <w:rFonts w:ascii="Times New Roman" w:hAnsi="Times New Roman" w:cs="Times New Roman"/>
        </w:rPr>
        <w:footnoteReference w:id="64"/>
      </w:r>
      <w:r w:rsidRPr="003B0E6F">
        <w:rPr>
          <w:rFonts w:ascii="Times New Roman" w:hAnsi="Times New Roman" w:cs="Times New Roman"/>
          <w:sz w:val="24"/>
          <w:szCs w:val="24"/>
          <w:lang w:val="en-GB"/>
        </w:rPr>
        <w:t xml:space="preserve"> </w:t>
      </w:r>
      <w:proofErr w:type="spellStart"/>
      <w:r w:rsidRPr="003B0E6F">
        <w:rPr>
          <w:rFonts w:ascii="Times New Roman" w:hAnsi="Times New Roman" w:cs="Times New Roman"/>
          <w:sz w:val="24"/>
          <w:szCs w:val="24"/>
          <w:lang w:val="en-GB"/>
        </w:rPr>
        <w:t>Davitti</w:t>
      </w:r>
      <w:proofErr w:type="spellEnd"/>
      <w:r w:rsidRPr="003B0E6F">
        <w:rPr>
          <w:rFonts w:ascii="Times New Roman" w:hAnsi="Times New Roman" w:cs="Times New Roman"/>
          <w:sz w:val="24"/>
          <w:szCs w:val="24"/>
          <w:lang w:val="en-GB"/>
        </w:rPr>
        <w:t xml:space="preserve"> questions the role of international law and international organisations in encouraging unbridled investment and supporting the relevant regulatory and market restructuring without paying due regard to the negative impacts large scale investment projects can have for already fragile and destabilised areas. Foreign investor-led projects in the extractive sector may lead to: further conflicts for access to and control over land and resources, causing displacement of local communities; irreversible contamination of freshwater sources; damage to human and animal health; and increased corruption and armed violence.</w:t>
      </w:r>
      <w:r w:rsidRPr="003B0E6F">
        <w:rPr>
          <w:rStyle w:val="FootnoteReference"/>
          <w:rFonts w:ascii="Times New Roman" w:hAnsi="Times New Roman" w:cs="Times New Roman"/>
        </w:rPr>
        <w:footnoteReference w:id="65"/>
      </w:r>
      <w:r w:rsidRPr="003B0E6F">
        <w:rPr>
          <w:rFonts w:ascii="Times New Roman" w:hAnsi="Times New Roman" w:cs="Times New Roman"/>
          <w:sz w:val="24"/>
          <w:szCs w:val="24"/>
          <w:lang w:val="en-GB"/>
        </w:rPr>
        <w:t xml:space="preserve"> </w:t>
      </w:r>
      <w:proofErr w:type="spellStart"/>
      <w:r w:rsidRPr="003B0E6F">
        <w:rPr>
          <w:rFonts w:ascii="Times New Roman" w:hAnsi="Times New Roman" w:cs="Times New Roman"/>
          <w:sz w:val="24"/>
          <w:szCs w:val="24"/>
          <w:lang w:val="en-GB"/>
        </w:rPr>
        <w:t>Davitti</w:t>
      </w:r>
      <w:proofErr w:type="spellEnd"/>
      <w:r w:rsidRPr="003B0E6F">
        <w:rPr>
          <w:rFonts w:ascii="Times New Roman" w:hAnsi="Times New Roman" w:cs="Times New Roman"/>
          <w:sz w:val="24"/>
          <w:szCs w:val="24"/>
          <w:lang w:val="en-GB"/>
        </w:rPr>
        <w:t xml:space="preserve"> seeks to highlight ‘the tension between, on the one hand, the need for a conflict country to ensure financial resources to stabilise and reconstruct its systems and infrastructures and, on the other hand, the need to ensure that natural resources extraction does not further exacerbate the situation in which the civilian population finds itself in the midst of armed conflict.’</w:t>
      </w:r>
      <w:r w:rsidRPr="003B0E6F">
        <w:rPr>
          <w:rStyle w:val="FootnoteReference"/>
          <w:rFonts w:ascii="Times New Roman" w:hAnsi="Times New Roman" w:cs="Times New Roman"/>
        </w:rPr>
        <w:footnoteReference w:id="66"/>
      </w:r>
      <w:r w:rsidRPr="003B0E6F">
        <w:rPr>
          <w:rFonts w:ascii="Times New Roman" w:hAnsi="Times New Roman" w:cs="Times New Roman"/>
          <w:sz w:val="24"/>
          <w:szCs w:val="24"/>
          <w:lang w:val="en-GB"/>
        </w:rPr>
        <w:t xml:space="preserve"> International investment law, she argues, operates in a manner that does not resolve this tension but rather enables business practices that fuel conflict. </w:t>
      </w:r>
    </w:p>
    <w:p w14:paraId="1E6C4CAE" w14:textId="77777777"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Indeed, irrespective of where one stands in the spectrum of views ranging from a full condemnation or an unwavering support of the investment treaty regime, it is now widely acknowledged that investor responsibilities towards local communities have long been seen as an issue falling outside the scope of investment treaties and the jurisdiction of investment tribunals. Investment treaties grant protection to investors and investments regardless of what one may regard as their controversial origins, dubious aims and harmful effects. The built-in indifference of the investment treaty regime to the quality of investment projects, coupled with foreign investment being seen by poor and conflict-ridden countries as a panacea for aid shortages, leads to what </w:t>
      </w:r>
      <w:proofErr w:type="spellStart"/>
      <w:r w:rsidRPr="003B0E6F">
        <w:rPr>
          <w:rFonts w:ascii="Times New Roman" w:hAnsi="Times New Roman" w:cs="Times New Roman"/>
          <w:sz w:val="24"/>
          <w:szCs w:val="24"/>
          <w:lang w:val="en-GB"/>
        </w:rPr>
        <w:t>Davitti</w:t>
      </w:r>
      <w:proofErr w:type="spellEnd"/>
      <w:r w:rsidRPr="003B0E6F">
        <w:rPr>
          <w:rFonts w:ascii="Times New Roman" w:hAnsi="Times New Roman" w:cs="Times New Roman"/>
          <w:sz w:val="24"/>
          <w:szCs w:val="24"/>
          <w:lang w:val="en-GB"/>
        </w:rPr>
        <w:t xml:space="preserve"> describes as ‘the liberal management of vulnerability’ whereby ‘the conditions of local inhabitants become of secondary importance and their vulnerability, rather than being something that needs overcoming, becomes something that needs to be efficiently administered.’</w:t>
      </w:r>
      <w:r w:rsidRPr="003B0E6F">
        <w:rPr>
          <w:rStyle w:val="FootnoteReference"/>
          <w:rFonts w:ascii="Times New Roman" w:hAnsi="Times New Roman" w:cs="Times New Roman"/>
        </w:rPr>
        <w:footnoteReference w:id="67"/>
      </w:r>
      <w:r w:rsidRPr="003B0E6F">
        <w:rPr>
          <w:rFonts w:ascii="Times New Roman" w:hAnsi="Times New Roman" w:cs="Times New Roman"/>
          <w:sz w:val="24"/>
          <w:szCs w:val="24"/>
          <w:lang w:val="en-GB"/>
        </w:rPr>
        <w:t xml:space="preserve"> </w:t>
      </w:r>
    </w:p>
    <w:p w14:paraId="3BC66310" w14:textId="56AB54BF"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lastRenderedPageBreak/>
        <w:t xml:space="preserve">Foreign investors might also benefit from conflict in more direct and concrete ways. After all, </w:t>
      </w:r>
      <w:r w:rsidR="0054666F" w:rsidRPr="003B0E6F">
        <w:rPr>
          <w:rFonts w:ascii="Times New Roman" w:hAnsi="Times New Roman" w:cs="Times New Roman"/>
          <w:sz w:val="24"/>
          <w:szCs w:val="24"/>
          <w:lang w:val="en-GB"/>
        </w:rPr>
        <w:t xml:space="preserve">as </w:t>
      </w:r>
      <w:proofErr w:type="spellStart"/>
      <w:r w:rsidRPr="003B0E6F">
        <w:rPr>
          <w:rFonts w:ascii="Times New Roman" w:hAnsi="Times New Roman" w:cs="Times New Roman"/>
          <w:sz w:val="24"/>
          <w:szCs w:val="24"/>
          <w:lang w:val="en-GB"/>
        </w:rPr>
        <w:t>Gathii</w:t>
      </w:r>
      <w:proofErr w:type="spellEnd"/>
      <w:r w:rsidR="0054666F" w:rsidRPr="003B0E6F">
        <w:rPr>
          <w:rFonts w:ascii="Times New Roman" w:hAnsi="Times New Roman" w:cs="Times New Roman"/>
          <w:sz w:val="24"/>
          <w:szCs w:val="24"/>
          <w:lang w:val="en-GB"/>
        </w:rPr>
        <w:t xml:space="preserve"> reminds us,</w:t>
      </w:r>
      <w:r w:rsidRPr="003B0E6F">
        <w:rPr>
          <w:rFonts w:ascii="Times New Roman" w:hAnsi="Times New Roman" w:cs="Times New Roman"/>
          <w:sz w:val="24"/>
          <w:szCs w:val="24"/>
          <w:lang w:val="en-GB"/>
        </w:rPr>
        <w:t xml:space="preserve"> war is as much a business as the secretive trade in high-end resources.</w:t>
      </w:r>
      <w:r w:rsidR="0054666F" w:rsidRPr="003B0E6F">
        <w:rPr>
          <w:rStyle w:val="FootnoteReference"/>
          <w:rFonts w:ascii="Times New Roman" w:hAnsi="Times New Roman" w:cs="Times New Roman"/>
        </w:rPr>
        <w:footnoteReference w:id="68"/>
      </w:r>
      <w:r w:rsidRPr="003B0E6F">
        <w:rPr>
          <w:rFonts w:ascii="Times New Roman" w:hAnsi="Times New Roman" w:cs="Times New Roman"/>
          <w:sz w:val="24"/>
          <w:szCs w:val="24"/>
          <w:lang w:val="en-GB"/>
        </w:rPr>
        <w:t xml:space="preserve"> Just like the eighteenth-century charte</w:t>
      </w:r>
      <w:r w:rsidR="00944B8F" w:rsidRPr="003B0E6F">
        <w:rPr>
          <w:rFonts w:ascii="Times New Roman" w:hAnsi="Times New Roman" w:cs="Times New Roman"/>
          <w:sz w:val="24"/>
          <w:szCs w:val="24"/>
          <w:lang w:val="en-GB"/>
        </w:rPr>
        <w:t>re</w:t>
      </w:r>
      <w:r w:rsidRPr="003B0E6F">
        <w:rPr>
          <w:rFonts w:ascii="Times New Roman" w:hAnsi="Times New Roman" w:cs="Times New Roman"/>
          <w:sz w:val="24"/>
          <w:szCs w:val="24"/>
          <w:lang w:val="en-GB"/>
        </w:rPr>
        <w:t>d trading corporations waged wars to access resources and gain control over new territories, war and violence in the contemporary world have increasingly become commercialised. One example of this commercialisation of conflict is the outsourcing of several military-related functions in the conduct of recent inter-State wars by the military of developed states. These usually range from basic support functions, such as laundry services, catering, maintenance of military vehicles and aircrafts, to conducting combat.</w:t>
      </w:r>
      <w:r w:rsidRPr="003B0E6F">
        <w:rPr>
          <w:rStyle w:val="FootnoteReference"/>
          <w:rFonts w:ascii="Times New Roman" w:hAnsi="Times New Roman" w:cs="Times New Roman"/>
        </w:rPr>
        <w:footnoteReference w:id="69"/>
      </w:r>
      <w:r w:rsidRPr="003B0E6F">
        <w:rPr>
          <w:rFonts w:ascii="Times New Roman" w:hAnsi="Times New Roman" w:cs="Times New Roman"/>
          <w:sz w:val="24"/>
          <w:szCs w:val="24"/>
          <w:lang w:val="en-GB"/>
        </w:rPr>
        <w:t xml:space="preserve"> Another example of private business actor whose aim is to directly profit from conflict is a private military and security company. The consumers of this ‘private market for security provisioning and warriors’</w:t>
      </w:r>
      <w:r w:rsidRPr="003B0E6F">
        <w:rPr>
          <w:rStyle w:val="FootnoteReference"/>
          <w:rFonts w:ascii="Times New Roman" w:hAnsi="Times New Roman" w:cs="Times New Roman"/>
        </w:rPr>
        <w:footnoteReference w:id="70"/>
      </w:r>
      <w:r w:rsidRPr="003B0E6F">
        <w:rPr>
          <w:rFonts w:ascii="Times New Roman" w:hAnsi="Times New Roman" w:cs="Times New Roman"/>
          <w:sz w:val="24"/>
          <w:szCs w:val="24"/>
          <w:lang w:val="en-GB"/>
        </w:rPr>
        <w:t xml:space="preserve"> are large multinational corporations as well as non-governmental and intergovernmental organisations, especially those operating in conflict zones in developing countries.</w:t>
      </w:r>
      <w:r w:rsidRPr="003B0E6F">
        <w:rPr>
          <w:rFonts w:ascii="Times New Roman" w:hAnsi="Times New Roman" w:cs="Times New Roman"/>
          <w:sz w:val="24"/>
          <w:szCs w:val="24"/>
          <w:vertAlign w:val="superscript"/>
          <w:lang w:val="en-GB"/>
        </w:rPr>
        <w:t xml:space="preserve"> </w:t>
      </w:r>
      <w:r w:rsidRPr="003B0E6F">
        <w:rPr>
          <w:rStyle w:val="FootnoteReference"/>
          <w:rFonts w:ascii="Times New Roman" w:hAnsi="Times New Roman" w:cs="Times New Roman"/>
        </w:rPr>
        <w:footnoteReference w:id="71"/>
      </w:r>
      <w:r w:rsidRPr="003B0E6F">
        <w:rPr>
          <w:rFonts w:ascii="Times New Roman" w:hAnsi="Times New Roman" w:cs="Times New Roman"/>
          <w:sz w:val="24"/>
          <w:szCs w:val="24"/>
          <w:lang w:val="en-GB"/>
        </w:rPr>
        <w:t xml:space="preserve"> ‘Investors and states buy the services of paramilitary and other groups like they would buy other inputs to enable them to do what they do.’</w:t>
      </w:r>
      <w:r w:rsidRPr="003B0E6F">
        <w:rPr>
          <w:rStyle w:val="FootnoteReference"/>
          <w:rFonts w:ascii="Times New Roman" w:hAnsi="Times New Roman" w:cs="Times New Roman"/>
        </w:rPr>
        <w:footnoteReference w:id="72"/>
      </w:r>
      <w:r w:rsidRPr="003B0E6F">
        <w:rPr>
          <w:rFonts w:ascii="Times New Roman" w:hAnsi="Times New Roman" w:cs="Times New Roman"/>
          <w:b/>
          <w:bCs/>
          <w:sz w:val="24"/>
          <w:szCs w:val="24"/>
          <w:lang w:val="en-GB"/>
        </w:rPr>
        <w:t xml:space="preserve"> </w:t>
      </w:r>
      <w:r w:rsidR="00B17277" w:rsidRPr="003B0E6F">
        <w:rPr>
          <w:rFonts w:ascii="Times New Roman" w:hAnsi="Times New Roman" w:cs="Times New Roman"/>
          <w:sz w:val="24"/>
          <w:szCs w:val="24"/>
          <w:lang w:val="en-GB"/>
        </w:rPr>
        <w:t xml:space="preserve">Private military companies can be classified as investors in their own right as well as forming a crucial part of the infrastructure on which other investors, often large multinational corporations, rely when investing in conflict countries. </w:t>
      </w:r>
      <w:r w:rsidRPr="003B0E6F">
        <w:rPr>
          <w:rFonts w:ascii="Times New Roman" w:hAnsi="Times New Roman" w:cs="Times New Roman"/>
          <w:sz w:val="24"/>
          <w:szCs w:val="24"/>
          <w:lang w:val="en-GB"/>
        </w:rPr>
        <w:t xml:space="preserve">The recent rise in the use of private military and security companies </w:t>
      </w:r>
      <w:r w:rsidR="00B17277" w:rsidRPr="003B0E6F">
        <w:rPr>
          <w:rFonts w:ascii="Times New Roman" w:hAnsi="Times New Roman" w:cs="Times New Roman"/>
          <w:sz w:val="24"/>
          <w:szCs w:val="24"/>
          <w:lang w:val="en-GB"/>
        </w:rPr>
        <w:t xml:space="preserve">thus </w:t>
      </w:r>
      <w:r w:rsidRPr="003B0E6F">
        <w:rPr>
          <w:rFonts w:ascii="Times New Roman" w:hAnsi="Times New Roman" w:cs="Times New Roman"/>
          <w:sz w:val="24"/>
          <w:szCs w:val="24"/>
          <w:lang w:val="en-GB"/>
        </w:rPr>
        <w:t xml:space="preserve">reveals the multiple and shifting roles the corporation can play in times of conflict: from the consumer of military services to the supplier thereof. </w:t>
      </w:r>
      <w:r w:rsidR="00B17277" w:rsidRPr="003B0E6F">
        <w:rPr>
          <w:rFonts w:ascii="Times New Roman" w:hAnsi="Times New Roman" w:cs="Times New Roman"/>
          <w:sz w:val="24"/>
          <w:szCs w:val="24"/>
          <w:lang w:val="en-GB"/>
        </w:rPr>
        <w:t xml:space="preserve">Unsurprisingly, the lack of binding international rules and remedies to govern this dark corner of the market is perhaps reversely proportionate to the breadth and strength of protections afforded to private actors under international investment law. </w:t>
      </w:r>
      <w:r w:rsidRPr="003B0E6F">
        <w:rPr>
          <w:rFonts w:ascii="Times New Roman" w:hAnsi="Times New Roman" w:cs="Times New Roman"/>
          <w:sz w:val="24"/>
          <w:szCs w:val="24"/>
          <w:lang w:val="en-GB"/>
        </w:rPr>
        <w:t xml:space="preserve">As </w:t>
      </w:r>
      <w:proofErr w:type="spellStart"/>
      <w:r w:rsidRPr="003B0E6F">
        <w:rPr>
          <w:rFonts w:ascii="Times New Roman" w:hAnsi="Times New Roman" w:cs="Times New Roman"/>
          <w:sz w:val="24"/>
          <w:szCs w:val="24"/>
          <w:lang w:val="en-GB"/>
        </w:rPr>
        <w:t>Vanhonnaeker</w:t>
      </w:r>
      <w:proofErr w:type="spellEnd"/>
      <w:r w:rsidRPr="003B0E6F">
        <w:rPr>
          <w:rFonts w:ascii="Times New Roman" w:hAnsi="Times New Roman" w:cs="Times New Roman"/>
          <w:sz w:val="24"/>
          <w:szCs w:val="24"/>
          <w:lang w:val="en-GB"/>
        </w:rPr>
        <w:t xml:space="preserve"> notes in his chapter in the edited collection, the absence of a comprehensive international regulatory framework can lead to instances of human rights violations left unpunished without mechanisms to hold such companies accountable.</w:t>
      </w:r>
      <w:r w:rsidRPr="003B0E6F">
        <w:rPr>
          <w:rStyle w:val="FootnoteReference"/>
          <w:rFonts w:ascii="Times New Roman" w:hAnsi="Times New Roman" w:cs="Times New Roman"/>
        </w:rPr>
        <w:footnoteReference w:id="73"/>
      </w:r>
      <w:r w:rsidRPr="003B0E6F">
        <w:rPr>
          <w:rFonts w:ascii="Times New Roman" w:hAnsi="Times New Roman" w:cs="Times New Roman"/>
          <w:sz w:val="24"/>
          <w:szCs w:val="24"/>
          <w:lang w:val="en-GB"/>
        </w:rPr>
        <w:t xml:space="preserve"> </w:t>
      </w:r>
      <w:r w:rsidR="002A61AA" w:rsidRPr="003B0E6F">
        <w:rPr>
          <w:rFonts w:ascii="Times New Roman" w:hAnsi="Times New Roman" w:cs="Times New Roman"/>
          <w:sz w:val="24"/>
          <w:szCs w:val="24"/>
          <w:lang w:val="en-GB"/>
        </w:rPr>
        <w:t>When r</w:t>
      </w:r>
      <w:r w:rsidRPr="003B0E6F">
        <w:rPr>
          <w:rFonts w:ascii="Times New Roman" w:hAnsi="Times New Roman" w:cs="Times New Roman"/>
          <w:sz w:val="24"/>
          <w:szCs w:val="24"/>
          <w:lang w:val="en-GB"/>
        </w:rPr>
        <w:t xml:space="preserve">ead as a whole, the edited collection by Gomez </w:t>
      </w:r>
      <w:r w:rsidRPr="003B0E6F">
        <w:rPr>
          <w:rFonts w:ascii="Times New Roman" w:hAnsi="Times New Roman" w:cs="Times New Roman"/>
          <w:i/>
          <w:iCs/>
          <w:sz w:val="24"/>
          <w:szCs w:val="24"/>
          <w:lang w:val="en-GB"/>
        </w:rPr>
        <w:t>et al</w:t>
      </w:r>
      <w:r w:rsidRPr="003B0E6F">
        <w:rPr>
          <w:rFonts w:ascii="Times New Roman" w:hAnsi="Times New Roman" w:cs="Times New Roman"/>
          <w:sz w:val="24"/>
          <w:szCs w:val="24"/>
          <w:lang w:val="en-GB"/>
        </w:rPr>
        <w:t xml:space="preserve"> casts a startling light on the long-criticised asymmetry between the degree of protection investors </w:t>
      </w:r>
      <w:r w:rsidRPr="003B0E6F">
        <w:rPr>
          <w:rFonts w:ascii="Times New Roman" w:hAnsi="Times New Roman" w:cs="Times New Roman"/>
          <w:sz w:val="24"/>
          <w:szCs w:val="24"/>
          <w:lang w:val="en-GB"/>
        </w:rPr>
        <w:lastRenderedPageBreak/>
        <w:t>enjoy under international law in times of conflict and the lack of accountability for their actions contributing to conflict or benefiting thereof.</w:t>
      </w:r>
    </w:p>
    <w:p w14:paraId="44D32AF6" w14:textId="5F7F3F94" w:rsidR="00E84166" w:rsidRPr="003B0E6F" w:rsidRDefault="00000000" w:rsidP="003B0E6F">
      <w:pPr>
        <w:pStyle w:val="Text"/>
        <w:numPr>
          <w:ilvl w:val="0"/>
          <w:numId w:val="3"/>
        </w:numPr>
        <w:spacing w:line="360" w:lineRule="auto"/>
        <w:rPr>
          <w:rFonts w:ascii="Times New Roman" w:eastAsia="Garamond" w:hAnsi="Times New Roman" w:cs="Times New Roman"/>
          <w:b/>
          <w:bCs/>
          <w:sz w:val="24"/>
          <w:szCs w:val="24"/>
          <w:lang w:val="en-GB"/>
        </w:rPr>
      </w:pPr>
      <w:r w:rsidRPr="003B0E6F">
        <w:rPr>
          <w:rFonts w:ascii="Times New Roman" w:hAnsi="Times New Roman" w:cs="Times New Roman"/>
          <w:b/>
          <w:bCs/>
          <w:sz w:val="24"/>
          <w:szCs w:val="24"/>
          <w:lang w:val="en-GB"/>
        </w:rPr>
        <w:t>Corporation as a perpetrator and accomplice</w:t>
      </w:r>
    </w:p>
    <w:p w14:paraId="74240A83" w14:textId="7939165D"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The growing recourse to the services of private military and security companies –and other forms of commercialisation of violence—highlight the fact that corporations may at times find themselves straddling the boundary between profiting from conflict and perpetrating it. Historical examples are not limited to the chartered trading corporations of lore. Textbook cases for business and human rights scholars include Shell’s involvement in human rights atrocities in Nigeria and Unocal’s partnership with Burmese military regime to build the </w:t>
      </w:r>
      <w:proofErr w:type="spellStart"/>
      <w:r w:rsidRPr="003B0E6F">
        <w:rPr>
          <w:rFonts w:ascii="Times New Roman" w:hAnsi="Times New Roman" w:cs="Times New Roman"/>
          <w:sz w:val="24"/>
          <w:szCs w:val="24"/>
          <w:lang w:val="en-GB"/>
        </w:rPr>
        <w:t>Yadana</w:t>
      </w:r>
      <w:proofErr w:type="spellEnd"/>
      <w:r w:rsidRPr="003B0E6F">
        <w:rPr>
          <w:rFonts w:ascii="Times New Roman" w:hAnsi="Times New Roman" w:cs="Times New Roman"/>
          <w:sz w:val="24"/>
          <w:szCs w:val="24"/>
          <w:lang w:val="en-GB"/>
        </w:rPr>
        <w:t xml:space="preserve"> natural gas pipeline, resulting in mass instances of forced labour, displacement, torture and rape. More recently, in a case brought against the cement giant Lafarge, a French appeals court upheld charges of financing terrorism and endangering the lives of others during Syria’s civil war.</w:t>
      </w:r>
      <w:r w:rsidRPr="003B0E6F">
        <w:rPr>
          <w:rStyle w:val="FootnoteReference"/>
          <w:rFonts w:ascii="Times New Roman" w:hAnsi="Times New Roman" w:cs="Times New Roman"/>
        </w:rPr>
        <w:footnoteReference w:id="74"/>
      </w:r>
      <w:r w:rsidRPr="003B0E6F">
        <w:rPr>
          <w:rFonts w:ascii="Times New Roman" w:hAnsi="Times New Roman" w:cs="Times New Roman"/>
          <w:sz w:val="24"/>
          <w:szCs w:val="24"/>
          <w:lang w:val="en-GB"/>
        </w:rPr>
        <w:t xml:space="preserve"> Against the relative shortage of investment law scholarship addressing the commission of and complicity in violence by corporate actors,</w:t>
      </w:r>
      <w:r w:rsidR="00964C11" w:rsidRPr="003B0E6F">
        <w:rPr>
          <w:rStyle w:val="FootnoteReference"/>
          <w:rFonts w:ascii="Times New Roman" w:hAnsi="Times New Roman" w:cs="Times New Roman"/>
        </w:rPr>
        <w:footnoteReference w:id="75"/>
      </w:r>
      <w:r w:rsidRPr="003B0E6F">
        <w:rPr>
          <w:rFonts w:ascii="Times New Roman" w:hAnsi="Times New Roman" w:cs="Times New Roman"/>
          <w:sz w:val="24"/>
          <w:szCs w:val="24"/>
          <w:lang w:val="en-GB"/>
        </w:rPr>
        <w:t xml:space="preserve"> Kevin Crow’s chapter in Gomez </w:t>
      </w:r>
      <w:r w:rsidRPr="003B0E6F">
        <w:rPr>
          <w:rFonts w:ascii="Times New Roman" w:hAnsi="Times New Roman" w:cs="Times New Roman"/>
          <w:i/>
          <w:iCs/>
          <w:sz w:val="24"/>
          <w:szCs w:val="24"/>
          <w:lang w:val="en-GB"/>
        </w:rPr>
        <w:t>et al</w:t>
      </w:r>
      <w:r w:rsidRPr="003B0E6F">
        <w:rPr>
          <w:rFonts w:ascii="Times New Roman" w:hAnsi="Times New Roman" w:cs="Times New Roman"/>
          <w:sz w:val="24"/>
          <w:szCs w:val="24"/>
          <w:lang w:val="en-GB"/>
        </w:rPr>
        <w:t xml:space="preserve"> offers a much welcome overview of the key legal issues surrounding corporate participation in mass atrocities and human rights violations in times of conflict.</w:t>
      </w:r>
      <w:r w:rsidRPr="003B0E6F">
        <w:rPr>
          <w:rStyle w:val="FootnoteReference"/>
          <w:rFonts w:ascii="Times New Roman" w:hAnsi="Times New Roman" w:cs="Times New Roman"/>
        </w:rPr>
        <w:footnoteReference w:id="76"/>
      </w:r>
      <w:r w:rsidRPr="003B0E6F">
        <w:rPr>
          <w:rFonts w:ascii="Times New Roman" w:hAnsi="Times New Roman" w:cs="Times New Roman"/>
          <w:sz w:val="24"/>
          <w:szCs w:val="24"/>
          <w:lang w:val="en-GB"/>
        </w:rPr>
        <w:t xml:space="preserve"> His ‘hypothetical’ case studies include Monsanto’s role in producing and supplying Agent Orange, one of the herbicides used by the US during its war in Vietnam causing mass casualties among the civilian population. Another such hypothetical case scenario involves Northrop Grumman, the US’s largest producer of drone-related communications and navigations technologies that were deployed during the war in Afghanistan. Crow concludes that while it would be ‘desirable to incentivize corporations to double-check the effect of the military products they are contracted to manufacture or the services they are contracted to provide’, the fundamental question is how international legal subjectivity is designed to shield corporations from liability, and then to identify and critique the factors that motivated that design.</w:t>
      </w:r>
      <w:r w:rsidRPr="003B0E6F">
        <w:rPr>
          <w:rStyle w:val="FootnoteReference"/>
          <w:rFonts w:ascii="Times New Roman" w:hAnsi="Times New Roman" w:cs="Times New Roman"/>
        </w:rPr>
        <w:footnoteReference w:id="77"/>
      </w:r>
      <w:r w:rsidRPr="003B0E6F">
        <w:rPr>
          <w:rFonts w:ascii="Times New Roman" w:hAnsi="Times New Roman" w:cs="Times New Roman"/>
          <w:sz w:val="24"/>
          <w:szCs w:val="24"/>
          <w:lang w:val="en-GB"/>
        </w:rPr>
        <w:t xml:space="preserve"> Crow observes that individuals increasingly incur obligations to the international community through treaties, such as the Rome Statute of the International Criminal Court (ICC).</w:t>
      </w:r>
      <w:r w:rsidRPr="003B0E6F">
        <w:rPr>
          <w:rStyle w:val="FootnoteReference"/>
          <w:rFonts w:ascii="Times New Roman" w:hAnsi="Times New Roman" w:cs="Times New Roman"/>
        </w:rPr>
        <w:footnoteReference w:id="78"/>
      </w:r>
      <w:r w:rsidRPr="003B0E6F">
        <w:rPr>
          <w:rFonts w:ascii="Times New Roman" w:hAnsi="Times New Roman" w:cs="Times New Roman"/>
          <w:sz w:val="24"/>
          <w:szCs w:val="24"/>
          <w:lang w:val="en-GB"/>
        </w:rPr>
        <w:t xml:space="preserve"> Yet the subjectivity of </w:t>
      </w:r>
      <w:r w:rsidRPr="003B0E6F">
        <w:rPr>
          <w:rFonts w:ascii="Times New Roman" w:hAnsi="Times New Roman" w:cs="Times New Roman"/>
          <w:sz w:val="24"/>
          <w:szCs w:val="24"/>
          <w:lang w:val="en-GB"/>
        </w:rPr>
        <w:lastRenderedPageBreak/>
        <w:t>corporations to international law on the basis of their status as ‘organs of society’ is certainly a question that warrants further discussion.</w:t>
      </w:r>
      <w:r w:rsidRPr="003B0E6F">
        <w:rPr>
          <w:rStyle w:val="FootnoteReference"/>
          <w:rFonts w:ascii="Times New Roman" w:hAnsi="Times New Roman" w:cs="Times New Roman"/>
        </w:rPr>
        <w:footnoteReference w:id="79"/>
      </w:r>
      <w:r w:rsidRPr="003B0E6F">
        <w:rPr>
          <w:rFonts w:ascii="Times New Roman" w:hAnsi="Times New Roman" w:cs="Times New Roman"/>
          <w:sz w:val="24"/>
          <w:szCs w:val="24"/>
          <w:lang w:val="en-GB"/>
        </w:rPr>
        <w:t xml:space="preserve"> Others argue that the regulation of corporate entities involved in supplying military services or otherwise involved in committing violence ‘would ideally include the conduct of both these suppliers of violence, as well as the consumers who pay for it.’</w:t>
      </w:r>
      <w:r w:rsidRPr="003B0E6F">
        <w:rPr>
          <w:rFonts w:ascii="Times New Roman" w:hAnsi="Times New Roman" w:cs="Times New Roman"/>
          <w:sz w:val="24"/>
          <w:szCs w:val="24"/>
          <w:vertAlign w:val="superscript"/>
          <w:lang w:val="en-GB"/>
        </w:rPr>
        <w:t xml:space="preserve"> </w:t>
      </w:r>
      <w:r w:rsidRPr="003B0E6F">
        <w:rPr>
          <w:rStyle w:val="FootnoteReference"/>
          <w:rFonts w:ascii="Times New Roman" w:hAnsi="Times New Roman" w:cs="Times New Roman"/>
        </w:rPr>
        <w:footnoteReference w:id="80"/>
      </w:r>
      <w:r w:rsidRPr="003B0E6F">
        <w:rPr>
          <w:rFonts w:ascii="Times New Roman" w:hAnsi="Times New Roman" w:cs="Times New Roman"/>
          <w:sz w:val="24"/>
          <w:szCs w:val="24"/>
          <w:lang w:val="en-GB"/>
        </w:rPr>
        <w:t xml:space="preserve"> Crow’s reasoning echoes </w:t>
      </w:r>
      <w:proofErr w:type="spellStart"/>
      <w:r w:rsidRPr="003B0E6F">
        <w:rPr>
          <w:rFonts w:ascii="Times New Roman" w:hAnsi="Times New Roman" w:cs="Times New Roman"/>
          <w:sz w:val="24"/>
          <w:szCs w:val="24"/>
          <w:lang w:val="en-GB"/>
        </w:rPr>
        <w:t>Gathii’s</w:t>
      </w:r>
      <w:proofErr w:type="spellEnd"/>
      <w:r w:rsidRPr="003B0E6F">
        <w:rPr>
          <w:rFonts w:ascii="Times New Roman" w:hAnsi="Times New Roman" w:cs="Times New Roman"/>
          <w:sz w:val="24"/>
          <w:szCs w:val="24"/>
          <w:lang w:val="en-GB"/>
        </w:rPr>
        <w:t xml:space="preserve"> early writings on the subject where he argued the solution is to identify the individual behind a corporate disguise: ‘Incorporation ought not to be used as a disguise for the conduct of individuals.’</w:t>
      </w:r>
      <w:r w:rsidRPr="003B0E6F">
        <w:rPr>
          <w:rStyle w:val="FootnoteReference"/>
          <w:rFonts w:ascii="Times New Roman" w:hAnsi="Times New Roman" w:cs="Times New Roman"/>
        </w:rPr>
        <w:footnoteReference w:id="81"/>
      </w:r>
      <w:r w:rsidRPr="003B0E6F">
        <w:rPr>
          <w:rFonts w:ascii="Times New Roman" w:hAnsi="Times New Roman" w:cs="Times New Roman"/>
          <w:sz w:val="24"/>
          <w:szCs w:val="24"/>
          <w:lang w:val="en-GB"/>
        </w:rPr>
        <w:t xml:space="preserve"> There is a number of precedents where international courts and tribunals, including the ICC and ad hoc criminal tribunals, from Rwanda to Sierra Leone and Cambodia, charged with seeking individual criminal responsibility.</w:t>
      </w:r>
      <w:r w:rsidRPr="003B0E6F">
        <w:rPr>
          <w:rStyle w:val="FootnoteReference"/>
          <w:rFonts w:ascii="Times New Roman" w:hAnsi="Times New Roman" w:cs="Times New Roman"/>
        </w:rPr>
        <w:footnoteReference w:id="82"/>
      </w:r>
      <w:r w:rsidRPr="003B0E6F">
        <w:rPr>
          <w:rFonts w:ascii="Times New Roman" w:hAnsi="Times New Roman" w:cs="Times New Roman"/>
          <w:sz w:val="24"/>
          <w:szCs w:val="24"/>
          <w:lang w:val="en-GB"/>
        </w:rPr>
        <w:t xml:space="preserve"> At the same time, there ‘have been few, if any, instances in which the often clandestine activities of the corporations involved in arms dealing and the purchase of conflict resources…have been charged with international criminal responsibility for their conduct.’</w:t>
      </w:r>
      <w:r w:rsidRPr="003B0E6F">
        <w:rPr>
          <w:rStyle w:val="FootnoteReference"/>
          <w:rFonts w:ascii="Times New Roman" w:hAnsi="Times New Roman" w:cs="Times New Roman"/>
        </w:rPr>
        <w:footnoteReference w:id="83"/>
      </w:r>
    </w:p>
    <w:p w14:paraId="25B43A0E" w14:textId="77777777" w:rsidR="00E84166" w:rsidRPr="003B0E6F" w:rsidRDefault="00000000" w:rsidP="003B0E6F">
      <w:pPr>
        <w:pStyle w:val="Text"/>
        <w:spacing w:after="0" w:line="360" w:lineRule="auto"/>
        <w:jc w:val="both"/>
        <w:rPr>
          <w:rFonts w:ascii="Times New Roman" w:eastAsia="Garamond" w:hAnsi="Times New Roman" w:cs="Times New Roman"/>
          <w:b/>
          <w:bCs/>
          <w:sz w:val="24"/>
          <w:szCs w:val="24"/>
          <w:lang w:val="en-GB"/>
        </w:rPr>
      </w:pPr>
      <w:r w:rsidRPr="003B0E6F">
        <w:rPr>
          <w:rFonts w:ascii="Times New Roman" w:hAnsi="Times New Roman" w:cs="Times New Roman"/>
          <w:b/>
          <w:bCs/>
          <w:sz w:val="24"/>
          <w:szCs w:val="24"/>
          <w:lang w:val="en-GB"/>
        </w:rPr>
        <w:t>Corporate accountability: seeking solutions within and outside international investment law</w:t>
      </w:r>
    </w:p>
    <w:p w14:paraId="0E23E54F" w14:textId="77777777" w:rsidR="00E84166" w:rsidRPr="003B0E6F" w:rsidRDefault="00E84166" w:rsidP="003B0E6F">
      <w:pPr>
        <w:pStyle w:val="Text"/>
        <w:spacing w:after="0" w:line="360" w:lineRule="auto"/>
        <w:jc w:val="both"/>
        <w:rPr>
          <w:rFonts w:ascii="Times New Roman" w:eastAsia="Garamond" w:hAnsi="Times New Roman" w:cs="Times New Roman"/>
          <w:b/>
          <w:bCs/>
          <w:sz w:val="24"/>
          <w:szCs w:val="24"/>
          <w:lang w:val="en-GB"/>
        </w:rPr>
      </w:pPr>
    </w:p>
    <w:p w14:paraId="1220C059" w14:textId="05DF1668" w:rsidR="00E84166" w:rsidRPr="003B0E6F" w:rsidRDefault="00000000" w:rsidP="003B0E6F">
      <w:pPr>
        <w:pStyle w:val="Text"/>
        <w:spacing w:after="0"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While corporate involvement in perpetrating violence and conflict has received much attention elsewhere in international legal scholarship,</w:t>
      </w:r>
      <w:r w:rsidR="002A61AA" w:rsidRPr="003B0E6F">
        <w:rPr>
          <w:rStyle w:val="FootnoteReference"/>
          <w:rFonts w:ascii="Times New Roman" w:hAnsi="Times New Roman" w:cs="Times New Roman"/>
        </w:rPr>
        <w:footnoteReference w:id="84"/>
      </w:r>
      <w:r w:rsidRPr="003B0E6F">
        <w:rPr>
          <w:rFonts w:ascii="Times New Roman" w:hAnsi="Times New Roman" w:cs="Times New Roman"/>
          <w:sz w:val="24"/>
          <w:szCs w:val="24"/>
          <w:lang w:val="en-GB"/>
        </w:rPr>
        <w:t xml:space="preserve"> </w:t>
      </w:r>
      <w:proofErr w:type="spellStart"/>
      <w:r w:rsidRPr="003B0E6F">
        <w:rPr>
          <w:rFonts w:ascii="Times New Roman" w:hAnsi="Times New Roman" w:cs="Times New Roman"/>
          <w:sz w:val="24"/>
          <w:szCs w:val="24"/>
          <w:lang w:val="en-GB"/>
        </w:rPr>
        <w:t>Davitti</w:t>
      </w:r>
      <w:proofErr w:type="spellEnd"/>
      <w:r w:rsidRPr="003B0E6F">
        <w:rPr>
          <w:rFonts w:ascii="Times New Roman" w:hAnsi="Times New Roman" w:cs="Times New Roman"/>
          <w:sz w:val="24"/>
          <w:szCs w:val="24"/>
          <w:lang w:val="en-GB"/>
        </w:rPr>
        <w:t xml:space="preserve"> is concerned about international investment law and its own complicity in enabling and condoning corporate transgressions in conflict zones. With investment treaties famously providing for investor protections but not investor obligations, there has been little progress in investment jurisprudence. The exception is </w:t>
      </w:r>
      <w:proofErr w:type="spellStart"/>
      <w:r w:rsidRPr="003B0E6F">
        <w:rPr>
          <w:rFonts w:ascii="Times New Roman" w:hAnsi="Times New Roman" w:cs="Times New Roman"/>
          <w:i/>
          <w:iCs/>
          <w:sz w:val="24"/>
          <w:szCs w:val="24"/>
          <w:lang w:val="en-GB"/>
        </w:rPr>
        <w:t>Urbaser</w:t>
      </w:r>
      <w:proofErr w:type="spellEnd"/>
      <w:r w:rsidRPr="003B0E6F">
        <w:rPr>
          <w:rFonts w:ascii="Times New Roman" w:hAnsi="Times New Roman" w:cs="Times New Roman"/>
          <w:i/>
          <w:iCs/>
          <w:sz w:val="24"/>
          <w:szCs w:val="24"/>
          <w:lang w:val="en-GB"/>
        </w:rPr>
        <w:t xml:space="preserve"> v Argentina</w:t>
      </w:r>
      <w:r w:rsidRPr="003B0E6F">
        <w:rPr>
          <w:rFonts w:ascii="Times New Roman" w:hAnsi="Times New Roman" w:cs="Times New Roman"/>
          <w:sz w:val="24"/>
          <w:szCs w:val="24"/>
          <w:lang w:val="en-GB"/>
        </w:rPr>
        <w:t xml:space="preserve"> which, despite having nothing to do with conflict, is considered as a breakthrough case owing to its engagement with issues of corporate accountability for human right breaches. The claimant, </w:t>
      </w:r>
      <w:proofErr w:type="spellStart"/>
      <w:r w:rsidRPr="003B0E6F">
        <w:rPr>
          <w:rFonts w:ascii="Times New Roman" w:hAnsi="Times New Roman" w:cs="Times New Roman"/>
          <w:sz w:val="24"/>
          <w:szCs w:val="24"/>
          <w:lang w:val="en-GB"/>
        </w:rPr>
        <w:t>Urbaser</w:t>
      </w:r>
      <w:proofErr w:type="spellEnd"/>
      <w:r w:rsidRPr="003B0E6F">
        <w:rPr>
          <w:rFonts w:ascii="Times New Roman" w:hAnsi="Times New Roman" w:cs="Times New Roman"/>
          <w:sz w:val="24"/>
          <w:szCs w:val="24"/>
          <w:lang w:val="en-GB"/>
        </w:rPr>
        <w:t xml:space="preserve">, held shares in a concessionaire which supplied water and sanitation services in Buenos Aires. The dispute concerned emergency measures adopted by Argentina in the wake of its 2001-02 financial crisis, which according to the investor breached several provisions of the Spain-Argentina BIT. For its part, Argentina brought a counterclaim arguing that the concessionaire breached the human right to water through its </w:t>
      </w:r>
      <w:r w:rsidRPr="003B0E6F">
        <w:rPr>
          <w:rFonts w:ascii="Times New Roman" w:hAnsi="Times New Roman" w:cs="Times New Roman"/>
          <w:sz w:val="24"/>
          <w:szCs w:val="24"/>
          <w:lang w:val="en-GB"/>
        </w:rPr>
        <w:lastRenderedPageBreak/>
        <w:t xml:space="preserve">failure to adequately invest in the concession. In a ground-breaking fashion, the tribunal accepted jurisdiction over the counterclaim. To establish the legal basis of corporate obligations vis-à-vis the human right to water, the tribunal drew on the Universal Declaration of Human Rights (UDHR) and the International Covenant on Economic, Social, and Cultural Rights (ICESCR). In the tribunal’s view, these instruments were addressed not only to states but also to corporations. </w:t>
      </w:r>
    </w:p>
    <w:p w14:paraId="0D7FD619" w14:textId="77777777" w:rsidR="00E84166" w:rsidRPr="003B0E6F" w:rsidRDefault="00E84166" w:rsidP="003B0E6F">
      <w:pPr>
        <w:pStyle w:val="Text"/>
        <w:spacing w:after="0" w:line="360" w:lineRule="auto"/>
        <w:jc w:val="both"/>
        <w:rPr>
          <w:rFonts w:ascii="Times New Roman" w:eastAsia="Garamond" w:hAnsi="Times New Roman" w:cs="Times New Roman"/>
          <w:sz w:val="24"/>
          <w:szCs w:val="24"/>
          <w:lang w:val="en-GB"/>
        </w:rPr>
      </w:pPr>
    </w:p>
    <w:p w14:paraId="7C4546A9" w14:textId="33D93BCC" w:rsidR="00E84166" w:rsidRPr="003B0E6F" w:rsidRDefault="00000000" w:rsidP="003B0E6F">
      <w:pPr>
        <w:pStyle w:val="Text"/>
        <w:spacing w:after="0"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While acknowledging that </w:t>
      </w:r>
      <w:proofErr w:type="spellStart"/>
      <w:r w:rsidRPr="003B0E6F">
        <w:rPr>
          <w:rFonts w:ascii="Times New Roman" w:hAnsi="Times New Roman" w:cs="Times New Roman"/>
          <w:i/>
          <w:iCs/>
          <w:sz w:val="24"/>
          <w:szCs w:val="24"/>
          <w:lang w:val="en-GB"/>
        </w:rPr>
        <w:t>Urbaser</w:t>
      </w:r>
      <w:proofErr w:type="spellEnd"/>
      <w:r w:rsidRPr="003B0E6F">
        <w:rPr>
          <w:rFonts w:ascii="Times New Roman" w:hAnsi="Times New Roman" w:cs="Times New Roman"/>
          <w:sz w:val="24"/>
          <w:szCs w:val="24"/>
          <w:lang w:val="en-GB"/>
        </w:rPr>
        <w:t xml:space="preserve"> has been ground-breaking in its willingness to open up legal avenues for corporate accountability in investment arbitration, </w:t>
      </w:r>
      <w:proofErr w:type="spellStart"/>
      <w:r w:rsidRPr="003B0E6F">
        <w:rPr>
          <w:rFonts w:ascii="Times New Roman" w:hAnsi="Times New Roman" w:cs="Times New Roman"/>
          <w:sz w:val="24"/>
          <w:szCs w:val="24"/>
          <w:lang w:val="en-GB"/>
        </w:rPr>
        <w:t>Davitti</w:t>
      </w:r>
      <w:proofErr w:type="spellEnd"/>
      <w:r w:rsidRPr="003B0E6F">
        <w:rPr>
          <w:rFonts w:ascii="Times New Roman" w:hAnsi="Times New Roman" w:cs="Times New Roman"/>
          <w:sz w:val="24"/>
          <w:szCs w:val="24"/>
          <w:lang w:val="en-GB"/>
        </w:rPr>
        <w:t xml:space="preserve"> points to a significant weakness in the position adopted by the tribunal, in particular the tribunal’s view that in international law, ‘the human right to water entails an obligation of compliance on the part of the state, but does not contain an obligation for performance on part of any company providing the contractually required service.’</w:t>
      </w:r>
      <w:r w:rsidRPr="003B0E6F">
        <w:rPr>
          <w:rStyle w:val="FootnoteReference"/>
          <w:rFonts w:ascii="Times New Roman" w:hAnsi="Times New Roman" w:cs="Times New Roman"/>
        </w:rPr>
        <w:footnoteReference w:id="85"/>
      </w:r>
      <w:r w:rsidRPr="003B0E6F">
        <w:rPr>
          <w:rFonts w:ascii="Times New Roman" w:hAnsi="Times New Roman" w:cs="Times New Roman"/>
          <w:sz w:val="24"/>
          <w:szCs w:val="24"/>
          <w:lang w:val="en-GB"/>
        </w:rPr>
        <w:t xml:space="preserve"> The tribunal held that if the host state wanted to hold investors to legally binding obligations, these should be introduced in the legal framework applicable to the investor at the time of the investment, for instance in the concession agreement or/and domestic law.</w:t>
      </w:r>
      <w:r w:rsidRPr="003B0E6F">
        <w:rPr>
          <w:rStyle w:val="FootnoteReference"/>
          <w:rFonts w:ascii="Times New Roman" w:hAnsi="Times New Roman" w:cs="Times New Roman"/>
        </w:rPr>
        <w:footnoteReference w:id="86"/>
      </w:r>
      <w:r w:rsidRPr="003B0E6F">
        <w:rPr>
          <w:rFonts w:ascii="Times New Roman" w:hAnsi="Times New Roman" w:cs="Times New Roman"/>
          <w:sz w:val="24"/>
          <w:szCs w:val="24"/>
          <w:lang w:val="en-GB"/>
        </w:rPr>
        <w:t xml:space="preserve"> In his assessment of the case, Crow too applauds the tribunal’s willingness to affirm international legal subjectivity for corporation: ‘while past tribunals considered that corporations are not subjects of international law and therefore not duty holders under international law, </w:t>
      </w:r>
      <w:proofErr w:type="spellStart"/>
      <w:r w:rsidRPr="003B0E6F">
        <w:rPr>
          <w:rFonts w:ascii="Times New Roman" w:hAnsi="Times New Roman" w:cs="Times New Roman"/>
          <w:i/>
          <w:iCs/>
          <w:sz w:val="24"/>
          <w:szCs w:val="24"/>
          <w:lang w:val="en-GB"/>
        </w:rPr>
        <w:t>Urbaser</w:t>
      </w:r>
      <w:proofErr w:type="spellEnd"/>
      <w:r w:rsidRPr="003B0E6F">
        <w:rPr>
          <w:rFonts w:ascii="Times New Roman" w:hAnsi="Times New Roman" w:cs="Times New Roman"/>
          <w:i/>
          <w:iCs/>
          <w:sz w:val="24"/>
          <w:szCs w:val="24"/>
          <w:lang w:val="en-GB"/>
        </w:rPr>
        <w:t xml:space="preserve"> </w:t>
      </w:r>
      <w:r w:rsidRPr="003B0E6F">
        <w:rPr>
          <w:rFonts w:ascii="Times New Roman" w:hAnsi="Times New Roman" w:cs="Times New Roman"/>
          <w:sz w:val="24"/>
          <w:szCs w:val="24"/>
          <w:lang w:val="en-GB"/>
        </w:rPr>
        <w:t>found that this approach had “lost impact and relevance” in the present IIL landscape.’</w:t>
      </w:r>
      <w:r w:rsidRPr="003B0E6F">
        <w:rPr>
          <w:rStyle w:val="FootnoteReference"/>
          <w:rFonts w:ascii="Times New Roman" w:hAnsi="Times New Roman" w:cs="Times New Roman"/>
        </w:rPr>
        <w:footnoteReference w:id="87"/>
      </w:r>
      <w:r w:rsidRPr="003B0E6F">
        <w:rPr>
          <w:rFonts w:ascii="Times New Roman" w:hAnsi="Times New Roman" w:cs="Times New Roman"/>
          <w:sz w:val="24"/>
          <w:szCs w:val="24"/>
          <w:lang w:val="en-GB"/>
        </w:rPr>
        <w:t xml:space="preserve"> However, while detecting some hope in investment jurisprudence, Crow regrets that </w:t>
      </w:r>
      <w:proofErr w:type="spellStart"/>
      <w:r w:rsidRPr="003B0E6F">
        <w:rPr>
          <w:rFonts w:ascii="Times New Roman" w:hAnsi="Times New Roman" w:cs="Times New Roman"/>
          <w:i/>
          <w:iCs/>
          <w:sz w:val="24"/>
          <w:szCs w:val="24"/>
          <w:lang w:val="en-GB"/>
        </w:rPr>
        <w:t>Urbaser</w:t>
      </w:r>
      <w:proofErr w:type="spellEnd"/>
      <w:r w:rsidRPr="003B0E6F">
        <w:rPr>
          <w:rFonts w:ascii="Times New Roman" w:hAnsi="Times New Roman" w:cs="Times New Roman"/>
          <w:sz w:val="24"/>
          <w:szCs w:val="24"/>
          <w:lang w:val="en-GB"/>
        </w:rPr>
        <w:t xml:space="preserve"> affirms subjectivity for corporations, but leaves open the characteristics of this subjectivity.</w:t>
      </w:r>
      <w:r w:rsidRPr="003B0E6F">
        <w:rPr>
          <w:rStyle w:val="FootnoteReference"/>
          <w:rFonts w:ascii="Times New Roman" w:hAnsi="Times New Roman" w:cs="Times New Roman"/>
        </w:rPr>
        <w:footnoteReference w:id="88"/>
      </w:r>
    </w:p>
    <w:p w14:paraId="08B4A979" w14:textId="77777777" w:rsidR="00E84166" w:rsidRPr="003B0E6F" w:rsidRDefault="00E84166" w:rsidP="003B0E6F">
      <w:pPr>
        <w:pStyle w:val="Text"/>
        <w:spacing w:after="0" w:line="360" w:lineRule="auto"/>
        <w:jc w:val="both"/>
        <w:rPr>
          <w:rFonts w:ascii="Times New Roman" w:eastAsia="Garamond" w:hAnsi="Times New Roman" w:cs="Times New Roman"/>
          <w:sz w:val="24"/>
          <w:szCs w:val="24"/>
          <w:lang w:val="en-GB"/>
        </w:rPr>
      </w:pPr>
    </w:p>
    <w:p w14:paraId="15D645FA" w14:textId="4DCC5F30"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Those who are concerned by the lack of corporate accountability for conflict-related breaches of human rights—as well as other forms of corporate behaviour that directly or indirectly contributes to or exacerbates the pain and devastation of conflict—can be divided into two camps: those who believe in, and those who are sceptical of, the redeeming powers of international investment law in balancing investment protections with the need to correct and prevent corporate misconduct. Both </w:t>
      </w:r>
      <w:proofErr w:type="spellStart"/>
      <w:r w:rsidRPr="003B0E6F">
        <w:rPr>
          <w:rFonts w:ascii="Times New Roman" w:hAnsi="Times New Roman" w:cs="Times New Roman"/>
          <w:sz w:val="24"/>
          <w:szCs w:val="24"/>
          <w:lang w:val="en-GB"/>
        </w:rPr>
        <w:t>Davitti</w:t>
      </w:r>
      <w:proofErr w:type="spellEnd"/>
      <w:r w:rsidRPr="003B0E6F">
        <w:rPr>
          <w:rFonts w:ascii="Times New Roman" w:hAnsi="Times New Roman" w:cs="Times New Roman"/>
          <w:sz w:val="24"/>
          <w:szCs w:val="24"/>
          <w:lang w:val="en-GB"/>
        </w:rPr>
        <w:t xml:space="preserve"> and </w:t>
      </w:r>
      <w:proofErr w:type="spellStart"/>
      <w:r w:rsidRPr="003B0E6F">
        <w:rPr>
          <w:rFonts w:ascii="Times New Roman" w:hAnsi="Times New Roman" w:cs="Times New Roman"/>
          <w:sz w:val="24"/>
          <w:szCs w:val="24"/>
          <w:lang w:val="en-GB"/>
        </w:rPr>
        <w:t>Zrilic</w:t>
      </w:r>
      <w:proofErr w:type="spellEnd"/>
      <w:r w:rsidRPr="003B0E6F">
        <w:rPr>
          <w:rFonts w:ascii="Times New Roman" w:hAnsi="Times New Roman" w:cs="Times New Roman"/>
          <w:sz w:val="24"/>
          <w:szCs w:val="24"/>
          <w:lang w:val="en-GB"/>
        </w:rPr>
        <w:t xml:space="preserve"> appear to </w:t>
      </w:r>
      <w:proofErr w:type="gramStart"/>
      <w:r w:rsidRPr="003B0E6F">
        <w:rPr>
          <w:rFonts w:ascii="Times New Roman" w:hAnsi="Times New Roman" w:cs="Times New Roman"/>
          <w:sz w:val="24"/>
          <w:szCs w:val="24"/>
          <w:lang w:val="en-GB"/>
        </w:rPr>
        <w:t>be in agreement</w:t>
      </w:r>
      <w:proofErr w:type="gramEnd"/>
      <w:r w:rsidRPr="003B0E6F">
        <w:rPr>
          <w:rFonts w:ascii="Times New Roman" w:hAnsi="Times New Roman" w:cs="Times New Roman"/>
          <w:sz w:val="24"/>
          <w:szCs w:val="24"/>
          <w:lang w:val="en-GB"/>
        </w:rPr>
        <w:t xml:space="preserve"> that IIL’s focus on investment protection reduces the state’s capacity to address negative impacts of a </w:t>
      </w:r>
      <w:r w:rsidRPr="003B0E6F">
        <w:rPr>
          <w:rFonts w:ascii="Times New Roman" w:hAnsi="Times New Roman" w:cs="Times New Roman"/>
          <w:sz w:val="24"/>
          <w:szCs w:val="24"/>
          <w:lang w:val="en-GB"/>
        </w:rPr>
        <w:lastRenderedPageBreak/>
        <w:t xml:space="preserve">conflict. Yet whether solutions to this problem can be found within the investment treaty and arbitration regime is contested. </w:t>
      </w:r>
      <w:proofErr w:type="spellStart"/>
      <w:r w:rsidRPr="003B0E6F">
        <w:rPr>
          <w:rFonts w:ascii="Times New Roman" w:hAnsi="Times New Roman" w:cs="Times New Roman"/>
          <w:sz w:val="24"/>
          <w:szCs w:val="24"/>
          <w:lang w:val="en-GB"/>
        </w:rPr>
        <w:t>Zrilic</w:t>
      </w:r>
      <w:proofErr w:type="spellEnd"/>
      <w:r w:rsidRPr="003B0E6F">
        <w:rPr>
          <w:rFonts w:ascii="Times New Roman" w:hAnsi="Times New Roman" w:cs="Times New Roman"/>
          <w:sz w:val="24"/>
          <w:szCs w:val="24"/>
          <w:lang w:val="en-GB"/>
        </w:rPr>
        <w:t xml:space="preserve"> appeals to the possibilities offered by general international law which, he argues, supplies the means for a harmonious interpretation of IIL and IHL obligations. Amongst these, he refers to the general principle of good faith, the principle of proportionality, and the police powers doctrine, and the principle of systemic integration under art 31 (3)(C) VCLT. Another important means of minimising normative tensions between international investment law, human rights and international humanitarian law is for states to incorporate ‘appropriately drafted security exceptions, advanced armed conflict clauses and express and precise demarcation of substantive standards.’</w:t>
      </w:r>
      <w:r w:rsidRPr="003B0E6F">
        <w:rPr>
          <w:rStyle w:val="FootnoteReference"/>
          <w:rFonts w:ascii="Times New Roman" w:hAnsi="Times New Roman" w:cs="Times New Roman"/>
        </w:rPr>
        <w:footnoteReference w:id="89"/>
      </w:r>
      <w:r w:rsidRPr="003B0E6F">
        <w:rPr>
          <w:rFonts w:ascii="Times New Roman" w:hAnsi="Times New Roman" w:cs="Times New Roman"/>
          <w:sz w:val="24"/>
          <w:szCs w:val="24"/>
          <w:lang w:val="en-GB"/>
        </w:rPr>
        <w:t xml:space="preserve"> Still, one can detect his doubt about the ultimate effectiveness of the proposed solutions: </w:t>
      </w:r>
      <w:proofErr w:type="spellStart"/>
      <w:r w:rsidRPr="003B0E6F">
        <w:rPr>
          <w:rFonts w:ascii="Times New Roman" w:hAnsi="Times New Roman" w:cs="Times New Roman"/>
          <w:sz w:val="24"/>
          <w:szCs w:val="24"/>
          <w:lang w:val="en-GB"/>
        </w:rPr>
        <w:t>Zrilic</w:t>
      </w:r>
      <w:proofErr w:type="spellEnd"/>
      <w:r w:rsidRPr="003B0E6F">
        <w:rPr>
          <w:rFonts w:ascii="Times New Roman" w:hAnsi="Times New Roman" w:cs="Times New Roman"/>
          <w:sz w:val="24"/>
          <w:szCs w:val="24"/>
          <w:lang w:val="en-GB"/>
        </w:rPr>
        <w:t xml:space="preserve"> admits that these interpretive techniques and treaty amendments can be problematic as they endow tribunals with tremendous discretion potentially resulting in differing interpretations.</w:t>
      </w:r>
      <w:r w:rsidRPr="003B0E6F">
        <w:rPr>
          <w:rStyle w:val="FootnoteReference"/>
          <w:rFonts w:ascii="Times New Roman" w:hAnsi="Times New Roman" w:cs="Times New Roman"/>
        </w:rPr>
        <w:footnoteReference w:id="90"/>
      </w:r>
      <w:r w:rsidRPr="003B0E6F">
        <w:rPr>
          <w:rFonts w:ascii="Times New Roman" w:hAnsi="Times New Roman" w:cs="Times New Roman"/>
          <w:sz w:val="24"/>
          <w:szCs w:val="24"/>
          <w:lang w:val="en-GB"/>
        </w:rPr>
        <w:t xml:space="preserve"> In the end, he concedes, it is up to arbitrators how they will address the normative tensions, if at all.</w:t>
      </w:r>
      <w:r w:rsidRPr="003B0E6F">
        <w:rPr>
          <w:rStyle w:val="FootnoteReference"/>
          <w:rFonts w:ascii="Times New Roman" w:hAnsi="Times New Roman" w:cs="Times New Roman"/>
        </w:rPr>
        <w:footnoteReference w:id="91"/>
      </w:r>
      <w:r w:rsidRPr="003B0E6F">
        <w:rPr>
          <w:rFonts w:ascii="Times New Roman" w:hAnsi="Times New Roman" w:cs="Times New Roman"/>
          <w:sz w:val="24"/>
          <w:szCs w:val="24"/>
          <w:lang w:val="en-GB"/>
        </w:rPr>
        <w:t xml:space="preserve"> </w:t>
      </w:r>
    </w:p>
    <w:p w14:paraId="58473214" w14:textId="77777777"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By contrast, </w:t>
      </w:r>
      <w:proofErr w:type="spellStart"/>
      <w:r w:rsidRPr="003B0E6F">
        <w:rPr>
          <w:rFonts w:ascii="Times New Roman" w:hAnsi="Times New Roman" w:cs="Times New Roman"/>
          <w:sz w:val="24"/>
          <w:szCs w:val="24"/>
          <w:lang w:val="en-GB"/>
        </w:rPr>
        <w:t>Davitti</w:t>
      </w:r>
      <w:proofErr w:type="spellEnd"/>
      <w:r w:rsidRPr="003B0E6F">
        <w:rPr>
          <w:rFonts w:ascii="Times New Roman" w:hAnsi="Times New Roman" w:cs="Times New Roman"/>
          <w:sz w:val="24"/>
          <w:szCs w:val="24"/>
          <w:lang w:val="en-GB"/>
        </w:rPr>
        <w:t xml:space="preserve"> is profoundly unconvinced of any possibility of resolving the clash between the protection of investments and the safeguarding of human rights of the vulnerable. Here she sides with Bruno </w:t>
      </w:r>
      <w:proofErr w:type="spellStart"/>
      <w:r w:rsidRPr="003B0E6F">
        <w:rPr>
          <w:rFonts w:ascii="Times New Roman" w:hAnsi="Times New Roman" w:cs="Times New Roman"/>
          <w:sz w:val="24"/>
          <w:szCs w:val="24"/>
          <w:lang w:val="en-GB"/>
        </w:rPr>
        <w:t>Simma</w:t>
      </w:r>
      <w:proofErr w:type="spellEnd"/>
      <w:r w:rsidRPr="003B0E6F">
        <w:rPr>
          <w:rFonts w:ascii="Times New Roman" w:hAnsi="Times New Roman" w:cs="Times New Roman"/>
          <w:sz w:val="24"/>
          <w:szCs w:val="24"/>
          <w:lang w:val="en-GB"/>
        </w:rPr>
        <w:t xml:space="preserve"> who argued that easing tension between international investment law and IHRL is like aiming at two moving targets, the problem being that ‘the present architecture of international dispute settlement cannot adequately respond to this challenge.’</w:t>
      </w:r>
      <w:r w:rsidRPr="003B0E6F">
        <w:rPr>
          <w:rStyle w:val="FootnoteReference"/>
          <w:rFonts w:ascii="Times New Roman" w:hAnsi="Times New Roman" w:cs="Times New Roman"/>
        </w:rPr>
        <w:footnoteReference w:id="92"/>
      </w:r>
      <w:r w:rsidRPr="003B0E6F">
        <w:rPr>
          <w:rFonts w:ascii="Times New Roman" w:hAnsi="Times New Roman" w:cs="Times New Roman"/>
          <w:sz w:val="24"/>
          <w:szCs w:val="24"/>
          <w:lang w:val="en-GB"/>
        </w:rPr>
        <w:t xml:space="preserve"> </w:t>
      </w:r>
      <w:proofErr w:type="spellStart"/>
      <w:r w:rsidRPr="003B0E6F">
        <w:rPr>
          <w:rFonts w:ascii="Times New Roman" w:hAnsi="Times New Roman" w:cs="Times New Roman"/>
          <w:sz w:val="24"/>
          <w:szCs w:val="24"/>
          <w:lang w:val="en-GB"/>
        </w:rPr>
        <w:t>Simma</w:t>
      </w:r>
      <w:proofErr w:type="spellEnd"/>
      <w:r w:rsidRPr="003B0E6F">
        <w:rPr>
          <w:rFonts w:ascii="Times New Roman" w:hAnsi="Times New Roman" w:cs="Times New Roman"/>
          <w:sz w:val="24"/>
          <w:szCs w:val="24"/>
          <w:lang w:val="en-GB"/>
        </w:rPr>
        <w:t xml:space="preserve"> admitted that the harmonisation of competing host state’s obligations ‘will always be a difficult exercise and sometimes compliance with both sets of obligations will be virtually impossible.’</w:t>
      </w:r>
      <w:r w:rsidRPr="003B0E6F">
        <w:rPr>
          <w:rStyle w:val="FootnoteReference"/>
          <w:rFonts w:ascii="Times New Roman" w:hAnsi="Times New Roman" w:cs="Times New Roman"/>
        </w:rPr>
        <w:footnoteReference w:id="93"/>
      </w:r>
      <w:r w:rsidRPr="003B0E6F">
        <w:rPr>
          <w:rFonts w:ascii="Times New Roman" w:hAnsi="Times New Roman" w:cs="Times New Roman"/>
          <w:sz w:val="24"/>
          <w:szCs w:val="24"/>
          <w:lang w:val="en-GB"/>
        </w:rPr>
        <w:t xml:space="preserve"> </w:t>
      </w:r>
      <w:proofErr w:type="spellStart"/>
      <w:r w:rsidRPr="003B0E6F">
        <w:rPr>
          <w:rFonts w:ascii="Times New Roman" w:hAnsi="Times New Roman" w:cs="Times New Roman"/>
          <w:sz w:val="24"/>
          <w:szCs w:val="24"/>
          <w:lang w:val="en-GB"/>
        </w:rPr>
        <w:t>Davitti</w:t>
      </w:r>
      <w:proofErr w:type="spellEnd"/>
      <w:r w:rsidRPr="003B0E6F">
        <w:rPr>
          <w:rFonts w:ascii="Times New Roman" w:hAnsi="Times New Roman" w:cs="Times New Roman"/>
          <w:sz w:val="24"/>
          <w:szCs w:val="24"/>
          <w:lang w:val="en-GB"/>
        </w:rPr>
        <w:t xml:space="preserve"> is equally scathing about the use of proportionality which is often invoked as a means of balancing the protection of investors with human rights. She quotes a 2013 judgment by the United Kingdom’s Supreme Court where Lord Reed acknowledged that ‘[a]n assessment of proportionality inevitably involves a value judgment at the stage at which a balance has to be struck between the importance of the objective pursued and the value of the right intruded upon.’</w:t>
      </w:r>
      <w:r w:rsidRPr="003B0E6F">
        <w:rPr>
          <w:rStyle w:val="FootnoteReference"/>
          <w:rFonts w:ascii="Times New Roman" w:hAnsi="Times New Roman" w:cs="Times New Roman"/>
        </w:rPr>
        <w:footnoteReference w:id="94"/>
      </w:r>
      <w:r w:rsidRPr="003B0E6F">
        <w:rPr>
          <w:rFonts w:ascii="Times New Roman" w:hAnsi="Times New Roman" w:cs="Times New Roman"/>
          <w:sz w:val="24"/>
          <w:szCs w:val="24"/>
          <w:lang w:val="en-GB"/>
        </w:rPr>
        <w:t xml:space="preserve"> </w:t>
      </w:r>
    </w:p>
    <w:p w14:paraId="3E591430" w14:textId="77777777" w:rsidR="00E84166" w:rsidRPr="003B0E6F" w:rsidRDefault="00000000" w:rsidP="003B0E6F">
      <w:pPr>
        <w:pStyle w:val="Text"/>
        <w:spacing w:after="0"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What </w:t>
      </w:r>
      <w:proofErr w:type="spellStart"/>
      <w:r w:rsidRPr="003B0E6F">
        <w:rPr>
          <w:rFonts w:ascii="Times New Roman" w:hAnsi="Times New Roman" w:cs="Times New Roman"/>
          <w:sz w:val="24"/>
          <w:szCs w:val="24"/>
          <w:lang w:val="en-GB"/>
        </w:rPr>
        <w:t>Davitti</w:t>
      </w:r>
      <w:proofErr w:type="spellEnd"/>
      <w:r w:rsidRPr="003B0E6F">
        <w:rPr>
          <w:rFonts w:ascii="Times New Roman" w:hAnsi="Times New Roman" w:cs="Times New Roman"/>
          <w:sz w:val="24"/>
          <w:szCs w:val="24"/>
          <w:lang w:val="en-GB"/>
        </w:rPr>
        <w:t xml:space="preserve"> proposes instead is to reorientate the debate by focusing on the home state obligations enshrined in UNGP 7 which provides for heightened human rights obligations of </w:t>
      </w:r>
      <w:r w:rsidRPr="003B0E6F">
        <w:rPr>
          <w:rFonts w:ascii="Times New Roman" w:hAnsi="Times New Roman" w:cs="Times New Roman"/>
          <w:sz w:val="24"/>
          <w:szCs w:val="24"/>
          <w:lang w:val="en-GB"/>
        </w:rPr>
        <w:lastRenderedPageBreak/>
        <w:t>home states of companies investing in conflict host states.</w:t>
      </w:r>
      <w:r w:rsidRPr="003B0E6F">
        <w:rPr>
          <w:rStyle w:val="FootnoteReference"/>
          <w:rFonts w:ascii="Times New Roman" w:hAnsi="Times New Roman" w:cs="Times New Roman"/>
        </w:rPr>
        <w:footnoteReference w:id="95"/>
      </w:r>
      <w:r w:rsidRPr="003B0E6F">
        <w:rPr>
          <w:rFonts w:ascii="Times New Roman" w:hAnsi="Times New Roman" w:cs="Times New Roman"/>
          <w:sz w:val="24"/>
          <w:szCs w:val="24"/>
          <w:lang w:val="en-GB"/>
        </w:rPr>
        <w:t xml:space="preserve"> She concurs with Miles that ‘the law of capital-exporting states enables their multinational corporations to pursue economic activities globally but disengages when called upon to protect the local communities and environments within which those companies operate.’</w:t>
      </w:r>
      <w:r w:rsidRPr="003B0E6F">
        <w:rPr>
          <w:rStyle w:val="FootnoteReference"/>
          <w:rFonts w:ascii="Times New Roman" w:hAnsi="Times New Roman" w:cs="Times New Roman"/>
        </w:rPr>
        <w:footnoteReference w:id="96"/>
      </w:r>
      <w:r w:rsidRPr="003B0E6F">
        <w:rPr>
          <w:rFonts w:ascii="Times New Roman" w:hAnsi="Times New Roman" w:cs="Times New Roman"/>
          <w:sz w:val="24"/>
          <w:szCs w:val="24"/>
          <w:lang w:val="en-GB"/>
        </w:rPr>
        <w:t xml:space="preserve"> </w:t>
      </w:r>
    </w:p>
    <w:p w14:paraId="7A6856FE" w14:textId="77777777" w:rsidR="00E84166" w:rsidRPr="003B0E6F" w:rsidRDefault="00E84166" w:rsidP="003B0E6F">
      <w:pPr>
        <w:pStyle w:val="Text"/>
        <w:spacing w:after="0" w:line="360" w:lineRule="auto"/>
        <w:jc w:val="both"/>
        <w:rPr>
          <w:rFonts w:ascii="Times New Roman" w:eastAsia="Garamond" w:hAnsi="Times New Roman" w:cs="Times New Roman"/>
          <w:b/>
          <w:bCs/>
          <w:sz w:val="24"/>
          <w:szCs w:val="24"/>
          <w:lang w:val="en-GB"/>
        </w:rPr>
      </w:pPr>
    </w:p>
    <w:p w14:paraId="0FDE3B26" w14:textId="4C0BAAEC"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To </w:t>
      </w:r>
      <w:proofErr w:type="spellStart"/>
      <w:r w:rsidRPr="003B0E6F">
        <w:rPr>
          <w:rFonts w:ascii="Times New Roman" w:hAnsi="Times New Roman" w:cs="Times New Roman"/>
          <w:sz w:val="24"/>
          <w:szCs w:val="24"/>
          <w:lang w:val="en-GB"/>
        </w:rPr>
        <w:t>Davitti</w:t>
      </w:r>
      <w:proofErr w:type="spellEnd"/>
      <w:r w:rsidRPr="003B0E6F">
        <w:rPr>
          <w:rFonts w:ascii="Times New Roman" w:hAnsi="Times New Roman" w:cs="Times New Roman"/>
          <w:sz w:val="24"/>
          <w:szCs w:val="24"/>
          <w:lang w:val="en-GB"/>
        </w:rPr>
        <w:t>, the crux of the matter is the notion of the legal separation between a parent company and its subsidiaries. This is a loophole that, she argues, could be closed through access to the courts of the home state.</w:t>
      </w:r>
      <w:r w:rsidRPr="003B0E6F">
        <w:rPr>
          <w:rStyle w:val="FootnoteReference"/>
          <w:rFonts w:ascii="Times New Roman" w:hAnsi="Times New Roman" w:cs="Times New Roman"/>
        </w:rPr>
        <w:footnoteReference w:id="97"/>
      </w:r>
      <w:r w:rsidRPr="003B0E6F">
        <w:rPr>
          <w:rFonts w:ascii="Times New Roman" w:hAnsi="Times New Roman" w:cs="Times New Roman"/>
          <w:sz w:val="24"/>
          <w:szCs w:val="24"/>
          <w:lang w:val="en-GB"/>
        </w:rPr>
        <w:t xml:space="preserve"> While remaining critical of the work of John </w:t>
      </w:r>
      <w:proofErr w:type="spellStart"/>
      <w:r w:rsidRPr="003B0E6F">
        <w:rPr>
          <w:rFonts w:ascii="Times New Roman" w:hAnsi="Times New Roman" w:cs="Times New Roman"/>
          <w:sz w:val="24"/>
          <w:szCs w:val="24"/>
          <w:lang w:val="en-GB"/>
        </w:rPr>
        <w:t>Ruggie</w:t>
      </w:r>
      <w:proofErr w:type="spellEnd"/>
      <w:r w:rsidRPr="003B0E6F">
        <w:rPr>
          <w:rFonts w:ascii="Times New Roman" w:hAnsi="Times New Roman" w:cs="Times New Roman"/>
          <w:sz w:val="24"/>
          <w:szCs w:val="24"/>
          <w:lang w:val="en-GB"/>
        </w:rPr>
        <w:t xml:space="preserve"> as SRSG, in particular his decision not to frame the responsibility of companies in terms of legal obligations which was seen by many as a missed opportunity to ensure legal accountability for corporate violations,</w:t>
      </w:r>
      <w:r w:rsidRPr="003B0E6F">
        <w:rPr>
          <w:rStyle w:val="FootnoteReference"/>
          <w:rFonts w:ascii="Times New Roman" w:hAnsi="Times New Roman" w:cs="Times New Roman"/>
        </w:rPr>
        <w:footnoteReference w:id="98"/>
      </w:r>
      <w:r w:rsidRPr="003B0E6F">
        <w:rPr>
          <w:rFonts w:ascii="Times New Roman" w:hAnsi="Times New Roman" w:cs="Times New Roman"/>
          <w:sz w:val="24"/>
          <w:szCs w:val="24"/>
          <w:lang w:val="en-GB"/>
        </w:rPr>
        <w:t xml:space="preserve"> </w:t>
      </w:r>
      <w:proofErr w:type="spellStart"/>
      <w:r w:rsidRPr="003B0E6F">
        <w:rPr>
          <w:rFonts w:ascii="Times New Roman" w:hAnsi="Times New Roman" w:cs="Times New Roman"/>
          <w:sz w:val="24"/>
          <w:szCs w:val="24"/>
          <w:lang w:val="en-GB"/>
        </w:rPr>
        <w:t>Davitti</w:t>
      </w:r>
      <w:proofErr w:type="spellEnd"/>
      <w:r w:rsidRPr="003B0E6F">
        <w:rPr>
          <w:rFonts w:ascii="Times New Roman" w:hAnsi="Times New Roman" w:cs="Times New Roman"/>
          <w:sz w:val="24"/>
          <w:szCs w:val="24"/>
          <w:lang w:val="en-GB"/>
        </w:rPr>
        <w:t xml:space="preserve"> contends that this framing does not automatically exclude binding legal duties emerging under the Framework. She pins her hopes on Pillar 1 of the Framework and its focus on the state’s capacity to induce the establishment of a corporate culture ‘in which respecting rights is an integral part of doing business.</w:t>
      </w:r>
      <w:r w:rsidR="00811E22" w:rsidRPr="003B0E6F">
        <w:rPr>
          <w:rFonts w:ascii="Times New Roman" w:hAnsi="Times New Roman" w:cs="Times New Roman"/>
          <w:sz w:val="24"/>
          <w:szCs w:val="24"/>
          <w:lang w:val="en-GB"/>
        </w:rPr>
        <w:t>’</w:t>
      </w:r>
      <w:r w:rsidRPr="003B0E6F">
        <w:rPr>
          <w:rStyle w:val="FootnoteReference"/>
          <w:rFonts w:ascii="Times New Roman" w:hAnsi="Times New Roman" w:cs="Times New Roman"/>
        </w:rPr>
        <w:footnoteReference w:id="99"/>
      </w:r>
      <w:r w:rsidRPr="003B0E6F">
        <w:rPr>
          <w:rFonts w:ascii="Times New Roman" w:hAnsi="Times New Roman" w:cs="Times New Roman"/>
          <w:sz w:val="24"/>
          <w:szCs w:val="24"/>
          <w:lang w:val="en-GB"/>
        </w:rPr>
        <w:t xml:space="preserve"> In </w:t>
      </w:r>
      <w:proofErr w:type="spellStart"/>
      <w:r w:rsidRPr="003B0E6F">
        <w:rPr>
          <w:rFonts w:ascii="Times New Roman" w:hAnsi="Times New Roman" w:cs="Times New Roman"/>
          <w:sz w:val="24"/>
          <w:szCs w:val="24"/>
          <w:lang w:val="en-GB"/>
        </w:rPr>
        <w:t>Davitti’s</w:t>
      </w:r>
      <w:proofErr w:type="spellEnd"/>
      <w:r w:rsidRPr="003B0E6F">
        <w:rPr>
          <w:rFonts w:ascii="Times New Roman" w:hAnsi="Times New Roman" w:cs="Times New Roman"/>
          <w:sz w:val="24"/>
          <w:szCs w:val="24"/>
          <w:lang w:val="en-GB"/>
        </w:rPr>
        <w:t xml:space="preserve"> view, to close the accountability gap, a parent/core company should be placed under ‘an obligation to comply with certain norms wherever they operate (</w:t>
      </w:r>
      <w:proofErr w:type="spellStart"/>
      <w:r w:rsidRPr="003B0E6F">
        <w:rPr>
          <w:rFonts w:ascii="Times New Roman" w:hAnsi="Times New Roman" w:cs="Times New Roman"/>
          <w:sz w:val="24"/>
          <w:szCs w:val="24"/>
          <w:lang w:val="en-GB"/>
        </w:rPr>
        <w:t>ie</w:t>
      </w:r>
      <w:proofErr w:type="spellEnd"/>
      <w:r w:rsidRPr="003B0E6F">
        <w:rPr>
          <w:rFonts w:ascii="Times New Roman" w:hAnsi="Times New Roman" w:cs="Times New Roman"/>
          <w:sz w:val="24"/>
          <w:szCs w:val="24"/>
          <w:lang w:val="en-GB"/>
        </w:rPr>
        <w:t xml:space="preserve"> even if they operate in other countries), or an obligation to impose compliance with such norms on the different entities they control (their subsidiaries, or even in certain cases their business partners).’</w:t>
      </w:r>
      <w:r w:rsidRPr="003B0E6F">
        <w:rPr>
          <w:rStyle w:val="FootnoteReference"/>
          <w:rFonts w:ascii="Times New Roman" w:hAnsi="Times New Roman" w:cs="Times New Roman"/>
        </w:rPr>
        <w:footnoteReference w:id="100"/>
      </w:r>
      <w:r w:rsidRPr="003B0E6F">
        <w:rPr>
          <w:rFonts w:ascii="Times New Roman" w:hAnsi="Times New Roman" w:cs="Times New Roman"/>
          <w:sz w:val="24"/>
          <w:szCs w:val="24"/>
          <w:lang w:val="en-GB"/>
        </w:rPr>
        <w:t xml:space="preserve"> Drawing support from the right to water where the CESCR comments on the right to water, she points to ‘a positive duty to adopt a legal framework requiring business entities to exercise human rights due diligence in order to identify, prevent and mitigate the risks of violations of Covenant rights, to avoid such rights being abused.’</w:t>
      </w:r>
      <w:r w:rsidRPr="003B0E6F">
        <w:rPr>
          <w:rStyle w:val="FootnoteReference"/>
          <w:rFonts w:ascii="Times New Roman" w:hAnsi="Times New Roman" w:cs="Times New Roman"/>
        </w:rPr>
        <w:footnoteReference w:id="101"/>
      </w:r>
      <w:r w:rsidRPr="003B0E6F">
        <w:rPr>
          <w:rFonts w:ascii="Times New Roman" w:hAnsi="Times New Roman" w:cs="Times New Roman"/>
          <w:sz w:val="24"/>
          <w:szCs w:val="24"/>
          <w:lang w:val="en-GB"/>
        </w:rPr>
        <w:t xml:space="preserve"> In this manner, ‘the due diligence principle is a crucial link between the first two pillars of the Framework, whereby companies – once subject to the legally-binding regulation of home and host states – will find themselves unable to avoid compliance with their responsibility to respect human rights, irrespective of where they carry out their activities. </w:t>
      </w:r>
      <w:r w:rsidR="00811E22" w:rsidRPr="003B0E6F">
        <w:rPr>
          <w:rStyle w:val="FootnoteReference"/>
          <w:rFonts w:ascii="Times New Roman" w:hAnsi="Times New Roman" w:cs="Times New Roman"/>
        </w:rPr>
        <w:footnoteReference w:id="102"/>
      </w:r>
      <w:r w:rsidR="00811E22" w:rsidRPr="003B0E6F">
        <w:rPr>
          <w:rFonts w:ascii="Times New Roman" w:hAnsi="Times New Roman" w:cs="Times New Roman"/>
          <w:sz w:val="24"/>
          <w:szCs w:val="24"/>
          <w:lang w:val="en-GB"/>
        </w:rPr>
        <w:t xml:space="preserve"> </w:t>
      </w:r>
      <w:r w:rsidRPr="003B0E6F">
        <w:rPr>
          <w:rFonts w:ascii="Times New Roman" w:hAnsi="Times New Roman" w:cs="Times New Roman"/>
          <w:sz w:val="24"/>
          <w:szCs w:val="24"/>
          <w:lang w:val="en-GB"/>
        </w:rPr>
        <w:lastRenderedPageBreak/>
        <w:t xml:space="preserve">In </w:t>
      </w:r>
      <w:proofErr w:type="spellStart"/>
      <w:r w:rsidRPr="003B0E6F">
        <w:rPr>
          <w:rFonts w:ascii="Times New Roman" w:hAnsi="Times New Roman" w:cs="Times New Roman"/>
          <w:sz w:val="24"/>
          <w:szCs w:val="24"/>
          <w:lang w:val="en-GB"/>
        </w:rPr>
        <w:t>Davitti’s</w:t>
      </w:r>
      <w:proofErr w:type="spellEnd"/>
      <w:r w:rsidRPr="003B0E6F">
        <w:rPr>
          <w:rFonts w:ascii="Times New Roman" w:hAnsi="Times New Roman" w:cs="Times New Roman"/>
          <w:sz w:val="24"/>
          <w:szCs w:val="24"/>
          <w:lang w:val="en-GB"/>
        </w:rPr>
        <w:t xml:space="preserve"> view, UNGP 7 and 23 provide a solid basis for a home state obligation ‘to introduce, in its domestic legal framework, a requirement for compulsory HRDD for companies domiciled in its territory and or under its jurisdiction; access to the courts of the home state for those who have suffered human rights abuse because of a breach of these domestic obligations; and the imposition of meaningful compensation for such breaches.’</w:t>
      </w:r>
      <w:r w:rsidRPr="003B0E6F">
        <w:rPr>
          <w:rStyle w:val="FootnoteReference"/>
          <w:rFonts w:ascii="Times New Roman" w:hAnsi="Times New Roman" w:cs="Times New Roman"/>
        </w:rPr>
        <w:footnoteReference w:id="103"/>
      </w:r>
    </w:p>
    <w:p w14:paraId="5B8FD16F" w14:textId="5052E52D"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 xml:space="preserve">In the final chapter of </w:t>
      </w:r>
      <w:proofErr w:type="spellStart"/>
      <w:r w:rsidRPr="003B0E6F">
        <w:rPr>
          <w:rFonts w:ascii="Times New Roman" w:hAnsi="Times New Roman" w:cs="Times New Roman"/>
          <w:sz w:val="24"/>
          <w:szCs w:val="24"/>
          <w:lang w:val="en-GB"/>
        </w:rPr>
        <w:t>Davitti’s</w:t>
      </w:r>
      <w:proofErr w:type="spellEnd"/>
      <w:r w:rsidRPr="003B0E6F">
        <w:rPr>
          <w:rFonts w:ascii="Times New Roman" w:hAnsi="Times New Roman" w:cs="Times New Roman"/>
          <w:sz w:val="24"/>
          <w:szCs w:val="24"/>
          <w:lang w:val="en-GB"/>
        </w:rPr>
        <w:t xml:space="preserve"> sobering but impassioned account, the extraterritorial application of</w:t>
      </w:r>
      <w:r w:rsidRPr="003B0E6F">
        <w:rPr>
          <w:rFonts w:ascii="Times New Roman" w:hAnsi="Times New Roman" w:cs="Times New Roman"/>
          <w:sz w:val="24"/>
          <w:szCs w:val="24"/>
          <w:lang w:val="en-GB" w:eastAsia="zh-TW"/>
        </w:rPr>
        <w:t xml:space="preserve"> </w:t>
      </w:r>
      <w:r w:rsidR="00811E22" w:rsidRPr="003B0E6F">
        <w:rPr>
          <w:rFonts w:ascii="Times New Roman" w:hAnsi="Times New Roman" w:cs="Times New Roman"/>
          <w:sz w:val="24"/>
          <w:szCs w:val="24"/>
          <w:lang w:val="en-GB" w:eastAsia="zh-TW"/>
        </w:rPr>
        <w:t>human rights due diligence</w:t>
      </w:r>
      <w:r w:rsidRPr="003B0E6F">
        <w:rPr>
          <w:rFonts w:ascii="Times New Roman" w:hAnsi="Times New Roman" w:cs="Times New Roman"/>
          <w:sz w:val="24"/>
          <w:szCs w:val="24"/>
          <w:lang w:val="en-GB"/>
        </w:rPr>
        <w:t xml:space="preserve"> obligations emerges as a key solution to address the long-standing asymmetries in a world where corporations enjoy powerful legal privileges without corresponding safeguards for local communities, and the war-torn host governments lack capacity to regulate how and on what terms foreign investment should be allowed to operate within their territories. The consequences of maintaining a status quo are dire: ‘marginalised Afghans who already are unable to access clean water will find it even more difficult to meet their most basic needs, as their interests will be weighed against the competing water demands of extractive companies’</w:t>
      </w:r>
      <w:r w:rsidRPr="003B0E6F">
        <w:rPr>
          <w:rStyle w:val="FootnoteReference"/>
          <w:rFonts w:ascii="Times New Roman" w:hAnsi="Times New Roman" w:cs="Times New Roman"/>
        </w:rPr>
        <w:footnoteReference w:id="104"/>
      </w:r>
      <w:r w:rsidRPr="003B0E6F">
        <w:rPr>
          <w:rFonts w:ascii="Times New Roman" w:hAnsi="Times New Roman" w:cs="Times New Roman"/>
          <w:sz w:val="24"/>
          <w:szCs w:val="24"/>
          <w:lang w:val="en-GB"/>
        </w:rPr>
        <w:t xml:space="preserve"> whilst ‘powerful warlords are already vying to gain control over resource rich areas and access routes to extractive sites.’</w:t>
      </w:r>
      <w:r w:rsidRPr="003B0E6F">
        <w:rPr>
          <w:rStyle w:val="FootnoteReference"/>
          <w:rFonts w:ascii="Times New Roman" w:hAnsi="Times New Roman" w:cs="Times New Roman"/>
        </w:rPr>
        <w:footnoteReference w:id="105"/>
      </w:r>
      <w:r w:rsidRPr="003B0E6F">
        <w:rPr>
          <w:rFonts w:ascii="Times New Roman" w:hAnsi="Times New Roman" w:cs="Times New Roman"/>
          <w:sz w:val="24"/>
          <w:szCs w:val="24"/>
          <w:lang w:val="en-GB"/>
        </w:rPr>
        <w:t xml:space="preserve"> </w:t>
      </w:r>
    </w:p>
    <w:p w14:paraId="376264BE" w14:textId="050FCB82" w:rsidR="00E84166" w:rsidRPr="003B0E6F" w:rsidRDefault="00000000" w:rsidP="003B0E6F">
      <w:pPr>
        <w:pStyle w:val="Text"/>
        <w:numPr>
          <w:ilvl w:val="0"/>
          <w:numId w:val="3"/>
        </w:numPr>
        <w:spacing w:line="360" w:lineRule="auto"/>
        <w:jc w:val="both"/>
        <w:rPr>
          <w:rFonts w:ascii="Times New Roman" w:eastAsia="Garamond" w:hAnsi="Times New Roman" w:cs="Times New Roman"/>
          <w:b/>
          <w:bCs/>
          <w:sz w:val="24"/>
          <w:szCs w:val="24"/>
          <w:lang w:val="en-GB"/>
        </w:rPr>
      </w:pPr>
      <w:r w:rsidRPr="003B0E6F">
        <w:rPr>
          <w:rFonts w:ascii="Times New Roman" w:hAnsi="Times New Roman" w:cs="Times New Roman"/>
          <w:b/>
          <w:bCs/>
          <w:sz w:val="24"/>
          <w:szCs w:val="24"/>
          <w:lang w:val="en-GB"/>
        </w:rPr>
        <w:t>Corporations and wars: setting a future research agenda</w:t>
      </w:r>
    </w:p>
    <w:p w14:paraId="54BFA98F" w14:textId="62C963B6"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In the period following the publication of the books reviewed in this essay, Russia’s invasion of Ukraine took a tragic turn, flames of conflict continues to flare in Afghanistan in the aftermath of the withdrawal of Western armed forces, and the governments of war-torn Algeria, Libya and Syria continue to face a growing number of adverse awards for losses incurred by investors in the course of the recent civil wars.</w:t>
      </w:r>
      <w:r w:rsidRPr="003B0E6F">
        <w:rPr>
          <w:rStyle w:val="FootnoteReference"/>
          <w:rFonts w:ascii="Times New Roman" w:hAnsi="Times New Roman" w:cs="Times New Roman"/>
        </w:rPr>
        <w:footnoteReference w:id="106"/>
      </w:r>
      <w:r w:rsidRPr="003B0E6F">
        <w:rPr>
          <w:rFonts w:ascii="Times New Roman" w:hAnsi="Times New Roman" w:cs="Times New Roman"/>
          <w:sz w:val="24"/>
          <w:szCs w:val="24"/>
          <w:lang w:val="en-GB"/>
        </w:rPr>
        <w:t xml:space="preserve"> A picture emerging from the recent wave of investment arbitration cases confirms the major strands of arguments advanced the books under review. What </w:t>
      </w:r>
      <w:proofErr w:type="spellStart"/>
      <w:r w:rsidRPr="003B0E6F">
        <w:rPr>
          <w:rFonts w:ascii="Times New Roman" w:hAnsi="Times New Roman" w:cs="Times New Roman"/>
          <w:sz w:val="24"/>
          <w:szCs w:val="24"/>
          <w:lang w:val="en-GB"/>
        </w:rPr>
        <w:t>Davitti</w:t>
      </w:r>
      <w:proofErr w:type="spellEnd"/>
      <w:r w:rsidRPr="003B0E6F">
        <w:rPr>
          <w:rFonts w:ascii="Times New Roman" w:hAnsi="Times New Roman" w:cs="Times New Roman"/>
          <w:sz w:val="24"/>
          <w:szCs w:val="24"/>
          <w:lang w:val="en-GB"/>
        </w:rPr>
        <w:t xml:space="preserve">, </w:t>
      </w:r>
      <w:proofErr w:type="spellStart"/>
      <w:r w:rsidRPr="003B0E6F">
        <w:rPr>
          <w:rFonts w:ascii="Times New Roman" w:hAnsi="Times New Roman" w:cs="Times New Roman"/>
          <w:sz w:val="24"/>
          <w:szCs w:val="24"/>
          <w:lang w:val="en-GB"/>
        </w:rPr>
        <w:t>Zrilic</w:t>
      </w:r>
      <w:proofErr w:type="spellEnd"/>
      <w:r w:rsidRPr="003B0E6F">
        <w:rPr>
          <w:rFonts w:ascii="Times New Roman" w:hAnsi="Times New Roman" w:cs="Times New Roman"/>
          <w:sz w:val="24"/>
          <w:szCs w:val="24"/>
          <w:lang w:val="en-GB"/>
        </w:rPr>
        <w:t xml:space="preserve"> and the contributors to Gomez </w:t>
      </w:r>
      <w:r w:rsidRPr="003B0E6F">
        <w:rPr>
          <w:rFonts w:ascii="Times New Roman" w:hAnsi="Times New Roman" w:cs="Times New Roman"/>
          <w:i/>
          <w:iCs/>
          <w:sz w:val="24"/>
          <w:szCs w:val="24"/>
          <w:lang w:val="en-GB"/>
        </w:rPr>
        <w:t>et al</w:t>
      </w:r>
      <w:r w:rsidRPr="003B0E6F">
        <w:rPr>
          <w:rFonts w:ascii="Times New Roman" w:hAnsi="Times New Roman" w:cs="Times New Roman"/>
          <w:sz w:val="24"/>
          <w:szCs w:val="24"/>
          <w:lang w:val="en-GB"/>
        </w:rPr>
        <w:t xml:space="preserve"> have collectively revealed, from different angles, is that international investment law affords commercial actors with strong and far-reaching protections in times of war and civil disturbance. The protective force of international law is not suspended during conflict and host states remain under an obligation </w:t>
      </w:r>
      <w:r w:rsidRPr="003B0E6F">
        <w:rPr>
          <w:rFonts w:ascii="Times New Roman" w:hAnsi="Times New Roman" w:cs="Times New Roman"/>
          <w:sz w:val="24"/>
          <w:szCs w:val="24"/>
          <w:lang w:val="en-GB"/>
        </w:rPr>
        <w:lastRenderedPageBreak/>
        <w:t xml:space="preserve">of due diligence to ensure foreign investors are shielded from the destructive and destabilising effects of hostilities and unrest. </w:t>
      </w:r>
    </w:p>
    <w:p w14:paraId="57D8B94D" w14:textId="702D474B" w:rsidR="00E84166" w:rsidRPr="003B0E6F" w:rsidRDefault="00000000" w:rsidP="003B0E6F">
      <w:pPr>
        <w:pStyle w:val="Text"/>
        <w:spacing w:line="360" w:lineRule="auto"/>
        <w:jc w:val="both"/>
        <w:rPr>
          <w:rFonts w:ascii="Times New Roman" w:eastAsia="Garamond" w:hAnsi="Times New Roman" w:cs="Times New Roman"/>
          <w:sz w:val="24"/>
          <w:szCs w:val="24"/>
          <w:lang w:val="en-GB"/>
        </w:rPr>
      </w:pPr>
      <w:r w:rsidRPr="003B0E6F">
        <w:rPr>
          <w:rFonts w:ascii="Times New Roman" w:hAnsi="Times New Roman" w:cs="Times New Roman"/>
          <w:sz w:val="24"/>
          <w:szCs w:val="24"/>
          <w:lang w:val="en-GB"/>
        </w:rPr>
        <w:t>Yet to establish a similarly effective obligation of due diligence on the part of corporations, one needs to go beyond international investment law and rely upon complex and convoluted combination of norms and principles scattered across human rights</w:t>
      </w:r>
      <w:r w:rsidR="00FD1EC2" w:rsidRPr="003B0E6F">
        <w:rPr>
          <w:rFonts w:ascii="Times New Roman" w:hAnsi="Times New Roman" w:cs="Times New Roman"/>
          <w:sz w:val="24"/>
          <w:szCs w:val="24"/>
          <w:lang w:val="en-GB"/>
        </w:rPr>
        <w:t xml:space="preserve"> and international humanitarian law</w:t>
      </w:r>
      <w:r w:rsidRPr="003B0E6F">
        <w:rPr>
          <w:rFonts w:ascii="Times New Roman" w:hAnsi="Times New Roman" w:cs="Times New Roman"/>
          <w:sz w:val="24"/>
          <w:szCs w:val="24"/>
          <w:lang w:val="en-GB"/>
        </w:rPr>
        <w:t xml:space="preserve"> instruments and soft law. Contrary to the orthodoxy behind much of the traditional literature on international investment law, investors are not just generators of wealth, prosperity and economic growth. Corporations have also been known to fan the flames of conflict, benefit from it, support the perpetrators of violence, side with aggressor states and otherwise participate in war economies in a manner that raises questions about their entitlement to international legal privileges and protections. The contributions reviewed in this essay have, explicitly or implicitly, unveiled some of the implications of a Janus-faced corporation and the role international law may play in inadvertently rewarding the darker aspects of corporate behaviour and, certainly, in shielding corporations from responsibility for the harm they cause in conflict settings. </w:t>
      </w:r>
    </w:p>
    <w:p w14:paraId="30499D75" w14:textId="3575EBBB" w:rsidR="00E84166" w:rsidRPr="003B0E6F" w:rsidRDefault="00000000" w:rsidP="003B0E6F">
      <w:pPr>
        <w:pStyle w:val="Text"/>
        <w:spacing w:line="360" w:lineRule="auto"/>
        <w:jc w:val="both"/>
        <w:rPr>
          <w:rFonts w:ascii="Times New Roman" w:hAnsi="Times New Roman" w:cs="Times New Roman"/>
          <w:sz w:val="24"/>
          <w:szCs w:val="24"/>
          <w:lang w:val="en-GB"/>
        </w:rPr>
      </w:pPr>
      <w:r w:rsidRPr="003B0E6F">
        <w:rPr>
          <w:rFonts w:ascii="Times New Roman" w:hAnsi="Times New Roman" w:cs="Times New Roman"/>
          <w:sz w:val="24"/>
          <w:szCs w:val="24"/>
          <w:lang w:val="en-GB"/>
        </w:rPr>
        <w:t>The wars of today, however, raise even more urgent issues about the future of international investment law and the role of corporation as its principal beneficiary in times of conflict: what will future tribunals make of investors from aggressor states using corporate nationality to challenge sanctions and other fallouts from conflicts such the Russia-Ukraine war? Can investment tribunals turn a blind eye to the fact that certain investments are simply a form of ill-gotten gains tainted by war? Should governments of countries ravaged by war continue to be subjected to the pain of damages awards in favour of investors in cases where civilian population is devastated by death, displacement, and starvation?</w:t>
      </w:r>
      <w:r w:rsidRPr="003B0E6F">
        <w:rPr>
          <w:rStyle w:val="FootnoteReference"/>
          <w:rFonts w:ascii="Times New Roman" w:hAnsi="Times New Roman" w:cs="Times New Roman"/>
        </w:rPr>
        <w:footnoteReference w:id="107"/>
      </w:r>
      <w:r w:rsidRPr="003B0E6F">
        <w:rPr>
          <w:rFonts w:ascii="Times New Roman" w:hAnsi="Times New Roman" w:cs="Times New Roman"/>
          <w:sz w:val="24"/>
          <w:szCs w:val="24"/>
          <w:lang w:val="en-GB"/>
        </w:rPr>
        <w:t xml:space="preserve"> Can foreign investment—and international investment law as a guardian thereof—serve as a facilitator of transition to peace? Just as the </w:t>
      </w:r>
      <w:r w:rsidR="00703D54" w:rsidRPr="003B0E6F">
        <w:rPr>
          <w:rFonts w:ascii="Times New Roman" w:hAnsi="Times New Roman" w:cs="Times New Roman"/>
          <w:sz w:val="24"/>
          <w:szCs w:val="24"/>
          <w:lang w:val="en-GB"/>
        </w:rPr>
        <w:t xml:space="preserve">different </w:t>
      </w:r>
      <w:r w:rsidRPr="003B0E6F">
        <w:rPr>
          <w:rFonts w:ascii="Times New Roman" w:hAnsi="Times New Roman" w:cs="Times New Roman"/>
          <w:sz w:val="24"/>
          <w:szCs w:val="24"/>
          <w:lang w:val="en-GB"/>
        </w:rPr>
        <w:t>role</w:t>
      </w:r>
      <w:r w:rsidR="00703D54" w:rsidRPr="003B0E6F">
        <w:rPr>
          <w:rFonts w:ascii="Times New Roman" w:hAnsi="Times New Roman" w:cs="Times New Roman"/>
          <w:sz w:val="24"/>
          <w:szCs w:val="24"/>
          <w:lang w:val="en-GB"/>
        </w:rPr>
        <w:t>s</w:t>
      </w:r>
      <w:r w:rsidRPr="003B0E6F">
        <w:rPr>
          <w:rFonts w:ascii="Times New Roman" w:hAnsi="Times New Roman" w:cs="Times New Roman"/>
          <w:sz w:val="24"/>
          <w:szCs w:val="24"/>
          <w:lang w:val="en-GB"/>
        </w:rPr>
        <w:t xml:space="preserve"> of </w:t>
      </w:r>
      <w:r w:rsidR="00703D54" w:rsidRPr="003B0E6F">
        <w:rPr>
          <w:rFonts w:ascii="Times New Roman" w:hAnsi="Times New Roman" w:cs="Times New Roman"/>
          <w:sz w:val="24"/>
          <w:szCs w:val="24"/>
          <w:lang w:val="en-GB"/>
        </w:rPr>
        <w:t xml:space="preserve">the </w:t>
      </w:r>
      <w:r w:rsidRPr="003B0E6F">
        <w:rPr>
          <w:rFonts w:ascii="Times New Roman" w:hAnsi="Times New Roman" w:cs="Times New Roman"/>
          <w:sz w:val="24"/>
          <w:szCs w:val="24"/>
          <w:lang w:val="en-GB"/>
        </w:rPr>
        <w:t xml:space="preserve">corporation in armed conflict warrants further research, so is the role of international investment law and investment tribunals in creating and reinforcing rules variously rewarding </w:t>
      </w:r>
      <w:r w:rsidR="005B1BC1" w:rsidRPr="003B0E6F">
        <w:rPr>
          <w:rFonts w:ascii="Times New Roman" w:hAnsi="Times New Roman" w:cs="Times New Roman"/>
          <w:sz w:val="24"/>
          <w:szCs w:val="24"/>
          <w:lang w:val="en-GB"/>
        </w:rPr>
        <w:t xml:space="preserve">or </w:t>
      </w:r>
      <w:r w:rsidRPr="003B0E6F">
        <w:rPr>
          <w:rFonts w:ascii="Times New Roman" w:hAnsi="Times New Roman" w:cs="Times New Roman"/>
          <w:sz w:val="24"/>
          <w:szCs w:val="24"/>
          <w:lang w:val="en-GB"/>
        </w:rPr>
        <w:t xml:space="preserve">penalising investors as victims, perpetrators, accomplices, and beneficiaries of conflict. This reviewer hopes that future research into international investment law and armed conflict moves beyond the time-honoured habit of analysing the field exclusively through a narrow lens of a relationship between investors and </w:t>
      </w:r>
      <w:r w:rsidRPr="003B0E6F">
        <w:rPr>
          <w:rFonts w:ascii="Times New Roman" w:hAnsi="Times New Roman" w:cs="Times New Roman"/>
          <w:sz w:val="24"/>
          <w:szCs w:val="24"/>
          <w:lang w:val="en-GB"/>
        </w:rPr>
        <w:lastRenderedPageBreak/>
        <w:t xml:space="preserve">governments of developing host states. The promises and failures of international investment law go well beyond the confines of investor-state interactions. Rather, at the heart of violence flaring in Afghanistan and Ukraine and smouldering throughout other conflict-ridden parts of the globe are ‘relationships of power between militarily powerful and less powerful States; between occupying and occupied states; between private military companies and weak and poor states; between countries on the </w:t>
      </w:r>
      <w:proofErr w:type="spellStart"/>
      <w:r w:rsidRPr="003B0E6F">
        <w:rPr>
          <w:rFonts w:ascii="Times New Roman" w:hAnsi="Times New Roman" w:cs="Times New Roman"/>
          <w:sz w:val="24"/>
          <w:szCs w:val="24"/>
          <w:lang w:val="en-GB"/>
        </w:rPr>
        <w:t>center</w:t>
      </w:r>
      <w:proofErr w:type="spellEnd"/>
      <w:r w:rsidRPr="003B0E6F">
        <w:rPr>
          <w:rFonts w:ascii="Times New Roman" w:hAnsi="Times New Roman" w:cs="Times New Roman"/>
          <w:sz w:val="24"/>
          <w:szCs w:val="24"/>
          <w:lang w:val="en-GB"/>
        </w:rPr>
        <w:t xml:space="preserve"> and on the periphery of the world system; … between lawless bandits and a myriad of other non-state actors,’</w:t>
      </w:r>
      <w:r w:rsidRPr="003B0E6F">
        <w:rPr>
          <w:rStyle w:val="FootnoteReference"/>
          <w:rFonts w:ascii="Times New Roman" w:hAnsi="Times New Roman" w:cs="Times New Roman"/>
        </w:rPr>
        <w:footnoteReference w:id="108"/>
      </w:r>
      <w:r w:rsidRPr="003B0E6F">
        <w:rPr>
          <w:rFonts w:ascii="Times New Roman" w:hAnsi="Times New Roman" w:cs="Times New Roman"/>
          <w:sz w:val="24"/>
          <w:szCs w:val="24"/>
          <w:lang w:val="en-GB"/>
        </w:rPr>
        <w:t xml:space="preserve"> and between international norms and institutions and those international law is designed to sanction and protect.</w:t>
      </w:r>
    </w:p>
    <w:p w14:paraId="6711A86C" w14:textId="2B771C77" w:rsidR="00D32276" w:rsidRPr="003B0E6F" w:rsidRDefault="00D32276" w:rsidP="003B0E6F">
      <w:pPr>
        <w:pStyle w:val="Text"/>
        <w:spacing w:line="360" w:lineRule="auto"/>
        <w:jc w:val="both"/>
        <w:rPr>
          <w:rFonts w:ascii="Times New Roman" w:hAnsi="Times New Roman" w:cs="Times New Roman"/>
          <w:sz w:val="24"/>
          <w:szCs w:val="24"/>
          <w:lang w:val="en-GB"/>
        </w:rPr>
      </w:pPr>
    </w:p>
    <w:p w14:paraId="138BC3EB" w14:textId="5DB6EB2E" w:rsidR="00D32276" w:rsidRPr="003B0E6F" w:rsidRDefault="00D32276" w:rsidP="003B0E6F">
      <w:pPr>
        <w:pStyle w:val="Text"/>
        <w:spacing w:line="360" w:lineRule="auto"/>
        <w:jc w:val="both"/>
        <w:rPr>
          <w:rFonts w:ascii="Times New Roman" w:hAnsi="Times New Roman" w:cs="Times New Roman"/>
          <w:lang w:val="en-GB"/>
        </w:rPr>
      </w:pPr>
    </w:p>
    <w:sectPr w:rsidR="00D32276" w:rsidRPr="003B0E6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57B4" w14:textId="77777777" w:rsidR="00D906C1" w:rsidRDefault="00D906C1">
      <w:r>
        <w:separator/>
      </w:r>
    </w:p>
  </w:endnote>
  <w:endnote w:type="continuationSeparator" w:id="0">
    <w:p w14:paraId="0EEB538B" w14:textId="77777777" w:rsidR="00D906C1" w:rsidRDefault="00D9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DF2D" w14:textId="77777777" w:rsidR="00E84166" w:rsidRDefault="00E84166">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8F709" w14:textId="77777777" w:rsidR="00D906C1" w:rsidRDefault="00D906C1">
      <w:r>
        <w:separator/>
      </w:r>
    </w:p>
  </w:footnote>
  <w:footnote w:type="continuationSeparator" w:id="0">
    <w:p w14:paraId="5E80AFC1" w14:textId="77777777" w:rsidR="00D906C1" w:rsidRDefault="00D906C1">
      <w:r>
        <w:continuationSeparator/>
      </w:r>
    </w:p>
  </w:footnote>
  <w:footnote w:type="continuationNotice" w:id="1">
    <w:p w14:paraId="755931F6" w14:textId="77777777" w:rsidR="00D906C1" w:rsidRDefault="00D906C1"/>
  </w:footnote>
  <w:footnote w:id="2">
    <w:p w14:paraId="1C20C325"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James </w:t>
      </w:r>
      <w:proofErr w:type="spellStart"/>
      <w:r w:rsidRPr="00FA5480">
        <w:rPr>
          <w:rFonts w:ascii="Garamond" w:hAnsi="Garamond"/>
          <w:lang w:val="en-GB"/>
        </w:rPr>
        <w:t>Gathii</w:t>
      </w:r>
      <w:proofErr w:type="spellEnd"/>
      <w:r w:rsidRPr="00FA5480">
        <w:rPr>
          <w:rFonts w:ascii="Garamond" w:hAnsi="Garamond"/>
          <w:lang w:val="en-GB"/>
        </w:rPr>
        <w:t>, War’s Legacy in International Investment Law’ (2009) 11 International Community Law Review 353.</w:t>
      </w:r>
    </w:p>
  </w:footnote>
  <w:footnote w:id="3">
    <w:p w14:paraId="2FEB1B8A" w14:textId="2E2ABBE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r w:rsidR="000204BF" w:rsidRPr="00FA5480">
        <w:rPr>
          <w:rFonts w:ascii="Garamond" w:hAnsi="Garamond"/>
          <w:lang w:val="en-GB"/>
        </w:rPr>
        <w:t>I</w:t>
      </w:r>
      <w:r w:rsidRPr="00FA5480">
        <w:rPr>
          <w:rFonts w:ascii="Garamond" w:hAnsi="Garamond"/>
          <w:lang w:val="en-GB"/>
        </w:rPr>
        <w:t>bid</w:t>
      </w:r>
      <w:r w:rsidR="000204BF" w:rsidRPr="00FA5480">
        <w:rPr>
          <w:rFonts w:ascii="Garamond" w:hAnsi="Garamond"/>
          <w:lang w:val="en-GB"/>
        </w:rPr>
        <w:t>.</w:t>
      </w:r>
    </w:p>
  </w:footnote>
  <w:footnote w:id="4">
    <w:p w14:paraId="698C5758" w14:textId="38776483"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357</w:t>
      </w:r>
      <w:r w:rsidR="000204BF" w:rsidRPr="00FA5480">
        <w:rPr>
          <w:rFonts w:ascii="Garamond" w:hAnsi="Garamond"/>
          <w:lang w:val="en-GB"/>
        </w:rPr>
        <w:t>.</w:t>
      </w:r>
    </w:p>
  </w:footnote>
  <w:footnote w:id="5">
    <w:p w14:paraId="47FFBF7B" w14:textId="5757B60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353</w:t>
      </w:r>
      <w:r w:rsidR="000204BF" w:rsidRPr="00FA5480">
        <w:rPr>
          <w:rFonts w:ascii="Garamond" w:hAnsi="Garamond"/>
          <w:lang w:val="en-GB"/>
        </w:rPr>
        <w:t>.</w:t>
      </w:r>
    </w:p>
  </w:footnote>
  <w:footnote w:id="6">
    <w:p w14:paraId="3961BCD5" w14:textId="5AEF0C79"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354</w:t>
      </w:r>
      <w:r w:rsidR="000204BF" w:rsidRPr="00FA5480">
        <w:rPr>
          <w:rFonts w:ascii="Garamond" w:hAnsi="Garamond"/>
          <w:lang w:val="en-GB"/>
        </w:rPr>
        <w:t>.</w:t>
      </w:r>
    </w:p>
  </w:footnote>
  <w:footnote w:id="7">
    <w:p w14:paraId="75960779" w14:textId="41552C8F"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w:t>
      </w:r>
      <w:r w:rsidR="000204BF" w:rsidRPr="00FA5480">
        <w:rPr>
          <w:rFonts w:ascii="Garamond" w:hAnsi="Garamond"/>
          <w:lang w:val="en-GB"/>
        </w:rPr>
        <w:t>.</w:t>
      </w:r>
    </w:p>
  </w:footnote>
  <w:footnote w:id="8">
    <w:p w14:paraId="17A9B3D5"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J T </w:t>
      </w:r>
      <w:proofErr w:type="spellStart"/>
      <w:r w:rsidRPr="00FA5480">
        <w:rPr>
          <w:rFonts w:ascii="Garamond" w:hAnsi="Garamond"/>
          <w:lang w:val="en-GB"/>
        </w:rPr>
        <w:t>Gathii</w:t>
      </w:r>
      <w:proofErr w:type="spellEnd"/>
      <w:r w:rsidRPr="00FA5480">
        <w:rPr>
          <w:rFonts w:ascii="Garamond" w:hAnsi="Garamond"/>
          <w:lang w:val="en-GB"/>
        </w:rPr>
        <w:t xml:space="preserve">, </w:t>
      </w:r>
      <w:r w:rsidRPr="00FA5480">
        <w:rPr>
          <w:rFonts w:ascii="Garamond" w:hAnsi="Garamond"/>
          <w:i/>
          <w:iCs/>
          <w:lang w:val="en-GB"/>
        </w:rPr>
        <w:t>War, Commerce, and International Law</w:t>
      </w:r>
      <w:r w:rsidRPr="00FA5480">
        <w:rPr>
          <w:rFonts w:ascii="Garamond" w:hAnsi="Garamond"/>
          <w:lang w:val="en-GB"/>
        </w:rPr>
        <w:t xml:space="preserve"> (OUP 2010) xv.</w:t>
      </w:r>
    </w:p>
  </w:footnote>
  <w:footnote w:id="9">
    <w:p w14:paraId="756D9F2A" w14:textId="7B9B35B3" w:rsidR="00DE435A" w:rsidRPr="00FA5480" w:rsidRDefault="00DE435A" w:rsidP="00FA5480">
      <w:pPr>
        <w:pStyle w:val="NormalWeb"/>
        <w:shd w:val="clear" w:color="auto" w:fill="FFFFFF"/>
        <w:spacing w:before="0" w:beforeAutospacing="0" w:after="0" w:afterAutospacing="0"/>
        <w:contextualSpacing/>
        <w:jc w:val="both"/>
        <w:rPr>
          <w:rFonts w:ascii="Garamond" w:hAnsi="Garamond"/>
          <w:sz w:val="20"/>
          <w:szCs w:val="20"/>
        </w:rPr>
      </w:pPr>
      <w:r w:rsidRPr="003B0E6F">
        <w:rPr>
          <w:rStyle w:val="FootnoteReference"/>
        </w:rPr>
        <w:footnoteRef/>
      </w:r>
      <w:r w:rsidRPr="00FA5480">
        <w:rPr>
          <w:rFonts w:ascii="Garamond" w:hAnsi="Garamond"/>
          <w:sz w:val="20"/>
          <w:szCs w:val="20"/>
        </w:rPr>
        <w:t xml:space="preserve"> </w:t>
      </w:r>
      <w:r w:rsidRPr="00DE435A">
        <w:rPr>
          <w:rFonts w:ascii="Garamond" w:hAnsi="Garamond"/>
          <w:color w:val="2A2A2A"/>
          <w:sz w:val="20"/>
          <w:szCs w:val="20"/>
        </w:rPr>
        <w:t xml:space="preserve">J </w:t>
      </w:r>
      <w:proofErr w:type="spellStart"/>
      <w:r w:rsidRPr="00DE435A">
        <w:rPr>
          <w:rFonts w:ascii="Garamond" w:hAnsi="Garamond"/>
          <w:color w:val="2A2A2A"/>
          <w:sz w:val="20"/>
          <w:szCs w:val="20"/>
        </w:rPr>
        <w:t>Linarelli</w:t>
      </w:r>
      <w:proofErr w:type="spellEnd"/>
      <w:r w:rsidRPr="00DE435A">
        <w:rPr>
          <w:rFonts w:ascii="Garamond" w:hAnsi="Garamond"/>
          <w:color w:val="2A2A2A"/>
          <w:sz w:val="20"/>
          <w:szCs w:val="20"/>
          <w:bdr w:val="none" w:sz="0" w:space="0" w:color="auto" w:frame="1"/>
        </w:rPr>
        <w:t>, </w:t>
      </w:r>
      <w:r w:rsidRPr="00DE435A">
        <w:rPr>
          <w:rFonts w:ascii="Garamond" w:hAnsi="Garamond"/>
          <w:color w:val="2A2A2A"/>
          <w:sz w:val="20"/>
          <w:szCs w:val="20"/>
        </w:rPr>
        <w:t>ME Salomon</w:t>
      </w:r>
      <w:r w:rsidRPr="00DE435A">
        <w:rPr>
          <w:rFonts w:ascii="Garamond" w:hAnsi="Garamond"/>
          <w:color w:val="2A2A2A"/>
          <w:sz w:val="20"/>
          <w:szCs w:val="20"/>
          <w:bdr w:val="none" w:sz="0" w:space="0" w:color="auto" w:frame="1"/>
        </w:rPr>
        <w:t>, </w:t>
      </w:r>
      <w:r w:rsidRPr="00FA5480">
        <w:rPr>
          <w:rFonts w:ascii="Garamond" w:hAnsi="Garamond"/>
          <w:color w:val="2A2A2A"/>
          <w:sz w:val="20"/>
          <w:szCs w:val="20"/>
          <w:bdr w:val="none" w:sz="0" w:space="0" w:color="auto" w:frame="1"/>
        </w:rPr>
        <w:t>and M</w:t>
      </w:r>
      <w:r w:rsidRPr="00FA5480">
        <w:rPr>
          <w:rFonts w:ascii="Garamond" w:hAnsi="Garamond"/>
          <w:color w:val="2A2A2A"/>
          <w:sz w:val="20"/>
          <w:szCs w:val="20"/>
        </w:rPr>
        <w:t xml:space="preserve"> </w:t>
      </w:r>
      <w:proofErr w:type="spellStart"/>
      <w:r w:rsidRPr="00DE435A">
        <w:rPr>
          <w:rFonts w:ascii="Garamond" w:hAnsi="Garamond"/>
          <w:color w:val="2A2A2A"/>
          <w:sz w:val="20"/>
          <w:szCs w:val="20"/>
        </w:rPr>
        <w:t>Sornarajah</w:t>
      </w:r>
      <w:proofErr w:type="spellEnd"/>
      <w:r w:rsidRPr="00FA5480">
        <w:rPr>
          <w:rFonts w:ascii="Garamond" w:hAnsi="Garamond"/>
          <w:color w:val="2A2A2A"/>
          <w:sz w:val="20"/>
          <w:szCs w:val="20"/>
        </w:rPr>
        <w:t xml:space="preserve">, </w:t>
      </w:r>
      <w:r w:rsidRPr="00FA5480">
        <w:rPr>
          <w:rFonts w:ascii="Garamond" w:hAnsi="Garamond"/>
          <w:i/>
          <w:iCs/>
          <w:color w:val="2A2A2A"/>
          <w:sz w:val="20"/>
          <w:szCs w:val="20"/>
        </w:rPr>
        <w:t>The Misery of International Law: Confrontations with Injustice in the Global Economy</w:t>
      </w:r>
      <w:r w:rsidRPr="00FA5480">
        <w:rPr>
          <w:rFonts w:ascii="Garamond" w:hAnsi="Garamond"/>
          <w:color w:val="2A2A2A"/>
          <w:sz w:val="20"/>
          <w:szCs w:val="20"/>
        </w:rPr>
        <w:t> (Cambridge</w:t>
      </w:r>
      <w:r w:rsidR="004744C3" w:rsidRPr="00FA5480">
        <w:rPr>
          <w:rFonts w:ascii="Garamond" w:hAnsi="Garamond"/>
          <w:color w:val="2A2A2A"/>
          <w:sz w:val="20"/>
          <w:szCs w:val="20"/>
        </w:rPr>
        <w:t xml:space="preserve"> 2018) 111, citing </w:t>
      </w:r>
      <w:r w:rsidR="004744C3" w:rsidRPr="00FA5480">
        <w:rPr>
          <w:rFonts w:ascii="Garamond" w:hAnsi="Garamond"/>
          <w:color w:val="282828"/>
          <w:sz w:val="20"/>
          <w:szCs w:val="20"/>
        </w:rPr>
        <w:t xml:space="preserve">S </w:t>
      </w:r>
      <w:proofErr w:type="spellStart"/>
      <w:r w:rsidR="004744C3" w:rsidRPr="00FA5480">
        <w:rPr>
          <w:rFonts w:ascii="Garamond" w:hAnsi="Garamond"/>
          <w:color w:val="282828"/>
          <w:sz w:val="20"/>
          <w:szCs w:val="20"/>
        </w:rPr>
        <w:t>Beckert</w:t>
      </w:r>
      <w:proofErr w:type="spellEnd"/>
      <w:r w:rsidR="004744C3" w:rsidRPr="00FA5480">
        <w:rPr>
          <w:rFonts w:ascii="Garamond" w:hAnsi="Garamond"/>
          <w:color w:val="282828"/>
          <w:sz w:val="20"/>
          <w:szCs w:val="20"/>
        </w:rPr>
        <w:t xml:space="preserve">, </w:t>
      </w:r>
      <w:r w:rsidR="004744C3" w:rsidRPr="00FA5480">
        <w:rPr>
          <w:rFonts w:ascii="Garamond" w:hAnsi="Garamond"/>
          <w:i/>
          <w:iCs/>
          <w:color w:val="282828"/>
          <w:sz w:val="20"/>
          <w:szCs w:val="20"/>
        </w:rPr>
        <w:t xml:space="preserve">Empire of Cotton: A Global History </w:t>
      </w:r>
      <w:r w:rsidR="004744C3" w:rsidRPr="00FA5480">
        <w:rPr>
          <w:rFonts w:ascii="Garamond" w:hAnsi="Garamond"/>
          <w:color w:val="282828"/>
          <w:sz w:val="20"/>
          <w:szCs w:val="20"/>
        </w:rPr>
        <w:t xml:space="preserve">(Vintage 2015). </w:t>
      </w:r>
    </w:p>
  </w:footnote>
  <w:footnote w:id="10">
    <w:p w14:paraId="6464A40E"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r w:rsidRPr="00FA5480">
        <w:rPr>
          <w:rFonts w:ascii="Garamond" w:hAnsi="Garamond"/>
          <w:i/>
          <w:iCs/>
          <w:lang w:val="en-GB"/>
        </w:rPr>
        <w:t>Prosecutor v Tadic</w:t>
      </w:r>
      <w:r w:rsidRPr="00FA5480">
        <w:rPr>
          <w:rFonts w:ascii="Garamond" w:hAnsi="Garamond"/>
          <w:lang w:val="en-GB"/>
        </w:rPr>
        <w:t xml:space="preserve"> (Decision on Defence Motion for Interlocutory Appeal on Jurisdiction) IT-94-1-T (2 October 1995) para 70.</w:t>
      </w:r>
    </w:p>
  </w:footnote>
  <w:footnote w:id="11">
    <w:p w14:paraId="03F69757" w14:textId="5F4F750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lang w:val="en-GB"/>
        </w:rPr>
        <w:t>Zrilic</w:t>
      </w:r>
      <w:proofErr w:type="spellEnd"/>
      <w:r w:rsidRPr="00FA5480">
        <w:rPr>
          <w:rFonts w:ascii="Garamond" w:hAnsi="Garamond"/>
          <w:lang w:val="en-GB"/>
        </w:rPr>
        <w:t xml:space="preserve">, </w:t>
      </w:r>
      <w:r w:rsidRPr="00FA5480">
        <w:rPr>
          <w:rFonts w:ascii="Garamond" w:hAnsi="Garamond"/>
          <w:i/>
          <w:iCs/>
          <w:lang w:val="en-GB"/>
        </w:rPr>
        <w:t>The Protection of Foreign Investment in Times of Armed Conflict</w:t>
      </w:r>
      <w:r w:rsidRPr="00FA5480">
        <w:rPr>
          <w:rFonts w:ascii="Garamond" w:hAnsi="Garamond"/>
          <w:lang w:val="en-GB"/>
        </w:rPr>
        <w:t xml:space="preserve"> (OUP 2019) 9</w:t>
      </w:r>
      <w:r w:rsidR="004744C3" w:rsidRPr="00FA5480">
        <w:rPr>
          <w:rFonts w:ascii="Garamond" w:hAnsi="Garamond"/>
          <w:lang w:val="en-GB"/>
        </w:rPr>
        <w:t>.</w:t>
      </w:r>
    </w:p>
  </w:footnote>
  <w:footnote w:id="12">
    <w:p w14:paraId="26188773"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11.</w:t>
      </w:r>
    </w:p>
  </w:footnote>
  <w:footnote w:id="13">
    <w:p w14:paraId="16110C04"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w:t>
      </w:r>
    </w:p>
  </w:footnote>
  <w:footnote w:id="14">
    <w:p w14:paraId="2706A2A3"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w:t>
      </w:r>
    </w:p>
  </w:footnote>
  <w:footnote w:id="15">
    <w:p w14:paraId="449A0EFF" w14:textId="36F48F1F"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r w:rsidR="00A1621B" w:rsidRPr="00FA5480">
        <w:rPr>
          <w:rFonts w:ascii="Garamond" w:hAnsi="Garamond"/>
          <w:lang w:val="en-GB"/>
        </w:rPr>
        <w:t xml:space="preserve">See further </w:t>
      </w:r>
      <w:proofErr w:type="spellStart"/>
      <w:r w:rsidRPr="00FA5480">
        <w:rPr>
          <w:rFonts w:ascii="Garamond" w:hAnsi="Garamond"/>
          <w:lang w:val="en-GB"/>
        </w:rPr>
        <w:t>Gathii</w:t>
      </w:r>
      <w:proofErr w:type="spellEnd"/>
      <w:r w:rsidRPr="00FA5480">
        <w:rPr>
          <w:rFonts w:ascii="Garamond" w:hAnsi="Garamond"/>
          <w:lang w:val="en-GB"/>
        </w:rPr>
        <w:t xml:space="preserve">, </w:t>
      </w:r>
      <w:r w:rsidRPr="00FA5480">
        <w:rPr>
          <w:rFonts w:ascii="Garamond" w:hAnsi="Garamond"/>
          <w:i/>
          <w:iCs/>
          <w:lang w:val="en-GB"/>
        </w:rPr>
        <w:t>War, Commerce, and International Law</w:t>
      </w:r>
      <w:r w:rsidRPr="00FA5480">
        <w:rPr>
          <w:rFonts w:ascii="Garamond" w:hAnsi="Garamond"/>
          <w:lang w:val="en-GB"/>
        </w:rPr>
        <w:t>, 192-3.</w:t>
      </w:r>
    </w:p>
  </w:footnote>
  <w:footnote w:id="16">
    <w:p w14:paraId="1C682738"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197.</w:t>
      </w:r>
    </w:p>
  </w:footnote>
  <w:footnote w:id="17">
    <w:p w14:paraId="62B55001" w14:textId="1530D70E"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Janice Thompson, Mercenaries, Pirates and Sovereigns: State-Building and Extraterritorial Violence in Early Modern Europe (</w:t>
      </w:r>
      <w:r w:rsidR="00AD3F09" w:rsidRPr="00FA5480">
        <w:rPr>
          <w:rFonts w:ascii="Garamond" w:hAnsi="Garamond"/>
          <w:lang w:val="en-GB"/>
        </w:rPr>
        <w:t xml:space="preserve">Princeton, </w:t>
      </w:r>
      <w:r w:rsidRPr="00FA5480">
        <w:rPr>
          <w:rFonts w:ascii="Garamond" w:hAnsi="Garamond"/>
          <w:lang w:val="en-GB"/>
        </w:rPr>
        <w:t xml:space="preserve">1994) 10-11; </w:t>
      </w:r>
      <w:proofErr w:type="spellStart"/>
      <w:r w:rsidRPr="00FA5480">
        <w:rPr>
          <w:rFonts w:ascii="Garamond" w:hAnsi="Garamond"/>
          <w:lang w:val="en-GB"/>
        </w:rPr>
        <w:t>Gathii</w:t>
      </w:r>
      <w:proofErr w:type="spellEnd"/>
      <w:r w:rsidRPr="00FA5480">
        <w:rPr>
          <w:rFonts w:ascii="Garamond" w:hAnsi="Garamond"/>
          <w:lang w:val="en-GB"/>
        </w:rPr>
        <w:t xml:space="preserve">, </w:t>
      </w:r>
      <w:r w:rsidRPr="00FA5480">
        <w:rPr>
          <w:rFonts w:ascii="Garamond" w:hAnsi="Garamond"/>
          <w:i/>
          <w:iCs/>
          <w:lang w:val="en-GB"/>
        </w:rPr>
        <w:t>War, Commerce, and International Law</w:t>
      </w:r>
      <w:r w:rsidRPr="00FA5480">
        <w:rPr>
          <w:rFonts w:ascii="Garamond" w:hAnsi="Garamond"/>
          <w:lang w:val="en-GB"/>
        </w:rPr>
        <w:t>, 201.</w:t>
      </w:r>
    </w:p>
  </w:footnote>
  <w:footnote w:id="18">
    <w:p w14:paraId="60CB2D33"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lang w:val="en-GB"/>
        </w:rPr>
        <w:t>Gathii</w:t>
      </w:r>
      <w:proofErr w:type="spellEnd"/>
      <w:r w:rsidRPr="00FA5480">
        <w:rPr>
          <w:rFonts w:ascii="Garamond" w:hAnsi="Garamond"/>
          <w:lang w:val="en-GB"/>
        </w:rPr>
        <w:t xml:space="preserve">, </w:t>
      </w:r>
      <w:r w:rsidRPr="00FA5480">
        <w:rPr>
          <w:rFonts w:ascii="Garamond" w:hAnsi="Garamond"/>
          <w:i/>
          <w:iCs/>
          <w:lang w:val="en-GB"/>
        </w:rPr>
        <w:t>War, Commerce, and International Law</w:t>
      </w:r>
      <w:r w:rsidRPr="00FA5480">
        <w:rPr>
          <w:rFonts w:ascii="Garamond" w:hAnsi="Garamond"/>
          <w:lang w:val="en-GB"/>
        </w:rPr>
        <w:t>, 193</w:t>
      </w:r>
    </w:p>
  </w:footnote>
  <w:footnote w:id="19">
    <w:p w14:paraId="6D91DA83"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i/>
          <w:iCs/>
          <w:lang w:val="en-GB"/>
        </w:rPr>
        <w:t>Sambiaggio</w:t>
      </w:r>
      <w:proofErr w:type="spellEnd"/>
      <w:r w:rsidRPr="00FA5480">
        <w:rPr>
          <w:rFonts w:ascii="Garamond" w:hAnsi="Garamond"/>
          <w:i/>
          <w:iCs/>
          <w:lang w:val="en-GB"/>
        </w:rPr>
        <w:t xml:space="preserve"> Case (Italy v </w:t>
      </w:r>
      <w:proofErr w:type="spellStart"/>
      <w:r w:rsidRPr="00FA5480">
        <w:rPr>
          <w:rFonts w:ascii="Garamond" w:hAnsi="Garamond"/>
          <w:i/>
          <w:iCs/>
          <w:lang w:val="en-GB"/>
        </w:rPr>
        <w:t>Venezuella</w:t>
      </w:r>
      <w:proofErr w:type="spellEnd"/>
      <w:r w:rsidRPr="00FA5480">
        <w:rPr>
          <w:rFonts w:ascii="Garamond" w:hAnsi="Garamond"/>
          <w:i/>
          <w:iCs/>
          <w:lang w:val="en-GB"/>
        </w:rPr>
        <w:t>)</w:t>
      </w:r>
      <w:r w:rsidRPr="00FA5480">
        <w:rPr>
          <w:rFonts w:ascii="Garamond" w:hAnsi="Garamond"/>
          <w:lang w:val="en-GB"/>
        </w:rPr>
        <w:t xml:space="preserve"> (1903) 10 RIAA 499.</w:t>
      </w:r>
    </w:p>
  </w:footnote>
  <w:footnote w:id="20">
    <w:p w14:paraId="0F78BD64"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lang w:val="en-GB"/>
        </w:rPr>
        <w:t>Zrilic</w:t>
      </w:r>
      <w:proofErr w:type="spellEnd"/>
      <w:r w:rsidRPr="00FA5480">
        <w:rPr>
          <w:rFonts w:ascii="Garamond" w:hAnsi="Garamond"/>
          <w:lang w:val="en-GB"/>
        </w:rPr>
        <w:t xml:space="preserve">, </w:t>
      </w:r>
      <w:r w:rsidRPr="00FA5480">
        <w:rPr>
          <w:rFonts w:ascii="Garamond" w:hAnsi="Garamond"/>
          <w:i/>
          <w:iCs/>
          <w:lang w:val="en-GB"/>
        </w:rPr>
        <w:t xml:space="preserve">The Protection of Foreign Investment, </w:t>
      </w:r>
      <w:r w:rsidRPr="00FA5480">
        <w:rPr>
          <w:rFonts w:ascii="Garamond" w:hAnsi="Garamond"/>
          <w:lang w:val="en-GB"/>
        </w:rPr>
        <w:t>26.</w:t>
      </w:r>
    </w:p>
  </w:footnote>
  <w:footnote w:id="21">
    <w:p w14:paraId="26066B17"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26.</w:t>
      </w:r>
    </w:p>
  </w:footnote>
  <w:footnote w:id="22">
    <w:p w14:paraId="5F4708F3"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w:t>
      </w:r>
    </w:p>
  </w:footnote>
  <w:footnote w:id="23">
    <w:p w14:paraId="432F49F0"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w:t>
      </w:r>
    </w:p>
  </w:footnote>
  <w:footnote w:id="24">
    <w:p w14:paraId="0834591A"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27.</w:t>
      </w:r>
    </w:p>
  </w:footnote>
  <w:footnote w:id="25">
    <w:p w14:paraId="5B4AF6E9" w14:textId="0F8ACCB1" w:rsidR="00E84166" w:rsidRPr="00FA5480" w:rsidRDefault="00000000" w:rsidP="00FA5480">
      <w:pPr>
        <w:pStyle w:val="Text"/>
        <w:spacing w:after="0" w:line="240" w:lineRule="auto"/>
        <w:contextualSpacing/>
        <w:jc w:val="both"/>
        <w:rPr>
          <w:rFonts w:ascii="Garamond" w:hAnsi="Garamond"/>
          <w:sz w:val="20"/>
          <w:szCs w:val="20"/>
          <w:lang w:val="en-GB"/>
        </w:rPr>
      </w:pPr>
      <w:r w:rsidRPr="003B0E6F">
        <w:rPr>
          <w:rStyle w:val="FootnoteReference"/>
        </w:rPr>
        <w:footnoteRef/>
      </w:r>
      <w:r w:rsidRPr="00FA5480">
        <w:rPr>
          <w:rFonts w:ascii="Garamond" w:hAnsi="Garamond"/>
          <w:sz w:val="20"/>
          <w:szCs w:val="20"/>
          <w:lang w:val="en-GB"/>
        </w:rPr>
        <w:t xml:space="preserve"> Suzanne Spears and Maria </w:t>
      </w:r>
      <w:proofErr w:type="spellStart"/>
      <w:r w:rsidRPr="00FA5480">
        <w:rPr>
          <w:rFonts w:ascii="Garamond" w:hAnsi="Garamond"/>
          <w:sz w:val="20"/>
          <w:szCs w:val="20"/>
          <w:lang w:val="en-GB"/>
        </w:rPr>
        <w:t>Fogdestam</w:t>
      </w:r>
      <w:proofErr w:type="spellEnd"/>
      <w:r w:rsidRPr="00FA5480">
        <w:rPr>
          <w:rFonts w:ascii="Garamond" w:hAnsi="Garamond"/>
          <w:sz w:val="20"/>
          <w:szCs w:val="20"/>
          <w:lang w:val="en-GB"/>
        </w:rPr>
        <w:t xml:space="preserve"> </w:t>
      </w:r>
      <w:proofErr w:type="spellStart"/>
      <w:r w:rsidRPr="00FA5480">
        <w:rPr>
          <w:rFonts w:ascii="Garamond" w:hAnsi="Garamond"/>
          <w:sz w:val="20"/>
          <w:szCs w:val="20"/>
          <w:lang w:val="en-GB"/>
        </w:rPr>
        <w:t>Agius</w:t>
      </w:r>
      <w:proofErr w:type="spellEnd"/>
      <w:r w:rsidRPr="00FA5480">
        <w:rPr>
          <w:rFonts w:ascii="Garamond" w:hAnsi="Garamond"/>
          <w:sz w:val="20"/>
          <w:szCs w:val="20"/>
          <w:lang w:val="en-GB"/>
        </w:rPr>
        <w:t xml:space="preserve">, </w:t>
      </w:r>
      <w:r w:rsidR="00E44BF3" w:rsidRPr="00FA5480">
        <w:rPr>
          <w:rFonts w:ascii="Garamond" w:hAnsi="Garamond"/>
          <w:sz w:val="20"/>
          <w:szCs w:val="20"/>
          <w:lang w:val="en-GB"/>
        </w:rPr>
        <w:t>‘</w:t>
      </w:r>
      <w:r w:rsidRPr="00FA5480">
        <w:rPr>
          <w:rFonts w:ascii="Garamond" w:hAnsi="Garamond"/>
          <w:sz w:val="20"/>
          <w:szCs w:val="20"/>
          <w:lang w:val="en-GB"/>
        </w:rPr>
        <w:t>Protection of Investments in War-Torn States: A Practitioner’s Perspective on War Clauses in Bilateral Investment Treaties</w:t>
      </w:r>
      <w:r w:rsidR="00E44BF3" w:rsidRPr="00FA5480">
        <w:rPr>
          <w:rFonts w:ascii="Garamond" w:hAnsi="Garamond"/>
          <w:sz w:val="20"/>
          <w:szCs w:val="20"/>
          <w:lang w:val="en-GB"/>
        </w:rPr>
        <w:t>’</w:t>
      </w:r>
      <w:r w:rsidRPr="00FA5480">
        <w:rPr>
          <w:rFonts w:ascii="Garamond" w:hAnsi="Garamond"/>
          <w:sz w:val="20"/>
          <w:szCs w:val="20"/>
          <w:lang w:val="en-GB"/>
        </w:rPr>
        <w:t xml:space="preserve"> </w:t>
      </w:r>
      <w:r w:rsidR="00E44BF3" w:rsidRPr="00FA5480">
        <w:rPr>
          <w:rFonts w:ascii="Garamond" w:hAnsi="Garamond"/>
          <w:sz w:val="20"/>
          <w:szCs w:val="20"/>
          <w:lang w:val="en-GB"/>
        </w:rPr>
        <w:t xml:space="preserve">in K </w:t>
      </w:r>
      <w:proofErr w:type="spellStart"/>
      <w:r w:rsidR="00E44BF3" w:rsidRPr="00FA5480">
        <w:rPr>
          <w:rFonts w:ascii="Garamond" w:hAnsi="Garamond"/>
          <w:sz w:val="20"/>
          <w:szCs w:val="20"/>
          <w:lang w:val="en-GB"/>
        </w:rPr>
        <w:t>Fach</w:t>
      </w:r>
      <w:proofErr w:type="spellEnd"/>
      <w:r w:rsidR="00E44BF3" w:rsidRPr="00FA5480">
        <w:rPr>
          <w:rFonts w:ascii="Garamond" w:hAnsi="Garamond"/>
          <w:sz w:val="20"/>
          <w:szCs w:val="20"/>
          <w:lang w:val="en-GB"/>
        </w:rPr>
        <w:t xml:space="preserve"> Gómez et al (eds), </w:t>
      </w:r>
      <w:r w:rsidR="00E44BF3" w:rsidRPr="00FA5480">
        <w:rPr>
          <w:rFonts w:ascii="Garamond" w:hAnsi="Garamond"/>
          <w:i/>
          <w:iCs/>
          <w:sz w:val="20"/>
          <w:szCs w:val="20"/>
          <w:lang w:val="en-GB"/>
        </w:rPr>
        <w:t>International Investment Law and the Law of Armed Conflict</w:t>
      </w:r>
      <w:r w:rsidR="00E44BF3" w:rsidRPr="00FA5480">
        <w:rPr>
          <w:rFonts w:ascii="Garamond" w:hAnsi="Garamond"/>
          <w:sz w:val="20"/>
          <w:szCs w:val="20"/>
          <w:lang w:val="en-GB"/>
        </w:rPr>
        <w:t xml:space="preserve"> (Springer 2019) </w:t>
      </w:r>
      <w:r w:rsidRPr="00FA5480">
        <w:rPr>
          <w:rFonts w:ascii="Garamond" w:hAnsi="Garamond"/>
          <w:sz w:val="20"/>
          <w:szCs w:val="20"/>
          <w:lang w:val="en-GB"/>
        </w:rPr>
        <w:t>283, 296.</w:t>
      </w:r>
    </w:p>
  </w:footnote>
  <w:footnote w:id="26">
    <w:p w14:paraId="65EF38E3" w14:textId="4A030D0F"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lang w:val="en-GB"/>
        </w:rPr>
        <w:t>Zrilic</w:t>
      </w:r>
      <w:proofErr w:type="spellEnd"/>
      <w:r w:rsidRPr="00FA5480">
        <w:rPr>
          <w:rFonts w:ascii="Garamond" w:hAnsi="Garamond"/>
          <w:lang w:val="en-GB"/>
        </w:rPr>
        <w:t xml:space="preserve">, </w:t>
      </w:r>
      <w:r w:rsidR="00E44BF3" w:rsidRPr="00FA5480">
        <w:rPr>
          <w:rFonts w:ascii="Garamond" w:hAnsi="Garamond"/>
          <w:i/>
          <w:iCs/>
          <w:lang w:val="en-GB"/>
        </w:rPr>
        <w:t xml:space="preserve">The Protection of Foreign Investment, </w:t>
      </w:r>
      <w:r w:rsidRPr="00FA5480">
        <w:rPr>
          <w:rFonts w:ascii="Garamond" w:hAnsi="Garamond"/>
          <w:lang w:val="en-GB"/>
        </w:rPr>
        <w:t xml:space="preserve">22, citing P </w:t>
      </w:r>
      <w:proofErr w:type="spellStart"/>
      <w:r w:rsidRPr="00FA5480">
        <w:rPr>
          <w:rFonts w:ascii="Garamond" w:hAnsi="Garamond"/>
          <w:lang w:val="en-GB"/>
        </w:rPr>
        <w:t>Fauchille</w:t>
      </w:r>
      <w:proofErr w:type="spellEnd"/>
      <w:r w:rsidRPr="00FA5480">
        <w:rPr>
          <w:rFonts w:ascii="Garamond" w:hAnsi="Garamond"/>
          <w:lang w:val="en-GB"/>
        </w:rPr>
        <w:t xml:space="preserve">, Droits Et Devoirs </w:t>
      </w:r>
      <w:proofErr w:type="spellStart"/>
      <w:r w:rsidRPr="00FA5480">
        <w:rPr>
          <w:rFonts w:ascii="Garamond" w:hAnsi="Garamond"/>
          <w:lang w:val="en-GB"/>
        </w:rPr>
        <w:t>En</w:t>
      </w:r>
      <w:proofErr w:type="spellEnd"/>
      <w:r w:rsidRPr="00FA5480">
        <w:rPr>
          <w:rFonts w:ascii="Garamond" w:hAnsi="Garamond"/>
          <w:lang w:val="en-GB"/>
        </w:rPr>
        <w:t xml:space="preserve"> Cas </w:t>
      </w:r>
      <w:proofErr w:type="spellStart"/>
      <w:r w:rsidRPr="00FA5480">
        <w:rPr>
          <w:rFonts w:ascii="Garamond" w:hAnsi="Garamond"/>
          <w:lang w:val="en-GB"/>
        </w:rPr>
        <w:t>D’insurrection</w:t>
      </w:r>
      <w:proofErr w:type="spellEnd"/>
      <w:r w:rsidRPr="00FA5480">
        <w:rPr>
          <w:rFonts w:ascii="Garamond" w:hAnsi="Garamond"/>
          <w:lang w:val="en-GB"/>
        </w:rPr>
        <w:t xml:space="preserve"> (1900) 18 </w:t>
      </w:r>
      <w:proofErr w:type="spellStart"/>
      <w:r w:rsidRPr="00FA5480">
        <w:rPr>
          <w:rFonts w:ascii="Garamond" w:hAnsi="Garamond"/>
          <w:lang w:val="en-GB"/>
        </w:rPr>
        <w:t>Annuaire</w:t>
      </w:r>
      <w:proofErr w:type="spellEnd"/>
      <w:r w:rsidRPr="00FA5480">
        <w:rPr>
          <w:rFonts w:ascii="Garamond" w:hAnsi="Garamond"/>
          <w:lang w:val="en-GB"/>
        </w:rPr>
        <w:t xml:space="preserve"> de </w:t>
      </w:r>
      <w:proofErr w:type="spellStart"/>
      <w:r w:rsidRPr="00FA5480">
        <w:rPr>
          <w:rFonts w:ascii="Garamond" w:hAnsi="Garamond"/>
          <w:lang w:val="en-GB"/>
        </w:rPr>
        <w:t>l’IDI</w:t>
      </w:r>
      <w:proofErr w:type="spellEnd"/>
      <w:r w:rsidRPr="00FA5480">
        <w:rPr>
          <w:rFonts w:ascii="Garamond" w:hAnsi="Garamond"/>
          <w:lang w:val="en-GB"/>
        </w:rPr>
        <w:t xml:space="preserve"> 234.</w:t>
      </w:r>
    </w:p>
  </w:footnote>
  <w:footnote w:id="27">
    <w:p w14:paraId="25663A0D"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22.</w:t>
      </w:r>
    </w:p>
  </w:footnote>
  <w:footnote w:id="28">
    <w:p w14:paraId="5DCDD98A" w14:textId="1F3363ED"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r w:rsidR="00AD3F09" w:rsidRPr="00FA5480">
        <w:rPr>
          <w:rFonts w:ascii="Garamond" w:hAnsi="Garamond"/>
          <w:lang w:val="en-GB"/>
        </w:rPr>
        <w:t xml:space="preserve">Kathryn </w:t>
      </w:r>
      <w:r w:rsidRPr="00FA5480">
        <w:rPr>
          <w:rFonts w:ascii="Garamond" w:hAnsi="Garamond"/>
          <w:lang w:val="en-GB"/>
        </w:rPr>
        <w:t>Greenman</w:t>
      </w:r>
      <w:r w:rsidR="00AD3F09" w:rsidRPr="00FA5480">
        <w:rPr>
          <w:rFonts w:ascii="Garamond" w:hAnsi="Garamond"/>
          <w:lang w:val="en-GB"/>
        </w:rPr>
        <w:t>, ‘</w:t>
      </w:r>
      <w:r w:rsidR="00AD3F09" w:rsidRPr="00FA5480">
        <w:rPr>
          <w:rFonts w:ascii="Garamond" w:hAnsi="Garamond"/>
        </w:rPr>
        <w:t>Protecting foreign investments in revolution and civil war: critiquing the contemporary arbitral practice</w:t>
      </w:r>
      <w:r w:rsidR="00AD3F09" w:rsidRPr="00FA5480">
        <w:rPr>
          <w:rFonts w:ascii="Garamond" w:hAnsi="Garamond"/>
          <w:lang w:val="en-GB"/>
        </w:rPr>
        <w:t xml:space="preserve">’ (2021) 9 </w:t>
      </w:r>
      <w:r w:rsidR="00AD3F09" w:rsidRPr="00FA5480">
        <w:rPr>
          <w:rFonts w:ascii="Garamond" w:hAnsi="Garamond"/>
        </w:rPr>
        <w:t xml:space="preserve">London Review of International Law 293, </w:t>
      </w:r>
      <w:r w:rsidRPr="00FA5480">
        <w:rPr>
          <w:rFonts w:ascii="Garamond" w:hAnsi="Garamond"/>
          <w:lang w:val="en-GB"/>
        </w:rPr>
        <w:t>314</w:t>
      </w:r>
      <w:r w:rsidR="00AD3F09" w:rsidRPr="00FA5480">
        <w:rPr>
          <w:rFonts w:ascii="Garamond" w:hAnsi="Garamond"/>
          <w:lang w:val="en-GB"/>
        </w:rPr>
        <w:t>.</w:t>
      </w:r>
    </w:p>
  </w:footnote>
  <w:footnote w:id="29">
    <w:p w14:paraId="3D1F74A6" w14:textId="30E4C22F" w:rsidR="00E84166" w:rsidRPr="00FA5480" w:rsidRDefault="00000000" w:rsidP="00FA5480">
      <w:pPr>
        <w:pStyle w:val="Text"/>
        <w:spacing w:after="0" w:line="240" w:lineRule="auto"/>
        <w:contextualSpacing/>
        <w:jc w:val="both"/>
        <w:rPr>
          <w:rFonts w:ascii="Garamond" w:hAnsi="Garamond"/>
          <w:sz w:val="20"/>
          <w:szCs w:val="20"/>
          <w:lang w:val="en-GB"/>
        </w:rPr>
      </w:pPr>
      <w:r w:rsidRPr="003B0E6F">
        <w:rPr>
          <w:rStyle w:val="FootnoteReference"/>
        </w:rPr>
        <w:footnoteRef/>
      </w:r>
      <w:r w:rsidRPr="00FA5480">
        <w:rPr>
          <w:rFonts w:ascii="Garamond" w:hAnsi="Garamond"/>
          <w:sz w:val="20"/>
          <w:szCs w:val="20"/>
          <w:lang w:val="en-GB"/>
        </w:rPr>
        <w:t xml:space="preserve"> C </w:t>
      </w:r>
      <w:proofErr w:type="spellStart"/>
      <w:r w:rsidRPr="00FA5480">
        <w:rPr>
          <w:rFonts w:ascii="Garamond" w:hAnsi="Garamond"/>
          <w:sz w:val="20"/>
          <w:szCs w:val="20"/>
          <w:lang w:val="en-GB"/>
        </w:rPr>
        <w:t>Schreuer</w:t>
      </w:r>
      <w:proofErr w:type="spellEnd"/>
      <w:r w:rsidRPr="00FA5480">
        <w:rPr>
          <w:rFonts w:ascii="Garamond" w:hAnsi="Garamond"/>
          <w:sz w:val="20"/>
          <w:szCs w:val="20"/>
          <w:lang w:val="en-GB"/>
        </w:rPr>
        <w:t xml:space="preserve">, ‘War and Peace in International Investment Law’ in K </w:t>
      </w:r>
      <w:proofErr w:type="spellStart"/>
      <w:r w:rsidRPr="00FA5480">
        <w:rPr>
          <w:rFonts w:ascii="Garamond" w:hAnsi="Garamond"/>
          <w:sz w:val="20"/>
          <w:szCs w:val="20"/>
          <w:lang w:val="en-GB"/>
        </w:rPr>
        <w:t>Fach</w:t>
      </w:r>
      <w:proofErr w:type="spellEnd"/>
      <w:r w:rsidRPr="00FA5480">
        <w:rPr>
          <w:rFonts w:ascii="Garamond" w:hAnsi="Garamond"/>
          <w:sz w:val="20"/>
          <w:szCs w:val="20"/>
          <w:lang w:val="en-GB"/>
        </w:rPr>
        <w:t xml:space="preserve"> Gómez et al (eds), </w:t>
      </w:r>
      <w:r w:rsidRPr="00FA5480">
        <w:rPr>
          <w:rFonts w:ascii="Garamond" w:hAnsi="Garamond"/>
          <w:i/>
          <w:iCs/>
          <w:sz w:val="20"/>
          <w:szCs w:val="20"/>
          <w:lang w:val="en-GB"/>
        </w:rPr>
        <w:t>International Investment Law and the Law of Armed Conflict</w:t>
      </w:r>
      <w:r w:rsidRPr="00FA5480">
        <w:rPr>
          <w:rFonts w:ascii="Garamond" w:hAnsi="Garamond"/>
          <w:sz w:val="20"/>
          <w:szCs w:val="20"/>
          <w:lang w:val="en-GB"/>
        </w:rPr>
        <w:t xml:space="preserve"> (Springer 2019) 12</w:t>
      </w:r>
    </w:p>
  </w:footnote>
  <w:footnote w:id="30">
    <w:p w14:paraId="7ACAE542" w14:textId="4AA747F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lang w:val="en-GB"/>
        </w:rPr>
        <w:t>Zrillic</w:t>
      </w:r>
      <w:proofErr w:type="spellEnd"/>
      <w:r w:rsidR="00E44BF3" w:rsidRPr="00FA5480">
        <w:rPr>
          <w:rFonts w:ascii="Garamond" w:hAnsi="Garamond"/>
          <w:lang w:val="en-GB"/>
        </w:rPr>
        <w:t xml:space="preserve">, </w:t>
      </w:r>
      <w:r w:rsidR="00E44BF3" w:rsidRPr="00FA5480">
        <w:rPr>
          <w:rFonts w:ascii="Garamond" w:hAnsi="Garamond"/>
          <w:i/>
          <w:iCs/>
          <w:lang w:val="en-GB"/>
        </w:rPr>
        <w:t xml:space="preserve">The Protection of Foreign </w:t>
      </w:r>
      <w:proofErr w:type="gramStart"/>
      <w:r w:rsidR="00E44BF3" w:rsidRPr="00FA5480">
        <w:rPr>
          <w:rFonts w:ascii="Garamond" w:hAnsi="Garamond"/>
          <w:i/>
          <w:iCs/>
          <w:lang w:val="en-GB"/>
        </w:rPr>
        <w:t xml:space="preserve">Investment, </w:t>
      </w:r>
      <w:r w:rsidRPr="00FA5480">
        <w:rPr>
          <w:rFonts w:ascii="Garamond" w:hAnsi="Garamond"/>
          <w:lang w:val="en-GB"/>
        </w:rPr>
        <w:t xml:space="preserve"> 1</w:t>
      </w:r>
      <w:proofErr w:type="gramEnd"/>
      <w:r w:rsidR="00E44BF3" w:rsidRPr="00FA5480">
        <w:rPr>
          <w:rFonts w:ascii="Garamond" w:hAnsi="Garamond"/>
          <w:lang w:val="en-GB"/>
        </w:rPr>
        <w:t>.</w:t>
      </w:r>
    </w:p>
  </w:footnote>
  <w:footnote w:id="31">
    <w:p w14:paraId="54CA16D4" w14:textId="27CAA3DE"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102</w:t>
      </w:r>
      <w:r w:rsidR="00E44BF3" w:rsidRPr="00FA5480">
        <w:rPr>
          <w:rFonts w:ascii="Garamond" w:hAnsi="Garamond"/>
          <w:lang w:val="en-GB"/>
        </w:rPr>
        <w:t>.</w:t>
      </w:r>
    </w:p>
  </w:footnote>
  <w:footnote w:id="32">
    <w:p w14:paraId="67DA949C" w14:textId="23FD495A"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103</w:t>
      </w:r>
      <w:r w:rsidR="00E44BF3" w:rsidRPr="00FA5480">
        <w:rPr>
          <w:rFonts w:ascii="Garamond" w:hAnsi="Garamond"/>
          <w:lang w:val="en-GB"/>
        </w:rPr>
        <w:t>.</w:t>
      </w:r>
    </w:p>
  </w:footnote>
  <w:footnote w:id="33">
    <w:p w14:paraId="6562DACD" w14:textId="379627D2" w:rsidR="008B335B" w:rsidRPr="00FA5480" w:rsidRDefault="008B335B"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104, quoting </w:t>
      </w:r>
      <w:r w:rsidR="00E44BF3" w:rsidRPr="00FA5480">
        <w:rPr>
          <w:rFonts w:ascii="Garamond" w:hAnsi="Garamond"/>
          <w:lang w:val="en-GB"/>
        </w:rPr>
        <w:t xml:space="preserve">A </w:t>
      </w:r>
      <w:r w:rsidRPr="00FA5480">
        <w:rPr>
          <w:rFonts w:ascii="Garamond" w:hAnsi="Garamond"/>
          <w:lang w:val="en-GB"/>
        </w:rPr>
        <w:t xml:space="preserve">Newcombe </w:t>
      </w:r>
      <w:r w:rsidR="00E44BF3" w:rsidRPr="00FA5480">
        <w:rPr>
          <w:rFonts w:ascii="Garamond" w:hAnsi="Garamond"/>
          <w:lang w:val="en-GB"/>
        </w:rPr>
        <w:t xml:space="preserve">and L </w:t>
      </w:r>
      <w:proofErr w:type="spellStart"/>
      <w:r w:rsidR="00E44BF3" w:rsidRPr="00FA5480">
        <w:rPr>
          <w:rFonts w:ascii="Garamond" w:hAnsi="Garamond"/>
          <w:lang w:val="en-GB"/>
        </w:rPr>
        <w:t>P</w:t>
      </w:r>
      <w:r w:rsidRPr="00FA5480">
        <w:rPr>
          <w:rFonts w:ascii="Garamond" w:hAnsi="Garamond"/>
          <w:lang w:val="en-GB"/>
        </w:rPr>
        <w:t>aradell</w:t>
      </w:r>
      <w:proofErr w:type="spellEnd"/>
      <w:r w:rsidR="00E44BF3" w:rsidRPr="00FA5480">
        <w:rPr>
          <w:rFonts w:ascii="Garamond" w:hAnsi="Garamond"/>
          <w:lang w:val="en-GB"/>
        </w:rPr>
        <w:t xml:space="preserve">, </w:t>
      </w:r>
      <w:r w:rsidR="00E44BF3" w:rsidRPr="00FA5480">
        <w:rPr>
          <w:rFonts w:ascii="Garamond" w:hAnsi="Garamond"/>
          <w:i/>
          <w:iCs/>
          <w:lang w:val="en-GB"/>
        </w:rPr>
        <w:t>Law and Practice of Investment Treaties</w:t>
      </w:r>
      <w:r w:rsidR="00E44BF3" w:rsidRPr="00FA5480">
        <w:rPr>
          <w:rFonts w:ascii="Garamond" w:hAnsi="Garamond"/>
          <w:lang w:val="en-GB"/>
        </w:rPr>
        <w:t xml:space="preserve"> (2009)</w:t>
      </w:r>
      <w:r w:rsidRPr="00FA5480">
        <w:rPr>
          <w:rFonts w:ascii="Garamond" w:hAnsi="Garamond"/>
          <w:lang w:val="en-GB"/>
        </w:rPr>
        <w:t xml:space="preserve"> 504</w:t>
      </w:r>
      <w:r w:rsidR="00E44BF3" w:rsidRPr="00FA5480">
        <w:rPr>
          <w:rFonts w:ascii="Garamond" w:hAnsi="Garamond"/>
          <w:lang w:val="en-GB"/>
        </w:rPr>
        <w:t>.</w:t>
      </w:r>
    </w:p>
  </w:footnote>
  <w:footnote w:id="34">
    <w:p w14:paraId="47841D75" w14:textId="1682823A"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104</w:t>
      </w:r>
      <w:r w:rsidR="00E44BF3" w:rsidRPr="00FA5480">
        <w:rPr>
          <w:rFonts w:ascii="Garamond" w:hAnsi="Garamond"/>
          <w:lang w:val="en-GB"/>
        </w:rPr>
        <w:t>.</w:t>
      </w:r>
    </w:p>
  </w:footnote>
  <w:footnote w:id="35">
    <w:p w14:paraId="326AE3DA" w14:textId="77777777" w:rsidR="00E84166" w:rsidRPr="00FA5480" w:rsidRDefault="00000000" w:rsidP="00FA5480">
      <w:pPr>
        <w:pStyle w:val="Text"/>
        <w:widowControl w:val="0"/>
        <w:spacing w:after="0" w:line="240" w:lineRule="auto"/>
        <w:contextualSpacing/>
        <w:jc w:val="both"/>
        <w:rPr>
          <w:rFonts w:ascii="Garamond" w:hAnsi="Garamond"/>
          <w:sz w:val="20"/>
          <w:szCs w:val="20"/>
          <w:lang w:val="en-GB"/>
        </w:rPr>
      </w:pPr>
      <w:r w:rsidRPr="003B0E6F">
        <w:rPr>
          <w:rStyle w:val="FootnoteReference"/>
        </w:rPr>
        <w:footnoteRef/>
      </w:r>
      <w:r w:rsidRPr="00FA5480">
        <w:rPr>
          <w:rFonts w:ascii="Garamond" w:hAnsi="Garamond"/>
          <w:sz w:val="20"/>
          <w:szCs w:val="20"/>
          <w:lang w:val="en-GB"/>
        </w:rPr>
        <w:t xml:space="preserve"> Ibid 104, citing </w:t>
      </w:r>
      <w:proofErr w:type="spellStart"/>
      <w:r w:rsidRPr="00FA5480">
        <w:rPr>
          <w:rFonts w:ascii="Garamond" w:hAnsi="Garamond"/>
          <w:i/>
          <w:iCs/>
          <w:sz w:val="20"/>
          <w:szCs w:val="20"/>
          <w:lang w:val="en-GB"/>
        </w:rPr>
        <w:t>Pantechniki</w:t>
      </w:r>
      <w:proofErr w:type="spellEnd"/>
      <w:r w:rsidRPr="00FA5480">
        <w:rPr>
          <w:rFonts w:ascii="Garamond" w:hAnsi="Garamond"/>
          <w:sz w:val="20"/>
          <w:szCs w:val="20"/>
          <w:lang w:val="en-GB"/>
        </w:rPr>
        <w:t xml:space="preserve"> </w:t>
      </w:r>
      <w:r w:rsidRPr="00FA5480">
        <w:rPr>
          <w:rFonts w:ascii="Garamond" w:hAnsi="Garamond"/>
          <w:i/>
          <w:iCs/>
          <w:sz w:val="20"/>
          <w:szCs w:val="20"/>
          <w:lang w:val="en-GB"/>
        </w:rPr>
        <w:t>SA Contractors and Engineers v Albania</w:t>
      </w:r>
      <w:r w:rsidRPr="00FA5480">
        <w:rPr>
          <w:rFonts w:ascii="Garamond" w:hAnsi="Garamond"/>
          <w:sz w:val="20"/>
          <w:szCs w:val="20"/>
          <w:lang w:val="en-GB"/>
        </w:rPr>
        <w:t>, Award, 28 July 2009 (ICSID Case No ARB/07/21) para 77.</w:t>
      </w:r>
    </w:p>
  </w:footnote>
  <w:footnote w:id="36">
    <w:p w14:paraId="49B3ED93" w14:textId="52FA4044" w:rsidR="00E84166" w:rsidRPr="00FA5480" w:rsidRDefault="00000000" w:rsidP="00FA5480">
      <w:pPr>
        <w:pStyle w:val="Text"/>
        <w:spacing w:after="0" w:line="240" w:lineRule="auto"/>
        <w:contextualSpacing/>
        <w:jc w:val="both"/>
        <w:rPr>
          <w:rFonts w:ascii="Garamond" w:hAnsi="Garamond"/>
          <w:sz w:val="20"/>
          <w:szCs w:val="20"/>
          <w:lang w:val="en-GB"/>
        </w:rPr>
      </w:pPr>
      <w:r w:rsidRPr="003B0E6F">
        <w:rPr>
          <w:rStyle w:val="FootnoteReference"/>
        </w:rPr>
        <w:footnoteRef/>
      </w:r>
      <w:r w:rsidRPr="00FA5480">
        <w:rPr>
          <w:rFonts w:ascii="Garamond" w:hAnsi="Garamond"/>
          <w:sz w:val="20"/>
          <w:szCs w:val="20"/>
          <w:lang w:val="en-GB"/>
        </w:rPr>
        <w:t xml:space="preserve"> Ira </w:t>
      </w:r>
      <w:proofErr w:type="spellStart"/>
      <w:r w:rsidRPr="00FA5480">
        <w:rPr>
          <w:rFonts w:ascii="Garamond" w:hAnsi="Garamond"/>
          <w:sz w:val="20"/>
          <w:szCs w:val="20"/>
          <w:lang w:val="en-GB"/>
        </w:rPr>
        <w:t>Ryk-Lakhman</w:t>
      </w:r>
      <w:proofErr w:type="spellEnd"/>
      <w:r w:rsidRPr="00FA5480">
        <w:rPr>
          <w:rFonts w:ascii="Garamond" w:hAnsi="Garamond"/>
          <w:sz w:val="20"/>
          <w:szCs w:val="20"/>
          <w:lang w:val="en-GB"/>
        </w:rPr>
        <w:t xml:space="preserve">, ‘Protection of Foreign Investments Against the Effects of Hostilities: A Framework for Assessing Compliance with Full Protection and Security’ in K </w:t>
      </w:r>
      <w:proofErr w:type="spellStart"/>
      <w:r w:rsidRPr="00FA5480">
        <w:rPr>
          <w:rFonts w:ascii="Garamond" w:hAnsi="Garamond"/>
          <w:sz w:val="20"/>
          <w:szCs w:val="20"/>
          <w:lang w:val="en-GB"/>
        </w:rPr>
        <w:t>Fach</w:t>
      </w:r>
      <w:proofErr w:type="spellEnd"/>
      <w:r w:rsidRPr="00FA5480">
        <w:rPr>
          <w:rFonts w:ascii="Garamond" w:hAnsi="Garamond"/>
          <w:sz w:val="20"/>
          <w:szCs w:val="20"/>
          <w:lang w:val="en-GB"/>
        </w:rPr>
        <w:t xml:space="preserve"> Gómez et al (eds), </w:t>
      </w:r>
      <w:r w:rsidRPr="00FA5480">
        <w:rPr>
          <w:rFonts w:ascii="Garamond" w:hAnsi="Garamond"/>
          <w:i/>
          <w:iCs/>
          <w:sz w:val="20"/>
          <w:szCs w:val="20"/>
          <w:lang w:val="en-GB"/>
        </w:rPr>
        <w:t>International Investment Law and the Law of Armed Conflict</w:t>
      </w:r>
      <w:r w:rsidRPr="00FA5480">
        <w:rPr>
          <w:rFonts w:ascii="Garamond" w:hAnsi="Garamond"/>
          <w:sz w:val="20"/>
          <w:szCs w:val="20"/>
          <w:lang w:val="en-GB"/>
        </w:rPr>
        <w:t xml:space="preserve"> (Springer 2019) 259.</w:t>
      </w:r>
    </w:p>
  </w:footnote>
  <w:footnote w:id="37">
    <w:p w14:paraId="16ADEFE7"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279</w:t>
      </w:r>
    </w:p>
  </w:footnote>
  <w:footnote w:id="38">
    <w:p w14:paraId="36D3556E" w14:textId="6739C794" w:rsidR="008C1CD2" w:rsidRPr="00FA5480" w:rsidRDefault="008C1CD2"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r w:rsidR="00E44BF3" w:rsidRPr="00FA5480">
        <w:rPr>
          <w:rFonts w:ascii="Garamond" w:hAnsi="Garamond"/>
          <w:lang w:val="en-GB"/>
        </w:rPr>
        <w:t xml:space="preserve">Sébastien </w:t>
      </w:r>
      <w:proofErr w:type="spellStart"/>
      <w:r w:rsidR="00E44BF3" w:rsidRPr="00FA5480">
        <w:rPr>
          <w:rFonts w:ascii="Garamond" w:hAnsi="Garamond"/>
          <w:lang w:val="en-GB"/>
        </w:rPr>
        <w:t>Manciaux</w:t>
      </w:r>
      <w:proofErr w:type="spellEnd"/>
      <w:r w:rsidR="00E44BF3" w:rsidRPr="00FA5480">
        <w:rPr>
          <w:rFonts w:ascii="Garamond" w:hAnsi="Garamond"/>
          <w:lang w:val="en-GB"/>
        </w:rPr>
        <w:t xml:space="preserve">, ‘The Full Protection and Security Standard in Investment Law: A Specific Obligation?’ in K </w:t>
      </w:r>
      <w:proofErr w:type="spellStart"/>
      <w:r w:rsidR="00E44BF3" w:rsidRPr="00FA5480">
        <w:rPr>
          <w:rFonts w:ascii="Garamond" w:hAnsi="Garamond"/>
          <w:lang w:val="en-GB"/>
        </w:rPr>
        <w:t>Fach</w:t>
      </w:r>
      <w:proofErr w:type="spellEnd"/>
      <w:r w:rsidR="00E44BF3" w:rsidRPr="00FA5480">
        <w:rPr>
          <w:rFonts w:ascii="Garamond" w:hAnsi="Garamond"/>
          <w:lang w:val="en-GB"/>
        </w:rPr>
        <w:t xml:space="preserve"> Gómez et al (eds), </w:t>
      </w:r>
      <w:r w:rsidR="00E44BF3" w:rsidRPr="00FA5480">
        <w:rPr>
          <w:rFonts w:ascii="Garamond" w:hAnsi="Garamond"/>
          <w:i/>
          <w:iCs/>
          <w:lang w:val="en-GB"/>
        </w:rPr>
        <w:t>International Investment Law and the Law of Armed Conflict</w:t>
      </w:r>
      <w:r w:rsidR="00E44BF3" w:rsidRPr="00FA5480">
        <w:rPr>
          <w:rFonts w:ascii="Garamond" w:hAnsi="Garamond"/>
          <w:lang w:val="en-GB"/>
        </w:rPr>
        <w:t>, (Springer 2019) 217, 223.</w:t>
      </w:r>
    </w:p>
  </w:footnote>
  <w:footnote w:id="39">
    <w:p w14:paraId="29D9400B" w14:textId="3D23F3C4"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r w:rsidR="00E44BF3" w:rsidRPr="00FA5480">
        <w:rPr>
          <w:rFonts w:ascii="Garamond" w:hAnsi="Garamond"/>
          <w:lang w:val="en-GB"/>
        </w:rPr>
        <w:t xml:space="preserve">Ibid </w:t>
      </w:r>
      <w:r w:rsidRPr="00FA5480">
        <w:rPr>
          <w:rFonts w:ascii="Garamond" w:hAnsi="Garamond"/>
          <w:lang w:val="en-GB"/>
        </w:rPr>
        <w:t>224.</w:t>
      </w:r>
    </w:p>
  </w:footnote>
  <w:footnote w:id="40">
    <w:p w14:paraId="150A52D5"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lang w:val="en-GB"/>
        </w:rPr>
        <w:t>Ryk-Lakhman</w:t>
      </w:r>
      <w:proofErr w:type="spellEnd"/>
      <w:r w:rsidRPr="00FA5480">
        <w:rPr>
          <w:rFonts w:ascii="Garamond" w:hAnsi="Garamond"/>
          <w:lang w:val="en-GB"/>
        </w:rPr>
        <w:t>, ‘Protection of Foreign Investments Against the Effects of Hostilities,’ 275.</w:t>
      </w:r>
    </w:p>
  </w:footnote>
  <w:footnote w:id="41">
    <w:p w14:paraId="48187465"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278.</w:t>
      </w:r>
    </w:p>
  </w:footnote>
  <w:footnote w:id="42">
    <w:p w14:paraId="6D361750" w14:textId="0892A753" w:rsidR="00E84166" w:rsidRPr="00FA5480" w:rsidRDefault="00000000" w:rsidP="00FA5480">
      <w:pPr>
        <w:pStyle w:val="Text"/>
        <w:spacing w:after="0" w:line="240" w:lineRule="auto"/>
        <w:contextualSpacing/>
        <w:jc w:val="both"/>
        <w:rPr>
          <w:rFonts w:ascii="Garamond" w:hAnsi="Garamond"/>
          <w:sz w:val="20"/>
          <w:szCs w:val="20"/>
          <w:lang w:val="en-GB"/>
        </w:rPr>
      </w:pPr>
      <w:r w:rsidRPr="003B0E6F">
        <w:rPr>
          <w:rStyle w:val="FootnoteReference"/>
        </w:rPr>
        <w:footnoteRef/>
      </w:r>
      <w:r w:rsidRPr="00FA5480">
        <w:rPr>
          <w:rFonts w:ascii="Garamond" w:hAnsi="Garamond"/>
          <w:sz w:val="20"/>
          <w:szCs w:val="20"/>
          <w:lang w:val="en-GB"/>
        </w:rPr>
        <w:t xml:space="preserve"> Laura Rees Evans, Litigating the Use of Force: Reflections on the Interaction Between Investor-State Dispute Settlement and Other Forms of International Dispute Settlement in the Context of the Conflict in Ukraine’ in K </w:t>
      </w:r>
      <w:proofErr w:type="spellStart"/>
      <w:r w:rsidRPr="00FA5480">
        <w:rPr>
          <w:rFonts w:ascii="Garamond" w:hAnsi="Garamond"/>
          <w:sz w:val="20"/>
          <w:szCs w:val="20"/>
          <w:lang w:val="en-GB"/>
        </w:rPr>
        <w:t>Fach</w:t>
      </w:r>
      <w:proofErr w:type="spellEnd"/>
      <w:r w:rsidRPr="00FA5480">
        <w:rPr>
          <w:rFonts w:ascii="Garamond" w:hAnsi="Garamond"/>
          <w:sz w:val="20"/>
          <w:szCs w:val="20"/>
          <w:lang w:val="en-GB"/>
        </w:rPr>
        <w:t xml:space="preserve"> Gómez et al (eds), </w:t>
      </w:r>
      <w:r w:rsidRPr="00FA5480">
        <w:rPr>
          <w:rFonts w:ascii="Garamond" w:hAnsi="Garamond"/>
          <w:i/>
          <w:iCs/>
          <w:sz w:val="20"/>
          <w:szCs w:val="20"/>
          <w:lang w:val="en-GB"/>
        </w:rPr>
        <w:t>International Investment Law and the Law of Armed Conflict</w:t>
      </w:r>
      <w:r w:rsidRPr="00FA5480">
        <w:rPr>
          <w:rFonts w:ascii="Garamond" w:hAnsi="Garamond"/>
          <w:sz w:val="20"/>
          <w:szCs w:val="20"/>
          <w:lang w:val="en-GB"/>
        </w:rPr>
        <w:t xml:space="preserve"> (Springer 2019) 192.</w:t>
      </w:r>
    </w:p>
  </w:footnote>
  <w:footnote w:id="43">
    <w:p w14:paraId="4F2942FC" w14:textId="4633DBD1" w:rsidR="00E84166" w:rsidRPr="00FA5480" w:rsidRDefault="00000000" w:rsidP="00FA5480">
      <w:pPr>
        <w:pStyle w:val="Text"/>
        <w:spacing w:after="0" w:line="240" w:lineRule="auto"/>
        <w:contextualSpacing/>
        <w:jc w:val="both"/>
        <w:rPr>
          <w:rFonts w:ascii="Garamond" w:hAnsi="Garamond"/>
          <w:sz w:val="20"/>
          <w:szCs w:val="20"/>
          <w:lang w:val="en-GB"/>
        </w:rPr>
      </w:pPr>
      <w:r w:rsidRPr="003B0E6F">
        <w:rPr>
          <w:rStyle w:val="FootnoteReference"/>
        </w:rPr>
        <w:footnoteRef/>
      </w:r>
      <w:r w:rsidRPr="00FA5480">
        <w:rPr>
          <w:rFonts w:ascii="Garamond" w:hAnsi="Garamond"/>
          <w:sz w:val="20"/>
          <w:szCs w:val="20"/>
          <w:lang w:val="en-GB"/>
        </w:rPr>
        <w:t xml:space="preserve"> Tobias Ackermann, ‘Investments Under Occupation: The Application of Investment Treaties to Occupied Territory’ in K </w:t>
      </w:r>
      <w:proofErr w:type="spellStart"/>
      <w:r w:rsidRPr="00FA5480">
        <w:rPr>
          <w:rFonts w:ascii="Garamond" w:hAnsi="Garamond"/>
          <w:sz w:val="20"/>
          <w:szCs w:val="20"/>
          <w:lang w:val="en-GB"/>
        </w:rPr>
        <w:t>Fach</w:t>
      </w:r>
      <w:proofErr w:type="spellEnd"/>
      <w:r w:rsidRPr="00FA5480">
        <w:rPr>
          <w:rFonts w:ascii="Garamond" w:hAnsi="Garamond"/>
          <w:sz w:val="20"/>
          <w:szCs w:val="20"/>
          <w:lang w:val="en-GB"/>
        </w:rPr>
        <w:t xml:space="preserve"> Gómez et al (eds), </w:t>
      </w:r>
      <w:r w:rsidRPr="00FA5480">
        <w:rPr>
          <w:rFonts w:ascii="Garamond" w:hAnsi="Garamond"/>
          <w:i/>
          <w:iCs/>
          <w:sz w:val="20"/>
          <w:szCs w:val="20"/>
          <w:lang w:val="en-GB"/>
        </w:rPr>
        <w:t>International Investment Law and the Law of Armed Conflict</w:t>
      </w:r>
      <w:r w:rsidRPr="00FA5480">
        <w:rPr>
          <w:rFonts w:ascii="Garamond" w:hAnsi="Garamond"/>
          <w:sz w:val="20"/>
          <w:szCs w:val="20"/>
          <w:lang w:val="en-GB"/>
        </w:rPr>
        <w:t xml:space="preserve"> (Springer 2019) 67, 68.</w:t>
      </w:r>
    </w:p>
  </w:footnote>
  <w:footnote w:id="44">
    <w:p w14:paraId="7CFB9F2D" w14:textId="6CFA9AE4"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89</w:t>
      </w:r>
      <w:r w:rsidR="00964C11" w:rsidRPr="00FA5480">
        <w:rPr>
          <w:rFonts w:ascii="Garamond" w:hAnsi="Garamond"/>
          <w:lang w:val="en-GB"/>
        </w:rPr>
        <w:t>.</w:t>
      </w:r>
    </w:p>
  </w:footnote>
  <w:footnote w:id="45">
    <w:p w14:paraId="5C16752F"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lang w:val="en-GB"/>
        </w:rPr>
        <w:t>Zrilic</w:t>
      </w:r>
      <w:proofErr w:type="spellEnd"/>
      <w:r w:rsidRPr="00FA5480">
        <w:rPr>
          <w:rFonts w:ascii="Garamond" w:hAnsi="Garamond"/>
          <w:lang w:val="en-GB"/>
        </w:rPr>
        <w:t xml:space="preserve">, </w:t>
      </w:r>
      <w:r w:rsidRPr="00FA5480">
        <w:rPr>
          <w:rFonts w:ascii="Garamond" w:hAnsi="Garamond"/>
          <w:i/>
          <w:iCs/>
          <w:lang w:val="en-GB"/>
        </w:rPr>
        <w:t>The Protection of Foreign Investment in Times of Armed Conflict</w:t>
      </w:r>
      <w:r w:rsidRPr="00FA5480">
        <w:rPr>
          <w:rFonts w:ascii="Garamond" w:hAnsi="Garamond"/>
          <w:lang w:val="en-GB"/>
        </w:rPr>
        <w:t>, 11</w:t>
      </w:r>
      <w:r w:rsidRPr="00FA5480">
        <w:rPr>
          <w:rFonts w:ascii="Garamond" w:hAnsi="Garamond"/>
          <w:i/>
          <w:iCs/>
          <w:lang w:val="en-GB"/>
        </w:rPr>
        <w:t>.</w:t>
      </w:r>
    </w:p>
  </w:footnote>
  <w:footnote w:id="46">
    <w:p w14:paraId="649A8562"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r w:rsidRPr="00FA5480">
        <w:rPr>
          <w:rFonts w:ascii="Garamond" w:hAnsi="Garamond"/>
          <w:i/>
          <w:iCs/>
          <w:lang w:val="en-GB"/>
        </w:rPr>
        <w:t>Bear Creek Mining v Peru</w:t>
      </w:r>
      <w:r w:rsidRPr="00FA5480">
        <w:rPr>
          <w:rFonts w:ascii="Garamond" w:hAnsi="Garamond"/>
          <w:lang w:val="en-GB"/>
        </w:rPr>
        <w:t xml:space="preserve">, ICSID Case No ARB/14/21, Award (30 November 2017), para 152. </w:t>
      </w:r>
    </w:p>
  </w:footnote>
  <w:footnote w:id="47">
    <w:p w14:paraId="16FBDD5E"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See </w:t>
      </w:r>
      <w:r w:rsidRPr="00FA5480">
        <w:rPr>
          <w:rFonts w:ascii="Garamond" w:hAnsi="Garamond"/>
          <w:i/>
          <w:iCs/>
          <w:lang w:val="en-GB"/>
        </w:rPr>
        <w:t>Bear Creek Mining v Peru</w:t>
      </w:r>
      <w:r w:rsidRPr="00FA5480">
        <w:rPr>
          <w:rFonts w:ascii="Garamond" w:hAnsi="Garamond"/>
          <w:lang w:val="en-GB"/>
        </w:rPr>
        <w:t xml:space="preserve">, Award, paras 150–174; </w:t>
      </w:r>
      <w:r w:rsidRPr="00FA5480">
        <w:rPr>
          <w:rFonts w:ascii="Garamond" w:hAnsi="Garamond"/>
          <w:i/>
          <w:iCs/>
          <w:lang w:val="en-GB"/>
        </w:rPr>
        <w:t>Bear Creek Mining v Peru</w:t>
      </w:r>
      <w:r w:rsidRPr="00FA5480">
        <w:rPr>
          <w:rFonts w:ascii="Garamond" w:hAnsi="Garamond"/>
          <w:lang w:val="en-GB"/>
        </w:rPr>
        <w:t>, Dissenting Opinion of Phillipe Sands, paras 16–18.</w:t>
      </w:r>
    </w:p>
  </w:footnote>
  <w:footnote w:id="48">
    <w:p w14:paraId="57680DAE"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paras 172–201.</w:t>
      </w:r>
    </w:p>
  </w:footnote>
  <w:footnote w:id="49">
    <w:p w14:paraId="4DE19E55"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paras 189–98.</w:t>
      </w:r>
    </w:p>
  </w:footnote>
  <w:footnote w:id="50">
    <w:p w14:paraId="6383FFB7"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paras 201–02.</w:t>
      </w:r>
    </w:p>
  </w:footnote>
  <w:footnote w:id="51">
    <w:p w14:paraId="59F5EB57"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para 406.</w:t>
      </w:r>
    </w:p>
  </w:footnote>
  <w:footnote w:id="52">
    <w:p w14:paraId="4A525CF8"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para 411.</w:t>
      </w:r>
    </w:p>
  </w:footnote>
  <w:footnote w:id="53">
    <w:p w14:paraId="54C5734E"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para 35.</w:t>
      </w:r>
    </w:p>
  </w:footnote>
  <w:footnote w:id="54">
    <w:p w14:paraId="35E54FAD"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paras 38–39.</w:t>
      </w:r>
    </w:p>
  </w:footnote>
  <w:footnote w:id="55">
    <w:p w14:paraId="392E7F9B" w14:textId="08CC0881" w:rsidR="00E84166" w:rsidRPr="00FA5480" w:rsidRDefault="00000000" w:rsidP="00FA5480">
      <w:pPr>
        <w:pStyle w:val="Text"/>
        <w:spacing w:after="0" w:line="240" w:lineRule="auto"/>
        <w:contextualSpacing/>
        <w:jc w:val="both"/>
        <w:rPr>
          <w:rFonts w:ascii="Garamond" w:hAnsi="Garamond"/>
          <w:sz w:val="20"/>
          <w:szCs w:val="20"/>
          <w:lang w:val="en-GB"/>
        </w:rPr>
      </w:pPr>
      <w:r w:rsidRPr="003B0E6F">
        <w:rPr>
          <w:rStyle w:val="FootnoteReference"/>
        </w:rPr>
        <w:footnoteRef/>
      </w:r>
      <w:r w:rsidRPr="00FA5480">
        <w:rPr>
          <w:rFonts w:ascii="Garamond" w:hAnsi="Garamond"/>
          <w:sz w:val="20"/>
          <w:szCs w:val="20"/>
          <w:lang w:val="en-GB"/>
        </w:rPr>
        <w:t xml:space="preserve"> </w:t>
      </w:r>
      <w:proofErr w:type="spellStart"/>
      <w:r w:rsidRPr="00FA5480">
        <w:rPr>
          <w:rFonts w:ascii="Garamond" w:hAnsi="Garamond"/>
          <w:sz w:val="20"/>
          <w:szCs w:val="20"/>
          <w:lang w:val="en-GB"/>
        </w:rPr>
        <w:t>Merryl</w:t>
      </w:r>
      <w:proofErr w:type="spellEnd"/>
      <w:r w:rsidRPr="00FA5480">
        <w:rPr>
          <w:rFonts w:ascii="Garamond" w:hAnsi="Garamond"/>
          <w:sz w:val="20"/>
          <w:szCs w:val="20"/>
          <w:lang w:val="en-GB"/>
        </w:rPr>
        <w:t xml:space="preserve"> Lawry-White, ‘International Investment Arbitration and Non-binding Standards Applicable in Conflict: Parallel or Merging Worlds?’ in </w:t>
      </w:r>
      <w:r w:rsidR="00964C11" w:rsidRPr="00FA5480">
        <w:rPr>
          <w:rFonts w:ascii="Garamond" w:hAnsi="Garamond"/>
          <w:sz w:val="20"/>
          <w:szCs w:val="20"/>
          <w:lang w:val="en-GB"/>
        </w:rPr>
        <w:t xml:space="preserve">K </w:t>
      </w:r>
      <w:proofErr w:type="spellStart"/>
      <w:r w:rsidR="00964C11" w:rsidRPr="00FA5480">
        <w:rPr>
          <w:rFonts w:ascii="Garamond" w:hAnsi="Garamond"/>
          <w:sz w:val="20"/>
          <w:szCs w:val="20"/>
          <w:lang w:val="en-GB"/>
        </w:rPr>
        <w:t>Fach</w:t>
      </w:r>
      <w:proofErr w:type="spellEnd"/>
      <w:r w:rsidR="00964C11" w:rsidRPr="00FA5480">
        <w:rPr>
          <w:rFonts w:ascii="Garamond" w:hAnsi="Garamond"/>
          <w:sz w:val="20"/>
          <w:szCs w:val="20"/>
          <w:lang w:val="en-GB"/>
        </w:rPr>
        <w:t xml:space="preserve"> Gómez et al (eds), </w:t>
      </w:r>
      <w:r w:rsidR="00964C11" w:rsidRPr="00FA5480">
        <w:rPr>
          <w:rFonts w:ascii="Garamond" w:hAnsi="Garamond"/>
          <w:i/>
          <w:iCs/>
          <w:sz w:val="20"/>
          <w:szCs w:val="20"/>
          <w:lang w:val="en-GB"/>
        </w:rPr>
        <w:t>International Investment Law and the Law of Armed Conflict</w:t>
      </w:r>
      <w:r w:rsidR="00964C11" w:rsidRPr="00FA5480">
        <w:rPr>
          <w:rFonts w:ascii="Garamond" w:hAnsi="Garamond"/>
          <w:sz w:val="20"/>
          <w:szCs w:val="20"/>
          <w:lang w:val="en-GB"/>
        </w:rPr>
        <w:t xml:space="preserve"> (Springer 2019) </w:t>
      </w:r>
      <w:r w:rsidRPr="00FA5480">
        <w:rPr>
          <w:rFonts w:ascii="Garamond" w:hAnsi="Garamond"/>
          <w:sz w:val="20"/>
          <w:szCs w:val="20"/>
          <w:lang w:val="en-GB"/>
        </w:rPr>
        <w:t>411</w:t>
      </w:r>
      <w:r w:rsidR="00964C11" w:rsidRPr="00FA5480">
        <w:rPr>
          <w:rFonts w:ascii="Garamond" w:hAnsi="Garamond"/>
          <w:sz w:val="20"/>
          <w:szCs w:val="20"/>
          <w:lang w:val="en-GB"/>
        </w:rPr>
        <w:t>.</w:t>
      </w:r>
    </w:p>
  </w:footnote>
  <w:footnote w:id="56">
    <w:p w14:paraId="47E23C64"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436</w:t>
      </w:r>
    </w:p>
  </w:footnote>
  <w:footnote w:id="57">
    <w:p w14:paraId="4D33B56C" w14:textId="166EE241"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D </w:t>
      </w:r>
      <w:proofErr w:type="spellStart"/>
      <w:r w:rsidRPr="00FA5480">
        <w:rPr>
          <w:rFonts w:ascii="Garamond" w:hAnsi="Garamond"/>
          <w:lang w:val="en-GB"/>
        </w:rPr>
        <w:t>Davitti</w:t>
      </w:r>
      <w:proofErr w:type="spellEnd"/>
      <w:r w:rsidRPr="00FA5480">
        <w:rPr>
          <w:rFonts w:ascii="Garamond" w:hAnsi="Garamond"/>
          <w:lang w:val="en-GB"/>
        </w:rPr>
        <w:t xml:space="preserve">, </w:t>
      </w:r>
      <w:r w:rsidRPr="00FA5480">
        <w:rPr>
          <w:rFonts w:ascii="Garamond" w:hAnsi="Garamond"/>
          <w:i/>
          <w:iCs/>
          <w:lang w:val="en-GB"/>
        </w:rPr>
        <w:t>Investment and Human Rights in Armed Conflict: Charting an Elusive Intersection</w:t>
      </w:r>
      <w:r w:rsidRPr="00FA5480">
        <w:rPr>
          <w:rFonts w:ascii="Garamond" w:hAnsi="Garamond"/>
          <w:lang w:val="en-GB"/>
        </w:rPr>
        <w:t xml:space="preserve"> (Hart Publishing 2019) 20, citing DB </w:t>
      </w:r>
      <w:proofErr w:type="spellStart"/>
      <w:r w:rsidRPr="00FA5480">
        <w:rPr>
          <w:rFonts w:ascii="Garamond" w:hAnsi="Garamond"/>
          <w:lang w:val="en-GB"/>
        </w:rPr>
        <w:t>Subedi</w:t>
      </w:r>
      <w:proofErr w:type="spellEnd"/>
      <w:r w:rsidRPr="00FA5480">
        <w:rPr>
          <w:rFonts w:ascii="Garamond" w:hAnsi="Garamond"/>
          <w:lang w:val="en-GB"/>
        </w:rPr>
        <w:t>, Pro-peace Entrepreneur or Conflict Profiteer? Critical perspective on the Private Sector and Peacebuilding in Nepal’ (2013) Peace and Change 181,182</w:t>
      </w:r>
    </w:p>
  </w:footnote>
  <w:footnote w:id="58">
    <w:p w14:paraId="53C3DC0E" w14:textId="36EAA39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21</w:t>
      </w:r>
      <w:r w:rsidR="00964C11" w:rsidRPr="00FA5480">
        <w:rPr>
          <w:rFonts w:ascii="Garamond" w:hAnsi="Garamond"/>
          <w:lang w:val="en-GB"/>
        </w:rPr>
        <w:t>.</w:t>
      </w:r>
    </w:p>
  </w:footnote>
  <w:footnote w:id="59">
    <w:p w14:paraId="1BDDED8A"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quoting M </w:t>
      </w:r>
      <w:proofErr w:type="spellStart"/>
      <w:r w:rsidRPr="00FA5480">
        <w:rPr>
          <w:rFonts w:ascii="Garamond" w:hAnsi="Garamond"/>
          <w:lang w:val="en-GB"/>
        </w:rPr>
        <w:t>Berdal</w:t>
      </w:r>
      <w:proofErr w:type="spellEnd"/>
      <w:r w:rsidRPr="00FA5480">
        <w:rPr>
          <w:rFonts w:ascii="Garamond" w:hAnsi="Garamond"/>
          <w:lang w:val="en-GB"/>
        </w:rPr>
        <w:t xml:space="preserve"> and D M Malone (eds), </w:t>
      </w:r>
      <w:r w:rsidRPr="00FA5480">
        <w:rPr>
          <w:rFonts w:ascii="Garamond" w:hAnsi="Garamond"/>
          <w:i/>
          <w:iCs/>
          <w:lang w:val="en-GB"/>
        </w:rPr>
        <w:t>Greed and Grievance: Economic Agendas in Civil Wars</w:t>
      </w:r>
      <w:r w:rsidRPr="00FA5480">
        <w:rPr>
          <w:rFonts w:ascii="Garamond" w:hAnsi="Garamond"/>
          <w:lang w:val="en-GB"/>
        </w:rPr>
        <w:t xml:space="preserve"> (Boulder CO, Lynne </w:t>
      </w:r>
      <w:proofErr w:type="spellStart"/>
      <w:r w:rsidRPr="00FA5480">
        <w:rPr>
          <w:rFonts w:ascii="Garamond" w:hAnsi="Garamond"/>
          <w:lang w:val="en-GB"/>
        </w:rPr>
        <w:t>Rienner</w:t>
      </w:r>
      <w:proofErr w:type="spellEnd"/>
      <w:r w:rsidRPr="00FA5480">
        <w:rPr>
          <w:rFonts w:ascii="Garamond" w:hAnsi="Garamond"/>
          <w:lang w:val="en-GB"/>
        </w:rPr>
        <w:t>, 2000) 3.</w:t>
      </w:r>
    </w:p>
  </w:footnote>
  <w:footnote w:id="60">
    <w:p w14:paraId="2BEE828D" w14:textId="6292B8BC"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49</w:t>
      </w:r>
      <w:r w:rsidR="00964C11" w:rsidRPr="00FA5480">
        <w:rPr>
          <w:rFonts w:ascii="Garamond" w:hAnsi="Garamond"/>
          <w:lang w:val="en-GB"/>
        </w:rPr>
        <w:t>.</w:t>
      </w:r>
    </w:p>
  </w:footnote>
  <w:footnote w:id="61">
    <w:p w14:paraId="781336A2" w14:textId="31C5FF2E"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98</w:t>
      </w:r>
      <w:r w:rsidR="00964C11" w:rsidRPr="00FA5480">
        <w:rPr>
          <w:rFonts w:ascii="Garamond" w:hAnsi="Garamond"/>
          <w:lang w:val="en-GB"/>
        </w:rPr>
        <w:t>.</w:t>
      </w:r>
    </w:p>
  </w:footnote>
  <w:footnote w:id="62">
    <w:p w14:paraId="1423D5C6" w14:textId="13DB5D5B"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99</w:t>
      </w:r>
      <w:r w:rsidR="00964C11" w:rsidRPr="00FA5480">
        <w:rPr>
          <w:rFonts w:ascii="Garamond" w:hAnsi="Garamond"/>
          <w:lang w:val="en-GB"/>
        </w:rPr>
        <w:t>.</w:t>
      </w:r>
    </w:p>
  </w:footnote>
  <w:footnote w:id="63">
    <w:p w14:paraId="3DCCB637" w14:textId="61993723"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w:t>
      </w:r>
      <w:r w:rsidR="00964C11" w:rsidRPr="00FA5480">
        <w:rPr>
          <w:rFonts w:ascii="Garamond" w:hAnsi="Garamond"/>
          <w:lang w:val="en-GB"/>
        </w:rPr>
        <w:t>.</w:t>
      </w:r>
    </w:p>
  </w:footnote>
  <w:footnote w:id="64">
    <w:p w14:paraId="7177390A" w14:textId="4DE513B4"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21</w:t>
      </w:r>
      <w:r w:rsidR="00964C11" w:rsidRPr="00FA5480">
        <w:rPr>
          <w:rFonts w:ascii="Garamond" w:hAnsi="Garamond"/>
          <w:lang w:val="en-GB"/>
        </w:rPr>
        <w:t>.</w:t>
      </w:r>
    </w:p>
  </w:footnote>
  <w:footnote w:id="65">
    <w:p w14:paraId="05D42567" w14:textId="6831BFFF"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20</w:t>
      </w:r>
      <w:r w:rsidR="00964C11" w:rsidRPr="00FA5480">
        <w:rPr>
          <w:rFonts w:ascii="Garamond" w:hAnsi="Garamond"/>
          <w:lang w:val="en-GB"/>
        </w:rPr>
        <w:t>.</w:t>
      </w:r>
    </w:p>
  </w:footnote>
  <w:footnote w:id="66">
    <w:p w14:paraId="36ABA222" w14:textId="579F9125"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18</w:t>
      </w:r>
      <w:r w:rsidR="00964C11" w:rsidRPr="00FA5480">
        <w:rPr>
          <w:rFonts w:ascii="Garamond" w:hAnsi="Garamond"/>
          <w:lang w:val="en-GB"/>
        </w:rPr>
        <w:t>.</w:t>
      </w:r>
    </w:p>
  </w:footnote>
  <w:footnote w:id="67">
    <w:p w14:paraId="7177B14A" w14:textId="1F902DC8"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8-9</w:t>
      </w:r>
      <w:r w:rsidR="00964C11" w:rsidRPr="00FA5480">
        <w:rPr>
          <w:rFonts w:ascii="Garamond" w:hAnsi="Garamond"/>
          <w:lang w:val="en-GB"/>
        </w:rPr>
        <w:t>.</w:t>
      </w:r>
    </w:p>
  </w:footnote>
  <w:footnote w:id="68">
    <w:p w14:paraId="70583D68" w14:textId="371A6437" w:rsidR="0054666F" w:rsidRPr="00FA5480" w:rsidRDefault="0054666F"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r w:rsidR="00A90F70" w:rsidRPr="00FA5480">
        <w:rPr>
          <w:rFonts w:ascii="Garamond" w:hAnsi="Garamond"/>
          <w:lang w:val="en-GB"/>
        </w:rPr>
        <w:t xml:space="preserve">See </w:t>
      </w:r>
      <w:proofErr w:type="spellStart"/>
      <w:r w:rsidR="00A90F70" w:rsidRPr="00FA5480">
        <w:rPr>
          <w:rFonts w:ascii="Garamond" w:hAnsi="Garamond"/>
          <w:lang w:val="en-GB"/>
        </w:rPr>
        <w:t>Gathii</w:t>
      </w:r>
      <w:proofErr w:type="spellEnd"/>
      <w:r w:rsidR="00A90F70" w:rsidRPr="00FA5480">
        <w:rPr>
          <w:rFonts w:ascii="Garamond" w:hAnsi="Garamond"/>
          <w:lang w:val="en-GB"/>
        </w:rPr>
        <w:t xml:space="preserve">, </w:t>
      </w:r>
      <w:r w:rsidR="00A90F70" w:rsidRPr="00FA5480">
        <w:rPr>
          <w:rFonts w:ascii="Garamond" w:hAnsi="Garamond"/>
          <w:i/>
          <w:iCs/>
          <w:lang w:val="en-GB"/>
        </w:rPr>
        <w:t>War, Commerce, and International Law</w:t>
      </w:r>
      <w:r w:rsidR="00A90F70" w:rsidRPr="00FA5480">
        <w:rPr>
          <w:rFonts w:ascii="Garamond" w:hAnsi="Garamond"/>
          <w:lang w:val="en-GB"/>
        </w:rPr>
        <w:t>, chapter 6.</w:t>
      </w:r>
    </w:p>
  </w:footnote>
  <w:footnote w:id="69">
    <w:p w14:paraId="17D953E7"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227.</w:t>
      </w:r>
    </w:p>
  </w:footnote>
  <w:footnote w:id="70">
    <w:p w14:paraId="07748DAD"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224</w:t>
      </w:r>
    </w:p>
  </w:footnote>
  <w:footnote w:id="71">
    <w:p w14:paraId="1D6BE7A3"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w:t>
      </w:r>
    </w:p>
  </w:footnote>
  <w:footnote w:id="72">
    <w:p w14:paraId="4FA21E1F"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w:t>
      </w:r>
    </w:p>
  </w:footnote>
  <w:footnote w:id="73">
    <w:p w14:paraId="196A7729" w14:textId="56D52DAA" w:rsidR="00E84166" w:rsidRPr="00FA5480" w:rsidRDefault="00000000" w:rsidP="00FA5480">
      <w:pPr>
        <w:pStyle w:val="Text"/>
        <w:spacing w:after="0" w:line="240" w:lineRule="auto"/>
        <w:contextualSpacing/>
        <w:jc w:val="both"/>
        <w:rPr>
          <w:rFonts w:ascii="Garamond" w:hAnsi="Garamond"/>
          <w:sz w:val="20"/>
          <w:szCs w:val="20"/>
          <w:lang w:val="en-GB"/>
        </w:rPr>
      </w:pPr>
      <w:r w:rsidRPr="003B0E6F">
        <w:rPr>
          <w:rStyle w:val="FootnoteReference"/>
        </w:rPr>
        <w:footnoteRef/>
      </w:r>
      <w:r w:rsidRPr="00FA5480">
        <w:rPr>
          <w:rFonts w:ascii="Garamond" w:hAnsi="Garamond"/>
          <w:sz w:val="20"/>
          <w:szCs w:val="20"/>
          <w:lang w:val="en-GB"/>
        </w:rPr>
        <w:t xml:space="preserve"> Lukas </w:t>
      </w:r>
      <w:proofErr w:type="spellStart"/>
      <w:r w:rsidRPr="00FA5480">
        <w:rPr>
          <w:rFonts w:ascii="Garamond" w:hAnsi="Garamond"/>
          <w:sz w:val="20"/>
          <w:szCs w:val="20"/>
          <w:lang w:val="en-GB"/>
        </w:rPr>
        <w:t>Vanhonnaeker</w:t>
      </w:r>
      <w:proofErr w:type="spellEnd"/>
      <w:r w:rsidRPr="00FA5480">
        <w:rPr>
          <w:rFonts w:ascii="Garamond" w:hAnsi="Garamond"/>
          <w:sz w:val="20"/>
          <w:szCs w:val="20"/>
          <w:lang w:val="en-GB"/>
        </w:rPr>
        <w:t xml:space="preserve"> The Recourse to Private Military and Security Companies by Foreign Investors in Conflict- affected Countries: Dangers, Opportunities and the Need to Regulate in in K </w:t>
      </w:r>
      <w:proofErr w:type="spellStart"/>
      <w:r w:rsidRPr="00FA5480">
        <w:rPr>
          <w:rFonts w:ascii="Garamond" w:hAnsi="Garamond"/>
          <w:sz w:val="20"/>
          <w:szCs w:val="20"/>
          <w:lang w:val="en-GB"/>
        </w:rPr>
        <w:t>Fach</w:t>
      </w:r>
      <w:proofErr w:type="spellEnd"/>
      <w:r w:rsidRPr="00FA5480">
        <w:rPr>
          <w:rFonts w:ascii="Garamond" w:hAnsi="Garamond"/>
          <w:sz w:val="20"/>
          <w:szCs w:val="20"/>
          <w:lang w:val="en-GB"/>
        </w:rPr>
        <w:t xml:space="preserve"> Gomez et al (eds) </w:t>
      </w:r>
      <w:r w:rsidRPr="00FA5480">
        <w:rPr>
          <w:rFonts w:ascii="Garamond" w:hAnsi="Garamond"/>
          <w:i/>
          <w:iCs/>
          <w:sz w:val="20"/>
          <w:szCs w:val="20"/>
          <w:lang w:val="en-GB"/>
        </w:rPr>
        <w:t xml:space="preserve">International Investment Law and the Law of Armed Conflict </w:t>
      </w:r>
      <w:r w:rsidRPr="00FA5480">
        <w:rPr>
          <w:rFonts w:ascii="Garamond" w:hAnsi="Garamond"/>
          <w:sz w:val="20"/>
          <w:szCs w:val="20"/>
          <w:lang w:val="en-GB"/>
        </w:rPr>
        <w:t>(2019) 487, 503</w:t>
      </w:r>
    </w:p>
  </w:footnote>
  <w:footnote w:id="74">
    <w:p w14:paraId="246A28F4"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https://www.france24.com/en/live-news/20220518-paris-court-upholds-charges-of-complicity-in-crimes-against-humanity-linked-to-lafarge-s-cement-plant-in-syria</w:t>
      </w:r>
    </w:p>
  </w:footnote>
  <w:footnote w:id="75">
    <w:p w14:paraId="1E1BDD48" w14:textId="74C667D1" w:rsidR="00964C11" w:rsidRPr="00FA5480" w:rsidRDefault="00964C11"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rPr>
        <w:t xml:space="preserve"> </w:t>
      </w:r>
      <w:r w:rsidRPr="00FA5480">
        <w:rPr>
          <w:rFonts w:ascii="Garamond" w:hAnsi="Garamond"/>
          <w:lang w:val="en-GB"/>
        </w:rPr>
        <w:t xml:space="preserve">The notable exception is Doreen Lustig, </w:t>
      </w:r>
      <w:r w:rsidRPr="00FA5480">
        <w:rPr>
          <w:rFonts w:ascii="Garamond" w:hAnsi="Garamond"/>
          <w:i/>
          <w:iCs/>
          <w:lang w:val="en-GB"/>
        </w:rPr>
        <w:t xml:space="preserve">Veiled Power: International Law and the Private Corporation, 1886-1981 </w:t>
      </w:r>
      <w:r w:rsidRPr="00FA5480">
        <w:rPr>
          <w:rFonts w:ascii="Garamond" w:hAnsi="Garamond"/>
          <w:lang w:val="en-GB"/>
        </w:rPr>
        <w:t>(OUP 2020) which elucidates the Industrialists trial at Nuremberg and their contribution to shaping international rules on corporate accountability.</w:t>
      </w:r>
    </w:p>
  </w:footnote>
  <w:footnote w:id="76">
    <w:p w14:paraId="17B1CFF1" w14:textId="4B45BAD5"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Kevin Crow, ‘Corporations and Crimes against Humanity: Financial Liability Through ISDS?’ in K </w:t>
      </w:r>
      <w:proofErr w:type="spellStart"/>
      <w:r w:rsidRPr="00FA5480">
        <w:rPr>
          <w:rFonts w:ascii="Garamond" w:hAnsi="Garamond"/>
          <w:lang w:val="en-GB"/>
        </w:rPr>
        <w:t>Fach</w:t>
      </w:r>
      <w:proofErr w:type="spellEnd"/>
      <w:r w:rsidRPr="00FA5480">
        <w:rPr>
          <w:rFonts w:ascii="Garamond" w:hAnsi="Garamond"/>
          <w:lang w:val="en-GB"/>
        </w:rPr>
        <w:t xml:space="preserve"> Gomez et al (eds) </w:t>
      </w:r>
      <w:r w:rsidRPr="00FA5480">
        <w:rPr>
          <w:rFonts w:ascii="Garamond" w:hAnsi="Garamond"/>
          <w:i/>
          <w:iCs/>
          <w:lang w:val="en-GB"/>
        </w:rPr>
        <w:t>International Investment Law and the Law of Armed Conflict</w:t>
      </w:r>
      <w:r w:rsidRPr="00FA5480">
        <w:rPr>
          <w:rFonts w:ascii="Garamond" w:hAnsi="Garamond"/>
          <w:lang w:val="en-GB"/>
        </w:rPr>
        <w:t xml:space="preserve"> (Springer 2019).</w:t>
      </w:r>
    </w:p>
  </w:footnote>
  <w:footnote w:id="77">
    <w:p w14:paraId="1B8305FA" w14:textId="4B4FBB7B"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484</w:t>
      </w:r>
      <w:r w:rsidR="00D062E2" w:rsidRPr="00FA5480">
        <w:rPr>
          <w:rFonts w:ascii="Garamond" w:hAnsi="Garamond"/>
          <w:lang w:val="en-GB"/>
        </w:rPr>
        <w:t>.</w:t>
      </w:r>
    </w:p>
  </w:footnote>
  <w:footnote w:id="78">
    <w:p w14:paraId="0C890EDB" w14:textId="4CD830B4"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465</w:t>
      </w:r>
      <w:r w:rsidR="00D062E2" w:rsidRPr="00FA5480">
        <w:rPr>
          <w:rFonts w:ascii="Garamond" w:hAnsi="Garamond"/>
          <w:lang w:val="en-GB"/>
        </w:rPr>
        <w:t>.</w:t>
      </w:r>
    </w:p>
  </w:footnote>
  <w:footnote w:id="79">
    <w:p w14:paraId="010BA288" w14:textId="1CD14D1F"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Crow 485</w:t>
      </w:r>
      <w:r w:rsidR="00D062E2" w:rsidRPr="00FA5480">
        <w:rPr>
          <w:rFonts w:ascii="Garamond" w:hAnsi="Garamond"/>
          <w:lang w:val="en-GB"/>
        </w:rPr>
        <w:t>.</w:t>
      </w:r>
    </w:p>
  </w:footnote>
  <w:footnote w:id="80">
    <w:p w14:paraId="3666ED02"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lang w:val="en-GB"/>
        </w:rPr>
        <w:t>Gathii</w:t>
      </w:r>
      <w:proofErr w:type="spellEnd"/>
      <w:r w:rsidRPr="00FA5480">
        <w:rPr>
          <w:rFonts w:ascii="Garamond" w:hAnsi="Garamond"/>
          <w:lang w:val="en-GB"/>
        </w:rPr>
        <w:t xml:space="preserve">, </w:t>
      </w:r>
      <w:r w:rsidRPr="00FA5480">
        <w:rPr>
          <w:rFonts w:ascii="Garamond" w:hAnsi="Garamond"/>
          <w:i/>
          <w:iCs/>
          <w:lang w:val="en-GB"/>
        </w:rPr>
        <w:t>War, Commerce, and International Law</w:t>
      </w:r>
      <w:r w:rsidRPr="00FA5480">
        <w:rPr>
          <w:rFonts w:ascii="Garamond" w:hAnsi="Garamond"/>
          <w:lang w:val="en-GB"/>
        </w:rPr>
        <w:t>, 229-230.</w:t>
      </w:r>
    </w:p>
  </w:footnote>
  <w:footnote w:id="81">
    <w:p w14:paraId="259F4902"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238</w:t>
      </w:r>
    </w:p>
  </w:footnote>
  <w:footnote w:id="82">
    <w:p w14:paraId="6AC0AA84"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w:t>
      </w:r>
    </w:p>
  </w:footnote>
  <w:footnote w:id="83">
    <w:p w14:paraId="7C5A6D28"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239</w:t>
      </w:r>
    </w:p>
  </w:footnote>
  <w:footnote w:id="84">
    <w:p w14:paraId="5A6B404A" w14:textId="2A6F5B32" w:rsidR="002A61AA" w:rsidRPr="00FA5480" w:rsidRDefault="002A61AA"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r w:rsidR="00D062E2" w:rsidRPr="00FA5480">
        <w:rPr>
          <w:rFonts w:ascii="Garamond" w:hAnsi="Garamond"/>
          <w:lang w:val="en-GB"/>
        </w:rPr>
        <w:t xml:space="preserve">See, for instance, Doreen Lustig, </w:t>
      </w:r>
      <w:r w:rsidR="00D062E2" w:rsidRPr="00FA5480">
        <w:rPr>
          <w:rFonts w:ascii="Garamond" w:hAnsi="Garamond"/>
          <w:i/>
          <w:iCs/>
          <w:lang w:val="en-GB"/>
        </w:rPr>
        <w:t>Veiled Power: International Law and the Private Corporation</w:t>
      </w:r>
      <w:r w:rsidR="00D062E2" w:rsidRPr="00FA5480">
        <w:rPr>
          <w:rFonts w:ascii="Garamond" w:hAnsi="Garamond"/>
          <w:lang w:val="en-GB"/>
        </w:rPr>
        <w:t>, 1886-1981 (OUP 2020)</w:t>
      </w:r>
      <w:r w:rsidR="00137FE2" w:rsidRPr="00FA5480">
        <w:rPr>
          <w:rFonts w:ascii="Garamond" w:hAnsi="Garamond"/>
          <w:lang w:val="en-GB"/>
        </w:rPr>
        <w:t xml:space="preserve"> chapter 5</w:t>
      </w:r>
      <w:r w:rsidR="00D062E2" w:rsidRPr="00FA5480">
        <w:rPr>
          <w:rFonts w:ascii="Garamond" w:hAnsi="Garamond"/>
          <w:lang w:val="en-GB"/>
        </w:rPr>
        <w:t>; I Bannon</w:t>
      </w:r>
      <w:r w:rsidR="00137FE2" w:rsidRPr="00FA5480">
        <w:rPr>
          <w:rFonts w:ascii="Garamond" w:hAnsi="Garamond"/>
          <w:lang w:val="en-GB"/>
        </w:rPr>
        <w:t xml:space="preserve"> and P Collier (eds) </w:t>
      </w:r>
      <w:r w:rsidR="00137FE2" w:rsidRPr="00FA5480">
        <w:rPr>
          <w:rFonts w:ascii="Garamond" w:hAnsi="Garamond"/>
          <w:i/>
          <w:iCs/>
          <w:lang w:val="en-GB"/>
        </w:rPr>
        <w:t>Natural Resources and Violent Conflict: Options and Actions</w:t>
      </w:r>
      <w:r w:rsidR="00137FE2" w:rsidRPr="00FA5480">
        <w:rPr>
          <w:rFonts w:ascii="Garamond" w:hAnsi="Garamond"/>
          <w:lang w:val="en-GB"/>
        </w:rPr>
        <w:t xml:space="preserve"> (World Bank 2003).</w:t>
      </w:r>
    </w:p>
  </w:footnote>
  <w:footnote w:id="85">
    <w:p w14:paraId="341A8441" w14:textId="77777777" w:rsidR="00E84166" w:rsidRPr="00FA5480" w:rsidRDefault="00000000" w:rsidP="00FA5480">
      <w:pPr>
        <w:pStyle w:val="Text"/>
        <w:spacing w:after="0" w:line="240" w:lineRule="auto"/>
        <w:contextualSpacing/>
        <w:jc w:val="both"/>
        <w:rPr>
          <w:rFonts w:ascii="Garamond" w:hAnsi="Garamond"/>
          <w:sz w:val="20"/>
          <w:szCs w:val="20"/>
          <w:lang w:val="en-GB"/>
        </w:rPr>
      </w:pPr>
      <w:r w:rsidRPr="003B0E6F">
        <w:rPr>
          <w:rStyle w:val="FootnoteReference"/>
        </w:rPr>
        <w:footnoteRef/>
      </w:r>
      <w:r w:rsidRPr="00FA5480">
        <w:rPr>
          <w:rFonts w:ascii="Garamond" w:hAnsi="Garamond"/>
          <w:sz w:val="20"/>
          <w:szCs w:val="20"/>
          <w:lang w:val="en-GB"/>
        </w:rPr>
        <w:t xml:space="preserve"> </w:t>
      </w:r>
      <w:proofErr w:type="spellStart"/>
      <w:r w:rsidRPr="00FA5480">
        <w:rPr>
          <w:rFonts w:ascii="Garamond" w:hAnsi="Garamond"/>
          <w:i/>
          <w:iCs/>
          <w:sz w:val="20"/>
          <w:szCs w:val="20"/>
          <w:lang w:val="en-GB"/>
        </w:rPr>
        <w:t>Urbaser</w:t>
      </w:r>
      <w:proofErr w:type="spellEnd"/>
      <w:r w:rsidRPr="00FA5480">
        <w:rPr>
          <w:rFonts w:ascii="Garamond" w:hAnsi="Garamond"/>
          <w:i/>
          <w:iCs/>
          <w:sz w:val="20"/>
          <w:szCs w:val="20"/>
          <w:lang w:val="en-GB"/>
        </w:rPr>
        <w:t xml:space="preserve"> S.A. and </w:t>
      </w:r>
      <w:proofErr w:type="spellStart"/>
      <w:r w:rsidRPr="00FA5480">
        <w:rPr>
          <w:rFonts w:ascii="Garamond" w:hAnsi="Garamond"/>
          <w:i/>
          <w:iCs/>
          <w:sz w:val="20"/>
          <w:szCs w:val="20"/>
          <w:lang w:val="en-GB"/>
        </w:rPr>
        <w:t>Consorcio</w:t>
      </w:r>
      <w:proofErr w:type="spellEnd"/>
      <w:r w:rsidRPr="00FA5480">
        <w:rPr>
          <w:rFonts w:ascii="Garamond" w:hAnsi="Garamond"/>
          <w:i/>
          <w:iCs/>
          <w:sz w:val="20"/>
          <w:szCs w:val="20"/>
          <w:lang w:val="en-GB"/>
        </w:rPr>
        <w:t xml:space="preserve"> de </w:t>
      </w:r>
      <w:proofErr w:type="spellStart"/>
      <w:r w:rsidRPr="00FA5480">
        <w:rPr>
          <w:rFonts w:ascii="Garamond" w:hAnsi="Garamond"/>
          <w:i/>
          <w:iCs/>
          <w:sz w:val="20"/>
          <w:szCs w:val="20"/>
          <w:lang w:val="en-GB"/>
        </w:rPr>
        <w:t>Aguas</w:t>
      </w:r>
      <w:proofErr w:type="spellEnd"/>
      <w:r w:rsidRPr="00FA5480">
        <w:rPr>
          <w:rFonts w:ascii="Garamond" w:hAnsi="Garamond"/>
          <w:i/>
          <w:iCs/>
          <w:sz w:val="20"/>
          <w:szCs w:val="20"/>
          <w:lang w:val="en-GB"/>
        </w:rPr>
        <w:t xml:space="preserve"> Bilbao Bizkaia, Bilbao </w:t>
      </w:r>
      <w:proofErr w:type="spellStart"/>
      <w:r w:rsidRPr="00FA5480">
        <w:rPr>
          <w:rFonts w:ascii="Garamond" w:hAnsi="Garamond"/>
          <w:i/>
          <w:iCs/>
          <w:sz w:val="20"/>
          <w:szCs w:val="20"/>
          <w:lang w:val="en-GB"/>
        </w:rPr>
        <w:t>Biskaia</w:t>
      </w:r>
      <w:proofErr w:type="spellEnd"/>
      <w:r w:rsidRPr="00FA5480">
        <w:rPr>
          <w:rFonts w:ascii="Garamond" w:hAnsi="Garamond"/>
          <w:i/>
          <w:iCs/>
          <w:sz w:val="20"/>
          <w:szCs w:val="20"/>
          <w:lang w:val="en-GB"/>
        </w:rPr>
        <w:t xml:space="preserve"> Ur </w:t>
      </w:r>
      <w:proofErr w:type="spellStart"/>
      <w:r w:rsidRPr="00FA5480">
        <w:rPr>
          <w:rFonts w:ascii="Garamond" w:hAnsi="Garamond"/>
          <w:i/>
          <w:iCs/>
          <w:sz w:val="20"/>
          <w:szCs w:val="20"/>
          <w:lang w:val="en-GB"/>
        </w:rPr>
        <w:t>Partzuergoa</w:t>
      </w:r>
      <w:proofErr w:type="spellEnd"/>
      <w:r w:rsidRPr="00FA5480">
        <w:rPr>
          <w:rFonts w:ascii="Garamond" w:hAnsi="Garamond"/>
          <w:i/>
          <w:iCs/>
          <w:sz w:val="20"/>
          <w:szCs w:val="20"/>
          <w:lang w:val="en-GB"/>
        </w:rPr>
        <w:t xml:space="preserve"> v The Argentine Republic</w:t>
      </w:r>
      <w:r w:rsidRPr="00FA5480">
        <w:rPr>
          <w:rFonts w:ascii="Garamond" w:hAnsi="Garamond"/>
          <w:sz w:val="20"/>
          <w:szCs w:val="20"/>
          <w:lang w:val="en-GB"/>
        </w:rPr>
        <w:t>, ICSID Case No. ARB/07/26, Final Award (8 December 2016) para 1208</w:t>
      </w:r>
    </w:p>
  </w:footnote>
  <w:footnote w:id="86">
    <w:p w14:paraId="78507AAA"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i/>
          <w:iCs/>
          <w:lang w:val="en-GB"/>
        </w:rPr>
        <w:t>Urbaser</w:t>
      </w:r>
      <w:proofErr w:type="spellEnd"/>
      <w:r w:rsidRPr="00FA5480">
        <w:rPr>
          <w:rFonts w:ascii="Garamond" w:hAnsi="Garamond"/>
          <w:lang w:val="en-GB"/>
        </w:rPr>
        <w:t xml:space="preserve">, para 1210, </w:t>
      </w:r>
      <w:proofErr w:type="spellStart"/>
      <w:r w:rsidRPr="00FA5480">
        <w:rPr>
          <w:rFonts w:ascii="Garamond" w:hAnsi="Garamond"/>
          <w:lang w:val="en-GB"/>
        </w:rPr>
        <w:t>Davitti</w:t>
      </w:r>
      <w:proofErr w:type="spellEnd"/>
      <w:r w:rsidRPr="00FA5480">
        <w:rPr>
          <w:rFonts w:ascii="Garamond" w:hAnsi="Garamond"/>
          <w:lang w:val="en-GB"/>
        </w:rPr>
        <w:t xml:space="preserve">, </w:t>
      </w:r>
      <w:r w:rsidRPr="00FA5480">
        <w:rPr>
          <w:rFonts w:ascii="Garamond" w:hAnsi="Garamond"/>
          <w:i/>
          <w:iCs/>
          <w:lang w:val="en-GB"/>
        </w:rPr>
        <w:t>Investment and Human Rights</w:t>
      </w:r>
      <w:r w:rsidRPr="00FA5480">
        <w:rPr>
          <w:rFonts w:ascii="Garamond" w:hAnsi="Garamond"/>
          <w:lang w:val="en-GB"/>
        </w:rPr>
        <w:t>, 165</w:t>
      </w:r>
    </w:p>
  </w:footnote>
  <w:footnote w:id="87">
    <w:p w14:paraId="427ECFC8" w14:textId="36983E7F" w:rsidR="00E84166" w:rsidRPr="00FA5480" w:rsidRDefault="00000000" w:rsidP="00FA5480">
      <w:pPr>
        <w:pStyle w:val="Text"/>
        <w:spacing w:after="0" w:line="240" w:lineRule="auto"/>
        <w:contextualSpacing/>
        <w:jc w:val="both"/>
        <w:rPr>
          <w:rFonts w:ascii="Garamond" w:hAnsi="Garamond"/>
          <w:sz w:val="20"/>
          <w:szCs w:val="20"/>
          <w:lang w:val="en-GB"/>
        </w:rPr>
      </w:pPr>
      <w:r w:rsidRPr="003B0E6F">
        <w:rPr>
          <w:rStyle w:val="FootnoteReference"/>
        </w:rPr>
        <w:footnoteRef/>
      </w:r>
      <w:r w:rsidRPr="00FA5480">
        <w:rPr>
          <w:rFonts w:ascii="Garamond" w:hAnsi="Garamond"/>
          <w:sz w:val="20"/>
          <w:szCs w:val="20"/>
          <w:lang w:val="en-GB"/>
        </w:rPr>
        <w:t xml:space="preserve"> Crow </w:t>
      </w:r>
      <w:r w:rsidR="00137FE2" w:rsidRPr="00FA5480">
        <w:rPr>
          <w:rFonts w:ascii="Garamond" w:hAnsi="Garamond"/>
          <w:sz w:val="20"/>
          <w:szCs w:val="20"/>
          <w:lang w:val="en-GB"/>
        </w:rPr>
        <w:t xml:space="preserve">‘Corporations and Crimes against Humanity’ </w:t>
      </w:r>
      <w:r w:rsidRPr="00FA5480">
        <w:rPr>
          <w:rFonts w:ascii="Garamond" w:hAnsi="Garamond"/>
          <w:sz w:val="20"/>
          <w:szCs w:val="20"/>
          <w:lang w:val="en-GB"/>
        </w:rPr>
        <w:t xml:space="preserve">464, citing </w:t>
      </w:r>
      <w:proofErr w:type="spellStart"/>
      <w:r w:rsidRPr="00FA5480">
        <w:rPr>
          <w:rFonts w:ascii="Garamond" w:hAnsi="Garamond"/>
          <w:i/>
          <w:iCs/>
          <w:sz w:val="20"/>
          <w:szCs w:val="20"/>
          <w:lang w:val="en-GB"/>
        </w:rPr>
        <w:t>Urbaser</w:t>
      </w:r>
      <w:proofErr w:type="spellEnd"/>
      <w:r w:rsidRPr="00FA5480">
        <w:rPr>
          <w:rFonts w:ascii="Garamond" w:hAnsi="Garamond"/>
          <w:i/>
          <w:iCs/>
          <w:sz w:val="20"/>
          <w:szCs w:val="20"/>
          <w:lang w:val="en-GB"/>
        </w:rPr>
        <w:t xml:space="preserve"> </w:t>
      </w:r>
      <w:r w:rsidRPr="00FA5480">
        <w:rPr>
          <w:rFonts w:ascii="Garamond" w:hAnsi="Garamond"/>
          <w:sz w:val="20"/>
          <w:szCs w:val="20"/>
          <w:lang w:val="en-GB"/>
        </w:rPr>
        <w:t>para. 1194</w:t>
      </w:r>
    </w:p>
  </w:footnote>
  <w:footnote w:id="88">
    <w:p w14:paraId="15F60799" w14:textId="62903C39"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r w:rsidR="00137FE2" w:rsidRPr="00FA5480">
        <w:rPr>
          <w:rFonts w:ascii="Garamond" w:hAnsi="Garamond"/>
          <w:lang w:val="en-GB"/>
        </w:rPr>
        <w:t>ibid</w:t>
      </w:r>
      <w:r w:rsidRPr="00FA5480">
        <w:rPr>
          <w:rFonts w:ascii="Garamond" w:hAnsi="Garamond"/>
          <w:lang w:val="en-GB"/>
        </w:rPr>
        <w:t xml:space="preserve"> 466-7.</w:t>
      </w:r>
    </w:p>
  </w:footnote>
  <w:footnote w:id="89">
    <w:p w14:paraId="1A8E2731" w14:textId="43525B32"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lang w:val="en-GB"/>
        </w:rPr>
        <w:t>Zrilic</w:t>
      </w:r>
      <w:proofErr w:type="spellEnd"/>
      <w:r w:rsidR="00137FE2" w:rsidRPr="00FA5480">
        <w:rPr>
          <w:rFonts w:ascii="Garamond" w:hAnsi="Garamond"/>
          <w:lang w:val="en-GB"/>
        </w:rPr>
        <w:t xml:space="preserve">, </w:t>
      </w:r>
      <w:r w:rsidR="00137FE2" w:rsidRPr="00FA5480">
        <w:rPr>
          <w:rFonts w:ascii="Garamond" w:hAnsi="Garamond"/>
          <w:i/>
          <w:iCs/>
          <w:lang w:val="en-GB"/>
        </w:rPr>
        <w:t xml:space="preserve">The Protection of Foreign Investment, </w:t>
      </w:r>
      <w:r w:rsidRPr="00FA5480">
        <w:rPr>
          <w:rFonts w:ascii="Garamond" w:hAnsi="Garamond"/>
          <w:lang w:val="en-GB"/>
        </w:rPr>
        <w:t>184.</w:t>
      </w:r>
    </w:p>
  </w:footnote>
  <w:footnote w:id="90">
    <w:p w14:paraId="5A823587"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184-85</w:t>
      </w:r>
    </w:p>
  </w:footnote>
  <w:footnote w:id="91">
    <w:p w14:paraId="504C54C2"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185</w:t>
      </w:r>
    </w:p>
  </w:footnote>
  <w:footnote w:id="92">
    <w:p w14:paraId="1B5C72B7"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lang w:val="en-GB"/>
        </w:rPr>
        <w:t>Davitti</w:t>
      </w:r>
      <w:proofErr w:type="spellEnd"/>
      <w:r w:rsidRPr="00FA5480">
        <w:rPr>
          <w:rFonts w:ascii="Garamond" w:hAnsi="Garamond"/>
          <w:lang w:val="en-GB"/>
        </w:rPr>
        <w:t xml:space="preserve">, </w:t>
      </w:r>
      <w:r w:rsidRPr="00FA5480">
        <w:rPr>
          <w:rFonts w:ascii="Garamond" w:hAnsi="Garamond"/>
          <w:i/>
          <w:iCs/>
          <w:lang w:val="en-GB"/>
        </w:rPr>
        <w:t>Investment and Human Rights</w:t>
      </w:r>
      <w:r w:rsidRPr="00FA5480">
        <w:rPr>
          <w:rFonts w:ascii="Garamond" w:hAnsi="Garamond"/>
          <w:lang w:val="en-GB"/>
        </w:rPr>
        <w:t xml:space="preserve">, 177 (citing Bruno </w:t>
      </w:r>
      <w:proofErr w:type="spellStart"/>
      <w:r w:rsidRPr="00FA5480">
        <w:rPr>
          <w:rFonts w:ascii="Garamond" w:hAnsi="Garamond"/>
          <w:lang w:val="en-GB"/>
        </w:rPr>
        <w:t>Simma</w:t>
      </w:r>
      <w:proofErr w:type="spellEnd"/>
      <w:r w:rsidRPr="00FA5480">
        <w:rPr>
          <w:rFonts w:ascii="Garamond" w:hAnsi="Garamond"/>
          <w:lang w:val="en-GB"/>
        </w:rPr>
        <w:t xml:space="preserve">, ‘Foreign </w:t>
      </w:r>
      <w:proofErr w:type="spellStart"/>
      <w:r w:rsidRPr="00FA5480">
        <w:rPr>
          <w:rFonts w:ascii="Garamond" w:hAnsi="Garamond"/>
          <w:lang w:val="en-GB"/>
        </w:rPr>
        <w:t>Investent</w:t>
      </w:r>
      <w:proofErr w:type="spellEnd"/>
      <w:r w:rsidRPr="00FA5480">
        <w:rPr>
          <w:rFonts w:ascii="Garamond" w:hAnsi="Garamond"/>
          <w:lang w:val="en-GB"/>
        </w:rPr>
        <w:t xml:space="preserve"> Arbitration: A Place for Human Rights? (2011) 60 ICLQ 573, 579).</w:t>
      </w:r>
    </w:p>
  </w:footnote>
  <w:footnote w:id="93">
    <w:p w14:paraId="44A9A0F6"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lang w:val="en-GB"/>
        </w:rPr>
        <w:t>Simma</w:t>
      </w:r>
      <w:proofErr w:type="spellEnd"/>
      <w:r w:rsidRPr="00FA5480">
        <w:rPr>
          <w:rFonts w:ascii="Garamond" w:hAnsi="Garamond"/>
          <w:lang w:val="en-GB"/>
        </w:rPr>
        <w:t xml:space="preserve">, ‘Foreign </w:t>
      </w:r>
      <w:proofErr w:type="spellStart"/>
      <w:r w:rsidRPr="00FA5480">
        <w:rPr>
          <w:rFonts w:ascii="Garamond" w:hAnsi="Garamond"/>
          <w:lang w:val="en-GB"/>
        </w:rPr>
        <w:t>Investent</w:t>
      </w:r>
      <w:proofErr w:type="spellEnd"/>
      <w:r w:rsidRPr="00FA5480">
        <w:rPr>
          <w:rFonts w:ascii="Garamond" w:hAnsi="Garamond"/>
          <w:lang w:val="en-GB"/>
        </w:rPr>
        <w:t xml:space="preserve"> Arbitration: A Place for Human Rights? (2011) 60 ICLQ 573, 591</w:t>
      </w:r>
    </w:p>
  </w:footnote>
  <w:footnote w:id="94">
    <w:p w14:paraId="3A90C5F9" w14:textId="77C3EF7A"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lang w:val="en-GB"/>
        </w:rPr>
        <w:t>Davitti</w:t>
      </w:r>
      <w:proofErr w:type="spellEnd"/>
      <w:r w:rsidRPr="00FA5480">
        <w:rPr>
          <w:rFonts w:ascii="Garamond" w:hAnsi="Garamond"/>
          <w:lang w:val="en-GB"/>
        </w:rPr>
        <w:t xml:space="preserve">, </w:t>
      </w:r>
      <w:r w:rsidRPr="00FA5480">
        <w:rPr>
          <w:rFonts w:ascii="Garamond" w:hAnsi="Garamond"/>
          <w:i/>
          <w:iCs/>
          <w:lang w:val="en-GB"/>
        </w:rPr>
        <w:t>Investment and Human Rights</w:t>
      </w:r>
      <w:r w:rsidRPr="00FA5480">
        <w:rPr>
          <w:rFonts w:ascii="Garamond" w:hAnsi="Garamond"/>
          <w:lang w:val="en-GB"/>
        </w:rPr>
        <w:t xml:space="preserve">, 181, citing </w:t>
      </w:r>
      <w:r w:rsidRPr="00FA5480">
        <w:rPr>
          <w:rFonts w:ascii="Garamond" w:hAnsi="Garamond"/>
          <w:i/>
          <w:iCs/>
          <w:lang w:val="en-GB"/>
        </w:rPr>
        <w:t xml:space="preserve">Bank </w:t>
      </w:r>
      <w:proofErr w:type="spellStart"/>
      <w:r w:rsidRPr="00FA5480">
        <w:rPr>
          <w:rFonts w:ascii="Garamond" w:hAnsi="Garamond"/>
          <w:i/>
          <w:iCs/>
          <w:lang w:val="en-GB"/>
        </w:rPr>
        <w:t>Mellat</w:t>
      </w:r>
      <w:proofErr w:type="spellEnd"/>
      <w:r w:rsidRPr="00FA5480">
        <w:rPr>
          <w:rFonts w:ascii="Garamond" w:hAnsi="Garamond"/>
          <w:i/>
          <w:iCs/>
          <w:lang w:val="en-GB"/>
        </w:rPr>
        <w:t xml:space="preserve"> </w:t>
      </w:r>
      <w:r w:rsidR="003A16B5" w:rsidRPr="00FA5480">
        <w:rPr>
          <w:rFonts w:ascii="Garamond" w:hAnsi="Garamond"/>
          <w:i/>
          <w:iCs/>
          <w:lang w:val="en-GB"/>
        </w:rPr>
        <w:t>v HM Treasury</w:t>
      </w:r>
      <w:r w:rsidR="003A16B5" w:rsidRPr="00FA5480">
        <w:rPr>
          <w:rFonts w:ascii="Garamond" w:hAnsi="Garamond"/>
          <w:lang w:val="en-GB"/>
        </w:rPr>
        <w:t xml:space="preserve"> [2013] UKSC 39, </w:t>
      </w:r>
      <w:r w:rsidRPr="00FA5480">
        <w:rPr>
          <w:rFonts w:ascii="Garamond" w:hAnsi="Garamond"/>
          <w:lang w:val="en-GB"/>
        </w:rPr>
        <w:t>para 72</w:t>
      </w:r>
      <w:r w:rsidR="003A16B5" w:rsidRPr="00FA5480">
        <w:rPr>
          <w:rFonts w:ascii="Garamond" w:hAnsi="Garamond"/>
          <w:lang w:val="en-GB"/>
        </w:rPr>
        <w:t>.</w:t>
      </w:r>
    </w:p>
  </w:footnote>
  <w:footnote w:id="95">
    <w:p w14:paraId="5F07BBAB" w14:textId="32C723C4"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190</w:t>
      </w:r>
      <w:r w:rsidR="003A16B5" w:rsidRPr="00FA5480">
        <w:rPr>
          <w:rFonts w:ascii="Garamond" w:hAnsi="Garamond"/>
          <w:lang w:val="en-GB"/>
        </w:rPr>
        <w:t>.</w:t>
      </w:r>
    </w:p>
  </w:footnote>
  <w:footnote w:id="96">
    <w:p w14:paraId="46B783A2" w14:textId="09A8A258"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169, citing </w:t>
      </w:r>
      <w:r w:rsidR="003A16B5" w:rsidRPr="00FA5480">
        <w:rPr>
          <w:rFonts w:ascii="Garamond" w:hAnsi="Garamond"/>
          <w:lang w:val="en-GB"/>
        </w:rPr>
        <w:t xml:space="preserve">K </w:t>
      </w:r>
      <w:r w:rsidRPr="00FA5480">
        <w:rPr>
          <w:rFonts w:ascii="Garamond" w:hAnsi="Garamond"/>
          <w:lang w:val="en-GB"/>
        </w:rPr>
        <w:t>Miles</w:t>
      </w:r>
      <w:r w:rsidR="003A16B5" w:rsidRPr="00FA5480">
        <w:rPr>
          <w:rFonts w:ascii="Garamond" w:hAnsi="Garamond"/>
          <w:lang w:val="en-GB"/>
        </w:rPr>
        <w:t xml:space="preserve">, </w:t>
      </w:r>
      <w:r w:rsidR="003A16B5" w:rsidRPr="00FA5480">
        <w:rPr>
          <w:rFonts w:ascii="Garamond" w:hAnsi="Garamond"/>
          <w:i/>
          <w:iCs/>
          <w:lang w:val="en-GB"/>
        </w:rPr>
        <w:t>The Origins of International Investment Law: Empire, Environment and the Safeguarding of Capital</w:t>
      </w:r>
      <w:r w:rsidR="003A16B5" w:rsidRPr="00FA5480">
        <w:rPr>
          <w:rFonts w:ascii="Garamond" w:hAnsi="Garamond"/>
          <w:lang w:val="en-GB"/>
        </w:rPr>
        <w:t xml:space="preserve"> (Cambridge 2013)</w:t>
      </w:r>
      <w:r w:rsidRPr="00FA5480">
        <w:rPr>
          <w:rFonts w:ascii="Garamond" w:hAnsi="Garamond"/>
          <w:lang w:val="en-GB"/>
        </w:rPr>
        <w:t xml:space="preserve"> 39-40</w:t>
      </w:r>
      <w:r w:rsidR="003A16B5" w:rsidRPr="00FA5480">
        <w:rPr>
          <w:rFonts w:ascii="Garamond" w:hAnsi="Garamond"/>
          <w:lang w:val="en-GB"/>
        </w:rPr>
        <w:t>.</w:t>
      </w:r>
    </w:p>
  </w:footnote>
  <w:footnote w:id="97">
    <w:p w14:paraId="0941C901"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231.</w:t>
      </w:r>
    </w:p>
  </w:footnote>
  <w:footnote w:id="98">
    <w:p w14:paraId="3BC8D519"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198</w:t>
      </w:r>
    </w:p>
  </w:footnote>
  <w:footnote w:id="99">
    <w:p w14:paraId="22A40097" w14:textId="7217004A"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204, citing UN </w:t>
      </w:r>
      <w:r w:rsidR="00566320" w:rsidRPr="00FA5480">
        <w:rPr>
          <w:rFonts w:ascii="Garamond" w:hAnsi="Garamond"/>
          <w:lang w:val="en-GB"/>
        </w:rPr>
        <w:t xml:space="preserve">Human Rights Council, ‘Protect, Respect and Remedy: A </w:t>
      </w:r>
      <w:r w:rsidRPr="00FA5480">
        <w:rPr>
          <w:rFonts w:ascii="Garamond" w:hAnsi="Garamond"/>
          <w:lang w:val="en-GB"/>
        </w:rPr>
        <w:t>Framework</w:t>
      </w:r>
      <w:r w:rsidR="00566320" w:rsidRPr="00FA5480">
        <w:rPr>
          <w:rFonts w:ascii="Garamond" w:hAnsi="Garamond"/>
          <w:lang w:val="en-GB"/>
        </w:rPr>
        <w:t xml:space="preserve"> for Business and Human Rights (7 April 2008) UN Doc A/HRC/8/5,</w:t>
      </w:r>
      <w:r w:rsidRPr="00FA5480">
        <w:rPr>
          <w:rFonts w:ascii="Garamond" w:hAnsi="Garamond"/>
          <w:lang w:val="en-GB"/>
        </w:rPr>
        <w:t xml:space="preserve"> 29</w:t>
      </w:r>
      <w:r w:rsidR="00566320" w:rsidRPr="00FA5480">
        <w:rPr>
          <w:rFonts w:ascii="Garamond" w:hAnsi="Garamond"/>
          <w:lang w:val="en-GB"/>
        </w:rPr>
        <w:t>.</w:t>
      </w:r>
    </w:p>
  </w:footnote>
  <w:footnote w:id="100">
    <w:p w14:paraId="08B778E6" w14:textId="40F3862B"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212</w:t>
      </w:r>
      <w:r w:rsidR="00BA72E7" w:rsidRPr="00FA5480">
        <w:rPr>
          <w:rFonts w:ascii="Garamond" w:hAnsi="Garamond"/>
          <w:lang w:val="en-GB"/>
        </w:rPr>
        <w:t xml:space="preserve">, </w:t>
      </w:r>
      <w:r w:rsidRPr="00FA5480">
        <w:rPr>
          <w:rFonts w:ascii="Garamond" w:hAnsi="Garamond"/>
          <w:lang w:val="en-GB"/>
        </w:rPr>
        <w:t xml:space="preserve">citing </w:t>
      </w:r>
      <w:r w:rsidR="00BB0A59" w:rsidRPr="00FA5480">
        <w:rPr>
          <w:rFonts w:ascii="Garamond" w:hAnsi="Garamond"/>
          <w:lang w:val="en-GB"/>
        </w:rPr>
        <w:t xml:space="preserve">Commentary to Maastricht Principle 25, in </w:t>
      </w:r>
      <w:r w:rsidR="00566320" w:rsidRPr="00FA5480">
        <w:rPr>
          <w:rFonts w:ascii="Garamond" w:hAnsi="Garamond"/>
          <w:lang w:val="en-GB"/>
        </w:rPr>
        <w:t xml:space="preserve">O De </w:t>
      </w:r>
      <w:proofErr w:type="spellStart"/>
      <w:r w:rsidR="00566320" w:rsidRPr="00FA5480">
        <w:rPr>
          <w:rFonts w:ascii="Garamond" w:hAnsi="Garamond"/>
          <w:lang w:val="en-GB"/>
        </w:rPr>
        <w:t>Schutter</w:t>
      </w:r>
      <w:proofErr w:type="spellEnd"/>
      <w:r w:rsidR="00566320" w:rsidRPr="00FA5480">
        <w:rPr>
          <w:rFonts w:ascii="Garamond" w:hAnsi="Garamond"/>
          <w:lang w:val="en-GB"/>
        </w:rPr>
        <w:t xml:space="preserve"> et al, ‘</w:t>
      </w:r>
      <w:r w:rsidRPr="00FA5480">
        <w:rPr>
          <w:rFonts w:ascii="Garamond" w:hAnsi="Garamond"/>
          <w:lang w:val="en-GB"/>
        </w:rPr>
        <w:t>Commentary to Maastricht Principle</w:t>
      </w:r>
      <w:r w:rsidR="00566320" w:rsidRPr="00FA5480">
        <w:rPr>
          <w:rFonts w:ascii="Garamond" w:hAnsi="Garamond"/>
          <w:lang w:val="en-GB"/>
        </w:rPr>
        <w:t>s on Extra-Territorial Obligations of States</w:t>
      </w:r>
      <w:r w:rsidR="00BB0A59" w:rsidRPr="00FA5480">
        <w:rPr>
          <w:rFonts w:ascii="Garamond" w:hAnsi="Garamond"/>
          <w:lang w:val="en-GB"/>
        </w:rPr>
        <w:t xml:space="preserve"> in the Area of Economic, Social and Cultural Rights (2012) 34 Human Rights Quarterly 1084</w:t>
      </w:r>
      <w:r w:rsidRPr="00FA5480">
        <w:rPr>
          <w:rFonts w:ascii="Garamond" w:hAnsi="Garamond"/>
          <w:lang w:val="en-GB"/>
        </w:rPr>
        <w:t>.</w:t>
      </w:r>
    </w:p>
  </w:footnote>
  <w:footnote w:id="101">
    <w:p w14:paraId="01A5D372" w14:textId="5F4ED72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116, </w:t>
      </w:r>
      <w:r w:rsidR="00BB0A59" w:rsidRPr="00FA5480">
        <w:rPr>
          <w:rFonts w:ascii="Garamond" w:hAnsi="Garamond"/>
          <w:lang w:val="en-GB"/>
        </w:rPr>
        <w:t>citing CESCR, ‘G</w:t>
      </w:r>
      <w:r w:rsidRPr="00FA5480">
        <w:rPr>
          <w:rFonts w:ascii="Garamond" w:hAnsi="Garamond"/>
          <w:lang w:val="en-GB"/>
        </w:rPr>
        <w:t xml:space="preserve">eneral </w:t>
      </w:r>
      <w:r w:rsidR="00BB0A59" w:rsidRPr="00FA5480">
        <w:rPr>
          <w:rFonts w:ascii="Garamond" w:hAnsi="Garamond"/>
          <w:lang w:val="en-GB"/>
        </w:rPr>
        <w:t>C</w:t>
      </w:r>
      <w:r w:rsidRPr="00FA5480">
        <w:rPr>
          <w:rFonts w:ascii="Garamond" w:hAnsi="Garamond"/>
          <w:lang w:val="en-GB"/>
        </w:rPr>
        <w:t xml:space="preserve">omment </w:t>
      </w:r>
      <w:r w:rsidR="00BB0A59" w:rsidRPr="00FA5480">
        <w:rPr>
          <w:rFonts w:ascii="Garamond" w:hAnsi="Garamond"/>
          <w:lang w:val="en-GB"/>
        </w:rPr>
        <w:t xml:space="preserve">No </w:t>
      </w:r>
      <w:r w:rsidRPr="00FA5480">
        <w:rPr>
          <w:rFonts w:ascii="Garamond" w:hAnsi="Garamond"/>
          <w:lang w:val="en-GB"/>
        </w:rPr>
        <w:t>24</w:t>
      </w:r>
      <w:r w:rsidR="00BB0A59" w:rsidRPr="00FA5480">
        <w:rPr>
          <w:rFonts w:ascii="Garamond" w:hAnsi="Garamond"/>
          <w:lang w:val="en-GB"/>
        </w:rPr>
        <w:t xml:space="preserve"> (2017) </w:t>
      </w:r>
      <w:r w:rsidR="00BA72E7" w:rsidRPr="00FA5480">
        <w:rPr>
          <w:rFonts w:ascii="Garamond" w:hAnsi="Garamond"/>
          <w:lang w:val="en-GB"/>
        </w:rPr>
        <w:t>On State Obligations under the International Covenant on Economic, Social and Cultural Rights in the Context of Business Activities (10 August 2017) UN Doc E/C.12/GC/24</w:t>
      </w:r>
      <w:r w:rsidRPr="00FA5480">
        <w:rPr>
          <w:rFonts w:ascii="Garamond" w:hAnsi="Garamond"/>
          <w:lang w:val="en-GB"/>
        </w:rPr>
        <w:t>, para 15</w:t>
      </w:r>
      <w:r w:rsidR="00BA72E7" w:rsidRPr="00FA5480">
        <w:rPr>
          <w:rFonts w:ascii="Garamond" w:hAnsi="Garamond"/>
          <w:lang w:val="en-GB"/>
        </w:rPr>
        <w:t>.</w:t>
      </w:r>
    </w:p>
  </w:footnote>
  <w:footnote w:id="102">
    <w:p w14:paraId="4E875EA2" w14:textId="1E872F65" w:rsidR="00811E22" w:rsidRPr="00FA5480" w:rsidRDefault="00811E22"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r w:rsidR="00BA72E7" w:rsidRPr="00FA5480">
        <w:rPr>
          <w:rFonts w:ascii="Garamond" w:hAnsi="Garamond"/>
          <w:lang w:val="en-GB"/>
        </w:rPr>
        <w:t xml:space="preserve">Ibid </w:t>
      </w:r>
      <w:r w:rsidRPr="00FA5480">
        <w:rPr>
          <w:rFonts w:ascii="Garamond" w:hAnsi="Garamond"/>
          <w:lang w:val="en-GB"/>
        </w:rPr>
        <w:t>216</w:t>
      </w:r>
      <w:r w:rsidR="00BA72E7" w:rsidRPr="00FA5480">
        <w:rPr>
          <w:rFonts w:ascii="Garamond" w:hAnsi="Garamond"/>
          <w:lang w:val="en-GB"/>
        </w:rPr>
        <w:t>.</w:t>
      </w:r>
    </w:p>
  </w:footnote>
  <w:footnote w:id="103">
    <w:p w14:paraId="032C2C37" w14:textId="4331FC46"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220-1</w:t>
      </w:r>
      <w:r w:rsidR="00BA72E7" w:rsidRPr="00FA5480">
        <w:rPr>
          <w:rFonts w:ascii="Garamond" w:hAnsi="Garamond"/>
          <w:lang w:val="en-GB"/>
        </w:rPr>
        <w:t>.</w:t>
      </w:r>
    </w:p>
  </w:footnote>
  <w:footnote w:id="104">
    <w:p w14:paraId="50A8F2A0" w14:textId="6FA7E750"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 228</w:t>
      </w:r>
      <w:r w:rsidR="00BA72E7" w:rsidRPr="00FA5480">
        <w:rPr>
          <w:rFonts w:ascii="Garamond" w:hAnsi="Garamond"/>
          <w:lang w:val="en-GB"/>
        </w:rPr>
        <w:t>.</w:t>
      </w:r>
    </w:p>
  </w:footnote>
  <w:footnote w:id="105">
    <w:p w14:paraId="7C70CA40"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Ibid.</w:t>
      </w:r>
    </w:p>
  </w:footnote>
  <w:footnote w:id="106">
    <w:p w14:paraId="0E0C0033" w14:textId="3BAEF6D5" w:rsidR="00E84166" w:rsidRPr="00FA5480" w:rsidRDefault="00000000" w:rsidP="00FA5480">
      <w:pPr>
        <w:pStyle w:val="NormalWeb"/>
        <w:spacing w:before="0" w:beforeAutospacing="0" w:after="0" w:afterAutospacing="0"/>
        <w:contextualSpacing/>
        <w:jc w:val="both"/>
        <w:rPr>
          <w:rFonts w:ascii="Garamond" w:hAnsi="Garamond"/>
          <w:sz w:val="20"/>
          <w:szCs w:val="20"/>
        </w:rPr>
      </w:pPr>
      <w:r w:rsidRPr="003B0E6F">
        <w:rPr>
          <w:rStyle w:val="FootnoteReference"/>
          <w:rFonts w:eastAsia="Garamond"/>
        </w:rPr>
        <w:footnoteRef/>
      </w:r>
      <w:r w:rsidRPr="00FA5480">
        <w:rPr>
          <w:rFonts w:ascii="Garamond" w:hAnsi="Garamond"/>
          <w:sz w:val="20"/>
          <w:szCs w:val="20"/>
        </w:rPr>
        <w:t xml:space="preserve"> See, </w:t>
      </w:r>
      <w:proofErr w:type="gramStart"/>
      <w:r w:rsidRPr="00FA5480">
        <w:rPr>
          <w:rFonts w:ascii="Garamond" w:hAnsi="Garamond"/>
          <w:sz w:val="20"/>
          <w:szCs w:val="20"/>
        </w:rPr>
        <w:t>e.g.</w:t>
      </w:r>
      <w:proofErr w:type="gramEnd"/>
      <w:r w:rsidRPr="00FA5480">
        <w:rPr>
          <w:rFonts w:ascii="Garamond" w:hAnsi="Garamond"/>
          <w:sz w:val="20"/>
          <w:szCs w:val="20"/>
        </w:rPr>
        <w:t xml:space="preserve"> Lisa </w:t>
      </w:r>
      <w:proofErr w:type="spellStart"/>
      <w:r w:rsidRPr="00FA5480">
        <w:rPr>
          <w:rFonts w:ascii="Garamond" w:hAnsi="Garamond"/>
          <w:sz w:val="20"/>
          <w:szCs w:val="20"/>
        </w:rPr>
        <w:t>Bohmer</w:t>
      </w:r>
      <w:proofErr w:type="spellEnd"/>
      <w:r w:rsidRPr="00FA5480">
        <w:rPr>
          <w:rFonts w:ascii="Garamond" w:hAnsi="Garamond"/>
          <w:sz w:val="20"/>
          <w:szCs w:val="20"/>
        </w:rPr>
        <w:t>, Investigation: in confidential award, Syria is held liable for foreign investor’s war losses, after tribunal majority imports a more generous war-losses protection via BIT’s MFN clause, 19 Oct 2020 IA Reporter; Luke Eric Peterson, Revealed: in Cengiz v. Libya BIT award, ICC tribunal saw dual-faceted failure of state to provide basic security during war, but frowned on bid for lost profits, Sep 9, 2019</w:t>
      </w:r>
      <w:r w:rsidR="005B1BC1" w:rsidRPr="00FA5480">
        <w:rPr>
          <w:rFonts w:ascii="Garamond" w:hAnsi="Garamond"/>
          <w:sz w:val="20"/>
          <w:szCs w:val="20"/>
        </w:rPr>
        <w:t xml:space="preserve">. </w:t>
      </w:r>
      <w:r w:rsidR="00BA72E7" w:rsidRPr="00FA5480">
        <w:rPr>
          <w:rFonts w:ascii="Garamond" w:hAnsi="Garamond"/>
          <w:sz w:val="20"/>
          <w:szCs w:val="20"/>
        </w:rPr>
        <w:t>See Robert</w:t>
      </w:r>
      <w:r w:rsidR="005B1BC1" w:rsidRPr="00FA5480">
        <w:rPr>
          <w:rFonts w:ascii="Garamond" w:hAnsi="Garamond"/>
          <w:sz w:val="20"/>
          <w:szCs w:val="20"/>
        </w:rPr>
        <w:t xml:space="preserve"> </w:t>
      </w:r>
      <w:proofErr w:type="spellStart"/>
      <w:r w:rsidR="005B1BC1" w:rsidRPr="00FA5480">
        <w:rPr>
          <w:rFonts w:ascii="Garamond" w:hAnsi="Garamond"/>
          <w:sz w:val="20"/>
          <w:szCs w:val="20"/>
        </w:rPr>
        <w:t>Howse</w:t>
      </w:r>
      <w:proofErr w:type="spellEnd"/>
      <w:r w:rsidR="00BA72E7" w:rsidRPr="00FA5480">
        <w:rPr>
          <w:rFonts w:ascii="Garamond" w:hAnsi="Garamond"/>
          <w:sz w:val="20"/>
          <w:szCs w:val="20"/>
        </w:rPr>
        <w:t xml:space="preserve"> and A</w:t>
      </w:r>
      <w:r w:rsidR="00FA5480" w:rsidRPr="00FA5480">
        <w:rPr>
          <w:rFonts w:ascii="Garamond" w:hAnsi="Garamond"/>
          <w:sz w:val="20"/>
          <w:szCs w:val="20"/>
        </w:rPr>
        <w:t>mi</w:t>
      </w:r>
      <w:r w:rsidR="00BA72E7" w:rsidRPr="00FA5480">
        <w:rPr>
          <w:rFonts w:ascii="Garamond" w:hAnsi="Garamond"/>
          <w:sz w:val="20"/>
          <w:szCs w:val="20"/>
        </w:rPr>
        <w:t>n R Yacoub</w:t>
      </w:r>
      <w:r w:rsidR="00FA5480" w:rsidRPr="00FA5480">
        <w:rPr>
          <w:rFonts w:ascii="Garamond" w:hAnsi="Garamond"/>
          <w:sz w:val="20"/>
          <w:szCs w:val="20"/>
        </w:rPr>
        <w:t>, ‘Litigating Terror in The Sinai After The Egyptian Spring Revolution: Should States Be Liable to Foreign Investors for Failure to Prevent Terrorist Attacks?</w:t>
      </w:r>
      <w:proofErr w:type="gramStart"/>
      <w:r w:rsidR="00FA5480" w:rsidRPr="00FA5480">
        <w:rPr>
          <w:rFonts w:ascii="Garamond" w:hAnsi="Garamond"/>
          <w:sz w:val="20"/>
          <w:szCs w:val="20"/>
        </w:rPr>
        <w:t>’(</w:t>
      </w:r>
      <w:proofErr w:type="gramEnd"/>
      <w:r w:rsidR="00FA5480" w:rsidRPr="00FA5480">
        <w:rPr>
          <w:rFonts w:ascii="Garamond" w:hAnsi="Garamond"/>
          <w:sz w:val="20"/>
          <w:szCs w:val="20"/>
        </w:rPr>
        <w:t xml:space="preserve">2022) 43 </w:t>
      </w:r>
      <w:r w:rsidR="00FA5480" w:rsidRPr="00FA5480">
        <w:rPr>
          <w:rFonts w:ascii="Garamond" w:eastAsia="Calibri" w:hAnsi="Garamond" w:cs="Calibri"/>
          <w:color w:val="000000"/>
          <w:sz w:val="20"/>
          <w:szCs w:val="20"/>
          <w:u w:color="000000"/>
          <w:bdr w:val="nil"/>
        </w:rPr>
        <w:t xml:space="preserve">Michigan Journal of International Law </w:t>
      </w:r>
      <w:r w:rsidR="00FA5480" w:rsidRPr="00FA5480">
        <w:rPr>
          <w:rFonts w:ascii="Garamond" w:hAnsi="Garamond"/>
          <w:sz w:val="20"/>
          <w:szCs w:val="20"/>
        </w:rPr>
        <w:t>595</w:t>
      </w:r>
    </w:p>
    <w:p w14:paraId="7D705D3F" w14:textId="77777777" w:rsidR="00E84166" w:rsidRPr="00FA5480" w:rsidRDefault="00E84166" w:rsidP="00FA5480">
      <w:pPr>
        <w:pStyle w:val="FootnoteText"/>
        <w:contextualSpacing/>
        <w:jc w:val="both"/>
        <w:rPr>
          <w:rFonts w:ascii="Garamond" w:hAnsi="Garamond"/>
          <w:lang w:val="en-GB"/>
        </w:rPr>
      </w:pPr>
    </w:p>
  </w:footnote>
  <w:footnote w:id="107">
    <w:p w14:paraId="5AB626FB"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In </w:t>
      </w:r>
      <w:r w:rsidRPr="00FA5480">
        <w:rPr>
          <w:rFonts w:ascii="Garamond" w:hAnsi="Garamond"/>
          <w:i/>
          <w:iCs/>
          <w:lang w:val="en-GB"/>
        </w:rPr>
        <w:t>Al-Kharafi v Libya</w:t>
      </w:r>
      <w:r w:rsidRPr="00FA5480">
        <w:rPr>
          <w:rFonts w:ascii="Garamond" w:hAnsi="Garamond"/>
          <w:lang w:val="en-GB"/>
        </w:rPr>
        <w:t>, the case initiated against the Libyan government during the civil war in 2011, the tribunal ordered Libya to pay almost $1 billion, one of the largest ever compensation awards in the history of investment treaty arbitration.</w:t>
      </w:r>
    </w:p>
  </w:footnote>
  <w:footnote w:id="108">
    <w:p w14:paraId="19025702" w14:textId="77777777" w:rsidR="00E84166" w:rsidRPr="00FA5480" w:rsidRDefault="00000000" w:rsidP="00FA5480">
      <w:pPr>
        <w:pStyle w:val="FootnoteText"/>
        <w:contextualSpacing/>
        <w:jc w:val="both"/>
        <w:rPr>
          <w:rFonts w:ascii="Garamond" w:hAnsi="Garamond"/>
          <w:lang w:val="en-GB"/>
        </w:rPr>
      </w:pPr>
      <w:r w:rsidRPr="003B0E6F">
        <w:rPr>
          <w:rStyle w:val="FootnoteReference"/>
        </w:rPr>
        <w:footnoteRef/>
      </w:r>
      <w:r w:rsidRPr="00FA5480">
        <w:rPr>
          <w:rFonts w:ascii="Garamond" w:hAnsi="Garamond"/>
          <w:lang w:val="en-GB"/>
        </w:rPr>
        <w:t xml:space="preserve"> </w:t>
      </w:r>
      <w:proofErr w:type="spellStart"/>
      <w:r w:rsidRPr="00FA5480">
        <w:rPr>
          <w:rFonts w:ascii="Garamond" w:hAnsi="Garamond"/>
          <w:lang w:val="en-GB"/>
        </w:rPr>
        <w:t>Gathii</w:t>
      </w:r>
      <w:proofErr w:type="spellEnd"/>
      <w:r w:rsidRPr="00FA5480">
        <w:rPr>
          <w:rFonts w:ascii="Garamond" w:hAnsi="Garamond"/>
          <w:lang w:val="en-GB"/>
        </w:rPr>
        <w:t xml:space="preserve">, </w:t>
      </w:r>
      <w:r w:rsidRPr="00FA5480">
        <w:rPr>
          <w:rFonts w:ascii="Garamond" w:hAnsi="Garamond"/>
          <w:i/>
          <w:iCs/>
          <w:lang w:val="en-GB"/>
        </w:rPr>
        <w:t>War, Commerce and International Law</w:t>
      </w:r>
      <w:r w:rsidRPr="00FA5480">
        <w:rPr>
          <w:rFonts w:ascii="Garamond" w:hAnsi="Garamond"/>
          <w:lang w:val="en-GB"/>
        </w:rPr>
        <w:t>, xiii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3A76" w14:textId="77777777" w:rsidR="00E84166" w:rsidRDefault="00E84166">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73AFA"/>
    <w:multiLevelType w:val="hybridMultilevel"/>
    <w:tmpl w:val="D778A62C"/>
    <w:lvl w:ilvl="0" w:tplc="DCC89DF8">
      <w:start w:val="3"/>
      <w:numFmt w:val="decimal"/>
      <w:lvlText w:val="%1."/>
      <w:lvlJc w:val="left"/>
      <w:pPr>
        <w:ind w:left="720" w:hanging="360"/>
      </w:pPr>
      <w:rPr>
        <w:rFonts w:eastAsia="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940F72"/>
    <w:multiLevelType w:val="hybridMultilevel"/>
    <w:tmpl w:val="E392ECE0"/>
    <w:lvl w:ilvl="0" w:tplc="EE7211A2">
      <w:start w:val="1"/>
      <w:numFmt w:val="decimal"/>
      <w:lvlText w:val="%1."/>
      <w:lvlJc w:val="left"/>
      <w:pPr>
        <w:ind w:left="720" w:hanging="360"/>
      </w:pPr>
      <w:rPr>
        <w:rFonts w:eastAsia="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4D5A85"/>
    <w:multiLevelType w:val="multilevel"/>
    <w:tmpl w:val="ECD66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786">
    <w:abstractNumId w:val="1"/>
  </w:num>
  <w:num w:numId="2" w16cid:durableId="1127089122">
    <w:abstractNumId w:val="2"/>
  </w:num>
  <w:num w:numId="3" w16cid:durableId="147189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166"/>
    <w:rsid w:val="000204BF"/>
    <w:rsid w:val="00026E5A"/>
    <w:rsid w:val="00041C2A"/>
    <w:rsid w:val="000466D9"/>
    <w:rsid w:val="0004778D"/>
    <w:rsid w:val="00077A18"/>
    <w:rsid w:val="00094D11"/>
    <w:rsid w:val="000956E3"/>
    <w:rsid w:val="00096241"/>
    <w:rsid w:val="000E7C06"/>
    <w:rsid w:val="00137FE2"/>
    <w:rsid w:val="001F6568"/>
    <w:rsid w:val="00231715"/>
    <w:rsid w:val="002A0A6A"/>
    <w:rsid w:val="002A61AA"/>
    <w:rsid w:val="0031385E"/>
    <w:rsid w:val="00370634"/>
    <w:rsid w:val="003A16B5"/>
    <w:rsid w:val="003B0E6F"/>
    <w:rsid w:val="003D5656"/>
    <w:rsid w:val="003E3D1D"/>
    <w:rsid w:val="00434DDB"/>
    <w:rsid w:val="00463983"/>
    <w:rsid w:val="00470DCA"/>
    <w:rsid w:val="004744C3"/>
    <w:rsid w:val="004B067E"/>
    <w:rsid w:val="004C76D2"/>
    <w:rsid w:val="004E3091"/>
    <w:rsid w:val="00523557"/>
    <w:rsid w:val="00533950"/>
    <w:rsid w:val="0054666F"/>
    <w:rsid w:val="005606AE"/>
    <w:rsid w:val="00566320"/>
    <w:rsid w:val="005B1BC1"/>
    <w:rsid w:val="005C0E6E"/>
    <w:rsid w:val="00600761"/>
    <w:rsid w:val="00623862"/>
    <w:rsid w:val="00645F28"/>
    <w:rsid w:val="006E1273"/>
    <w:rsid w:val="006E4503"/>
    <w:rsid w:val="006F7319"/>
    <w:rsid w:val="00703D54"/>
    <w:rsid w:val="007142FB"/>
    <w:rsid w:val="007B1F3A"/>
    <w:rsid w:val="00811E22"/>
    <w:rsid w:val="008121F2"/>
    <w:rsid w:val="008319EB"/>
    <w:rsid w:val="00841F34"/>
    <w:rsid w:val="00860ED1"/>
    <w:rsid w:val="00863A2A"/>
    <w:rsid w:val="00890E99"/>
    <w:rsid w:val="008B335B"/>
    <w:rsid w:val="008B51CD"/>
    <w:rsid w:val="008C1CD2"/>
    <w:rsid w:val="008D330D"/>
    <w:rsid w:val="009204DA"/>
    <w:rsid w:val="00944B8F"/>
    <w:rsid w:val="00964C11"/>
    <w:rsid w:val="009C7423"/>
    <w:rsid w:val="00A14486"/>
    <w:rsid w:val="00A1621B"/>
    <w:rsid w:val="00A177F7"/>
    <w:rsid w:val="00A204E7"/>
    <w:rsid w:val="00A36638"/>
    <w:rsid w:val="00A90F70"/>
    <w:rsid w:val="00A91479"/>
    <w:rsid w:val="00AA12B5"/>
    <w:rsid w:val="00AA648D"/>
    <w:rsid w:val="00AA6E6D"/>
    <w:rsid w:val="00AD3F09"/>
    <w:rsid w:val="00B17235"/>
    <w:rsid w:val="00B17277"/>
    <w:rsid w:val="00B22447"/>
    <w:rsid w:val="00B30414"/>
    <w:rsid w:val="00B42F4C"/>
    <w:rsid w:val="00B74118"/>
    <w:rsid w:val="00B919CE"/>
    <w:rsid w:val="00BA1941"/>
    <w:rsid w:val="00BA72E7"/>
    <w:rsid w:val="00BB0A59"/>
    <w:rsid w:val="00C1769F"/>
    <w:rsid w:val="00CD24E7"/>
    <w:rsid w:val="00CD7238"/>
    <w:rsid w:val="00CF3471"/>
    <w:rsid w:val="00D062E2"/>
    <w:rsid w:val="00D32276"/>
    <w:rsid w:val="00D4314E"/>
    <w:rsid w:val="00D5146B"/>
    <w:rsid w:val="00D906C1"/>
    <w:rsid w:val="00DC3CC0"/>
    <w:rsid w:val="00DD36A7"/>
    <w:rsid w:val="00DE435A"/>
    <w:rsid w:val="00DF3037"/>
    <w:rsid w:val="00E051CA"/>
    <w:rsid w:val="00E105E3"/>
    <w:rsid w:val="00E44BF3"/>
    <w:rsid w:val="00E65D3F"/>
    <w:rsid w:val="00E84166"/>
    <w:rsid w:val="00EC3795"/>
    <w:rsid w:val="00EF5DB1"/>
    <w:rsid w:val="00F2338F"/>
    <w:rsid w:val="00F40DCC"/>
    <w:rsid w:val="00F50CB7"/>
    <w:rsid w:val="00F75B3A"/>
    <w:rsid w:val="00FA5480"/>
    <w:rsid w:val="00FD1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7561"/>
  <w15:docId w15:val="{A87AA0A0-2501-EA4A-8687-AB5BB6D7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DE43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customStyle="1" w:styleId="berschrift">
    <w:name w:val="Überschrift"/>
    <w:next w:val="Text"/>
    <w:pPr>
      <w:keepNext/>
      <w:keepLines/>
      <w:spacing w:before="240" w:line="259" w:lineRule="auto"/>
      <w:outlineLvl w:val="0"/>
    </w:pPr>
    <w:rPr>
      <w:rFonts w:ascii="Calibri Light" w:hAnsi="Calibri Light" w:cs="Arial Unicode MS"/>
      <w:color w:val="2F5496"/>
      <w:sz w:val="32"/>
      <w:szCs w:val="32"/>
      <w:u w:color="2F5496"/>
      <w:lang w:val="en-US"/>
      <w14:textOutline w14:w="0" w14:cap="flat" w14:cmpd="sng" w14:algn="ctr">
        <w14:noFill/>
        <w14:prstDash w14:val="solid"/>
        <w14:bevel/>
      </w14:textOutline>
    </w:rPr>
  </w:style>
  <w:style w:type="paragraph" w:customStyle="1" w:styleId="Standard">
    <w:name w:val="Standard"/>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noteText">
    <w:name w:val="footnote text"/>
    <w:rPr>
      <w:rFonts w:ascii="Calibri" w:eastAsia="Calibri" w:hAnsi="Calibri" w:cs="Calibri"/>
      <w:color w:val="000000"/>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D36A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FootnoteReference">
    <w:name w:val="footnote reference"/>
    <w:basedOn w:val="DefaultParagraphFont"/>
    <w:uiPriority w:val="99"/>
    <w:semiHidden/>
    <w:unhideWhenUsed/>
    <w:rsid w:val="00D32276"/>
    <w:rPr>
      <w:vertAlign w:val="superscript"/>
    </w:rPr>
  </w:style>
  <w:style w:type="paragraph" w:styleId="CommentSubject">
    <w:name w:val="annotation subject"/>
    <w:basedOn w:val="CommentText"/>
    <w:next w:val="CommentText"/>
    <w:link w:val="CommentSubjectChar"/>
    <w:uiPriority w:val="99"/>
    <w:semiHidden/>
    <w:unhideWhenUsed/>
    <w:rsid w:val="00041C2A"/>
    <w:rPr>
      <w:b/>
      <w:bCs/>
    </w:rPr>
  </w:style>
  <w:style w:type="character" w:customStyle="1" w:styleId="CommentSubjectChar">
    <w:name w:val="Comment Subject Char"/>
    <w:basedOn w:val="CommentTextChar"/>
    <w:link w:val="CommentSubject"/>
    <w:uiPriority w:val="99"/>
    <w:semiHidden/>
    <w:rsid w:val="00041C2A"/>
    <w:rPr>
      <w:b/>
      <w:bCs/>
      <w:lang w:val="en-US" w:eastAsia="en-US"/>
    </w:rPr>
  </w:style>
  <w:style w:type="paragraph" w:styleId="NormalWeb">
    <w:name w:val="Normal (Web)"/>
    <w:basedOn w:val="Normal"/>
    <w:uiPriority w:val="99"/>
    <w:unhideWhenUsed/>
    <w:rsid w:val="00DE43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1Char">
    <w:name w:val="Heading 1 Char"/>
    <w:basedOn w:val="DefaultParagraphFont"/>
    <w:link w:val="Heading1"/>
    <w:uiPriority w:val="9"/>
    <w:rsid w:val="00DE435A"/>
    <w:rPr>
      <w:rFonts w:eastAsia="Times New Roman"/>
      <w:b/>
      <w:bCs/>
      <w:kern w:val="36"/>
      <w:sz w:val="48"/>
      <w:szCs w:val="48"/>
      <w:bdr w:val="none" w:sz="0" w:space="0" w:color="auto"/>
    </w:rPr>
  </w:style>
  <w:style w:type="character" w:customStyle="1" w:styleId="apple-converted-space">
    <w:name w:val="apple-converted-space"/>
    <w:basedOn w:val="DefaultParagraphFont"/>
    <w:rsid w:val="00DE435A"/>
  </w:style>
  <w:style w:type="character" w:customStyle="1" w:styleId="get-access-text">
    <w:name w:val="get-access-text"/>
    <w:basedOn w:val="DefaultParagraphFont"/>
    <w:rsid w:val="00DE435A"/>
  </w:style>
  <w:style w:type="character" w:customStyle="1" w:styleId="delimiter">
    <w:name w:val="delimiter"/>
    <w:basedOn w:val="DefaultParagraphFont"/>
    <w:rsid w:val="00DE435A"/>
  </w:style>
  <w:style w:type="character" w:styleId="EndnoteReference">
    <w:name w:val="endnote reference"/>
    <w:basedOn w:val="DefaultParagraphFont"/>
    <w:uiPriority w:val="99"/>
    <w:semiHidden/>
    <w:unhideWhenUsed/>
    <w:rsid w:val="003B0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9673">
      <w:bodyDiv w:val="1"/>
      <w:marLeft w:val="0"/>
      <w:marRight w:val="0"/>
      <w:marTop w:val="0"/>
      <w:marBottom w:val="0"/>
      <w:divBdr>
        <w:top w:val="none" w:sz="0" w:space="0" w:color="auto"/>
        <w:left w:val="none" w:sz="0" w:space="0" w:color="auto"/>
        <w:bottom w:val="none" w:sz="0" w:space="0" w:color="auto"/>
        <w:right w:val="none" w:sz="0" w:space="0" w:color="auto"/>
      </w:divBdr>
      <w:divsChild>
        <w:div w:id="595793278">
          <w:marLeft w:val="0"/>
          <w:marRight w:val="0"/>
          <w:marTop w:val="0"/>
          <w:marBottom w:val="0"/>
          <w:divBdr>
            <w:top w:val="none" w:sz="0" w:space="0" w:color="auto"/>
            <w:left w:val="none" w:sz="0" w:space="0" w:color="auto"/>
            <w:bottom w:val="none" w:sz="0" w:space="0" w:color="auto"/>
            <w:right w:val="none" w:sz="0" w:space="0" w:color="auto"/>
          </w:divBdr>
          <w:divsChild>
            <w:div w:id="1761562040">
              <w:marLeft w:val="0"/>
              <w:marRight w:val="0"/>
              <w:marTop w:val="0"/>
              <w:marBottom w:val="0"/>
              <w:divBdr>
                <w:top w:val="none" w:sz="0" w:space="0" w:color="auto"/>
                <w:left w:val="none" w:sz="0" w:space="0" w:color="auto"/>
                <w:bottom w:val="none" w:sz="0" w:space="0" w:color="auto"/>
                <w:right w:val="none" w:sz="0" w:space="0" w:color="auto"/>
              </w:divBdr>
              <w:divsChild>
                <w:div w:id="1166745545">
                  <w:marLeft w:val="0"/>
                  <w:marRight w:val="0"/>
                  <w:marTop w:val="0"/>
                  <w:marBottom w:val="0"/>
                  <w:divBdr>
                    <w:top w:val="none" w:sz="0" w:space="0" w:color="auto"/>
                    <w:left w:val="none" w:sz="0" w:space="0" w:color="auto"/>
                    <w:bottom w:val="none" w:sz="0" w:space="0" w:color="auto"/>
                    <w:right w:val="none" w:sz="0" w:space="0" w:color="auto"/>
                  </w:divBdr>
                  <w:divsChild>
                    <w:div w:id="12781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838377">
      <w:bodyDiv w:val="1"/>
      <w:marLeft w:val="0"/>
      <w:marRight w:val="0"/>
      <w:marTop w:val="0"/>
      <w:marBottom w:val="0"/>
      <w:divBdr>
        <w:top w:val="none" w:sz="0" w:space="0" w:color="auto"/>
        <w:left w:val="none" w:sz="0" w:space="0" w:color="auto"/>
        <w:bottom w:val="none" w:sz="0" w:space="0" w:color="auto"/>
        <w:right w:val="none" w:sz="0" w:space="0" w:color="auto"/>
      </w:divBdr>
      <w:divsChild>
        <w:div w:id="699817834">
          <w:marLeft w:val="0"/>
          <w:marRight w:val="0"/>
          <w:marTop w:val="0"/>
          <w:marBottom w:val="0"/>
          <w:divBdr>
            <w:top w:val="none" w:sz="0" w:space="0" w:color="auto"/>
            <w:left w:val="none" w:sz="0" w:space="0" w:color="auto"/>
            <w:bottom w:val="none" w:sz="0" w:space="0" w:color="auto"/>
            <w:right w:val="none" w:sz="0" w:space="0" w:color="auto"/>
          </w:divBdr>
          <w:divsChild>
            <w:div w:id="712998889">
              <w:marLeft w:val="0"/>
              <w:marRight w:val="0"/>
              <w:marTop w:val="0"/>
              <w:marBottom w:val="0"/>
              <w:divBdr>
                <w:top w:val="none" w:sz="0" w:space="0" w:color="auto"/>
                <w:left w:val="none" w:sz="0" w:space="0" w:color="auto"/>
                <w:bottom w:val="none" w:sz="0" w:space="0" w:color="auto"/>
                <w:right w:val="none" w:sz="0" w:space="0" w:color="auto"/>
              </w:divBdr>
              <w:divsChild>
                <w:div w:id="7378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28632">
      <w:bodyDiv w:val="1"/>
      <w:marLeft w:val="0"/>
      <w:marRight w:val="0"/>
      <w:marTop w:val="0"/>
      <w:marBottom w:val="0"/>
      <w:divBdr>
        <w:top w:val="none" w:sz="0" w:space="0" w:color="auto"/>
        <w:left w:val="none" w:sz="0" w:space="0" w:color="auto"/>
        <w:bottom w:val="none" w:sz="0" w:space="0" w:color="auto"/>
        <w:right w:val="none" w:sz="0" w:space="0" w:color="auto"/>
      </w:divBdr>
      <w:divsChild>
        <w:div w:id="1982537796">
          <w:marLeft w:val="0"/>
          <w:marRight w:val="0"/>
          <w:marTop w:val="0"/>
          <w:marBottom w:val="0"/>
          <w:divBdr>
            <w:top w:val="none" w:sz="0" w:space="0" w:color="auto"/>
            <w:left w:val="none" w:sz="0" w:space="0" w:color="auto"/>
            <w:bottom w:val="none" w:sz="0" w:space="0" w:color="auto"/>
            <w:right w:val="none" w:sz="0" w:space="0" w:color="auto"/>
          </w:divBdr>
          <w:divsChild>
            <w:div w:id="1364164400">
              <w:marLeft w:val="0"/>
              <w:marRight w:val="0"/>
              <w:marTop w:val="0"/>
              <w:marBottom w:val="0"/>
              <w:divBdr>
                <w:top w:val="none" w:sz="0" w:space="0" w:color="auto"/>
                <w:left w:val="none" w:sz="0" w:space="0" w:color="auto"/>
                <w:bottom w:val="none" w:sz="0" w:space="0" w:color="auto"/>
                <w:right w:val="none" w:sz="0" w:space="0" w:color="auto"/>
              </w:divBdr>
            </w:div>
          </w:divsChild>
        </w:div>
        <w:div w:id="1065955175">
          <w:marLeft w:val="0"/>
          <w:marRight w:val="0"/>
          <w:marTop w:val="0"/>
          <w:marBottom w:val="0"/>
          <w:divBdr>
            <w:top w:val="none" w:sz="0" w:space="0" w:color="auto"/>
            <w:left w:val="none" w:sz="0" w:space="0" w:color="auto"/>
            <w:bottom w:val="none" w:sz="0" w:space="0" w:color="auto"/>
            <w:right w:val="none" w:sz="0" w:space="0" w:color="auto"/>
          </w:divBdr>
          <w:divsChild>
            <w:div w:id="529101500">
              <w:marLeft w:val="0"/>
              <w:marRight w:val="0"/>
              <w:marTop w:val="0"/>
              <w:marBottom w:val="0"/>
              <w:divBdr>
                <w:top w:val="none" w:sz="0" w:space="0" w:color="auto"/>
                <w:left w:val="none" w:sz="0" w:space="0" w:color="auto"/>
                <w:bottom w:val="none" w:sz="0" w:space="0" w:color="auto"/>
                <w:right w:val="none" w:sz="0" w:space="0" w:color="auto"/>
              </w:divBdr>
              <w:divsChild>
                <w:div w:id="1887984669">
                  <w:marLeft w:val="0"/>
                  <w:marRight w:val="0"/>
                  <w:marTop w:val="0"/>
                  <w:marBottom w:val="0"/>
                  <w:divBdr>
                    <w:top w:val="none" w:sz="0" w:space="0" w:color="auto"/>
                    <w:left w:val="none" w:sz="0" w:space="0" w:color="auto"/>
                    <w:bottom w:val="none" w:sz="0" w:space="0" w:color="auto"/>
                    <w:right w:val="none" w:sz="0" w:space="0" w:color="auto"/>
                  </w:divBdr>
                </w:div>
                <w:div w:id="1974629105">
                  <w:marLeft w:val="0"/>
                  <w:marRight w:val="0"/>
                  <w:marTop w:val="0"/>
                  <w:marBottom w:val="0"/>
                  <w:divBdr>
                    <w:top w:val="none" w:sz="0" w:space="0" w:color="auto"/>
                    <w:left w:val="none" w:sz="0" w:space="0" w:color="auto"/>
                    <w:bottom w:val="none" w:sz="0" w:space="0" w:color="auto"/>
                    <w:right w:val="none" w:sz="0" w:space="0" w:color="auto"/>
                  </w:divBdr>
                </w:div>
                <w:div w:id="6317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67914">
      <w:bodyDiv w:val="1"/>
      <w:marLeft w:val="0"/>
      <w:marRight w:val="0"/>
      <w:marTop w:val="0"/>
      <w:marBottom w:val="0"/>
      <w:divBdr>
        <w:top w:val="none" w:sz="0" w:space="0" w:color="auto"/>
        <w:left w:val="none" w:sz="0" w:space="0" w:color="auto"/>
        <w:bottom w:val="none" w:sz="0" w:space="0" w:color="auto"/>
        <w:right w:val="none" w:sz="0" w:space="0" w:color="auto"/>
      </w:divBdr>
      <w:divsChild>
        <w:div w:id="869613500">
          <w:marLeft w:val="0"/>
          <w:marRight w:val="0"/>
          <w:marTop w:val="0"/>
          <w:marBottom w:val="0"/>
          <w:divBdr>
            <w:top w:val="none" w:sz="0" w:space="0" w:color="auto"/>
            <w:left w:val="none" w:sz="0" w:space="0" w:color="auto"/>
            <w:bottom w:val="none" w:sz="0" w:space="0" w:color="auto"/>
            <w:right w:val="none" w:sz="0" w:space="0" w:color="auto"/>
          </w:divBdr>
          <w:divsChild>
            <w:div w:id="900292609">
              <w:marLeft w:val="0"/>
              <w:marRight w:val="0"/>
              <w:marTop w:val="0"/>
              <w:marBottom w:val="0"/>
              <w:divBdr>
                <w:top w:val="none" w:sz="0" w:space="0" w:color="auto"/>
                <w:left w:val="none" w:sz="0" w:space="0" w:color="auto"/>
                <w:bottom w:val="none" w:sz="0" w:space="0" w:color="auto"/>
                <w:right w:val="none" w:sz="0" w:space="0" w:color="auto"/>
              </w:divBdr>
              <w:divsChild>
                <w:div w:id="932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34237">
      <w:bodyDiv w:val="1"/>
      <w:marLeft w:val="0"/>
      <w:marRight w:val="0"/>
      <w:marTop w:val="0"/>
      <w:marBottom w:val="0"/>
      <w:divBdr>
        <w:top w:val="none" w:sz="0" w:space="0" w:color="auto"/>
        <w:left w:val="none" w:sz="0" w:space="0" w:color="auto"/>
        <w:bottom w:val="none" w:sz="0" w:space="0" w:color="auto"/>
        <w:right w:val="none" w:sz="0" w:space="0" w:color="auto"/>
      </w:divBdr>
      <w:divsChild>
        <w:div w:id="1494641286">
          <w:marLeft w:val="0"/>
          <w:marRight w:val="0"/>
          <w:marTop w:val="0"/>
          <w:marBottom w:val="0"/>
          <w:divBdr>
            <w:top w:val="none" w:sz="0" w:space="0" w:color="auto"/>
            <w:left w:val="none" w:sz="0" w:space="0" w:color="auto"/>
            <w:bottom w:val="none" w:sz="0" w:space="0" w:color="auto"/>
            <w:right w:val="none" w:sz="0" w:space="0" w:color="auto"/>
          </w:divBdr>
          <w:divsChild>
            <w:div w:id="1306007866">
              <w:marLeft w:val="0"/>
              <w:marRight w:val="0"/>
              <w:marTop w:val="0"/>
              <w:marBottom w:val="0"/>
              <w:divBdr>
                <w:top w:val="none" w:sz="0" w:space="0" w:color="auto"/>
                <w:left w:val="none" w:sz="0" w:space="0" w:color="auto"/>
                <w:bottom w:val="none" w:sz="0" w:space="0" w:color="auto"/>
                <w:right w:val="none" w:sz="0" w:space="0" w:color="auto"/>
              </w:divBdr>
              <w:divsChild>
                <w:div w:id="971130250">
                  <w:marLeft w:val="0"/>
                  <w:marRight w:val="0"/>
                  <w:marTop w:val="0"/>
                  <w:marBottom w:val="0"/>
                  <w:divBdr>
                    <w:top w:val="none" w:sz="0" w:space="0" w:color="auto"/>
                    <w:left w:val="none" w:sz="0" w:space="0" w:color="auto"/>
                    <w:bottom w:val="none" w:sz="0" w:space="0" w:color="auto"/>
                    <w:right w:val="none" w:sz="0" w:space="0" w:color="auto"/>
                  </w:divBdr>
                  <w:divsChild>
                    <w:div w:id="3723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457330">
      <w:bodyDiv w:val="1"/>
      <w:marLeft w:val="0"/>
      <w:marRight w:val="0"/>
      <w:marTop w:val="0"/>
      <w:marBottom w:val="0"/>
      <w:divBdr>
        <w:top w:val="none" w:sz="0" w:space="0" w:color="auto"/>
        <w:left w:val="none" w:sz="0" w:space="0" w:color="auto"/>
        <w:bottom w:val="none" w:sz="0" w:space="0" w:color="auto"/>
        <w:right w:val="none" w:sz="0" w:space="0" w:color="auto"/>
      </w:divBdr>
      <w:divsChild>
        <w:div w:id="1851329909">
          <w:marLeft w:val="0"/>
          <w:marRight w:val="0"/>
          <w:marTop w:val="0"/>
          <w:marBottom w:val="0"/>
          <w:divBdr>
            <w:top w:val="none" w:sz="0" w:space="0" w:color="auto"/>
            <w:left w:val="none" w:sz="0" w:space="0" w:color="auto"/>
            <w:bottom w:val="none" w:sz="0" w:space="0" w:color="auto"/>
            <w:right w:val="none" w:sz="0" w:space="0" w:color="auto"/>
          </w:divBdr>
          <w:divsChild>
            <w:div w:id="130903471">
              <w:marLeft w:val="0"/>
              <w:marRight w:val="0"/>
              <w:marTop w:val="0"/>
              <w:marBottom w:val="0"/>
              <w:divBdr>
                <w:top w:val="none" w:sz="0" w:space="0" w:color="auto"/>
                <w:left w:val="none" w:sz="0" w:space="0" w:color="auto"/>
                <w:bottom w:val="none" w:sz="0" w:space="0" w:color="auto"/>
                <w:right w:val="none" w:sz="0" w:space="0" w:color="auto"/>
              </w:divBdr>
              <w:divsChild>
                <w:div w:id="9807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8817">
      <w:bodyDiv w:val="1"/>
      <w:marLeft w:val="0"/>
      <w:marRight w:val="0"/>
      <w:marTop w:val="0"/>
      <w:marBottom w:val="0"/>
      <w:divBdr>
        <w:top w:val="none" w:sz="0" w:space="0" w:color="auto"/>
        <w:left w:val="none" w:sz="0" w:space="0" w:color="auto"/>
        <w:bottom w:val="none" w:sz="0" w:space="0" w:color="auto"/>
        <w:right w:val="none" w:sz="0" w:space="0" w:color="auto"/>
      </w:divBdr>
      <w:divsChild>
        <w:div w:id="507840201">
          <w:marLeft w:val="0"/>
          <w:marRight w:val="0"/>
          <w:marTop w:val="0"/>
          <w:marBottom w:val="0"/>
          <w:divBdr>
            <w:top w:val="none" w:sz="0" w:space="0" w:color="auto"/>
            <w:left w:val="none" w:sz="0" w:space="0" w:color="auto"/>
            <w:bottom w:val="none" w:sz="0" w:space="0" w:color="auto"/>
            <w:right w:val="none" w:sz="0" w:space="0" w:color="auto"/>
          </w:divBdr>
          <w:divsChild>
            <w:div w:id="310529050">
              <w:marLeft w:val="0"/>
              <w:marRight w:val="0"/>
              <w:marTop w:val="0"/>
              <w:marBottom w:val="0"/>
              <w:divBdr>
                <w:top w:val="none" w:sz="0" w:space="0" w:color="auto"/>
                <w:left w:val="none" w:sz="0" w:space="0" w:color="auto"/>
                <w:bottom w:val="none" w:sz="0" w:space="0" w:color="auto"/>
                <w:right w:val="none" w:sz="0" w:space="0" w:color="auto"/>
              </w:divBdr>
              <w:divsChild>
                <w:div w:id="1041369739">
                  <w:marLeft w:val="0"/>
                  <w:marRight w:val="0"/>
                  <w:marTop w:val="0"/>
                  <w:marBottom w:val="0"/>
                  <w:divBdr>
                    <w:top w:val="none" w:sz="0" w:space="0" w:color="auto"/>
                    <w:left w:val="none" w:sz="0" w:space="0" w:color="auto"/>
                    <w:bottom w:val="none" w:sz="0" w:space="0" w:color="auto"/>
                    <w:right w:val="none" w:sz="0" w:space="0" w:color="auto"/>
                  </w:divBdr>
                  <w:divsChild>
                    <w:div w:id="3259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66251">
      <w:bodyDiv w:val="1"/>
      <w:marLeft w:val="0"/>
      <w:marRight w:val="0"/>
      <w:marTop w:val="0"/>
      <w:marBottom w:val="0"/>
      <w:divBdr>
        <w:top w:val="none" w:sz="0" w:space="0" w:color="auto"/>
        <w:left w:val="none" w:sz="0" w:space="0" w:color="auto"/>
        <w:bottom w:val="none" w:sz="0" w:space="0" w:color="auto"/>
        <w:right w:val="none" w:sz="0" w:space="0" w:color="auto"/>
      </w:divBdr>
      <w:divsChild>
        <w:div w:id="1331330009">
          <w:marLeft w:val="0"/>
          <w:marRight w:val="0"/>
          <w:marTop w:val="0"/>
          <w:marBottom w:val="0"/>
          <w:divBdr>
            <w:top w:val="none" w:sz="0" w:space="0" w:color="auto"/>
            <w:left w:val="none" w:sz="0" w:space="0" w:color="auto"/>
            <w:bottom w:val="none" w:sz="0" w:space="0" w:color="auto"/>
            <w:right w:val="none" w:sz="0" w:space="0" w:color="auto"/>
          </w:divBdr>
          <w:divsChild>
            <w:div w:id="21131831">
              <w:marLeft w:val="0"/>
              <w:marRight w:val="0"/>
              <w:marTop w:val="0"/>
              <w:marBottom w:val="0"/>
              <w:divBdr>
                <w:top w:val="none" w:sz="0" w:space="0" w:color="auto"/>
                <w:left w:val="none" w:sz="0" w:space="0" w:color="auto"/>
                <w:bottom w:val="none" w:sz="0" w:space="0" w:color="auto"/>
                <w:right w:val="none" w:sz="0" w:space="0" w:color="auto"/>
              </w:divBdr>
              <w:divsChild>
                <w:div w:id="8843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10925">
      <w:bodyDiv w:val="1"/>
      <w:marLeft w:val="0"/>
      <w:marRight w:val="0"/>
      <w:marTop w:val="0"/>
      <w:marBottom w:val="0"/>
      <w:divBdr>
        <w:top w:val="none" w:sz="0" w:space="0" w:color="auto"/>
        <w:left w:val="none" w:sz="0" w:space="0" w:color="auto"/>
        <w:bottom w:val="none" w:sz="0" w:space="0" w:color="auto"/>
        <w:right w:val="none" w:sz="0" w:space="0" w:color="auto"/>
      </w:divBdr>
      <w:divsChild>
        <w:div w:id="1048070339">
          <w:marLeft w:val="0"/>
          <w:marRight w:val="0"/>
          <w:marTop w:val="0"/>
          <w:marBottom w:val="0"/>
          <w:divBdr>
            <w:top w:val="none" w:sz="0" w:space="0" w:color="auto"/>
            <w:left w:val="none" w:sz="0" w:space="0" w:color="auto"/>
            <w:bottom w:val="none" w:sz="0" w:space="0" w:color="auto"/>
            <w:right w:val="none" w:sz="0" w:space="0" w:color="auto"/>
          </w:divBdr>
          <w:divsChild>
            <w:div w:id="1490167989">
              <w:marLeft w:val="0"/>
              <w:marRight w:val="0"/>
              <w:marTop w:val="0"/>
              <w:marBottom w:val="0"/>
              <w:divBdr>
                <w:top w:val="none" w:sz="0" w:space="0" w:color="auto"/>
                <w:left w:val="none" w:sz="0" w:space="0" w:color="auto"/>
                <w:bottom w:val="none" w:sz="0" w:space="0" w:color="auto"/>
                <w:right w:val="none" w:sz="0" w:space="0" w:color="auto"/>
              </w:divBdr>
              <w:divsChild>
                <w:div w:id="738944319">
                  <w:marLeft w:val="0"/>
                  <w:marRight w:val="0"/>
                  <w:marTop w:val="0"/>
                  <w:marBottom w:val="0"/>
                  <w:divBdr>
                    <w:top w:val="none" w:sz="0" w:space="0" w:color="auto"/>
                    <w:left w:val="none" w:sz="0" w:space="0" w:color="auto"/>
                    <w:bottom w:val="none" w:sz="0" w:space="0" w:color="auto"/>
                    <w:right w:val="none" w:sz="0" w:space="0" w:color="auto"/>
                  </w:divBdr>
                  <w:divsChild>
                    <w:div w:id="3305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920D3-651C-A349-90AB-E816B625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8851</Words>
  <Characters>50457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Sattorova, Mavluda</cp:lastModifiedBy>
  <cp:revision>2</cp:revision>
  <dcterms:created xsi:type="dcterms:W3CDTF">2023-01-27T10:00:00Z</dcterms:created>
  <dcterms:modified xsi:type="dcterms:W3CDTF">2023-01-27T10:00:00Z</dcterms:modified>
</cp:coreProperties>
</file>