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95FD" w14:textId="7BDFAD31" w:rsidR="005B3C76" w:rsidRDefault="00824224" w:rsidP="00FE0FFA">
      <w:r>
        <w:t>Kenneth Aitchison</w:t>
      </w:r>
      <w:r w:rsidR="00095DE5">
        <w:t xml:space="preserve">. </w:t>
      </w:r>
      <w:r w:rsidR="005B3C76">
        <w:t>Executive Director, Landward Research Ltd</w:t>
      </w:r>
      <w:r w:rsidR="00C52AAD">
        <w:t>.</w:t>
      </w:r>
    </w:p>
    <w:p w14:paraId="37DE762B" w14:textId="621B5EAB" w:rsidR="005B3C76" w:rsidRDefault="005B3C76" w:rsidP="00FE0FFA">
      <w:r>
        <w:t>kenneth.aitchison@landward.eu</w:t>
      </w:r>
    </w:p>
    <w:p w14:paraId="10965D68" w14:textId="77777777" w:rsidR="005B3C76" w:rsidRDefault="005B3C76" w:rsidP="00FE0FFA">
      <w:pPr>
        <w:rPr>
          <w:b/>
        </w:rPr>
      </w:pPr>
    </w:p>
    <w:p w14:paraId="3C265D9D" w14:textId="4F0BBE75" w:rsidR="00824224" w:rsidRPr="00BF2055" w:rsidRDefault="00BF2055" w:rsidP="00FE0FFA">
      <w:pPr>
        <w:rPr>
          <w:b/>
        </w:rPr>
      </w:pPr>
      <w:r w:rsidRPr="00BF2055">
        <w:rPr>
          <w:b/>
        </w:rPr>
        <w:t>On the outside looking in: what will Brexit mean for European archaeology?</w:t>
      </w:r>
    </w:p>
    <w:p w14:paraId="3EF71ECB" w14:textId="209ED889" w:rsidR="001F260D" w:rsidRDefault="00AF5443" w:rsidP="001F260D">
      <w:r>
        <w:t>Th</w:t>
      </w:r>
      <w:r w:rsidR="006A6C2C">
        <w:t>e UK’s government’s decision to</w:t>
      </w:r>
      <w:r>
        <w:t xml:space="preserve"> withdraw from the European Union</w:t>
      </w:r>
      <w:r w:rsidR="001F260D">
        <w:t xml:space="preserve"> </w:t>
      </w:r>
      <w:r w:rsidR="00B15353">
        <w:t xml:space="preserve">may </w:t>
      </w:r>
      <w:r w:rsidR="001F260D">
        <w:t xml:space="preserve">dominate British politics for a generation. </w:t>
      </w:r>
    </w:p>
    <w:p w14:paraId="3CDA1F47" w14:textId="125E1923" w:rsidR="001F260D" w:rsidRDefault="001F260D" w:rsidP="001F260D">
      <w:r>
        <w:t>But it is not the biggest issue in European politics:</w:t>
      </w:r>
    </w:p>
    <w:p w14:paraId="16EEC97A" w14:textId="126A6A37" w:rsidR="001F260D" w:rsidRDefault="001F260D" w:rsidP="005540C5">
      <w:pPr>
        <w:ind w:left="170" w:right="170"/>
      </w:pPr>
      <w:r>
        <w:t>EU leaders … are eager to stress that such problems as economic reforms, fixing the euro and sorting out the allocation of refugees as far more important than Brexit, which they largely see as an act of self-harm that the British are going to have to live with (The Economist, July 1</w:t>
      </w:r>
      <w:r w:rsidRPr="001F260D">
        <w:rPr>
          <w:vertAlign w:val="superscript"/>
        </w:rPr>
        <w:t>st</w:t>
      </w:r>
      <w:r>
        <w:t xml:space="preserve"> 2017)</w:t>
      </w:r>
      <w:r w:rsidR="00095DE5">
        <w:t>.</w:t>
      </w:r>
    </w:p>
    <w:p w14:paraId="77D2E956" w14:textId="65D69A97" w:rsidR="00031A49" w:rsidRDefault="001F260D" w:rsidP="001F260D">
      <w:r>
        <w:t xml:space="preserve">And similarly, while it </w:t>
      </w:r>
      <w:r w:rsidR="001977A2">
        <w:t xml:space="preserve">has been clear from the beginning that </w:t>
      </w:r>
      <w:r w:rsidR="007C0463">
        <w:t xml:space="preserve">archaeologists believe </w:t>
      </w:r>
      <w:r w:rsidR="006A6C2C">
        <w:t>Brexit</w:t>
      </w:r>
      <w:r w:rsidR="001977A2">
        <w:t xml:space="preserve"> </w:t>
      </w:r>
      <w:r>
        <w:t>will have serious consequences for British archaeology</w:t>
      </w:r>
      <w:r w:rsidR="00031A49">
        <w:t xml:space="preserve">, it </w:t>
      </w:r>
      <w:r w:rsidR="006A6C2C">
        <w:t>is unlikely</w:t>
      </w:r>
      <w:r w:rsidR="00031A49">
        <w:t xml:space="preserve"> have such an impact on European archaeology as a whole</w:t>
      </w:r>
      <w:r w:rsidR="007C0463">
        <w:t xml:space="preserve">. </w:t>
      </w:r>
    </w:p>
    <w:p w14:paraId="3E9703DF" w14:textId="77777777" w:rsidR="004F4662" w:rsidRPr="006E45B4" w:rsidRDefault="004F4662" w:rsidP="004F4662">
      <w:pPr>
        <w:rPr>
          <w:color w:val="000000" w:themeColor="text1"/>
        </w:rPr>
      </w:pPr>
      <w:r>
        <w:t xml:space="preserve">The UK will continue to be involved in European cultural heritage policy through the Council of Europe (CoE). The </w:t>
      </w:r>
      <w:r w:rsidRPr="00FE0FFA">
        <w:t xml:space="preserve">UK is not leaving the </w:t>
      </w:r>
      <w:r>
        <w:t>CoE</w:t>
      </w:r>
      <w:r w:rsidRPr="00FE0FFA">
        <w:t xml:space="preserve">, </w:t>
      </w:r>
      <w:r>
        <w:t>as it is distinct from the European Union,</w:t>
      </w:r>
      <w:r w:rsidRPr="00FE0FFA">
        <w:t xml:space="preserve"> and so </w:t>
      </w:r>
      <w:r>
        <w:t>the</w:t>
      </w:r>
      <w:r w:rsidRPr="00FE0FFA">
        <w:t xml:space="preserve"> UK’s </w:t>
      </w:r>
      <w:r>
        <w:t>ratification</w:t>
      </w:r>
      <w:r w:rsidRPr="00FE0FFA">
        <w:t xml:space="preserve"> of the </w:t>
      </w:r>
      <w:r>
        <w:t>CoE’s conventions and its contribution to updating and developing new conventions will not be affected</w:t>
      </w:r>
      <w:r w:rsidRPr="00FE0FFA">
        <w:t>.</w:t>
      </w:r>
      <w:r w:rsidRPr="006E45B4">
        <w:rPr>
          <w:rFonts w:cstheme="minorHAnsi"/>
        </w:rPr>
        <w:t xml:space="preserve"> </w:t>
      </w:r>
      <w:r>
        <w:rPr>
          <w:rFonts w:cstheme="minorHAnsi"/>
        </w:rPr>
        <w:t>T</w:t>
      </w:r>
      <w:r w:rsidRPr="006E45B4">
        <w:rPr>
          <w:rFonts w:cstheme="minorHAnsi"/>
        </w:rPr>
        <w:t>he UK has had, and will continue to have, influence on cultural heritag</w:t>
      </w:r>
      <w:r w:rsidRPr="006E45B4">
        <w:rPr>
          <w:rFonts w:cstheme="minorHAnsi"/>
          <w:color w:val="000000" w:themeColor="text1"/>
        </w:rPr>
        <w:t>e policy in all the democracies of Europe</w:t>
      </w:r>
      <w:r>
        <w:rPr>
          <w:rFonts w:cstheme="minorHAnsi"/>
          <w:color w:val="000000" w:themeColor="text1"/>
        </w:rPr>
        <w:t>, regardless of Brexit</w:t>
      </w:r>
      <w:r w:rsidRPr="006E45B4">
        <w:rPr>
          <w:rFonts w:cstheme="minorHAnsi"/>
          <w:color w:val="000000" w:themeColor="text1"/>
        </w:rPr>
        <w:t xml:space="preserve">. </w:t>
      </w:r>
      <w:r>
        <w:rPr>
          <w:rFonts w:cstheme="minorHAnsi"/>
          <w:color w:val="000000" w:themeColor="text1"/>
        </w:rPr>
        <w:t>And</w:t>
      </w:r>
      <w:r w:rsidRPr="006E45B4">
        <w:rPr>
          <w:rFonts w:cstheme="minorHAnsi"/>
          <w:color w:val="000000" w:themeColor="text1"/>
        </w:rPr>
        <w:t xml:space="preserve"> the disconnection of the UK from the single market for </w:t>
      </w:r>
      <w:r w:rsidRPr="006E45B4">
        <w:rPr>
          <w:rFonts w:cstheme="minorHAnsi"/>
          <w:color w:val="000000" w:themeColor="text1"/>
          <w:shd w:val="clear" w:color="auto" w:fill="FFFFFF"/>
        </w:rPr>
        <w:t xml:space="preserve">goods, people, services and capital </w:t>
      </w:r>
      <w:r>
        <w:rPr>
          <w:rFonts w:cstheme="minorHAnsi"/>
          <w:color w:val="000000" w:themeColor="text1"/>
          <w:shd w:val="clear" w:color="auto" w:fill="FFFFFF"/>
        </w:rPr>
        <w:t xml:space="preserve">within the EU </w:t>
      </w:r>
      <w:r w:rsidRPr="006E45B4">
        <w:rPr>
          <w:rFonts w:cstheme="minorHAnsi"/>
          <w:color w:val="000000" w:themeColor="text1"/>
          <w:shd w:val="clear" w:color="auto" w:fill="FFFFFF"/>
        </w:rPr>
        <w:t>will not profoundly affect the way that archaeology is done in Europe.</w:t>
      </w:r>
    </w:p>
    <w:p w14:paraId="10673B5C" w14:textId="226D36C0" w:rsidR="00372DD5" w:rsidRDefault="007C0463" w:rsidP="007C0463">
      <w:pPr>
        <w:rPr>
          <w:rFonts w:cstheme="minorHAnsi"/>
        </w:rPr>
      </w:pPr>
      <w:r w:rsidRPr="00DE2851">
        <w:rPr>
          <w:rFonts w:cstheme="minorHAnsi"/>
        </w:rPr>
        <w:t>9</w:t>
      </w:r>
      <w:r w:rsidR="00C52AAD">
        <w:rPr>
          <w:rFonts w:cstheme="minorHAnsi"/>
        </w:rPr>
        <w:t>3</w:t>
      </w:r>
      <w:r w:rsidRPr="00DE2851">
        <w:rPr>
          <w:rFonts w:cstheme="minorHAnsi"/>
        </w:rPr>
        <w:t xml:space="preserve">% of UK archaeologists are graduates, </w:t>
      </w:r>
      <w:r w:rsidR="005B3C76">
        <w:rPr>
          <w:rFonts w:cstheme="minorHAnsi"/>
        </w:rPr>
        <w:t>placing the profession in</w:t>
      </w:r>
      <w:r w:rsidRPr="00DE2851">
        <w:rPr>
          <w:rFonts w:cstheme="minorHAnsi"/>
        </w:rPr>
        <w:t xml:space="preserve"> a social group that </w:t>
      </w:r>
      <w:r w:rsidR="00DE2851">
        <w:rPr>
          <w:rFonts w:cstheme="minorHAnsi"/>
        </w:rPr>
        <w:t xml:space="preserve">typically </w:t>
      </w:r>
      <w:r w:rsidRPr="00DE2851">
        <w:rPr>
          <w:rFonts w:cstheme="minorHAnsi"/>
        </w:rPr>
        <w:t xml:space="preserve">voted against Brexit and that continues to be wary of its potential </w:t>
      </w:r>
      <w:r w:rsidR="00D33ABA">
        <w:rPr>
          <w:rFonts w:cstheme="minorHAnsi"/>
        </w:rPr>
        <w:t>repercussions</w:t>
      </w:r>
      <w:r w:rsidRPr="00DE2851">
        <w:rPr>
          <w:rFonts w:cstheme="minorHAnsi"/>
        </w:rPr>
        <w:t>.</w:t>
      </w:r>
      <w:r w:rsidR="00031A49">
        <w:rPr>
          <w:rFonts w:cstheme="minorHAnsi"/>
        </w:rPr>
        <w:t xml:space="preserve"> </w:t>
      </w:r>
      <w:r w:rsidRPr="00DE2851">
        <w:rPr>
          <w:rFonts w:cstheme="minorHAnsi"/>
        </w:rPr>
        <w:t xml:space="preserve">Immediately following the </w:t>
      </w:r>
      <w:r w:rsidR="00D83025">
        <w:rPr>
          <w:rFonts w:cstheme="minorHAnsi"/>
        </w:rPr>
        <w:t xml:space="preserve">June </w:t>
      </w:r>
      <w:r w:rsidRPr="00DE2851">
        <w:rPr>
          <w:rFonts w:cstheme="minorHAnsi"/>
        </w:rPr>
        <w:t xml:space="preserve">2016 referendum, the Society of Antiquaries of London rapidly pulled together thoughts from Fellows of the Society (SAL 2016), and almost every </w:t>
      </w:r>
      <w:r w:rsidR="00D83025">
        <w:rPr>
          <w:rFonts w:cstheme="minorHAnsi"/>
        </w:rPr>
        <w:t>contributor</w:t>
      </w:r>
      <w:r w:rsidRPr="00DE2851">
        <w:rPr>
          <w:rFonts w:cstheme="minorHAnsi"/>
        </w:rPr>
        <w:t xml:space="preserve"> thought </w:t>
      </w:r>
      <w:r w:rsidR="008030CA">
        <w:rPr>
          <w:rFonts w:cstheme="minorHAnsi"/>
        </w:rPr>
        <w:t>Brexit</w:t>
      </w:r>
      <w:r w:rsidR="006A6C2C">
        <w:rPr>
          <w:rFonts w:cstheme="minorHAnsi"/>
        </w:rPr>
        <w:t xml:space="preserve"> would</w:t>
      </w:r>
      <w:r w:rsidRPr="00DE2851">
        <w:rPr>
          <w:rFonts w:cstheme="minorHAnsi"/>
        </w:rPr>
        <w:t xml:space="preserve"> have negative consequences for archaeology</w:t>
      </w:r>
      <w:r w:rsidR="00DE2851" w:rsidRPr="00DE2851">
        <w:rPr>
          <w:rFonts w:cstheme="minorHAnsi"/>
        </w:rPr>
        <w:t>.</w:t>
      </w:r>
      <w:r w:rsidR="00031A49">
        <w:rPr>
          <w:rFonts w:cstheme="minorHAnsi"/>
        </w:rPr>
        <w:t xml:space="preserve"> </w:t>
      </w:r>
    </w:p>
    <w:p w14:paraId="58867F2B" w14:textId="71777FE2" w:rsidR="007C0463" w:rsidRPr="00E17203" w:rsidRDefault="00B15353" w:rsidP="007C0463">
      <w:pPr>
        <w:rPr>
          <w:rFonts w:cstheme="minorHAnsi"/>
        </w:rPr>
      </w:pPr>
      <w:r>
        <w:rPr>
          <w:rFonts w:cstheme="minorHAnsi"/>
        </w:rPr>
        <w:t>Six months later,</w:t>
      </w:r>
      <w:r w:rsidR="008030CA">
        <w:rPr>
          <w:rFonts w:cstheme="minorHAnsi"/>
        </w:rPr>
        <w:t xml:space="preserve"> a</w:t>
      </w:r>
      <w:r w:rsidR="007C0463" w:rsidRPr="00031A49">
        <w:rPr>
          <w:rFonts w:cstheme="minorHAnsi"/>
        </w:rPr>
        <w:t xml:space="preserve"> survey of archaeological specialists </w:t>
      </w:r>
      <w:r w:rsidR="008030CA">
        <w:rPr>
          <w:rFonts w:cstheme="minorHAnsi"/>
        </w:rPr>
        <w:t xml:space="preserve">found that </w:t>
      </w:r>
      <w:r w:rsidR="005B3C76">
        <w:rPr>
          <w:rFonts w:cstheme="minorHAnsi"/>
        </w:rPr>
        <w:t>although</w:t>
      </w:r>
      <w:r>
        <w:rPr>
          <w:rFonts w:cstheme="minorHAnsi"/>
        </w:rPr>
        <w:t xml:space="preserve"> there was “</w:t>
      </w:r>
      <w:r w:rsidR="008030CA" w:rsidRPr="00031A49">
        <w:rPr>
          <w:rFonts w:cstheme="minorHAnsi"/>
          <w:bCs/>
        </w:rPr>
        <w:t>an undercurrent of negativity</w:t>
      </w:r>
      <w:r>
        <w:rPr>
          <w:rFonts w:cstheme="minorHAnsi"/>
          <w:bCs/>
        </w:rPr>
        <w:t>”</w:t>
      </w:r>
      <w:r w:rsidR="008030CA" w:rsidRPr="00031A49">
        <w:rPr>
          <w:rFonts w:cstheme="minorHAnsi"/>
        </w:rPr>
        <w:t xml:space="preserve"> </w:t>
      </w:r>
      <w:r w:rsidR="008030CA">
        <w:rPr>
          <w:rFonts w:cstheme="minorHAnsi"/>
        </w:rPr>
        <w:t xml:space="preserve">about the way </w:t>
      </w:r>
      <w:r w:rsidR="008030CA" w:rsidRPr="00031A49">
        <w:rPr>
          <w:rFonts w:cstheme="minorHAnsi"/>
        </w:rPr>
        <w:t xml:space="preserve">Brexit would affect their work and </w:t>
      </w:r>
      <w:r w:rsidR="008030CA">
        <w:rPr>
          <w:rFonts w:cstheme="minorHAnsi"/>
        </w:rPr>
        <w:t xml:space="preserve">opportunities, the </w:t>
      </w:r>
      <w:r w:rsidR="008030CA" w:rsidRPr="00031A49">
        <w:rPr>
          <w:rFonts w:cstheme="minorHAnsi"/>
          <w:bCs/>
        </w:rPr>
        <w:t xml:space="preserve">prevailing sense </w:t>
      </w:r>
      <w:r w:rsidR="008030CA">
        <w:rPr>
          <w:rFonts w:cstheme="minorHAnsi"/>
          <w:bCs/>
        </w:rPr>
        <w:t xml:space="preserve">was </w:t>
      </w:r>
      <w:r w:rsidR="008030CA" w:rsidRPr="00031A49">
        <w:rPr>
          <w:rFonts w:cstheme="minorHAnsi"/>
          <w:bCs/>
        </w:rPr>
        <w:t>that nothing will change</w:t>
      </w:r>
      <w:r w:rsidR="008030CA" w:rsidRPr="00031A49">
        <w:rPr>
          <w:rFonts w:cstheme="minorHAnsi"/>
        </w:rPr>
        <w:t xml:space="preserve"> </w:t>
      </w:r>
      <w:r w:rsidR="007C0463" w:rsidRPr="00031A49">
        <w:rPr>
          <w:rFonts w:cstheme="minorHAnsi"/>
          <w:bCs/>
        </w:rPr>
        <w:t>(</w:t>
      </w:r>
      <w:r w:rsidR="00031A49">
        <w:rPr>
          <w:rFonts w:cstheme="minorHAnsi"/>
          <w:bCs/>
        </w:rPr>
        <w:t xml:space="preserve">Aitchison 2017, </w:t>
      </w:r>
      <w:r w:rsidR="007C0463" w:rsidRPr="00031A49">
        <w:rPr>
          <w:rFonts w:cstheme="minorHAnsi"/>
          <w:bCs/>
        </w:rPr>
        <w:t>38).</w:t>
      </w:r>
    </w:p>
    <w:p w14:paraId="505466E3" w14:textId="1CB8912A" w:rsidR="007C0463" w:rsidRPr="00C20024" w:rsidRDefault="007C0463" w:rsidP="007C0463">
      <w:pPr>
        <w:rPr>
          <w:rFonts w:ascii="Arial" w:hAnsi="Arial" w:cs="Arial"/>
          <w:bCs/>
        </w:rPr>
      </w:pPr>
      <w:r>
        <w:t xml:space="preserve">While it </w:t>
      </w:r>
      <w:r w:rsidR="00372DD5">
        <w:t>is likely</w:t>
      </w:r>
      <w:r>
        <w:t xml:space="preserve"> that UK archaeology – in common with many other areas of work and society</w:t>
      </w:r>
      <w:r w:rsidR="005608D0">
        <w:t>, including the primary source of archaeological projects, the construction industry (Clack 2017</w:t>
      </w:r>
      <w:r w:rsidR="00B15353">
        <w:t>)</w:t>
      </w:r>
      <w:r w:rsidR="00372DD5">
        <w:t xml:space="preserve"> – </w:t>
      </w:r>
      <w:r>
        <w:t>will</w:t>
      </w:r>
      <w:r w:rsidR="00372DD5">
        <w:t xml:space="preserve"> </w:t>
      </w:r>
      <w:r>
        <w:t xml:space="preserve">be </w:t>
      </w:r>
      <w:r w:rsidR="00BE5842">
        <w:t xml:space="preserve">affected negatively </w:t>
      </w:r>
      <w:r>
        <w:t xml:space="preserve">by the UK leaving the European Union, it will not </w:t>
      </w:r>
      <w:r w:rsidR="00BE5842">
        <w:t>disturb</w:t>
      </w:r>
      <w:r>
        <w:t xml:space="preserve"> European archaeology nearly as badly</w:t>
      </w:r>
      <w:r w:rsidR="00E765A7">
        <w:t>.</w:t>
      </w:r>
      <w:r>
        <w:t xml:space="preserve"> </w:t>
      </w:r>
      <w:r w:rsidR="00E765A7">
        <w:t>W</w:t>
      </w:r>
      <w:r>
        <w:t xml:space="preserve">ho </w:t>
      </w:r>
      <w:r w:rsidRPr="00FE0FFA">
        <w:t>works in European archaeology now and in the future</w:t>
      </w:r>
      <w:r>
        <w:t xml:space="preserve">, how </w:t>
      </w:r>
      <w:r w:rsidRPr="00FE0FFA">
        <w:t>European archaeology</w:t>
      </w:r>
      <w:r>
        <w:t xml:space="preserve"> is funded, and </w:t>
      </w:r>
      <w:r w:rsidR="00031A49">
        <w:t xml:space="preserve">its </w:t>
      </w:r>
      <w:r>
        <w:t>traditions of practice</w:t>
      </w:r>
      <w:r w:rsidR="00E765A7">
        <w:t xml:space="preserve"> will be minimally </w:t>
      </w:r>
      <w:r w:rsidR="00BE5842">
        <w:t>impacted</w:t>
      </w:r>
      <w:r>
        <w:t>.</w:t>
      </w:r>
    </w:p>
    <w:p w14:paraId="30AC37DC" w14:textId="77777777" w:rsidR="006E45B4" w:rsidRPr="006E45B4" w:rsidRDefault="006E45B4" w:rsidP="001977A2">
      <w:pPr>
        <w:rPr>
          <w:rFonts w:ascii="Times New Roman" w:hAnsi="Times New Roman"/>
          <w:color w:val="000000" w:themeColor="text1"/>
          <w:sz w:val="24"/>
          <w:szCs w:val="24"/>
        </w:rPr>
      </w:pPr>
    </w:p>
    <w:p w14:paraId="334F2EE6" w14:textId="199258F2" w:rsidR="006E7B76" w:rsidRPr="005540C5" w:rsidRDefault="00095DE5" w:rsidP="00E57AAF">
      <w:pPr>
        <w:rPr>
          <w:i/>
        </w:rPr>
      </w:pPr>
      <w:r>
        <w:rPr>
          <w:i/>
        </w:rPr>
        <w:t>What</w:t>
      </w:r>
      <w:r w:rsidR="004F4662" w:rsidRPr="005540C5">
        <w:rPr>
          <w:i/>
        </w:rPr>
        <w:t xml:space="preserve"> won’t change…</w:t>
      </w:r>
    </w:p>
    <w:p w14:paraId="1C7F9D5E" w14:textId="64EC2756" w:rsidR="00FE0FFA" w:rsidRDefault="00553E96" w:rsidP="00E57AAF">
      <w:pPr>
        <w:rPr>
          <w:rFonts w:eastAsia="ACaslonPro-Italic" w:cstheme="minorHAnsi"/>
          <w:iCs/>
          <w:sz w:val="21"/>
          <w:szCs w:val="21"/>
        </w:rPr>
      </w:pPr>
      <w:commentRangeStart w:id="0"/>
      <w:r>
        <w:t>UK commercial archaeology has not successfully implanted elsewhere in the EU</w:t>
      </w:r>
      <w:commentRangeEnd w:id="0"/>
      <w:r w:rsidR="00E17203">
        <w:rPr>
          <w:rStyle w:val="CommentReference"/>
        </w:rPr>
        <w:commentReference w:id="0"/>
      </w:r>
      <w:r>
        <w:t xml:space="preserve">. While some </w:t>
      </w:r>
      <w:r w:rsidR="00FE0FFA" w:rsidRPr="00FE0FFA">
        <w:t xml:space="preserve">UK archaeology companies work in Ireland, effectively </w:t>
      </w:r>
      <w:r>
        <w:t xml:space="preserve">there are </w:t>
      </w:r>
      <w:r w:rsidR="001977A2">
        <w:t xml:space="preserve">now </w:t>
      </w:r>
      <w:r w:rsidR="00FE0FFA" w:rsidRPr="00FE0FFA">
        <w:t xml:space="preserve">none </w:t>
      </w:r>
      <w:r w:rsidR="00031A49">
        <w:t xml:space="preserve">carrying out </w:t>
      </w:r>
      <w:r w:rsidR="00B75298">
        <w:t>archaeological</w:t>
      </w:r>
      <w:r w:rsidR="00031A49">
        <w:t xml:space="preserve"> fieldwork</w:t>
      </w:r>
      <w:r>
        <w:t xml:space="preserve"> </w:t>
      </w:r>
      <w:r w:rsidR="00FE0FFA" w:rsidRPr="00FE0FFA">
        <w:t>elsewhere in the EU</w:t>
      </w:r>
      <w:r w:rsidR="001977A2">
        <w:t xml:space="preserve">. </w:t>
      </w:r>
      <w:r w:rsidR="00973CA5">
        <w:t>Although</w:t>
      </w:r>
      <w:r w:rsidR="001977A2">
        <w:t xml:space="preserve"> </w:t>
      </w:r>
      <w:r w:rsidR="00FE0FFA" w:rsidRPr="00FE0FFA">
        <w:t xml:space="preserve">Oxford </w:t>
      </w:r>
      <w:r>
        <w:t xml:space="preserve">Archaeology </w:t>
      </w:r>
      <w:r w:rsidR="00E57AAF">
        <w:t>won the first archaeological project ever to go to competi</w:t>
      </w:r>
      <w:r w:rsidR="00F50C53">
        <w:t>t</w:t>
      </w:r>
      <w:r w:rsidR="00E57AAF">
        <w:t>ive tender in France in 1996 (Miles &amp; Early 1998)</w:t>
      </w:r>
      <w:r w:rsidR="001977A2">
        <w:t xml:space="preserve">, opened two offices </w:t>
      </w:r>
      <w:r w:rsidR="00862516">
        <w:t xml:space="preserve">there </w:t>
      </w:r>
      <w:r w:rsidR="001977A2">
        <w:lastRenderedPageBreak/>
        <w:t xml:space="preserve">and </w:t>
      </w:r>
      <w:r w:rsidR="00F50C53">
        <w:t xml:space="preserve">worked on the </w:t>
      </w:r>
      <w:r w:rsidRPr="0003482B">
        <w:rPr>
          <w:rFonts w:cstheme="minorHAnsi"/>
        </w:rPr>
        <w:t xml:space="preserve"> Canal Seine </w:t>
      </w:r>
      <w:r w:rsidR="0003482B" w:rsidRPr="0003482B">
        <w:rPr>
          <w:rFonts w:cstheme="minorHAnsi"/>
        </w:rPr>
        <w:t xml:space="preserve">Nord </w:t>
      </w:r>
      <w:r w:rsidRPr="0003482B">
        <w:rPr>
          <w:rFonts w:cstheme="minorHAnsi"/>
        </w:rPr>
        <w:t xml:space="preserve">Europe </w:t>
      </w:r>
      <w:r w:rsidR="00F50C53">
        <w:rPr>
          <w:rFonts w:cstheme="minorHAnsi"/>
        </w:rPr>
        <w:t>mega</w:t>
      </w:r>
      <w:r w:rsidRPr="0003482B">
        <w:rPr>
          <w:rFonts w:cstheme="minorHAnsi"/>
        </w:rPr>
        <w:t>project (</w:t>
      </w:r>
      <w:r w:rsidRPr="0003482B">
        <w:rPr>
          <w:rFonts w:eastAsia="ACaslonPro-Italic" w:cstheme="minorHAnsi"/>
          <w:iCs/>
          <w:sz w:val="21"/>
          <w:szCs w:val="21"/>
        </w:rPr>
        <w:t>Depaepe, Kerouanton, Prilaux &amp; Talon</w:t>
      </w:r>
      <w:r w:rsidR="0003482B" w:rsidRPr="0003482B">
        <w:rPr>
          <w:rFonts w:eastAsia="ACaslonPro-Italic" w:cstheme="minorHAnsi"/>
          <w:iCs/>
          <w:sz w:val="21"/>
          <w:szCs w:val="21"/>
        </w:rPr>
        <w:t xml:space="preserve"> </w:t>
      </w:r>
      <w:r w:rsidRPr="0003482B">
        <w:rPr>
          <w:rFonts w:eastAsia="ACaslonPro-Italic" w:cstheme="minorHAnsi"/>
          <w:iCs/>
          <w:sz w:val="21"/>
          <w:szCs w:val="21"/>
        </w:rPr>
        <w:t xml:space="preserve">2016, </w:t>
      </w:r>
      <w:r w:rsidR="0003482B" w:rsidRPr="0003482B">
        <w:rPr>
          <w:rFonts w:eastAsia="ACaslonPro-Italic" w:cstheme="minorHAnsi"/>
          <w:iCs/>
          <w:sz w:val="21"/>
          <w:szCs w:val="21"/>
        </w:rPr>
        <w:t>131)</w:t>
      </w:r>
      <w:r w:rsidR="00B15353">
        <w:rPr>
          <w:rFonts w:eastAsia="ACaslonPro-Italic" w:cstheme="minorHAnsi"/>
          <w:iCs/>
          <w:sz w:val="21"/>
          <w:szCs w:val="21"/>
        </w:rPr>
        <w:t>,</w:t>
      </w:r>
      <w:r w:rsidR="001977A2">
        <w:rPr>
          <w:rFonts w:eastAsia="ACaslonPro-Italic" w:cstheme="minorHAnsi"/>
          <w:iCs/>
          <w:sz w:val="21"/>
          <w:szCs w:val="21"/>
        </w:rPr>
        <w:t xml:space="preserve"> </w:t>
      </w:r>
      <w:r w:rsidR="001977A2">
        <w:t>it continued to encounter opposition from local establishment organisations and individuals</w:t>
      </w:r>
      <w:r w:rsidR="00862516">
        <w:t>, leading to it</w:t>
      </w:r>
      <w:r w:rsidR="00031A49">
        <w:t>s</w:t>
      </w:r>
      <w:r w:rsidR="00862516">
        <w:t xml:space="preserve"> withdraw</w:t>
      </w:r>
      <w:r w:rsidR="00031A49">
        <w:t>al</w:t>
      </w:r>
      <w:r w:rsidR="00862516">
        <w:t xml:space="preserve"> from</w:t>
      </w:r>
      <w:r w:rsidR="001977A2">
        <w:t xml:space="preserve"> working in </w:t>
      </w:r>
      <w:r w:rsidR="00F50C53">
        <w:t xml:space="preserve">France in </w:t>
      </w:r>
      <w:r w:rsidR="001977A2">
        <w:t>2012</w:t>
      </w:r>
      <w:r w:rsidR="00F50C53">
        <w:t>.</w:t>
      </w:r>
      <w:r w:rsidR="001977A2">
        <w:t xml:space="preserve"> </w:t>
      </w:r>
    </w:p>
    <w:p w14:paraId="66C4D731" w14:textId="52ADEF20" w:rsidR="00FE0FFA" w:rsidRDefault="00F50C53" w:rsidP="00E57AAF">
      <w:r>
        <w:rPr>
          <w:rFonts w:eastAsia="ACaslonPro-Italic" w:cstheme="minorHAnsi"/>
          <w:iCs/>
          <w:sz w:val="21"/>
          <w:szCs w:val="21"/>
        </w:rPr>
        <w:t xml:space="preserve">Archaeological practice in Northern Ireland is much more closely integrated with archaeological practice in the Republic of Ireland than it is with that in Great Britain, and so cross-border working became relatively </w:t>
      </w:r>
      <w:r w:rsidR="00BE5842">
        <w:rPr>
          <w:rFonts w:eastAsia="ACaslonPro-Italic" w:cstheme="minorHAnsi"/>
          <w:iCs/>
          <w:sz w:val="21"/>
          <w:szCs w:val="21"/>
        </w:rPr>
        <w:t>established practice</w:t>
      </w:r>
      <w:r>
        <w:rPr>
          <w:rFonts w:eastAsia="ACaslonPro-Italic" w:cstheme="minorHAnsi"/>
          <w:iCs/>
          <w:sz w:val="21"/>
          <w:szCs w:val="21"/>
        </w:rPr>
        <w:t xml:space="preserve">. But </w:t>
      </w:r>
      <w:r w:rsidR="00862516">
        <w:rPr>
          <w:rFonts w:eastAsia="ACaslonPro-Italic" w:cstheme="minorHAnsi"/>
          <w:iCs/>
          <w:sz w:val="21"/>
          <w:szCs w:val="21"/>
        </w:rPr>
        <w:t>other than work in</w:t>
      </w:r>
      <w:r w:rsidRPr="00FE0FFA">
        <w:t xml:space="preserve"> Northern Ireland, </w:t>
      </w:r>
      <w:r>
        <w:t xml:space="preserve">and the exceptional case of Rubicon Heritage, an Irish company with offices in England, Scotland and Wales (Rubicon Heritage 2017), </w:t>
      </w:r>
      <w:r w:rsidRPr="00FE0FFA">
        <w:t xml:space="preserve">there are no non-UK companies doing fieldwork in </w:t>
      </w:r>
      <w:r>
        <w:t>Great Britain</w:t>
      </w:r>
      <w:r w:rsidRPr="00FE0FFA">
        <w:t xml:space="preserve"> (although some</w:t>
      </w:r>
      <w:r>
        <w:t xml:space="preserve"> consultancies, such as AECOM and Arcadis, are large multinational organisations with corporate headquarters in other countries</w:t>
      </w:r>
      <w:r w:rsidRPr="00FE0FFA">
        <w:t>)</w:t>
      </w:r>
      <w:r>
        <w:t>.</w:t>
      </w:r>
      <w:r w:rsidR="00AF5443">
        <w:t xml:space="preserve"> Away from the island of Ireland, nothing will change with Brexit.</w:t>
      </w:r>
    </w:p>
    <w:p w14:paraId="7DC362F2" w14:textId="75BB7324" w:rsidR="00DE2851" w:rsidRPr="00FE0FFA" w:rsidRDefault="005266B7" w:rsidP="00D83431">
      <w:r>
        <w:t>The regulation</w:t>
      </w:r>
      <w:r w:rsidRPr="005266B7">
        <w:t>s on e</w:t>
      </w:r>
      <w:r w:rsidR="00FE0FFA" w:rsidRPr="005266B7">
        <w:t xml:space="preserve">nvironmental </w:t>
      </w:r>
      <w:r w:rsidRPr="005266B7">
        <w:t>i</w:t>
      </w:r>
      <w:r w:rsidR="00FE0FFA" w:rsidRPr="005266B7">
        <w:t xml:space="preserve">mpact </w:t>
      </w:r>
      <w:r w:rsidRPr="005266B7">
        <w:t>a</w:t>
      </w:r>
      <w:r w:rsidR="006E45B4" w:rsidRPr="005266B7">
        <w:t>ssessment</w:t>
      </w:r>
      <w:r w:rsidR="00D83431">
        <w:t xml:space="preserve">, which guide much archaeological work across the European Union, </w:t>
      </w:r>
      <w:r w:rsidR="00DE2851">
        <w:t xml:space="preserve">stem from </w:t>
      </w:r>
      <w:r w:rsidR="00FE0FFA" w:rsidRPr="00FE0FFA">
        <w:rPr>
          <w:i/>
          <w:iCs/>
        </w:rPr>
        <w:t>European Directive EC 85/337</w:t>
      </w:r>
      <w:r w:rsidR="002845F1" w:rsidRPr="002845F1">
        <w:rPr>
          <w:iCs/>
        </w:rPr>
        <w:t xml:space="preserve"> (EEC 1985)</w:t>
      </w:r>
      <w:r w:rsidR="00862516">
        <w:rPr>
          <w:iCs/>
        </w:rPr>
        <w:t xml:space="preserve"> and w</w:t>
      </w:r>
      <w:r w:rsidR="00031A49">
        <w:rPr>
          <w:iCs/>
        </w:rPr>
        <w:t>ere</w:t>
      </w:r>
      <w:r w:rsidR="00862516">
        <w:rPr>
          <w:iCs/>
        </w:rPr>
        <w:t xml:space="preserve"> </w:t>
      </w:r>
      <w:r w:rsidR="00FE0FFA" w:rsidRPr="00FE0FFA">
        <w:t xml:space="preserve">brought into </w:t>
      </w:r>
      <w:r w:rsidR="00D83431">
        <w:t xml:space="preserve">UK </w:t>
      </w:r>
      <w:r w:rsidR="00FE0FFA" w:rsidRPr="00FE0FFA">
        <w:t xml:space="preserve">law through the </w:t>
      </w:r>
      <w:r w:rsidR="00FE0FFA" w:rsidRPr="00FE0FFA">
        <w:rPr>
          <w:i/>
          <w:iCs/>
        </w:rPr>
        <w:t xml:space="preserve">Environmental Assessment Regulations </w:t>
      </w:r>
      <w:r w:rsidR="002845F1">
        <w:t xml:space="preserve">in </w:t>
      </w:r>
      <w:r w:rsidR="00FE0FFA" w:rsidRPr="00FE0FFA">
        <w:t xml:space="preserve">1988 </w:t>
      </w:r>
      <w:r w:rsidR="002845F1">
        <w:t>and 1989</w:t>
      </w:r>
      <w:r w:rsidR="00862516">
        <w:t xml:space="preserve">. The </w:t>
      </w:r>
      <w:r w:rsidR="00FE0FFA" w:rsidRPr="00FE0FFA">
        <w:t xml:space="preserve">existence of the </w:t>
      </w:r>
      <w:r>
        <w:t>e</w:t>
      </w:r>
      <w:r w:rsidR="00D83431">
        <w:t xml:space="preserve">nvironmental </w:t>
      </w:r>
      <w:r w:rsidR="00CB738C">
        <w:t xml:space="preserve">impact </w:t>
      </w:r>
      <w:r>
        <w:t>a</w:t>
      </w:r>
      <w:r w:rsidR="00D83431">
        <w:t>ssessment</w:t>
      </w:r>
      <w:r w:rsidR="00FE0FFA" w:rsidRPr="00FE0FFA">
        <w:t xml:space="preserve"> </w:t>
      </w:r>
      <w:r w:rsidR="00CB738C">
        <w:t xml:space="preserve">(EIA) </w:t>
      </w:r>
      <w:r w:rsidR="00FE0FFA" w:rsidRPr="00FE0FFA">
        <w:t>procedure</w:t>
      </w:r>
      <w:r w:rsidR="00031A49" w:rsidRPr="00FE0FFA">
        <w:t>, setting out a process of assessment, evaluation and mitigation</w:t>
      </w:r>
      <w:r w:rsidR="00031A49">
        <w:t>,</w:t>
      </w:r>
      <w:r w:rsidR="00FE0FFA" w:rsidRPr="00FE0FFA">
        <w:t xml:space="preserve"> clearly influenced the thinking behind </w:t>
      </w:r>
      <w:r w:rsidR="00FE0FFA" w:rsidRPr="00862516">
        <w:rPr>
          <w:i/>
        </w:rPr>
        <w:t>PPG 16</w:t>
      </w:r>
      <w:r w:rsidR="002845F1">
        <w:t xml:space="preserve"> (DoE 1990)</w:t>
      </w:r>
      <w:r w:rsidR="00F50C53">
        <w:t xml:space="preserve"> and so ha</w:t>
      </w:r>
      <w:r w:rsidR="00031A49">
        <w:t>s</w:t>
      </w:r>
      <w:r w:rsidR="00F50C53">
        <w:t xml:space="preserve"> had a profound effect on archaeological practice in the UK</w:t>
      </w:r>
      <w:r w:rsidR="00FE0FFA" w:rsidRPr="00FE0FFA">
        <w:t>.</w:t>
      </w:r>
      <w:r w:rsidR="00F50C53">
        <w:t xml:space="preserve"> But m</w:t>
      </w:r>
      <w:r w:rsidR="00F50C53" w:rsidRPr="00FE0FFA">
        <w:t xml:space="preserve">any European Union countries operated </w:t>
      </w:r>
      <w:r w:rsidR="00CB738C">
        <w:t>EIA procedures</w:t>
      </w:r>
      <w:r w:rsidR="00F50C53" w:rsidRPr="00FE0FFA">
        <w:t xml:space="preserve"> in advance of </w:t>
      </w:r>
      <w:r w:rsidR="00F50C53" w:rsidRPr="00862516">
        <w:rPr>
          <w:i/>
        </w:rPr>
        <w:t>EC 85/337</w:t>
      </w:r>
      <w:r w:rsidR="00F50C53" w:rsidRPr="00FE0FFA">
        <w:t xml:space="preserve">, </w:t>
      </w:r>
      <w:r w:rsidR="00BE5842">
        <w:t>including</w:t>
      </w:r>
      <w:r w:rsidR="00F50C53" w:rsidRPr="00FE0FFA">
        <w:t xml:space="preserve"> France where these procedures had become compulsory in 1978</w:t>
      </w:r>
      <w:r w:rsidR="00F50C53">
        <w:t xml:space="preserve"> </w:t>
      </w:r>
      <w:r w:rsidR="00E17203">
        <w:t>(</w:t>
      </w:r>
      <w:r w:rsidR="00F50C53" w:rsidRPr="00BF2AD6">
        <w:t xml:space="preserve">Ralston </w:t>
      </w:r>
      <w:r w:rsidR="00F50C53">
        <w:t>&amp;</w:t>
      </w:r>
      <w:r w:rsidR="00F50C53" w:rsidRPr="00BF2AD6">
        <w:t xml:space="preserve"> Thomas 1993</w:t>
      </w:r>
      <w:r w:rsidR="00F50C53">
        <w:t>,</w:t>
      </w:r>
      <w:r w:rsidR="00F50C53" w:rsidRPr="00BF2AD6">
        <w:t xml:space="preserve"> 1</w:t>
      </w:r>
      <w:r w:rsidR="00F50C53">
        <w:t xml:space="preserve">); the work on the UK land-side of the Channel Tunnel </w:t>
      </w:r>
      <w:r w:rsidR="00862516">
        <w:t xml:space="preserve">in the 1980s </w:t>
      </w:r>
      <w:r w:rsidR="00F50C53">
        <w:t>used French E</w:t>
      </w:r>
      <w:r w:rsidR="00CB738C">
        <w:t>I</w:t>
      </w:r>
      <w:r w:rsidR="00F50C53">
        <w:t>A rules prior to their adoption in England (Tim Darvill  quoted in Aitchison 2012)</w:t>
      </w:r>
      <w:r w:rsidR="00DE2851">
        <w:t xml:space="preserve">, and the rules won’t change with the UK’s departure – the </w:t>
      </w:r>
      <w:r w:rsidR="00DE2851" w:rsidRPr="00FE0FFA">
        <w:t xml:space="preserve">UK </w:t>
      </w:r>
      <w:r w:rsidR="00DE2851">
        <w:t xml:space="preserve">simply </w:t>
      </w:r>
      <w:r w:rsidR="00DE2851" w:rsidRPr="00FE0FFA">
        <w:t xml:space="preserve">will no longer have any input into the </w:t>
      </w:r>
      <w:r w:rsidR="00DE2851">
        <w:t>updates and changes to</w:t>
      </w:r>
      <w:r w:rsidR="00DE2851" w:rsidRPr="00FE0FFA">
        <w:t xml:space="preserve"> </w:t>
      </w:r>
      <w:r w:rsidR="00DE2851">
        <w:t>such</w:t>
      </w:r>
      <w:r w:rsidR="00DE2851" w:rsidRPr="00FE0FFA">
        <w:t xml:space="preserve"> regulations at the European level</w:t>
      </w:r>
      <w:r w:rsidR="00BE5842">
        <w:t xml:space="preserve">, </w:t>
      </w:r>
      <w:r w:rsidR="00DE2851" w:rsidRPr="00FE0FFA">
        <w:t>but those regulations will continue in UK and other national laws</w:t>
      </w:r>
      <w:r w:rsidR="00DE2851">
        <w:t>.</w:t>
      </w:r>
      <w:r w:rsidR="00AF5443">
        <w:t xml:space="preserve"> Meaning nothing will change with Brexit.</w:t>
      </w:r>
    </w:p>
    <w:p w14:paraId="23660F0C" w14:textId="1C9E669B" w:rsidR="009E0718" w:rsidRDefault="009E0718" w:rsidP="009E0718">
      <w:r w:rsidRPr="00FE0FFA">
        <w:t xml:space="preserve">UK field practice has not significantly influenced European </w:t>
      </w:r>
      <w:r w:rsidR="00862516">
        <w:t xml:space="preserve">archaeological </w:t>
      </w:r>
      <w:r w:rsidRPr="00FE0FFA">
        <w:t xml:space="preserve">practice; traditions are remarkably insular or </w:t>
      </w:r>
      <w:commentRangeStart w:id="1"/>
      <w:r w:rsidRPr="00FE0FFA">
        <w:t>parochial</w:t>
      </w:r>
      <w:commentRangeEnd w:id="1"/>
      <w:r w:rsidR="00E17203">
        <w:rPr>
          <w:rStyle w:val="CommentReference"/>
        </w:rPr>
        <w:commentReference w:id="1"/>
      </w:r>
      <w:r w:rsidRPr="00FE0FFA">
        <w:t xml:space="preserve"> in every country</w:t>
      </w:r>
      <w:r>
        <w:t xml:space="preserve">. Standard approaches in the UK, such as open-area excavation and single context-recording under the influence of the Museum of London’s </w:t>
      </w:r>
      <w:r w:rsidRPr="00E63002">
        <w:rPr>
          <w:i/>
        </w:rPr>
        <w:t>Archaeological Site Manual</w:t>
      </w:r>
      <w:r>
        <w:t xml:space="preserve"> (MoL 1994) have not significantly affected the way that archaeological fieldwork is undertaken outside the UK, nor have innovative practices such as those adopted by Framework Archaeology at Heathrow Terminal 5 (Andrews, Barrett &amp; Lewis 2000).</w:t>
      </w:r>
      <w:r w:rsidR="00AF5443">
        <w:t xml:space="preserve"> So nothing will change with Brexit.</w:t>
      </w:r>
    </w:p>
    <w:p w14:paraId="620547D4" w14:textId="7F9403CC" w:rsidR="00FE0FFA" w:rsidRDefault="00862516" w:rsidP="001C30E7">
      <w:r>
        <w:t>Academically, no</w:t>
      </w:r>
      <w:r w:rsidR="001C30E7">
        <w:t xml:space="preserve"> European archaeology departments carry out regular excavations or field schools in the UK, but UK universities will continue to be able to enjoy</w:t>
      </w:r>
      <w:r w:rsidR="00FE0FFA" w:rsidRPr="00FE0FFA">
        <w:t xml:space="preserve"> field</w:t>
      </w:r>
      <w:r w:rsidR="001C30E7">
        <w:t>work</w:t>
      </w:r>
      <w:r w:rsidR="00FE0FFA" w:rsidRPr="00FE0FFA">
        <w:t xml:space="preserve"> in Europe </w:t>
      </w:r>
      <w:r>
        <w:t xml:space="preserve">after Brexit </w:t>
      </w:r>
      <w:r w:rsidR="00FE0FFA" w:rsidRPr="00FE0FFA">
        <w:t xml:space="preserve">(see </w:t>
      </w:r>
      <w:r w:rsidR="001C30E7">
        <w:t>Bahn</w:t>
      </w:r>
      <w:r w:rsidR="006E7B76">
        <w:t>’s</w:t>
      </w:r>
      <w:r w:rsidR="001C30E7">
        <w:t xml:space="preserve"> 1989 </w:t>
      </w:r>
      <w:r w:rsidR="00FE0FFA" w:rsidRPr="001C30E7">
        <w:rPr>
          <w:i/>
        </w:rPr>
        <w:t>Bluff</w:t>
      </w:r>
      <w:r w:rsidR="001C30E7" w:rsidRPr="001C30E7">
        <w:rPr>
          <w:i/>
        </w:rPr>
        <w:t xml:space="preserve"> Your Way in</w:t>
      </w:r>
      <w:r w:rsidR="00FE0FFA" w:rsidRPr="001C30E7">
        <w:rPr>
          <w:i/>
        </w:rPr>
        <w:t xml:space="preserve"> Archaeology</w:t>
      </w:r>
      <w:r w:rsidR="00FE0FFA" w:rsidRPr="00FE0FFA">
        <w:t xml:space="preserve"> </w:t>
      </w:r>
      <w:r w:rsidR="00FE0FFA" w:rsidRPr="006E7B76">
        <w:t>re</w:t>
      </w:r>
      <w:r w:rsidR="006E7B76">
        <w:t>:</w:t>
      </w:r>
      <w:r w:rsidR="00FE0FFA" w:rsidRPr="00FE0FFA">
        <w:t xml:space="preserve"> the importance of sunshine, wine, local lovers </w:t>
      </w:r>
      <w:r w:rsidR="00FE0FFA" w:rsidRPr="00CB738C">
        <w:rPr>
          <w:i/>
        </w:rPr>
        <w:t>etc</w:t>
      </w:r>
      <w:r w:rsidR="00FE0FFA" w:rsidRPr="00FE0FFA">
        <w:t xml:space="preserve"> to university lecturers) – </w:t>
      </w:r>
      <w:r w:rsidR="001C30E7">
        <w:t>in the same way that they were doing before the introduction of the Maastricht Treaty in 1992.</w:t>
      </w:r>
      <w:r w:rsidR="00AF5443">
        <w:t xml:space="preserve"> Meaning nothing will change with Brexit.</w:t>
      </w:r>
      <w:r w:rsidR="002845F1">
        <w:t xml:space="preserve"> </w:t>
      </w:r>
    </w:p>
    <w:p w14:paraId="199987E0" w14:textId="60A5C766" w:rsidR="00095DE5" w:rsidRDefault="00B15353" w:rsidP="00C43899">
      <w:r>
        <w:t>T</w:t>
      </w:r>
      <w:r w:rsidR="004F4662">
        <w:t>here are r</w:t>
      </w:r>
      <w:r w:rsidR="004F4662" w:rsidRPr="00FE0FFA">
        <w:t xml:space="preserve">elatively </w:t>
      </w:r>
      <w:r w:rsidR="004F4662">
        <w:t xml:space="preserve">few UK archaeologists working in </w:t>
      </w:r>
      <w:r>
        <w:t>o</w:t>
      </w:r>
      <w:r w:rsidR="004F4662">
        <w:t>the</w:t>
      </w:r>
      <w:r>
        <w:t>r</w:t>
      </w:r>
      <w:r w:rsidR="004F4662">
        <w:t xml:space="preserve"> EU</w:t>
      </w:r>
      <w:r>
        <w:t xml:space="preserve"> states. </w:t>
      </w:r>
      <w:r w:rsidRPr="006E7B76">
        <w:rPr>
          <w:i/>
        </w:rPr>
        <w:t>Discovering the Archaeologists of Europe 2012-14</w:t>
      </w:r>
      <w:r>
        <w:t xml:space="preserve">  (Aitchison </w:t>
      </w:r>
      <w:r w:rsidRPr="00824224">
        <w:rPr>
          <w:i/>
        </w:rPr>
        <w:t>et al</w:t>
      </w:r>
      <w:r>
        <w:t xml:space="preserve"> 2014, 34) identified that, in total, </w:t>
      </w:r>
      <w:r w:rsidR="00D33ABA">
        <w:t xml:space="preserve">only </w:t>
      </w:r>
      <w:r>
        <w:t>5% of archaeologists in employment across 21 European countries were from another EU state.</w:t>
      </w:r>
      <w:r w:rsidR="005B3C76">
        <w:t xml:space="preserve"> </w:t>
      </w:r>
      <w:r>
        <w:t>It must be noted that there has been a recent increase in the number of UK academics taking up positions at universities elsewhere in the EU, but this represents a tiny fraction of the archaeological workforce (and these people will normally still be working and teaching in English-language environments in their new countries).</w:t>
      </w:r>
      <w:r w:rsidR="005B3C76">
        <w:t xml:space="preserve"> </w:t>
      </w:r>
      <w:r w:rsidR="00095DE5">
        <w:t xml:space="preserve">So next to nothing will change with </w:t>
      </w:r>
      <w:r w:rsidR="005B3C76">
        <w:t>Brexit.</w:t>
      </w:r>
    </w:p>
    <w:p w14:paraId="1E0DEF36" w14:textId="4E11BD57" w:rsidR="004F4662" w:rsidRDefault="005B3C76">
      <w:r>
        <w:t xml:space="preserve"> </w:t>
      </w:r>
    </w:p>
    <w:p w14:paraId="179EA297" w14:textId="5556FD92" w:rsidR="004F4662" w:rsidRPr="005540C5" w:rsidRDefault="00826885" w:rsidP="004F4662">
      <w:pPr>
        <w:rPr>
          <w:i/>
        </w:rPr>
      </w:pPr>
      <w:r w:rsidRPr="005540C5">
        <w:rPr>
          <w:i/>
        </w:rPr>
        <w:t>The one big change</w:t>
      </w:r>
    </w:p>
    <w:p w14:paraId="21E768FD" w14:textId="7917178D" w:rsidR="00B15353" w:rsidRDefault="005B3C76" w:rsidP="00B15353">
      <w:r>
        <w:lastRenderedPageBreak/>
        <w:t>However, there are</w:t>
      </w:r>
      <w:r w:rsidR="00B15353">
        <w:t xml:space="preserve"> </w:t>
      </w:r>
      <w:r w:rsidR="00B15353" w:rsidRPr="00FE0FFA">
        <w:t>many EU archaeologists work</w:t>
      </w:r>
      <w:r w:rsidR="00B15353">
        <w:t>ing</w:t>
      </w:r>
      <w:r w:rsidR="00B15353" w:rsidRPr="00FE0FFA">
        <w:t xml:space="preserve"> in the UK</w:t>
      </w:r>
      <w:r w:rsidR="00B15353">
        <w:t xml:space="preserve">. </w:t>
      </w:r>
    </w:p>
    <w:p w14:paraId="45B3854E" w14:textId="77777777" w:rsidR="00B15353" w:rsidRDefault="00B15353" w:rsidP="00B15353">
      <w:r>
        <w:t xml:space="preserve">The </w:t>
      </w:r>
      <w:r w:rsidRPr="00F50C53">
        <w:rPr>
          <w:i/>
        </w:rPr>
        <w:t>Archaeological Market Survey 2016-17</w:t>
      </w:r>
      <w:r>
        <w:t xml:space="preserve"> (Aitchison, forthcoming), a survey of the leading commercial practices in UK archaeology, found that on 1</w:t>
      </w:r>
      <w:r w:rsidRPr="00E41A83">
        <w:rPr>
          <w:vertAlign w:val="superscript"/>
        </w:rPr>
        <w:t>st</w:t>
      </w:r>
      <w:r>
        <w:t xml:space="preserve"> April 2017</w:t>
      </w:r>
      <w:commentRangeStart w:id="2"/>
      <w:commentRangeStart w:id="3"/>
      <w:commentRangeStart w:id="4"/>
      <w:r>
        <w:t>, 17% of archaeologists working for the major commercial practices in the UK are European (EU) citizens</w:t>
      </w:r>
      <w:commentRangeEnd w:id="2"/>
      <w:r>
        <w:rPr>
          <w:rStyle w:val="CommentReference"/>
        </w:rPr>
        <w:commentReference w:id="2"/>
      </w:r>
      <w:commentRangeEnd w:id="3"/>
      <w:r>
        <w:rPr>
          <w:rStyle w:val="CommentReference"/>
        </w:rPr>
        <w:commentReference w:id="3"/>
      </w:r>
      <w:commentRangeEnd w:id="4"/>
      <w:r>
        <w:rPr>
          <w:rStyle w:val="CommentReference"/>
        </w:rPr>
        <w:commentReference w:id="4"/>
      </w:r>
      <w:r>
        <w:t>, and a further 2% are from elsewhere in the world.</w:t>
      </w:r>
    </w:p>
    <w:p w14:paraId="3BD048A2" w14:textId="06605BEF" w:rsidR="004F4662" w:rsidRDefault="004F4662" w:rsidP="004F4662">
      <w:r>
        <w:t xml:space="preserve">Transnational mobility within the EU has supported UK archaeology more than it has professional archaeology in other countries. </w:t>
      </w:r>
      <w:r w:rsidR="00D33ABA">
        <w:t xml:space="preserve">Two key factors are responsible for this and have facilitated people moving to the UK (and Ireland) rather than </w:t>
      </w:r>
      <w:r w:rsidR="00D33ABA" w:rsidRPr="00154092">
        <w:rPr>
          <w:i/>
        </w:rPr>
        <w:t>vice versa</w:t>
      </w:r>
      <w:r w:rsidR="00D33ABA">
        <w:t xml:space="preserve"> – </w:t>
      </w:r>
      <w:r>
        <w:t>the commercial system in the UK allow</w:t>
      </w:r>
      <w:r w:rsidR="00D33ABA">
        <w:t>s</w:t>
      </w:r>
      <w:r>
        <w:t xml:space="preserve"> more flexibility in employment than the models used in some other countries, and because working in archaeology needs local language skills</w:t>
      </w:r>
      <w:r w:rsidR="00D33ABA">
        <w:t xml:space="preserve">; English is </w:t>
      </w:r>
      <w:r>
        <w:t>by far the most widely spoken second language in Europe (TNS Opinion &amp; Social 2012, 5)</w:t>
      </w:r>
      <w:r w:rsidR="00D33ABA">
        <w:t>.</w:t>
      </w:r>
    </w:p>
    <w:p w14:paraId="288DBD8C" w14:textId="3AF58DD3" w:rsidR="005B3C76" w:rsidRDefault="005B3C76" w:rsidP="004F4662">
      <w:r>
        <w:t>The big issue is the impact that Brexit will have on European archaeologists working in the UK and on their employers</w:t>
      </w:r>
      <w:r w:rsidR="00D33ABA">
        <w:t>,</w:t>
      </w:r>
      <w:r w:rsidR="00AD2813">
        <w:t xml:space="preserve"> at a time when demand for professional archaeological services is expected to increase (Aitchison</w:t>
      </w:r>
      <w:r w:rsidR="00A84BAA">
        <w:t>,</w:t>
      </w:r>
      <w:r w:rsidR="00AD2813">
        <w:t xml:space="preserve"> forthcoming)</w:t>
      </w:r>
      <w:r>
        <w:t>.</w:t>
      </w:r>
      <w:r w:rsidR="00AD2813">
        <w:t xml:space="preserve"> Whether the European archaeologists who are currently employed in the UK will still have the right to work is unknown, causing uncertainty and insecurity for them and for their employers</w:t>
      </w:r>
      <w:r w:rsidR="003643B6">
        <w:t>.</w:t>
      </w:r>
    </w:p>
    <w:p w14:paraId="085AC10E" w14:textId="0E81DF7E" w:rsidR="00095DE5" w:rsidRDefault="00095DE5" w:rsidP="006E7B76"/>
    <w:p w14:paraId="535F19D5" w14:textId="77777777" w:rsidR="00095DE5" w:rsidRPr="005540C5" w:rsidRDefault="006E45B4" w:rsidP="006E7B76">
      <w:pPr>
        <w:rPr>
          <w:i/>
        </w:rPr>
      </w:pPr>
      <w:r w:rsidRPr="005540C5">
        <w:rPr>
          <w:i/>
        </w:rPr>
        <w:t>In conclusion</w:t>
      </w:r>
    </w:p>
    <w:p w14:paraId="5ECDD45A" w14:textId="0CE12F67" w:rsidR="00A84BAA" w:rsidRDefault="00A84BAA" w:rsidP="00A84BAA">
      <w:r>
        <w:t>While the Chartered Institute for Archaeologists and the Institute of Archaeologists of Ireland scramble to protect the</w:t>
      </w:r>
      <w:r w:rsidRPr="00FE0FFA">
        <w:t xml:space="preserve"> free movement of accredited archaeologi</w:t>
      </w:r>
      <w:r>
        <w:t>sts</w:t>
      </w:r>
      <w:r w:rsidRPr="00FE0FFA">
        <w:t xml:space="preserve"> between the UK</w:t>
      </w:r>
      <w:r>
        <w:t xml:space="preserve"> and Ireland (MacDonagh &amp; Hinton 2017), and UK university archaeology departments </w:t>
      </w:r>
      <w:r w:rsidR="00D33ABA">
        <w:t xml:space="preserve">anticipate </w:t>
      </w:r>
      <w:r>
        <w:t>los</w:t>
      </w:r>
      <w:r w:rsidR="00D33ABA">
        <w:t>ing</w:t>
      </w:r>
      <w:r>
        <w:t xml:space="preserve"> access to funds administered by the European Commission, such as </w:t>
      </w:r>
      <w:r w:rsidRPr="006E45B4">
        <w:rPr>
          <w:i/>
        </w:rPr>
        <w:t>Horizon 2020</w:t>
      </w:r>
      <w:r>
        <w:t xml:space="preserve"> (Technopolis 2017), European archaeological practice as a whole will carry on regardless.</w:t>
      </w:r>
    </w:p>
    <w:p w14:paraId="484D2879" w14:textId="58A5C5F3" w:rsidR="006E45B4" w:rsidRDefault="00095DE5" w:rsidP="006E7B76">
      <w:r>
        <w:t>T</w:t>
      </w:r>
      <w:r w:rsidR="006E45B4">
        <w:t xml:space="preserve">he UK leaving the European Union </w:t>
      </w:r>
      <w:r w:rsidR="00DE2851">
        <w:t>could</w:t>
      </w:r>
      <w:r w:rsidR="006E45B4">
        <w:t xml:space="preserve"> be a profoundly bad thing for British (and Irish)  archaeology</w:t>
      </w:r>
      <w:r w:rsidR="003643B6">
        <w:t xml:space="preserve">, </w:t>
      </w:r>
      <w:r w:rsidR="00DE2851">
        <w:t xml:space="preserve">most </w:t>
      </w:r>
      <w:r w:rsidR="003643B6">
        <w:t xml:space="preserve">significantly </w:t>
      </w:r>
      <w:r w:rsidR="00DE2851">
        <w:t xml:space="preserve">by reducing access to </w:t>
      </w:r>
      <w:r w:rsidR="003643B6">
        <w:t xml:space="preserve">and opportunities for </w:t>
      </w:r>
      <w:r w:rsidR="00DE2851">
        <w:t>a skilled workforce</w:t>
      </w:r>
      <w:r w:rsidR="003643B6">
        <w:t>. But</w:t>
      </w:r>
      <w:r w:rsidR="00DE2851">
        <w:t xml:space="preserve"> </w:t>
      </w:r>
      <w:r w:rsidR="006E45B4">
        <w:t xml:space="preserve">it will have minimal effect on European archaeology. </w:t>
      </w:r>
    </w:p>
    <w:p w14:paraId="1CF8F13B" w14:textId="5A7C6346" w:rsidR="005B3C76" w:rsidRDefault="005B3C76" w:rsidP="005B3C76">
      <w:pPr>
        <w:rPr>
          <w:rFonts w:ascii="Times New Roman" w:hAnsi="Times New Roman"/>
          <w:sz w:val="24"/>
          <w:szCs w:val="24"/>
        </w:rPr>
      </w:pPr>
      <w:r>
        <w:t xml:space="preserve">Brexit makes British archaeologists unhappy, and it makes archaeologists </w:t>
      </w:r>
      <w:r w:rsidR="003643B6">
        <w:t xml:space="preserve">in Europe </w:t>
      </w:r>
      <w:r>
        <w:t>sorry – but they are sorry for our loss, not theirs</w:t>
      </w:r>
    </w:p>
    <w:p w14:paraId="613F635E" w14:textId="77777777" w:rsidR="00824224" w:rsidRDefault="00824224"/>
    <w:p w14:paraId="7793669B" w14:textId="0E9B4FBA" w:rsidR="001C30E7" w:rsidRDefault="001C30E7" w:rsidP="00975CC2">
      <w:pPr>
        <w:spacing w:after="120" w:line="240" w:lineRule="auto"/>
        <w:ind w:left="720" w:hanging="720"/>
        <w:rPr>
          <w:rFonts w:cstheme="minorHAnsi"/>
        </w:rPr>
      </w:pPr>
      <w:r w:rsidRPr="00975CC2">
        <w:rPr>
          <w:rFonts w:cstheme="minorHAnsi"/>
        </w:rPr>
        <w:t xml:space="preserve">Aitchison, K. 2012. </w:t>
      </w:r>
      <w:r w:rsidRPr="00CB738C">
        <w:rPr>
          <w:rFonts w:cstheme="minorHAnsi"/>
          <w:i/>
        </w:rPr>
        <w:t>Breaking New Ground: how professional archaeology works</w:t>
      </w:r>
      <w:r w:rsidRPr="00975CC2">
        <w:rPr>
          <w:rFonts w:cstheme="minorHAnsi"/>
        </w:rPr>
        <w:t xml:space="preserve">. </w:t>
      </w:r>
      <w:r w:rsidR="00CB738C">
        <w:rPr>
          <w:rFonts w:cstheme="minorHAnsi"/>
        </w:rPr>
        <w:t xml:space="preserve">Sheffield: </w:t>
      </w:r>
      <w:r w:rsidRPr="00975CC2">
        <w:rPr>
          <w:rFonts w:cstheme="minorHAnsi"/>
        </w:rPr>
        <w:t>Landward Research.</w:t>
      </w:r>
    </w:p>
    <w:p w14:paraId="774E57A7" w14:textId="7FC5A2B5" w:rsidR="00CB738C" w:rsidRPr="00975CC2" w:rsidRDefault="00CB738C" w:rsidP="00975CC2">
      <w:pPr>
        <w:spacing w:after="120" w:line="240" w:lineRule="auto"/>
        <w:ind w:left="720" w:hanging="720"/>
        <w:rPr>
          <w:rFonts w:cstheme="minorHAnsi"/>
        </w:rPr>
      </w:pPr>
      <w:r>
        <w:rPr>
          <w:rFonts w:cstheme="minorHAnsi"/>
        </w:rPr>
        <w:t xml:space="preserve">Aitchison, K. 2017. </w:t>
      </w:r>
      <w:r w:rsidRPr="00CB738C">
        <w:rPr>
          <w:rFonts w:cstheme="minorHAnsi"/>
          <w:i/>
        </w:rPr>
        <w:t>Survey of Archaeological Specialists 2016-17</w:t>
      </w:r>
      <w:r>
        <w:rPr>
          <w:rFonts w:cstheme="minorHAnsi"/>
        </w:rPr>
        <w:t xml:space="preserve">. Sheffield: Landward Research. </w:t>
      </w:r>
      <w:hyperlink r:id="rId9" w:history="1">
        <w:r w:rsidRPr="00961E8A">
          <w:rPr>
            <w:rStyle w:val="Hyperlink"/>
            <w:rFonts w:cstheme="minorHAnsi"/>
          </w:rPr>
          <w:t>http://www.landward.eu/Survey_Archaeological_Specialists_201617.pdf</w:t>
        </w:r>
      </w:hyperlink>
      <w:r>
        <w:rPr>
          <w:rFonts w:cstheme="minorHAnsi"/>
        </w:rPr>
        <w:t xml:space="preserve"> </w:t>
      </w:r>
    </w:p>
    <w:p w14:paraId="1BC8D1CE" w14:textId="1167E2DE" w:rsidR="00CB738C" w:rsidRPr="00975CC2" w:rsidRDefault="00CB738C" w:rsidP="00CB738C">
      <w:pPr>
        <w:spacing w:after="120"/>
        <w:ind w:left="720" w:hanging="720"/>
        <w:rPr>
          <w:rFonts w:cstheme="minorHAnsi"/>
        </w:rPr>
      </w:pPr>
      <w:r w:rsidRPr="00975CC2">
        <w:rPr>
          <w:rFonts w:cstheme="minorHAnsi"/>
        </w:rPr>
        <w:t xml:space="preserve">Aitchison, K. </w:t>
      </w:r>
      <w:r>
        <w:rPr>
          <w:rFonts w:cstheme="minorHAnsi"/>
        </w:rPr>
        <w:t>f</w:t>
      </w:r>
      <w:r w:rsidRPr="00975CC2">
        <w:rPr>
          <w:rFonts w:cstheme="minorHAnsi"/>
        </w:rPr>
        <w:t xml:space="preserve">orthcoming. </w:t>
      </w:r>
      <w:r w:rsidRPr="00CB738C">
        <w:rPr>
          <w:rFonts w:cstheme="minorHAnsi"/>
          <w:i/>
        </w:rPr>
        <w:t>Archaeological Market Survey 2016-17</w:t>
      </w:r>
      <w:r w:rsidRPr="00975CC2">
        <w:rPr>
          <w:rFonts w:cstheme="minorHAnsi"/>
        </w:rPr>
        <w:t xml:space="preserve">. </w:t>
      </w:r>
      <w:r>
        <w:rPr>
          <w:rFonts w:cstheme="minorHAnsi"/>
        </w:rPr>
        <w:t>Sheffiel</w:t>
      </w:r>
      <w:bookmarkStart w:id="5" w:name="_GoBack"/>
      <w:bookmarkEnd w:id="5"/>
      <w:r>
        <w:rPr>
          <w:rFonts w:cstheme="minorHAnsi"/>
        </w:rPr>
        <w:t xml:space="preserve">d: </w:t>
      </w:r>
      <w:r w:rsidRPr="00975CC2">
        <w:rPr>
          <w:rFonts w:cstheme="minorHAnsi"/>
        </w:rPr>
        <w:t>Landward Research.</w:t>
      </w:r>
    </w:p>
    <w:p w14:paraId="24289B35" w14:textId="3518AC6B" w:rsidR="00824224" w:rsidRPr="00975CC2" w:rsidRDefault="00824224" w:rsidP="00975CC2">
      <w:pPr>
        <w:spacing w:after="120" w:line="240" w:lineRule="auto"/>
        <w:ind w:left="720" w:hanging="720"/>
        <w:rPr>
          <w:rStyle w:val="Hyperlink"/>
          <w:rFonts w:cstheme="minorHAnsi"/>
        </w:rPr>
      </w:pPr>
      <w:r w:rsidRPr="00975CC2">
        <w:rPr>
          <w:rFonts w:cstheme="minorHAnsi"/>
        </w:rPr>
        <w:t xml:space="preserve">Aitchison, K. </w:t>
      </w:r>
      <w:r w:rsidRPr="00975CC2">
        <w:rPr>
          <w:rFonts w:cstheme="minorHAnsi"/>
          <w:i/>
        </w:rPr>
        <w:t>et al</w:t>
      </w:r>
      <w:r w:rsidRPr="00975CC2">
        <w:rPr>
          <w:rFonts w:cstheme="minorHAnsi"/>
        </w:rPr>
        <w:t xml:space="preserve">. 2014. </w:t>
      </w:r>
      <w:r w:rsidRPr="00975CC2">
        <w:rPr>
          <w:rFonts w:cstheme="minorHAnsi"/>
          <w:b/>
        </w:rPr>
        <w:t>Discovering the Archaeologists of Europe: transnational report</w:t>
      </w:r>
      <w:r w:rsidRPr="00975CC2">
        <w:rPr>
          <w:rFonts w:cstheme="minorHAnsi"/>
        </w:rPr>
        <w:t>. York</w:t>
      </w:r>
      <w:r w:rsidR="00CB738C">
        <w:rPr>
          <w:rFonts w:cstheme="minorHAnsi"/>
        </w:rPr>
        <w:t>: York</w:t>
      </w:r>
      <w:r w:rsidRPr="00975CC2">
        <w:rPr>
          <w:rFonts w:cstheme="minorHAnsi"/>
        </w:rPr>
        <w:t xml:space="preserve"> Archaeological Trust. </w:t>
      </w:r>
      <w:hyperlink r:id="rId10" w:history="1">
        <w:r w:rsidRPr="00975CC2">
          <w:rPr>
            <w:rStyle w:val="Hyperlink"/>
            <w:rFonts w:cstheme="minorHAnsi"/>
          </w:rPr>
          <w:t>http://www.discovering-archaeologists.eu/national_reports/2014/transnational_report.pdf</w:t>
        </w:r>
      </w:hyperlink>
    </w:p>
    <w:p w14:paraId="08537BF3" w14:textId="45232080" w:rsidR="00E63002" w:rsidRPr="00975CC2" w:rsidRDefault="00E63002" w:rsidP="00975CC2">
      <w:pPr>
        <w:pStyle w:val="Bibliography"/>
        <w:spacing w:before="0" w:after="120" w:line="240" w:lineRule="auto"/>
        <w:ind w:left="720" w:hanging="720"/>
        <w:jc w:val="left"/>
        <w:rPr>
          <w:rFonts w:asciiTheme="minorHAnsi" w:hAnsiTheme="minorHAnsi" w:cstheme="minorHAnsi"/>
          <w:sz w:val="22"/>
          <w:szCs w:val="22"/>
        </w:rPr>
      </w:pPr>
      <w:r w:rsidRPr="00975CC2">
        <w:rPr>
          <w:rFonts w:asciiTheme="minorHAnsi" w:hAnsiTheme="minorHAnsi" w:cstheme="minorHAnsi"/>
          <w:sz w:val="22"/>
          <w:szCs w:val="22"/>
        </w:rPr>
        <w:t xml:space="preserve">Andrews, G., Barrett, J.C. </w:t>
      </w:r>
      <w:r w:rsidR="003643B6">
        <w:rPr>
          <w:rFonts w:asciiTheme="minorHAnsi" w:hAnsiTheme="minorHAnsi" w:cstheme="minorHAnsi"/>
          <w:sz w:val="22"/>
          <w:szCs w:val="22"/>
        </w:rPr>
        <w:t>&amp;</w:t>
      </w:r>
      <w:r w:rsidR="003643B6" w:rsidRPr="00975CC2">
        <w:rPr>
          <w:rFonts w:asciiTheme="minorHAnsi" w:hAnsiTheme="minorHAnsi" w:cstheme="minorHAnsi"/>
          <w:sz w:val="22"/>
          <w:szCs w:val="22"/>
        </w:rPr>
        <w:t xml:space="preserve"> </w:t>
      </w:r>
      <w:r w:rsidRPr="00975CC2">
        <w:rPr>
          <w:rFonts w:asciiTheme="minorHAnsi" w:hAnsiTheme="minorHAnsi" w:cstheme="minorHAnsi"/>
          <w:sz w:val="22"/>
          <w:szCs w:val="22"/>
        </w:rPr>
        <w:t xml:space="preserve">Lewis, J.S.C. (2000) 'Interpretation not record: the practice of archaeology', </w:t>
      </w:r>
      <w:r w:rsidRPr="00975CC2">
        <w:rPr>
          <w:rFonts w:asciiTheme="minorHAnsi" w:hAnsiTheme="minorHAnsi" w:cstheme="minorHAnsi"/>
          <w:i/>
          <w:iCs/>
          <w:sz w:val="22"/>
          <w:szCs w:val="22"/>
        </w:rPr>
        <w:t>Antiquity</w:t>
      </w:r>
      <w:r w:rsidRPr="00975CC2">
        <w:rPr>
          <w:rFonts w:asciiTheme="minorHAnsi" w:hAnsiTheme="minorHAnsi" w:cstheme="minorHAnsi"/>
          <w:sz w:val="22"/>
          <w:szCs w:val="22"/>
        </w:rPr>
        <w:t xml:space="preserve"> </w:t>
      </w:r>
      <w:r w:rsidRPr="00CB738C">
        <w:rPr>
          <w:rFonts w:asciiTheme="minorHAnsi" w:hAnsiTheme="minorHAnsi" w:cstheme="minorHAnsi"/>
          <w:b/>
          <w:sz w:val="22"/>
          <w:szCs w:val="22"/>
        </w:rPr>
        <w:t>74</w:t>
      </w:r>
      <w:r w:rsidRPr="00975CC2">
        <w:rPr>
          <w:rFonts w:asciiTheme="minorHAnsi" w:hAnsiTheme="minorHAnsi" w:cstheme="minorHAnsi"/>
          <w:sz w:val="22"/>
          <w:szCs w:val="22"/>
        </w:rPr>
        <w:t>, 525-30.</w:t>
      </w:r>
    </w:p>
    <w:p w14:paraId="638D9BA5" w14:textId="77777777" w:rsidR="00826885" w:rsidRDefault="0018584E" w:rsidP="00CA0139">
      <w:pPr>
        <w:ind w:left="720" w:hanging="720"/>
      </w:pPr>
      <w:r>
        <w:t xml:space="preserve">Bahn, P. 1989. </w:t>
      </w:r>
      <w:r w:rsidRPr="00CA0139">
        <w:rPr>
          <w:i/>
        </w:rPr>
        <w:t>Bluff Your Way in Archaeology: The Bluffer’s Guide to Archaeology</w:t>
      </w:r>
      <w:r>
        <w:t>. London: Oval Books</w:t>
      </w:r>
    </w:p>
    <w:p w14:paraId="061E7907" w14:textId="4D072FF3" w:rsidR="00826885" w:rsidRDefault="00826885" w:rsidP="005540C5">
      <w:pPr>
        <w:ind w:left="720" w:hanging="720"/>
        <w:rPr>
          <w:rFonts w:eastAsia="ACaslonPro-Italic" w:cstheme="minorHAnsi"/>
          <w:iCs/>
        </w:rPr>
      </w:pPr>
      <w:r>
        <w:lastRenderedPageBreak/>
        <w:t xml:space="preserve">Clack, A. 2017. </w:t>
      </w:r>
      <w:r w:rsidRPr="005540C5">
        <w:rPr>
          <w:i/>
        </w:rPr>
        <w:t>Skills Shortage and Brexit</w:t>
      </w:r>
      <w:r w:rsidR="0018584E">
        <w:t>.</w:t>
      </w:r>
      <w:r>
        <w:t xml:space="preserve"> </w:t>
      </w:r>
      <w:hyperlink r:id="rId11" w:history="1">
        <w:r w:rsidRPr="008C2D47">
          <w:rPr>
            <w:rStyle w:val="Hyperlink"/>
            <w:rFonts w:eastAsia="ACaslonPro-Italic" w:cstheme="minorHAnsi"/>
          </w:rPr>
          <w:t>https://www.ice.org.uk/news-and-insight/the-infrastructure-blog/april-2017/skills-shortage-and-brexit</w:t>
        </w:r>
      </w:hyperlink>
      <w:r>
        <w:rPr>
          <w:rFonts w:eastAsia="ACaslonPro-Italic" w:cstheme="minorHAnsi"/>
          <w:iCs/>
        </w:rPr>
        <w:t xml:space="preserve"> </w:t>
      </w:r>
    </w:p>
    <w:p w14:paraId="1D22FE42" w14:textId="27C76AE6" w:rsidR="00E57AAF" w:rsidRPr="00975CC2" w:rsidRDefault="00E57AAF" w:rsidP="00975CC2">
      <w:pPr>
        <w:autoSpaceDE w:val="0"/>
        <w:autoSpaceDN w:val="0"/>
        <w:adjustRightInd w:val="0"/>
        <w:spacing w:after="120" w:line="240" w:lineRule="auto"/>
        <w:ind w:left="720" w:hanging="720"/>
        <w:rPr>
          <w:rFonts w:cstheme="minorHAnsi"/>
          <w:color w:val="000000" w:themeColor="text1"/>
        </w:rPr>
      </w:pPr>
      <w:r w:rsidRPr="00975CC2">
        <w:rPr>
          <w:rFonts w:eastAsia="ACaslonPro-Italic" w:cstheme="minorHAnsi"/>
          <w:iCs/>
        </w:rPr>
        <w:t>Depaepe, P., Kerouanton, I., Prilaux, G. &amp; Talon, M. 2016. “</w:t>
      </w:r>
      <w:r w:rsidRPr="00975CC2">
        <w:rPr>
          <w:rFonts w:cstheme="minorHAnsi"/>
          <w:bCs/>
        </w:rPr>
        <w:t xml:space="preserve">Management of Large Archaeological Projects in a Competitive Environment: The French Case” in </w:t>
      </w:r>
      <w:r w:rsidRPr="00975CC2">
        <w:rPr>
          <w:rFonts w:cstheme="minorHAnsi"/>
        </w:rPr>
        <w:t>P</w:t>
      </w:r>
      <w:r w:rsidR="002C03B7">
        <w:rPr>
          <w:rFonts w:cstheme="minorHAnsi"/>
        </w:rPr>
        <w:t>.</w:t>
      </w:r>
      <w:r w:rsidRPr="00975CC2">
        <w:rPr>
          <w:rFonts w:cstheme="minorHAnsi"/>
        </w:rPr>
        <w:t xml:space="preserve"> Novaković, </w:t>
      </w:r>
      <w:r w:rsidR="002C03B7">
        <w:rPr>
          <w:rFonts w:cstheme="minorHAnsi"/>
        </w:rPr>
        <w:t>M.</w:t>
      </w:r>
      <w:r w:rsidRPr="00975CC2">
        <w:rPr>
          <w:rFonts w:cstheme="minorHAnsi"/>
        </w:rPr>
        <w:t xml:space="preserve"> </w:t>
      </w:r>
      <w:r w:rsidR="00B75298" w:rsidRPr="00975CC2">
        <w:rPr>
          <w:rFonts w:cstheme="minorHAnsi"/>
        </w:rPr>
        <w:t>Horneck</w:t>
      </w:r>
      <w:r w:rsidRPr="00975CC2">
        <w:rPr>
          <w:rFonts w:cstheme="minorHAnsi"/>
        </w:rPr>
        <w:t>, M</w:t>
      </w:r>
      <w:r w:rsidR="002C03B7">
        <w:rPr>
          <w:rFonts w:cstheme="minorHAnsi"/>
        </w:rPr>
        <w:t>.</w:t>
      </w:r>
      <w:r w:rsidR="003B50B5">
        <w:rPr>
          <w:rFonts w:cstheme="minorHAnsi"/>
        </w:rPr>
        <w:t>P.</w:t>
      </w:r>
      <w:r w:rsidRPr="00975CC2">
        <w:rPr>
          <w:rFonts w:cstheme="minorHAnsi"/>
        </w:rPr>
        <w:t xml:space="preserve"> Guermandi, H</w:t>
      </w:r>
      <w:r w:rsidR="003B50B5">
        <w:rPr>
          <w:rFonts w:cstheme="minorHAnsi"/>
        </w:rPr>
        <w:t>.</w:t>
      </w:r>
      <w:r w:rsidRPr="00975CC2">
        <w:rPr>
          <w:rFonts w:cstheme="minorHAnsi"/>
        </w:rPr>
        <w:t xml:space="preserve"> </w:t>
      </w:r>
      <w:r w:rsidR="00B75298" w:rsidRPr="00975CC2">
        <w:rPr>
          <w:rFonts w:cstheme="minorHAnsi"/>
        </w:rPr>
        <w:t>Struble</w:t>
      </w:r>
      <w:r w:rsidRPr="00975CC2">
        <w:rPr>
          <w:rFonts w:cstheme="minorHAnsi"/>
        </w:rPr>
        <w:t>, P</w:t>
      </w:r>
      <w:r w:rsidR="003B50B5">
        <w:rPr>
          <w:rFonts w:cstheme="minorHAnsi"/>
        </w:rPr>
        <w:t>.</w:t>
      </w:r>
      <w:r w:rsidRPr="00975CC2">
        <w:rPr>
          <w:rFonts w:cstheme="minorHAnsi"/>
        </w:rPr>
        <w:t xml:space="preserve"> Depaepe &amp; J</w:t>
      </w:r>
      <w:r w:rsidR="003B50B5">
        <w:rPr>
          <w:rFonts w:cstheme="minorHAnsi"/>
        </w:rPr>
        <w:t>.</w:t>
      </w:r>
      <w:r w:rsidRPr="00975CC2">
        <w:rPr>
          <w:rFonts w:cstheme="minorHAnsi"/>
        </w:rPr>
        <w:t>-P</w:t>
      </w:r>
      <w:r w:rsidR="003B50B5">
        <w:rPr>
          <w:rFonts w:cstheme="minorHAnsi"/>
        </w:rPr>
        <w:t>.</w:t>
      </w:r>
      <w:r w:rsidRPr="00975CC2">
        <w:rPr>
          <w:rFonts w:cstheme="minorHAnsi"/>
        </w:rPr>
        <w:t xml:space="preserve"> </w:t>
      </w:r>
      <w:r w:rsidR="00B75298" w:rsidRPr="00975CC2">
        <w:rPr>
          <w:rFonts w:cstheme="minorHAnsi"/>
        </w:rPr>
        <w:t>Demouse</w:t>
      </w:r>
      <w:r w:rsidRPr="00975CC2">
        <w:rPr>
          <w:rFonts w:cstheme="minorHAnsi"/>
        </w:rPr>
        <w:t xml:space="preserve"> (e</w:t>
      </w:r>
      <w:r w:rsidRPr="00975CC2">
        <w:rPr>
          <w:rFonts w:cstheme="minorHAnsi"/>
          <w:color w:val="000000" w:themeColor="text1"/>
        </w:rPr>
        <w:t xml:space="preserve">ds.), </w:t>
      </w:r>
      <w:r w:rsidRPr="00CA0139">
        <w:rPr>
          <w:rFonts w:cstheme="minorHAnsi"/>
          <w:i/>
          <w:color w:val="000000" w:themeColor="text1"/>
        </w:rPr>
        <w:t>Recent Developments in Preventive Archaeology in Europe: Proceedings of the 22 nd EAA Meeting in Vilnius, 2016</w:t>
      </w:r>
      <w:r w:rsidR="00CA0139" w:rsidRPr="00CA0139">
        <w:rPr>
          <w:rFonts w:cstheme="minorHAnsi"/>
          <w:color w:val="000000" w:themeColor="text1"/>
        </w:rPr>
        <w:t>,</w:t>
      </w:r>
      <w:r w:rsidRPr="00975CC2">
        <w:rPr>
          <w:rFonts w:cstheme="minorHAnsi"/>
          <w:color w:val="000000" w:themeColor="text1"/>
        </w:rPr>
        <w:t xml:space="preserve"> 123-135. </w:t>
      </w:r>
      <w:r w:rsidR="00CA0139">
        <w:rPr>
          <w:rFonts w:cstheme="minorHAnsi"/>
          <w:color w:val="000000" w:themeColor="text1"/>
        </w:rPr>
        <w:t xml:space="preserve">Ljubljana: </w:t>
      </w:r>
      <w:r w:rsidRPr="00975CC2">
        <w:rPr>
          <w:rFonts w:cstheme="minorHAnsi"/>
          <w:color w:val="000000" w:themeColor="text1"/>
        </w:rPr>
        <w:t xml:space="preserve">Ljubljana University Press, Faculty of Arts. </w:t>
      </w:r>
      <w:hyperlink r:id="rId12" w:history="1">
        <w:r w:rsidRPr="00975CC2">
          <w:rPr>
            <w:rStyle w:val="Hyperlink"/>
            <w:rFonts w:cstheme="minorHAnsi"/>
          </w:rPr>
          <w:t>http://www.ff.uni-lj.si/sites/default/files/Dokumenti/Knjige/e-books/recent.pdf</w:t>
        </w:r>
      </w:hyperlink>
    </w:p>
    <w:p w14:paraId="08B8EEE8" w14:textId="6E2E40FB" w:rsidR="002845F1" w:rsidRPr="00975CC2" w:rsidRDefault="002845F1" w:rsidP="00975CC2">
      <w:pPr>
        <w:pStyle w:val="Bibliography"/>
        <w:spacing w:before="0" w:after="120" w:line="240" w:lineRule="auto"/>
        <w:ind w:left="720" w:hanging="720"/>
        <w:jc w:val="left"/>
        <w:rPr>
          <w:rFonts w:asciiTheme="minorHAnsi" w:hAnsiTheme="minorHAnsi" w:cstheme="minorHAnsi"/>
          <w:sz w:val="22"/>
          <w:szCs w:val="22"/>
        </w:rPr>
      </w:pPr>
      <w:r w:rsidRPr="00975CC2">
        <w:rPr>
          <w:rFonts w:asciiTheme="minorHAnsi" w:hAnsiTheme="minorHAnsi" w:cstheme="minorHAnsi"/>
          <w:sz w:val="22"/>
          <w:szCs w:val="22"/>
        </w:rPr>
        <w:t xml:space="preserve">DoE (Department of the Environment). 1990.  </w:t>
      </w:r>
      <w:r w:rsidRPr="00975CC2">
        <w:rPr>
          <w:rFonts w:asciiTheme="minorHAnsi" w:hAnsiTheme="minorHAnsi" w:cstheme="minorHAnsi"/>
          <w:i/>
          <w:sz w:val="22"/>
          <w:szCs w:val="22"/>
        </w:rPr>
        <w:t>Planning Policy Guidance note 16: Archaeology and Planning</w:t>
      </w:r>
      <w:r w:rsidR="00CA0139" w:rsidRPr="00CA0139">
        <w:rPr>
          <w:rFonts w:asciiTheme="minorHAnsi" w:hAnsiTheme="minorHAnsi" w:cstheme="minorHAnsi"/>
          <w:sz w:val="22"/>
          <w:szCs w:val="22"/>
        </w:rPr>
        <w:t>.</w:t>
      </w:r>
      <w:r w:rsidRPr="00975CC2">
        <w:rPr>
          <w:rFonts w:asciiTheme="minorHAnsi" w:hAnsiTheme="minorHAnsi" w:cstheme="minorHAnsi"/>
          <w:sz w:val="22"/>
          <w:szCs w:val="22"/>
        </w:rPr>
        <w:t xml:space="preserve"> London: HMSO.</w:t>
      </w:r>
    </w:p>
    <w:p w14:paraId="377AE6FC" w14:textId="285CC96E" w:rsidR="00975CC2" w:rsidRPr="00975CC2" w:rsidRDefault="00975CC2" w:rsidP="00975CC2">
      <w:pPr>
        <w:spacing w:after="120"/>
        <w:ind w:left="720" w:hanging="720"/>
        <w:rPr>
          <w:rFonts w:cstheme="minorHAnsi"/>
        </w:rPr>
      </w:pPr>
      <w:r w:rsidRPr="00975CC2">
        <w:rPr>
          <w:rFonts w:cstheme="minorHAnsi"/>
        </w:rPr>
        <w:t xml:space="preserve">The Economist. 2017. “The Brexit negotiations: giving no quarter”, </w:t>
      </w:r>
      <w:r w:rsidR="00CA0139" w:rsidRPr="00CA0139">
        <w:rPr>
          <w:rFonts w:cstheme="minorHAnsi"/>
          <w:i/>
        </w:rPr>
        <w:t>The Economist</w:t>
      </w:r>
      <w:r w:rsidR="00CA0139">
        <w:rPr>
          <w:rFonts w:cstheme="minorHAnsi"/>
        </w:rPr>
        <w:t xml:space="preserve"> </w:t>
      </w:r>
      <w:r w:rsidRPr="00CA0139">
        <w:rPr>
          <w:rFonts w:eastAsia="Times New Roman" w:cstheme="minorHAnsi"/>
          <w:b/>
          <w:lang w:val="en-US" w:eastAsia="en-GB"/>
        </w:rPr>
        <w:t>July 1</w:t>
      </w:r>
      <w:r w:rsidRPr="00CA0139">
        <w:rPr>
          <w:rFonts w:eastAsia="Times New Roman" w:cstheme="minorHAnsi"/>
          <w:b/>
          <w:vertAlign w:val="superscript"/>
          <w:lang w:val="en-US" w:eastAsia="en-GB"/>
        </w:rPr>
        <w:t>st</w:t>
      </w:r>
      <w:r w:rsidR="00CA0139" w:rsidRPr="00CA0139">
        <w:rPr>
          <w:rFonts w:eastAsia="Times New Roman" w:cstheme="minorHAnsi"/>
          <w:b/>
          <w:lang w:val="en-US" w:eastAsia="en-GB"/>
        </w:rPr>
        <w:t xml:space="preserve"> 2017</w:t>
      </w:r>
      <w:r w:rsidR="00CA0139" w:rsidRPr="00CA0139">
        <w:rPr>
          <w:rFonts w:eastAsia="Times New Roman" w:cstheme="minorHAnsi"/>
          <w:lang w:val="en-US" w:eastAsia="en-GB"/>
        </w:rPr>
        <w:t>,</w:t>
      </w:r>
      <w:r w:rsidRPr="00975CC2">
        <w:rPr>
          <w:rFonts w:eastAsia="Times New Roman" w:cstheme="minorHAnsi"/>
          <w:lang w:val="en-US" w:eastAsia="en-GB"/>
        </w:rPr>
        <w:t xml:space="preserve"> </w:t>
      </w:r>
      <w:r w:rsidRPr="00975CC2">
        <w:rPr>
          <w:rFonts w:cstheme="minorHAnsi"/>
        </w:rPr>
        <w:t>25-6.</w:t>
      </w:r>
    </w:p>
    <w:p w14:paraId="792366D8" w14:textId="77777777" w:rsidR="001C30E7" w:rsidRPr="00975CC2" w:rsidRDefault="001C30E7" w:rsidP="00975CC2">
      <w:pPr>
        <w:spacing w:after="120"/>
        <w:ind w:left="720" w:hanging="720"/>
        <w:rPr>
          <w:rFonts w:cstheme="minorHAnsi"/>
        </w:rPr>
      </w:pPr>
      <w:r w:rsidRPr="00975CC2">
        <w:rPr>
          <w:rFonts w:cstheme="minorHAnsi"/>
        </w:rPr>
        <w:t xml:space="preserve">EEC (European Economic Community). 1985. </w:t>
      </w:r>
      <w:r w:rsidRPr="00CA0139">
        <w:rPr>
          <w:rFonts w:eastAsia="Times New Roman" w:cstheme="minorHAnsi"/>
          <w:bCs/>
          <w:i/>
          <w:color w:val="444444"/>
          <w:bdr w:val="none" w:sz="0" w:space="0" w:color="auto" w:frame="1"/>
          <w:lang w:val="en" w:eastAsia="en-GB"/>
        </w:rPr>
        <w:t>Council Directive 85/337/EEC of 27 June 1985 on the assessment of the effects of certain public and private projects on the environment</w:t>
      </w:r>
      <w:r w:rsidRPr="00CA0139">
        <w:rPr>
          <w:rFonts w:eastAsia="Times New Roman" w:cstheme="minorHAnsi"/>
          <w:i/>
          <w:color w:val="444444"/>
          <w:lang w:val="en" w:eastAsia="en-GB"/>
        </w:rPr>
        <w:t xml:space="preserve"> </w:t>
      </w:r>
      <w:hyperlink r:id="rId13" w:history="1">
        <w:r w:rsidRPr="00975CC2">
          <w:rPr>
            <w:rStyle w:val="Hyperlink"/>
            <w:rFonts w:cstheme="minorHAnsi"/>
          </w:rPr>
          <w:t>http://eur-lex.europa.eu/legal-content/EN/TXT/?uri=CELEX:31985L0337</w:t>
        </w:r>
      </w:hyperlink>
      <w:r w:rsidRPr="00975CC2">
        <w:rPr>
          <w:rFonts w:cstheme="minorHAnsi"/>
        </w:rPr>
        <w:t xml:space="preserve"> </w:t>
      </w:r>
    </w:p>
    <w:p w14:paraId="5E2D6E65" w14:textId="1273F8E4" w:rsidR="00E63002" w:rsidRPr="00975CC2" w:rsidRDefault="00E63002" w:rsidP="00975CC2">
      <w:pPr>
        <w:spacing w:after="120"/>
        <w:ind w:left="720" w:hanging="720"/>
        <w:rPr>
          <w:rFonts w:eastAsia="Times New Roman" w:cstheme="minorHAnsi"/>
          <w:color w:val="444444"/>
          <w:lang w:val="en" w:eastAsia="en-GB"/>
        </w:rPr>
      </w:pPr>
      <w:r w:rsidRPr="00975CC2">
        <w:rPr>
          <w:rFonts w:cstheme="minorHAnsi"/>
        </w:rPr>
        <w:t xml:space="preserve">MacDonagh, M. &amp; Hinton, P. 2017. </w:t>
      </w:r>
      <w:r w:rsidRPr="00CA0139">
        <w:rPr>
          <w:rFonts w:cstheme="minorHAnsi"/>
          <w:i/>
        </w:rPr>
        <w:t xml:space="preserve">Letter to Michel </w:t>
      </w:r>
      <w:r w:rsidR="00B75298" w:rsidRPr="00CA0139">
        <w:rPr>
          <w:rFonts w:cstheme="minorHAnsi"/>
          <w:i/>
        </w:rPr>
        <w:t>Barrier</w:t>
      </w:r>
      <w:r w:rsidRPr="00CA0139">
        <w:rPr>
          <w:rFonts w:cstheme="minorHAnsi"/>
          <w:i/>
        </w:rPr>
        <w:t>, 29</w:t>
      </w:r>
      <w:r w:rsidRPr="00CA0139">
        <w:rPr>
          <w:rFonts w:cstheme="minorHAnsi"/>
          <w:i/>
          <w:vertAlign w:val="superscript"/>
        </w:rPr>
        <w:t>th</w:t>
      </w:r>
      <w:r w:rsidRPr="00CA0139">
        <w:rPr>
          <w:rFonts w:cstheme="minorHAnsi"/>
          <w:i/>
        </w:rPr>
        <w:t xml:space="preserve"> March 2017.</w:t>
      </w:r>
      <w:r w:rsidR="00CA0139">
        <w:rPr>
          <w:rFonts w:cstheme="minorHAnsi"/>
        </w:rPr>
        <w:t xml:space="preserve"> Reading: CIfA</w:t>
      </w:r>
      <w:r w:rsidRPr="00975CC2">
        <w:rPr>
          <w:rFonts w:cstheme="minorHAnsi"/>
        </w:rPr>
        <w:t xml:space="preserve"> </w:t>
      </w:r>
      <w:hyperlink r:id="rId14" w:history="1">
        <w:r w:rsidR="00E41648" w:rsidRPr="00975CC2">
          <w:rPr>
            <w:rStyle w:val="Hyperlink"/>
            <w:rFonts w:cstheme="minorHAnsi"/>
          </w:rPr>
          <w:t>http://www.archaeologists.net/sites/default/files/news/CIfA-IAI%20letter%20to%20Michel%20Barnier.pdf</w:t>
        </w:r>
      </w:hyperlink>
      <w:r w:rsidR="00E41648" w:rsidRPr="00975CC2">
        <w:rPr>
          <w:rFonts w:cstheme="minorHAnsi"/>
        </w:rPr>
        <w:t xml:space="preserve"> </w:t>
      </w:r>
      <w:r w:rsidRPr="00975CC2">
        <w:rPr>
          <w:rFonts w:cstheme="minorHAnsi"/>
        </w:rPr>
        <w:t xml:space="preserve"> </w:t>
      </w:r>
    </w:p>
    <w:p w14:paraId="0FF0F156" w14:textId="12BAA328" w:rsidR="00E57AAF" w:rsidRPr="00975CC2" w:rsidRDefault="00E57AAF" w:rsidP="00975CC2">
      <w:pPr>
        <w:pStyle w:val="Bibliography"/>
        <w:spacing w:before="0" w:after="120" w:line="240" w:lineRule="auto"/>
        <w:ind w:left="720" w:hanging="720"/>
        <w:jc w:val="left"/>
        <w:rPr>
          <w:rFonts w:asciiTheme="minorHAnsi" w:hAnsiTheme="minorHAnsi" w:cstheme="minorHAnsi"/>
          <w:sz w:val="22"/>
          <w:szCs w:val="22"/>
        </w:rPr>
      </w:pPr>
      <w:r w:rsidRPr="00975CC2">
        <w:rPr>
          <w:rFonts w:asciiTheme="minorHAnsi" w:hAnsiTheme="minorHAnsi" w:cstheme="minorHAnsi"/>
          <w:sz w:val="22"/>
          <w:szCs w:val="22"/>
        </w:rPr>
        <w:t>Miles, D. &amp; Early, R. 1998</w:t>
      </w:r>
      <w:r w:rsidR="005B3C76">
        <w:rPr>
          <w:rFonts w:asciiTheme="minorHAnsi" w:hAnsiTheme="minorHAnsi" w:cstheme="minorHAnsi"/>
          <w:sz w:val="22"/>
          <w:szCs w:val="22"/>
        </w:rPr>
        <w:t>.</w:t>
      </w:r>
      <w:r w:rsidRPr="00975CC2">
        <w:rPr>
          <w:rFonts w:asciiTheme="minorHAnsi" w:hAnsiTheme="minorHAnsi" w:cstheme="minorHAnsi"/>
          <w:sz w:val="22"/>
          <w:szCs w:val="22"/>
        </w:rPr>
        <w:t xml:space="preserve"> </w:t>
      </w:r>
      <w:r w:rsidR="00826885">
        <w:rPr>
          <w:rFonts w:asciiTheme="minorHAnsi" w:hAnsiTheme="minorHAnsi" w:cstheme="minorHAnsi"/>
          <w:sz w:val="22"/>
          <w:szCs w:val="22"/>
        </w:rPr>
        <w:t>“</w:t>
      </w:r>
      <w:r w:rsidR="00826885" w:rsidRPr="00975CC2">
        <w:rPr>
          <w:rFonts w:asciiTheme="minorHAnsi" w:hAnsiTheme="minorHAnsi" w:cstheme="minorHAnsi"/>
          <w:sz w:val="22"/>
          <w:szCs w:val="22"/>
        </w:rPr>
        <w:t xml:space="preserve">Les </w:t>
      </w:r>
      <w:r w:rsidRPr="00975CC2">
        <w:rPr>
          <w:rFonts w:asciiTheme="minorHAnsi" w:hAnsiTheme="minorHAnsi" w:cstheme="minorHAnsi"/>
          <w:sz w:val="22"/>
          <w:szCs w:val="22"/>
        </w:rPr>
        <w:t xml:space="preserve">Anglais s’emparent du </w:t>
      </w:r>
      <w:r w:rsidR="00826885" w:rsidRPr="00975CC2">
        <w:rPr>
          <w:rFonts w:asciiTheme="minorHAnsi" w:hAnsiTheme="minorHAnsi" w:cstheme="minorHAnsi"/>
          <w:sz w:val="22"/>
          <w:szCs w:val="22"/>
        </w:rPr>
        <w:t>château</w:t>
      </w:r>
      <w:r w:rsidR="00826885">
        <w:rPr>
          <w:rFonts w:asciiTheme="minorHAnsi" w:hAnsiTheme="minorHAnsi" w:cstheme="minorHAnsi"/>
          <w:sz w:val="22"/>
          <w:szCs w:val="22"/>
        </w:rPr>
        <w:t>”</w:t>
      </w:r>
      <w:r w:rsidRPr="00975CC2">
        <w:rPr>
          <w:rFonts w:asciiTheme="minorHAnsi" w:hAnsiTheme="minorHAnsi" w:cstheme="minorHAnsi"/>
          <w:sz w:val="22"/>
          <w:szCs w:val="22"/>
        </w:rPr>
        <w:t xml:space="preserve">, </w:t>
      </w:r>
      <w:r w:rsidRPr="00975CC2">
        <w:rPr>
          <w:rFonts w:asciiTheme="minorHAnsi" w:hAnsiTheme="minorHAnsi" w:cstheme="minorHAnsi"/>
          <w:i/>
          <w:iCs/>
          <w:sz w:val="22"/>
          <w:szCs w:val="22"/>
        </w:rPr>
        <w:t>The Archaeologist</w:t>
      </w:r>
      <w:r w:rsidRPr="00975CC2">
        <w:rPr>
          <w:rFonts w:asciiTheme="minorHAnsi" w:hAnsiTheme="minorHAnsi" w:cstheme="minorHAnsi"/>
          <w:sz w:val="22"/>
          <w:szCs w:val="22"/>
        </w:rPr>
        <w:t xml:space="preserve"> </w:t>
      </w:r>
      <w:r w:rsidRPr="00CA0139">
        <w:rPr>
          <w:rFonts w:asciiTheme="minorHAnsi" w:hAnsiTheme="minorHAnsi" w:cstheme="minorHAnsi"/>
          <w:b/>
          <w:sz w:val="22"/>
          <w:szCs w:val="22"/>
        </w:rPr>
        <w:t>33</w:t>
      </w:r>
      <w:r w:rsidRPr="00975CC2">
        <w:rPr>
          <w:rFonts w:asciiTheme="minorHAnsi" w:hAnsiTheme="minorHAnsi" w:cstheme="minorHAnsi"/>
          <w:sz w:val="22"/>
          <w:szCs w:val="22"/>
        </w:rPr>
        <w:t>, 9-10.</w:t>
      </w:r>
    </w:p>
    <w:p w14:paraId="7422C367" w14:textId="545CC356" w:rsidR="00E63002" w:rsidRPr="00975CC2" w:rsidRDefault="00E63002" w:rsidP="00975CC2">
      <w:pPr>
        <w:spacing w:after="120"/>
        <w:ind w:left="720" w:hanging="720"/>
        <w:rPr>
          <w:rFonts w:cstheme="minorHAnsi"/>
        </w:rPr>
      </w:pPr>
      <w:r w:rsidRPr="00975CC2">
        <w:rPr>
          <w:rFonts w:cstheme="minorHAnsi"/>
        </w:rPr>
        <w:t xml:space="preserve">MoL (Museum of London). 1994. </w:t>
      </w:r>
      <w:r w:rsidRPr="00CA0139">
        <w:rPr>
          <w:rFonts w:cstheme="minorHAnsi"/>
          <w:i/>
        </w:rPr>
        <w:t>Archaeological Site Manual</w:t>
      </w:r>
      <w:r w:rsidRPr="00975CC2">
        <w:rPr>
          <w:rFonts w:cstheme="minorHAnsi"/>
        </w:rPr>
        <w:t xml:space="preserve"> (3</w:t>
      </w:r>
      <w:r w:rsidRPr="00975CC2">
        <w:rPr>
          <w:rFonts w:cstheme="minorHAnsi"/>
          <w:vertAlign w:val="superscript"/>
        </w:rPr>
        <w:t>rd</w:t>
      </w:r>
      <w:r w:rsidRPr="00975CC2">
        <w:rPr>
          <w:rFonts w:cstheme="minorHAnsi"/>
        </w:rPr>
        <w:t xml:space="preserve"> edn).</w:t>
      </w:r>
      <w:r w:rsidR="00826BB2">
        <w:rPr>
          <w:rFonts w:cstheme="minorHAnsi"/>
        </w:rPr>
        <w:t xml:space="preserve"> London: Museum of London.</w:t>
      </w:r>
    </w:p>
    <w:p w14:paraId="23104B91" w14:textId="1D11F2D3" w:rsidR="00975CC2" w:rsidRPr="00975CC2" w:rsidRDefault="00975CC2" w:rsidP="00975CC2">
      <w:pPr>
        <w:pStyle w:val="Bibliography"/>
        <w:spacing w:before="0" w:after="120" w:line="240" w:lineRule="auto"/>
        <w:ind w:left="720" w:hanging="720"/>
        <w:jc w:val="left"/>
        <w:rPr>
          <w:rFonts w:asciiTheme="minorHAnsi" w:hAnsiTheme="minorHAnsi" w:cstheme="minorHAnsi"/>
          <w:sz w:val="22"/>
          <w:szCs w:val="22"/>
        </w:rPr>
      </w:pPr>
      <w:r w:rsidRPr="00975CC2">
        <w:rPr>
          <w:rFonts w:asciiTheme="minorHAnsi" w:hAnsiTheme="minorHAnsi" w:cstheme="minorHAnsi"/>
          <w:sz w:val="22"/>
          <w:szCs w:val="22"/>
        </w:rPr>
        <w:t xml:space="preserve">Ralston, I. </w:t>
      </w:r>
      <w:r w:rsidR="00CA0139">
        <w:rPr>
          <w:rFonts w:asciiTheme="minorHAnsi" w:hAnsiTheme="minorHAnsi" w:cstheme="minorHAnsi"/>
          <w:sz w:val="22"/>
          <w:szCs w:val="22"/>
        </w:rPr>
        <w:t>&amp;</w:t>
      </w:r>
      <w:r w:rsidRPr="00975CC2">
        <w:rPr>
          <w:rFonts w:asciiTheme="minorHAnsi" w:hAnsiTheme="minorHAnsi" w:cstheme="minorHAnsi"/>
          <w:sz w:val="22"/>
          <w:szCs w:val="22"/>
        </w:rPr>
        <w:t xml:space="preserve"> Thomas, R.M. (1993) 'Environmental Assessment and Archaeology: an introduction', in </w:t>
      </w:r>
      <w:r w:rsidR="002C03B7">
        <w:rPr>
          <w:rFonts w:asciiTheme="minorHAnsi" w:hAnsiTheme="minorHAnsi" w:cstheme="minorHAnsi"/>
          <w:sz w:val="22"/>
          <w:szCs w:val="22"/>
        </w:rPr>
        <w:t xml:space="preserve">I. </w:t>
      </w:r>
      <w:r w:rsidRPr="00975CC2">
        <w:rPr>
          <w:rFonts w:asciiTheme="minorHAnsi" w:hAnsiTheme="minorHAnsi" w:cstheme="minorHAnsi"/>
          <w:sz w:val="22"/>
          <w:szCs w:val="22"/>
        </w:rPr>
        <w:t>Ralston</w:t>
      </w:r>
      <w:r w:rsidR="002C03B7">
        <w:rPr>
          <w:rFonts w:asciiTheme="minorHAnsi" w:hAnsiTheme="minorHAnsi" w:cstheme="minorHAnsi"/>
          <w:sz w:val="22"/>
          <w:szCs w:val="22"/>
        </w:rPr>
        <w:t xml:space="preserve"> &amp;</w:t>
      </w:r>
      <w:r w:rsidRPr="00975CC2">
        <w:rPr>
          <w:rFonts w:asciiTheme="minorHAnsi" w:hAnsiTheme="minorHAnsi" w:cstheme="minorHAnsi"/>
          <w:sz w:val="22"/>
          <w:szCs w:val="22"/>
        </w:rPr>
        <w:t xml:space="preserve"> </w:t>
      </w:r>
      <w:r w:rsidR="002C03B7">
        <w:rPr>
          <w:rFonts w:asciiTheme="minorHAnsi" w:hAnsiTheme="minorHAnsi" w:cstheme="minorHAnsi"/>
          <w:sz w:val="22"/>
          <w:szCs w:val="22"/>
        </w:rPr>
        <w:t xml:space="preserve">R.M. </w:t>
      </w:r>
      <w:r w:rsidRPr="00975CC2">
        <w:rPr>
          <w:rFonts w:asciiTheme="minorHAnsi" w:hAnsiTheme="minorHAnsi" w:cstheme="minorHAnsi"/>
          <w:sz w:val="22"/>
          <w:szCs w:val="22"/>
        </w:rPr>
        <w:t xml:space="preserve">Thomas (eds) </w:t>
      </w:r>
      <w:r w:rsidRPr="00975CC2">
        <w:rPr>
          <w:rFonts w:asciiTheme="minorHAnsi" w:hAnsiTheme="minorHAnsi" w:cstheme="minorHAnsi"/>
          <w:i/>
          <w:iCs/>
          <w:sz w:val="22"/>
          <w:szCs w:val="22"/>
        </w:rPr>
        <w:t>Environmental Assessment and Archaeology</w:t>
      </w:r>
      <w:r w:rsidRPr="00975CC2">
        <w:rPr>
          <w:rFonts w:asciiTheme="minorHAnsi" w:hAnsiTheme="minorHAnsi" w:cstheme="minorHAnsi"/>
          <w:sz w:val="22"/>
          <w:szCs w:val="22"/>
        </w:rPr>
        <w:t>, IFA Occasional Paper 5, 1-8</w:t>
      </w:r>
      <w:r w:rsidR="002C03B7">
        <w:rPr>
          <w:rFonts w:asciiTheme="minorHAnsi" w:hAnsiTheme="minorHAnsi" w:cstheme="minorHAnsi"/>
          <w:sz w:val="22"/>
          <w:szCs w:val="22"/>
        </w:rPr>
        <w:t>.</w:t>
      </w:r>
      <w:r w:rsidRPr="00975CC2">
        <w:rPr>
          <w:rFonts w:asciiTheme="minorHAnsi" w:hAnsiTheme="minorHAnsi" w:cstheme="minorHAnsi"/>
          <w:sz w:val="22"/>
          <w:szCs w:val="22"/>
        </w:rPr>
        <w:t xml:space="preserve"> Birmingham: Institute of Field Archaeologists.</w:t>
      </w:r>
    </w:p>
    <w:p w14:paraId="74AF3502" w14:textId="432FC3C8" w:rsidR="004549AB" w:rsidRPr="00975CC2" w:rsidRDefault="004549AB" w:rsidP="00975CC2">
      <w:pPr>
        <w:spacing w:after="120"/>
        <w:ind w:left="720" w:hanging="720"/>
        <w:rPr>
          <w:rFonts w:cstheme="minorHAnsi"/>
        </w:rPr>
      </w:pPr>
      <w:r w:rsidRPr="00975CC2">
        <w:rPr>
          <w:rFonts w:cstheme="minorHAnsi"/>
        </w:rPr>
        <w:t xml:space="preserve">Rubicon Heritage. 2017. </w:t>
      </w:r>
      <w:r w:rsidRPr="003B50B5">
        <w:rPr>
          <w:rFonts w:cstheme="minorHAnsi"/>
          <w:i/>
        </w:rPr>
        <w:t>About Us</w:t>
      </w:r>
      <w:r w:rsidRPr="00975CC2">
        <w:rPr>
          <w:rFonts w:cstheme="minorHAnsi"/>
        </w:rPr>
        <w:t xml:space="preserve">. </w:t>
      </w:r>
      <w:hyperlink r:id="rId15" w:history="1">
        <w:r w:rsidR="001977A2" w:rsidRPr="00975CC2">
          <w:rPr>
            <w:rStyle w:val="Hyperlink"/>
            <w:rFonts w:cstheme="minorHAnsi"/>
          </w:rPr>
          <w:t>http://www.rubiconheritage.com/about-us/</w:t>
        </w:r>
      </w:hyperlink>
    </w:p>
    <w:p w14:paraId="2F170EF2" w14:textId="549D5275" w:rsidR="001977A2" w:rsidRPr="00975CC2" w:rsidRDefault="001977A2" w:rsidP="00975CC2">
      <w:pPr>
        <w:spacing w:after="120"/>
        <w:ind w:left="720" w:hanging="720"/>
        <w:rPr>
          <w:rFonts w:cstheme="minorHAnsi"/>
        </w:rPr>
      </w:pPr>
      <w:r w:rsidRPr="00975CC2">
        <w:rPr>
          <w:rFonts w:cstheme="minorHAnsi"/>
        </w:rPr>
        <w:t xml:space="preserve">SAL (Society of Antiquaries of London). 2016. </w:t>
      </w:r>
      <w:r w:rsidR="00975CC2" w:rsidRPr="003B50B5">
        <w:rPr>
          <w:rFonts w:cstheme="minorHAnsi"/>
          <w:i/>
        </w:rPr>
        <w:t>Salon</w:t>
      </w:r>
      <w:r w:rsidR="00975CC2">
        <w:rPr>
          <w:rFonts w:cstheme="minorHAnsi"/>
        </w:rPr>
        <w:t xml:space="preserve"> </w:t>
      </w:r>
      <w:r w:rsidR="00975CC2" w:rsidRPr="003B50B5">
        <w:rPr>
          <w:rFonts w:cstheme="minorHAnsi"/>
          <w:b/>
        </w:rPr>
        <w:t>Special Issue on Brexit. 28 June 2016</w:t>
      </w:r>
      <w:r w:rsidR="00975CC2">
        <w:rPr>
          <w:rFonts w:cstheme="minorHAnsi"/>
        </w:rPr>
        <w:t xml:space="preserve">. </w:t>
      </w:r>
      <w:hyperlink r:id="rId16" w:history="1">
        <w:r w:rsidR="00826BB2" w:rsidRPr="00225DBD">
          <w:rPr>
            <w:rStyle w:val="Hyperlink"/>
            <w:rFonts w:cstheme="minorHAnsi"/>
          </w:rPr>
          <w:t>http://us6.campaign-archive2.com/?u=5557bc147d34993782f185bde&amp;id=c23c32dfe1</w:t>
        </w:r>
      </w:hyperlink>
      <w:r w:rsidR="00826BB2">
        <w:rPr>
          <w:rFonts w:cstheme="minorHAnsi"/>
        </w:rPr>
        <w:t xml:space="preserve"> </w:t>
      </w:r>
    </w:p>
    <w:p w14:paraId="196358B9" w14:textId="0666F6C6" w:rsidR="00975CC2" w:rsidRPr="00975CC2" w:rsidRDefault="00975CC2" w:rsidP="00975CC2">
      <w:pPr>
        <w:spacing w:after="120"/>
        <w:ind w:left="720" w:hanging="720"/>
        <w:rPr>
          <w:rFonts w:cstheme="minorHAnsi"/>
        </w:rPr>
      </w:pPr>
      <w:r w:rsidRPr="00975CC2">
        <w:rPr>
          <w:rFonts w:cstheme="minorHAnsi"/>
        </w:rPr>
        <w:t xml:space="preserve">Technopolis Group. 2017. </w:t>
      </w:r>
      <w:r w:rsidRPr="003B50B5">
        <w:rPr>
          <w:rFonts w:cstheme="minorHAnsi"/>
          <w:i/>
        </w:rPr>
        <w:t>The role of EU funding in UK research and innovation.</w:t>
      </w:r>
      <w:r w:rsidRPr="00975CC2">
        <w:rPr>
          <w:rFonts w:cstheme="minorHAnsi"/>
        </w:rPr>
        <w:t xml:space="preserve"> </w:t>
      </w:r>
      <w:r w:rsidR="003B50B5">
        <w:rPr>
          <w:rFonts w:cstheme="minorHAnsi"/>
        </w:rPr>
        <w:t xml:space="preserve">London: </w:t>
      </w:r>
      <w:r w:rsidRPr="00975CC2">
        <w:rPr>
          <w:rFonts w:cstheme="minorHAnsi"/>
        </w:rPr>
        <w:t xml:space="preserve">The Royal Society. </w:t>
      </w:r>
      <w:hyperlink r:id="rId17" w:history="1">
        <w:r w:rsidRPr="00975CC2">
          <w:rPr>
            <w:rStyle w:val="Hyperlink"/>
            <w:rFonts w:cstheme="minorHAnsi"/>
          </w:rPr>
          <w:t>https://royalsociety.org/~/media/policy/Publications/2017/2017-05-technopolis-role-of-EU-funding-report.PDF</w:t>
        </w:r>
      </w:hyperlink>
      <w:r w:rsidRPr="00975CC2">
        <w:rPr>
          <w:rFonts w:cstheme="minorHAnsi"/>
        </w:rPr>
        <w:t xml:space="preserve"> </w:t>
      </w:r>
    </w:p>
    <w:p w14:paraId="009191D4" w14:textId="4E423AEE" w:rsidR="00824224" w:rsidRPr="00975CC2" w:rsidRDefault="00154092" w:rsidP="00C43899">
      <w:pPr>
        <w:spacing w:after="120"/>
        <w:ind w:left="720" w:hanging="720"/>
        <w:rPr>
          <w:rFonts w:cstheme="minorHAnsi"/>
        </w:rPr>
      </w:pPr>
      <w:r w:rsidRPr="00975CC2">
        <w:rPr>
          <w:rFonts w:cstheme="minorHAnsi"/>
        </w:rPr>
        <w:t xml:space="preserve">TNS Opinion &amp; Social. 2012. </w:t>
      </w:r>
      <w:r w:rsidRPr="003B50B5">
        <w:rPr>
          <w:rFonts w:cstheme="minorHAnsi"/>
          <w:i/>
        </w:rPr>
        <w:t>Special Eurobarometer 386: Europeans and their Languages</w:t>
      </w:r>
      <w:r w:rsidRPr="00975CC2">
        <w:rPr>
          <w:rFonts w:cstheme="minorHAnsi"/>
        </w:rPr>
        <w:t xml:space="preserve">. </w:t>
      </w:r>
      <w:r w:rsidR="00B75298">
        <w:rPr>
          <w:rFonts w:cstheme="minorHAnsi"/>
        </w:rPr>
        <w:t xml:space="preserve">Luxembourg: </w:t>
      </w:r>
      <w:r w:rsidRPr="00975CC2">
        <w:rPr>
          <w:rFonts w:cstheme="minorHAnsi"/>
        </w:rPr>
        <w:t xml:space="preserve">European Commission. </w:t>
      </w:r>
      <w:hyperlink r:id="rId18" w:history="1">
        <w:r w:rsidRPr="00975CC2">
          <w:rPr>
            <w:rStyle w:val="Hyperlink"/>
            <w:rFonts w:cstheme="minorHAnsi"/>
          </w:rPr>
          <w:t>http://ec.europa.eu/commfrontoffice/publicopinion/archives/ebs/ebs_386_en.pdf</w:t>
        </w:r>
      </w:hyperlink>
      <w:r w:rsidRPr="00975CC2">
        <w:rPr>
          <w:rFonts w:cstheme="minorHAnsi"/>
        </w:rPr>
        <w:t xml:space="preserve"> </w:t>
      </w:r>
    </w:p>
    <w:p w14:paraId="6B942E7B" w14:textId="247D7AEB" w:rsidR="0003482B" w:rsidRPr="005608D0" w:rsidRDefault="0003482B" w:rsidP="005608D0">
      <w:pPr>
        <w:ind w:left="720" w:hanging="720"/>
        <w:rPr>
          <w:rFonts w:cstheme="minorHAnsi"/>
          <w:bCs/>
          <w:color w:val="000000" w:themeColor="text1"/>
        </w:rPr>
      </w:pPr>
    </w:p>
    <w:sectPr w:rsidR="0003482B" w:rsidRPr="005608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nneth Aitchison" w:date="2017-07-15T16:28:00Z" w:initials="KA">
    <w:p w14:paraId="7E93E3DB" w14:textId="0A99520E" w:rsidR="00E17203" w:rsidRDefault="00E17203">
      <w:pPr>
        <w:pStyle w:val="CommentText"/>
      </w:pPr>
      <w:r>
        <w:rPr>
          <w:rStyle w:val="CommentReference"/>
        </w:rPr>
        <w:annotationRef/>
      </w:r>
      <w:r w:rsidR="004F4662">
        <w:rPr>
          <w:noProof/>
        </w:rPr>
        <w:t>Why?</w:t>
      </w:r>
    </w:p>
  </w:comment>
  <w:comment w:id="1" w:author="Kenneth Aitchison" w:date="2017-07-15T16:30:00Z" w:initials="KA">
    <w:p w14:paraId="73C303E9" w14:textId="39A40387" w:rsidR="00E17203" w:rsidRDefault="00E17203">
      <w:pPr>
        <w:pStyle w:val="CommentText"/>
      </w:pPr>
      <w:r>
        <w:rPr>
          <w:rStyle w:val="CommentReference"/>
        </w:rPr>
        <w:annotationRef/>
      </w:r>
      <w:r w:rsidR="004F4662">
        <w:rPr>
          <w:noProof/>
        </w:rPr>
        <w:t>is this the right word?</w:t>
      </w:r>
    </w:p>
  </w:comment>
  <w:comment w:id="2" w:author="Kenneth Aitchison" w:date="2017-07-15T16:27:00Z" w:initials="KA">
    <w:p w14:paraId="130DE18C" w14:textId="77777777" w:rsidR="00B15353" w:rsidRDefault="00B15353" w:rsidP="00B15353">
      <w:pPr>
        <w:pStyle w:val="CommentText"/>
      </w:pPr>
      <w:r>
        <w:rPr>
          <w:rStyle w:val="CommentReference"/>
        </w:rPr>
        <w:annotationRef/>
      </w:r>
      <w:r>
        <w:rPr>
          <w:noProof/>
        </w:rPr>
        <w:t>W</w:t>
      </w:r>
    </w:p>
  </w:comment>
  <w:comment w:id="3" w:author="Kenneth Aitchison" w:date="2017-07-15T16:27:00Z" w:initials="KA">
    <w:p w14:paraId="16927408" w14:textId="77777777" w:rsidR="00B15353" w:rsidRDefault="00B15353" w:rsidP="00B15353">
      <w:pPr>
        <w:pStyle w:val="CommentText"/>
      </w:pPr>
      <w:r>
        <w:rPr>
          <w:rStyle w:val="CommentReference"/>
        </w:rPr>
        <w:annotationRef/>
      </w:r>
    </w:p>
  </w:comment>
  <w:comment w:id="4" w:author="Kenneth Aitchison" w:date="2017-07-15T16:27:00Z" w:initials="KA">
    <w:p w14:paraId="0B7A04EA" w14:textId="77777777" w:rsidR="00B15353" w:rsidRDefault="00B15353" w:rsidP="00B15353">
      <w:pPr>
        <w:pStyle w:val="CommentText"/>
      </w:pPr>
      <w:r>
        <w:rPr>
          <w:rStyle w:val="CommentReference"/>
        </w:rPr>
        <w:annotationRef/>
      </w:r>
      <w:r>
        <w:rPr>
          <w:noProof/>
        </w:rPr>
        <w:t>What happens if/when they leave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3E3DB" w15:done="0"/>
  <w15:commentEx w15:paraId="73C303E9" w15:done="0"/>
  <w15:commentEx w15:paraId="130DE18C" w15:done="0"/>
  <w15:commentEx w15:paraId="16927408" w15:paraIdParent="130DE18C" w15:done="0"/>
  <w15:commentEx w15:paraId="0B7A04EA" w15:paraIdParent="130DE1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3E3DB" w16cid:durableId="1D14C134"/>
  <w16cid:commentId w16cid:paraId="73C303E9" w16cid:durableId="1D14C19C"/>
  <w16cid:commentId w16cid:paraId="130DE18C" w16cid:durableId="1D14C3D1"/>
  <w16cid:commentId w16cid:paraId="16927408" w16cid:durableId="1D14C3D0"/>
  <w16cid:commentId w16cid:paraId="0B7A04EA" w16cid:durableId="1D14C3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CaslonPro-Italic">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86EFE"/>
    <w:multiLevelType w:val="hybridMultilevel"/>
    <w:tmpl w:val="CF5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Aitchison">
    <w15:presenceInfo w15:providerId="Windows Live" w15:userId="bf9384c6a89ad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A"/>
    <w:rsid w:val="00021C00"/>
    <w:rsid w:val="00023304"/>
    <w:rsid w:val="00031A49"/>
    <w:rsid w:val="0003482B"/>
    <w:rsid w:val="00095DE5"/>
    <w:rsid w:val="000F167F"/>
    <w:rsid w:val="00101788"/>
    <w:rsid w:val="00154092"/>
    <w:rsid w:val="00164025"/>
    <w:rsid w:val="00184B32"/>
    <w:rsid w:val="0018584E"/>
    <w:rsid w:val="001977A2"/>
    <w:rsid w:val="001A27E1"/>
    <w:rsid w:val="001C30E7"/>
    <w:rsid w:val="001C48CA"/>
    <w:rsid w:val="001F260D"/>
    <w:rsid w:val="002407D0"/>
    <w:rsid w:val="002442B6"/>
    <w:rsid w:val="002845F1"/>
    <w:rsid w:val="002C03B7"/>
    <w:rsid w:val="003077B2"/>
    <w:rsid w:val="00314BC3"/>
    <w:rsid w:val="003643B6"/>
    <w:rsid w:val="00372DD5"/>
    <w:rsid w:val="003B50B5"/>
    <w:rsid w:val="003C28C5"/>
    <w:rsid w:val="004121EE"/>
    <w:rsid w:val="0042572D"/>
    <w:rsid w:val="004549AB"/>
    <w:rsid w:val="00493AAC"/>
    <w:rsid w:val="00493E77"/>
    <w:rsid w:val="004D773E"/>
    <w:rsid w:val="004F2BA7"/>
    <w:rsid w:val="004F4662"/>
    <w:rsid w:val="004F4D63"/>
    <w:rsid w:val="0051441C"/>
    <w:rsid w:val="005266B7"/>
    <w:rsid w:val="005300AF"/>
    <w:rsid w:val="00553E96"/>
    <w:rsid w:val="005540C5"/>
    <w:rsid w:val="005608D0"/>
    <w:rsid w:val="00596BC1"/>
    <w:rsid w:val="005B3C76"/>
    <w:rsid w:val="00645576"/>
    <w:rsid w:val="006A6C2C"/>
    <w:rsid w:val="006E45B4"/>
    <w:rsid w:val="006E56FA"/>
    <w:rsid w:val="006E7B76"/>
    <w:rsid w:val="00725F47"/>
    <w:rsid w:val="0075580F"/>
    <w:rsid w:val="007C0463"/>
    <w:rsid w:val="007F32F4"/>
    <w:rsid w:val="008030CA"/>
    <w:rsid w:val="00811B93"/>
    <w:rsid w:val="00822E65"/>
    <w:rsid w:val="00824224"/>
    <w:rsid w:val="00826885"/>
    <w:rsid w:val="00826BB2"/>
    <w:rsid w:val="00862516"/>
    <w:rsid w:val="008B772C"/>
    <w:rsid w:val="009156E1"/>
    <w:rsid w:val="00973CA5"/>
    <w:rsid w:val="00975CC2"/>
    <w:rsid w:val="009E0718"/>
    <w:rsid w:val="00A6180C"/>
    <w:rsid w:val="00A84BAA"/>
    <w:rsid w:val="00AB559B"/>
    <w:rsid w:val="00AD2813"/>
    <w:rsid w:val="00AD6791"/>
    <w:rsid w:val="00AF5443"/>
    <w:rsid w:val="00B15353"/>
    <w:rsid w:val="00B26358"/>
    <w:rsid w:val="00B44CC0"/>
    <w:rsid w:val="00B54925"/>
    <w:rsid w:val="00B75298"/>
    <w:rsid w:val="00BD4328"/>
    <w:rsid w:val="00BE5842"/>
    <w:rsid w:val="00BF2055"/>
    <w:rsid w:val="00BF3BC5"/>
    <w:rsid w:val="00C10301"/>
    <w:rsid w:val="00C43899"/>
    <w:rsid w:val="00C52AAD"/>
    <w:rsid w:val="00C606E3"/>
    <w:rsid w:val="00C84B27"/>
    <w:rsid w:val="00C91C5F"/>
    <w:rsid w:val="00CA0139"/>
    <w:rsid w:val="00CB738C"/>
    <w:rsid w:val="00CC17F9"/>
    <w:rsid w:val="00CC43BC"/>
    <w:rsid w:val="00CE0C37"/>
    <w:rsid w:val="00D33ABA"/>
    <w:rsid w:val="00D3569E"/>
    <w:rsid w:val="00D459E4"/>
    <w:rsid w:val="00D6637E"/>
    <w:rsid w:val="00D67112"/>
    <w:rsid w:val="00D83025"/>
    <w:rsid w:val="00D83431"/>
    <w:rsid w:val="00DA0845"/>
    <w:rsid w:val="00DA08D2"/>
    <w:rsid w:val="00DE2851"/>
    <w:rsid w:val="00E1191D"/>
    <w:rsid w:val="00E17203"/>
    <w:rsid w:val="00E2300D"/>
    <w:rsid w:val="00E41648"/>
    <w:rsid w:val="00E41A83"/>
    <w:rsid w:val="00E57AAF"/>
    <w:rsid w:val="00E63002"/>
    <w:rsid w:val="00E765A7"/>
    <w:rsid w:val="00ED3283"/>
    <w:rsid w:val="00F00427"/>
    <w:rsid w:val="00F01449"/>
    <w:rsid w:val="00F252ED"/>
    <w:rsid w:val="00F451B9"/>
    <w:rsid w:val="00F50C53"/>
    <w:rsid w:val="00F846CD"/>
    <w:rsid w:val="00FD0BF6"/>
    <w:rsid w:val="00FE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C789"/>
  <w15:chartTrackingRefBased/>
  <w15:docId w15:val="{B250FF9F-C4BD-481B-8B65-C5CA6E4E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6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FFA"/>
    <w:rPr>
      <w:color w:val="0563C1" w:themeColor="hyperlink"/>
      <w:u w:val="single"/>
    </w:rPr>
  </w:style>
  <w:style w:type="character" w:styleId="UnresolvedMention">
    <w:name w:val="Unresolved Mention"/>
    <w:basedOn w:val="DefaultParagraphFont"/>
    <w:uiPriority w:val="99"/>
    <w:semiHidden/>
    <w:unhideWhenUsed/>
    <w:rsid w:val="00FE0FFA"/>
    <w:rPr>
      <w:color w:val="808080"/>
      <w:shd w:val="clear" w:color="auto" w:fill="E6E6E6"/>
    </w:rPr>
  </w:style>
  <w:style w:type="paragraph" w:styleId="NormalWeb">
    <w:name w:val="Normal (Web)"/>
    <w:basedOn w:val="Normal"/>
    <w:uiPriority w:val="99"/>
    <w:semiHidden/>
    <w:unhideWhenUsed/>
    <w:rsid w:val="00FE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E57AAF"/>
    <w:pPr>
      <w:spacing w:before="120" w:after="0" w:line="360" w:lineRule="auto"/>
      <w:jc w:val="both"/>
    </w:pPr>
    <w:rPr>
      <w:rFonts w:asciiTheme="majorHAnsi" w:eastAsiaTheme="minorEastAsia" w:hAnsiTheme="majorHAnsi"/>
      <w:sz w:val="20"/>
      <w:szCs w:val="20"/>
      <w:lang w:bidi="en-US"/>
    </w:rPr>
  </w:style>
  <w:style w:type="character" w:styleId="Strong">
    <w:name w:val="Strong"/>
    <w:basedOn w:val="DefaultParagraphFont"/>
    <w:uiPriority w:val="22"/>
    <w:qFormat/>
    <w:rsid w:val="001C30E7"/>
    <w:rPr>
      <w:b/>
      <w:bCs/>
    </w:rPr>
  </w:style>
  <w:style w:type="character" w:styleId="CommentReference">
    <w:name w:val="annotation reference"/>
    <w:basedOn w:val="DefaultParagraphFont"/>
    <w:uiPriority w:val="99"/>
    <w:semiHidden/>
    <w:unhideWhenUsed/>
    <w:rsid w:val="002845F1"/>
    <w:rPr>
      <w:sz w:val="16"/>
      <w:szCs w:val="16"/>
    </w:rPr>
  </w:style>
  <w:style w:type="paragraph" w:styleId="CommentText">
    <w:name w:val="annotation text"/>
    <w:basedOn w:val="Normal"/>
    <w:link w:val="CommentTextChar"/>
    <w:uiPriority w:val="99"/>
    <w:semiHidden/>
    <w:unhideWhenUsed/>
    <w:rsid w:val="002845F1"/>
    <w:pPr>
      <w:spacing w:line="240" w:lineRule="auto"/>
    </w:pPr>
    <w:rPr>
      <w:sz w:val="20"/>
      <w:szCs w:val="20"/>
    </w:rPr>
  </w:style>
  <w:style w:type="character" w:customStyle="1" w:styleId="CommentTextChar">
    <w:name w:val="Comment Text Char"/>
    <w:basedOn w:val="DefaultParagraphFont"/>
    <w:link w:val="CommentText"/>
    <w:uiPriority w:val="99"/>
    <w:semiHidden/>
    <w:rsid w:val="002845F1"/>
    <w:rPr>
      <w:sz w:val="20"/>
      <w:szCs w:val="20"/>
    </w:rPr>
  </w:style>
  <w:style w:type="paragraph" w:styleId="CommentSubject">
    <w:name w:val="annotation subject"/>
    <w:basedOn w:val="CommentText"/>
    <w:next w:val="CommentText"/>
    <w:link w:val="CommentSubjectChar"/>
    <w:uiPriority w:val="99"/>
    <w:semiHidden/>
    <w:unhideWhenUsed/>
    <w:rsid w:val="002845F1"/>
    <w:rPr>
      <w:b/>
      <w:bCs/>
    </w:rPr>
  </w:style>
  <w:style w:type="character" w:customStyle="1" w:styleId="CommentSubjectChar">
    <w:name w:val="Comment Subject Char"/>
    <w:basedOn w:val="CommentTextChar"/>
    <w:link w:val="CommentSubject"/>
    <w:uiPriority w:val="99"/>
    <w:semiHidden/>
    <w:rsid w:val="002845F1"/>
    <w:rPr>
      <w:b/>
      <w:bCs/>
      <w:sz w:val="20"/>
      <w:szCs w:val="20"/>
    </w:rPr>
  </w:style>
  <w:style w:type="paragraph" w:styleId="BalloonText">
    <w:name w:val="Balloon Text"/>
    <w:basedOn w:val="Normal"/>
    <w:link w:val="BalloonTextChar"/>
    <w:uiPriority w:val="99"/>
    <w:semiHidden/>
    <w:unhideWhenUsed/>
    <w:rsid w:val="0028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F1"/>
    <w:rPr>
      <w:rFonts w:ascii="Segoe UI" w:hAnsi="Segoe UI" w:cs="Segoe UI"/>
      <w:sz w:val="18"/>
      <w:szCs w:val="18"/>
    </w:rPr>
  </w:style>
  <w:style w:type="paragraph" w:styleId="Revision">
    <w:name w:val="Revision"/>
    <w:hidden/>
    <w:uiPriority w:val="99"/>
    <w:semiHidden/>
    <w:rsid w:val="00E17203"/>
    <w:pPr>
      <w:spacing w:after="0" w:line="240" w:lineRule="auto"/>
    </w:pPr>
  </w:style>
  <w:style w:type="character" w:customStyle="1" w:styleId="Heading1Char">
    <w:name w:val="Heading 1 Char"/>
    <w:basedOn w:val="DefaultParagraphFont"/>
    <w:link w:val="Heading1"/>
    <w:uiPriority w:val="9"/>
    <w:rsid w:val="0082688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098">
      <w:bodyDiv w:val="1"/>
      <w:marLeft w:val="0"/>
      <w:marRight w:val="0"/>
      <w:marTop w:val="0"/>
      <w:marBottom w:val="0"/>
      <w:divBdr>
        <w:top w:val="none" w:sz="0" w:space="0" w:color="auto"/>
        <w:left w:val="none" w:sz="0" w:space="0" w:color="auto"/>
        <w:bottom w:val="none" w:sz="0" w:space="0" w:color="auto"/>
        <w:right w:val="none" w:sz="0" w:space="0" w:color="auto"/>
      </w:divBdr>
    </w:div>
    <w:div w:id="178355532">
      <w:bodyDiv w:val="1"/>
      <w:marLeft w:val="0"/>
      <w:marRight w:val="0"/>
      <w:marTop w:val="0"/>
      <w:marBottom w:val="0"/>
      <w:divBdr>
        <w:top w:val="none" w:sz="0" w:space="0" w:color="auto"/>
        <w:left w:val="none" w:sz="0" w:space="0" w:color="auto"/>
        <w:bottom w:val="none" w:sz="0" w:space="0" w:color="auto"/>
        <w:right w:val="none" w:sz="0" w:space="0" w:color="auto"/>
      </w:divBdr>
    </w:div>
    <w:div w:id="212354806">
      <w:bodyDiv w:val="1"/>
      <w:marLeft w:val="0"/>
      <w:marRight w:val="0"/>
      <w:marTop w:val="0"/>
      <w:marBottom w:val="0"/>
      <w:divBdr>
        <w:top w:val="none" w:sz="0" w:space="0" w:color="auto"/>
        <w:left w:val="none" w:sz="0" w:space="0" w:color="auto"/>
        <w:bottom w:val="none" w:sz="0" w:space="0" w:color="auto"/>
        <w:right w:val="none" w:sz="0" w:space="0" w:color="auto"/>
      </w:divBdr>
      <w:divsChild>
        <w:div w:id="1194807869">
          <w:marLeft w:val="0"/>
          <w:marRight w:val="0"/>
          <w:marTop w:val="0"/>
          <w:marBottom w:val="0"/>
          <w:divBdr>
            <w:top w:val="none" w:sz="0" w:space="0" w:color="auto"/>
            <w:left w:val="none" w:sz="0" w:space="0" w:color="auto"/>
            <w:bottom w:val="none" w:sz="0" w:space="0" w:color="auto"/>
            <w:right w:val="none" w:sz="0" w:space="0" w:color="auto"/>
          </w:divBdr>
        </w:div>
      </w:divsChild>
    </w:div>
    <w:div w:id="237253528">
      <w:bodyDiv w:val="1"/>
      <w:marLeft w:val="0"/>
      <w:marRight w:val="0"/>
      <w:marTop w:val="0"/>
      <w:marBottom w:val="0"/>
      <w:divBdr>
        <w:top w:val="none" w:sz="0" w:space="0" w:color="auto"/>
        <w:left w:val="none" w:sz="0" w:space="0" w:color="auto"/>
        <w:bottom w:val="none" w:sz="0" w:space="0" w:color="auto"/>
        <w:right w:val="none" w:sz="0" w:space="0" w:color="auto"/>
      </w:divBdr>
    </w:div>
    <w:div w:id="273101127">
      <w:bodyDiv w:val="1"/>
      <w:marLeft w:val="0"/>
      <w:marRight w:val="0"/>
      <w:marTop w:val="0"/>
      <w:marBottom w:val="0"/>
      <w:divBdr>
        <w:top w:val="none" w:sz="0" w:space="0" w:color="auto"/>
        <w:left w:val="none" w:sz="0" w:space="0" w:color="auto"/>
        <w:bottom w:val="none" w:sz="0" w:space="0" w:color="auto"/>
        <w:right w:val="none" w:sz="0" w:space="0" w:color="auto"/>
      </w:divBdr>
    </w:div>
    <w:div w:id="275717883">
      <w:bodyDiv w:val="1"/>
      <w:marLeft w:val="0"/>
      <w:marRight w:val="0"/>
      <w:marTop w:val="0"/>
      <w:marBottom w:val="0"/>
      <w:divBdr>
        <w:top w:val="none" w:sz="0" w:space="0" w:color="auto"/>
        <w:left w:val="none" w:sz="0" w:space="0" w:color="auto"/>
        <w:bottom w:val="none" w:sz="0" w:space="0" w:color="auto"/>
        <w:right w:val="none" w:sz="0" w:space="0" w:color="auto"/>
      </w:divBdr>
    </w:div>
    <w:div w:id="453059194">
      <w:bodyDiv w:val="1"/>
      <w:marLeft w:val="0"/>
      <w:marRight w:val="0"/>
      <w:marTop w:val="0"/>
      <w:marBottom w:val="0"/>
      <w:divBdr>
        <w:top w:val="none" w:sz="0" w:space="0" w:color="auto"/>
        <w:left w:val="none" w:sz="0" w:space="0" w:color="auto"/>
        <w:bottom w:val="none" w:sz="0" w:space="0" w:color="auto"/>
        <w:right w:val="none" w:sz="0" w:space="0" w:color="auto"/>
      </w:divBdr>
    </w:div>
    <w:div w:id="595286720">
      <w:bodyDiv w:val="1"/>
      <w:marLeft w:val="0"/>
      <w:marRight w:val="0"/>
      <w:marTop w:val="0"/>
      <w:marBottom w:val="0"/>
      <w:divBdr>
        <w:top w:val="none" w:sz="0" w:space="0" w:color="auto"/>
        <w:left w:val="none" w:sz="0" w:space="0" w:color="auto"/>
        <w:bottom w:val="none" w:sz="0" w:space="0" w:color="auto"/>
        <w:right w:val="none" w:sz="0" w:space="0" w:color="auto"/>
      </w:divBdr>
    </w:div>
    <w:div w:id="1118642685">
      <w:bodyDiv w:val="1"/>
      <w:marLeft w:val="0"/>
      <w:marRight w:val="0"/>
      <w:marTop w:val="0"/>
      <w:marBottom w:val="0"/>
      <w:divBdr>
        <w:top w:val="none" w:sz="0" w:space="0" w:color="auto"/>
        <w:left w:val="none" w:sz="0" w:space="0" w:color="auto"/>
        <w:bottom w:val="none" w:sz="0" w:space="0" w:color="auto"/>
        <w:right w:val="none" w:sz="0" w:space="0" w:color="auto"/>
      </w:divBdr>
    </w:div>
    <w:div w:id="1427844348">
      <w:bodyDiv w:val="1"/>
      <w:marLeft w:val="0"/>
      <w:marRight w:val="0"/>
      <w:marTop w:val="0"/>
      <w:marBottom w:val="0"/>
      <w:divBdr>
        <w:top w:val="none" w:sz="0" w:space="0" w:color="auto"/>
        <w:left w:val="none" w:sz="0" w:space="0" w:color="auto"/>
        <w:bottom w:val="none" w:sz="0" w:space="0" w:color="auto"/>
        <w:right w:val="none" w:sz="0" w:space="0" w:color="auto"/>
      </w:divBdr>
    </w:div>
    <w:div w:id="18794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eur-lex.europa.eu/legal-content/EN/TXT/?uri=CELEX:31985L0337" TargetMode="External"/><Relationship Id="rId18" Type="http://schemas.openxmlformats.org/officeDocument/2006/relationships/hyperlink" Target="http://ec.europa.eu/commfrontoffice/publicopinion/archives/ebs/ebs_386_en.pdf" TargetMode="External"/><Relationship Id="rId3" Type="http://schemas.openxmlformats.org/officeDocument/2006/relationships/styles" Target="style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www.ff.uni-lj.si/sites/default/files/Dokumenti/Knjige/e-books/recent.pdf" TargetMode="External"/><Relationship Id="rId17" Type="http://schemas.openxmlformats.org/officeDocument/2006/relationships/hyperlink" Target="https://royalsociety.org/~/media/policy/Publications/2017/2017-05-technopolis-role-of-EU-funding-report.PDF" TargetMode="External"/><Relationship Id="rId2" Type="http://schemas.openxmlformats.org/officeDocument/2006/relationships/numbering" Target="numbering.xml"/><Relationship Id="rId16" Type="http://schemas.openxmlformats.org/officeDocument/2006/relationships/hyperlink" Target="http://us6.campaign-archive2.com/?u=5557bc147d34993782f185bde&amp;id=c23c32dfe1"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ice.org.uk/news-and-insight/the-infrastructure-blog/april-2017/skills-shortage-and-brexit" TargetMode="External"/><Relationship Id="rId5" Type="http://schemas.openxmlformats.org/officeDocument/2006/relationships/webSettings" Target="webSettings.xml"/><Relationship Id="rId15" Type="http://schemas.openxmlformats.org/officeDocument/2006/relationships/hyperlink" Target="http://www.rubiconheritage.com/about-us/" TargetMode="External"/><Relationship Id="rId10" Type="http://schemas.openxmlformats.org/officeDocument/2006/relationships/hyperlink" Target="http://www.discovering-archaeologists.eu/national_reports/2014/transnational_repor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ward.eu/Survey_Archaeological_Specialists_201617.pdf" TargetMode="External"/><Relationship Id="rId14" Type="http://schemas.openxmlformats.org/officeDocument/2006/relationships/hyperlink" Target="http://www.archaeologists.net/sites/default/files/news/CIfA-IAI%20letter%20to%20Michel%20Barni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Version="">
  <b:Source>
    <b:Tag>Mil981</b:Tag>
    <b:SourceType>JournalArticle</b:SourceType>
    <b:Guid>{E1D4CA67-A5F1-4BEC-B745-47072C0A4BC8}</b:Guid>
    <b:Author>
      <b:Author>
        <b:NameList>
          <b:Person>
            <b:Last>Miles</b:Last>
            <b:First>D.</b:First>
          </b:Person>
          <b:Person>
            <b:Last>Early</b:Last>
            <b:First>R.</b:First>
          </b:Person>
        </b:NameList>
      </b:Author>
    </b:Author>
    <b:Title>Les Anglais s’emparent du château</b:Title>
    <b:JournalName>The Archaeologist</b:JournalName>
    <b:Year>1998</b:Year>
    <b:Pages>9-10</b:Pages>
    <b:Volume>33</b:Volume>
    <b:RefOrder>512</b:RefOrder>
  </b:Source>
  <b:Source>
    <b:Tag>Dol10</b:Tag>
    <b:SourceType>InternetSite</b:SourceType>
    <b:Guid>{6DBAD3EA-66B9-4F46-B2A0-F473B02651C3}</b:Guid>
    <b:Author>
      <b:Author>
        <b:NameList>
          <b:Person>
            <b:Last>Dolan</b:Last>
            <b:First>B.</b:First>
          </b:Person>
        </b:NameList>
      </b:Author>
    </b:Author>
    <b:Title>Commercial Archaeology</b:Title>
    <b:Year>2010</b:Year>
    <b:YearAccessed>2010</b:YearAccessed>
    <b:MonthAccessed>February</b:MonthAccessed>
    <b:DayAccessed>24</b:DayAccessed>
    <b:URL>http://www.seandalaiocht.com/commercial-archaeology.html</b:URL>
    <b:RefOrder>509</b:RefOrder>
  </b:Source>
</b:Sources>
</file>

<file path=customXml/itemProps1.xml><?xml version="1.0" encoding="utf-8"?>
<ds:datastoreItem xmlns:ds="http://schemas.openxmlformats.org/officeDocument/2006/customXml" ds:itemID="{DB5E184A-CB7D-45AB-B6F6-0B6BAB88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Aitchison</dc:creator>
  <cp:keywords/>
  <dc:description/>
  <cp:lastModifiedBy>Kenneth Aitchison</cp:lastModifiedBy>
  <cp:revision>2</cp:revision>
  <dcterms:created xsi:type="dcterms:W3CDTF">2017-07-16T14:06:00Z</dcterms:created>
  <dcterms:modified xsi:type="dcterms:W3CDTF">2017-07-16T14:06:00Z</dcterms:modified>
</cp:coreProperties>
</file>