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AB15" w14:textId="77777777" w:rsidR="00B11D91" w:rsidRPr="000D4368" w:rsidRDefault="00405D31" w:rsidP="00C427A4">
      <w:pPr>
        <w:spacing w:line="480" w:lineRule="auto"/>
        <w:rPr>
          <w:b/>
        </w:rPr>
      </w:pPr>
      <w:r>
        <w:rPr>
          <w:b/>
        </w:rPr>
        <w:t>Board</w:t>
      </w:r>
      <w:r w:rsidR="00B11D91" w:rsidRPr="000D4368">
        <w:rPr>
          <w:b/>
        </w:rPr>
        <w:t xml:space="preserve"> Overconfidence and </w:t>
      </w:r>
      <w:r w:rsidR="00700C80">
        <w:rPr>
          <w:b/>
        </w:rPr>
        <w:t>M&amp;A performance</w:t>
      </w:r>
      <w:r w:rsidR="00FF7D00">
        <w:rPr>
          <w:b/>
        </w:rPr>
        <w:t>:</w:t>
      </w:r>
      <w:r w:rsidR="00700C80">
        <w:rPr>
          <w:b/>
        </w:rPr>
        <w:t xml:space="preserve"> Evidence from the UK</w:t>
      </w:r>
    </w:p>
    <w:p w14:paraId="766B2AE7" w14:textId="77777777" w:rsidR="00947178" w:rsidRDefault="00947178" w:rsidP="00C427A4">
      <w:pPr>
        <w:spacing w:line="480" w:lineRule="auto"/>
      </w:pPr>
    </w:p>
    <w:p w14:paraId="0859DDCD" w14:textId="77777777" w:rsidR="00700C80" w:rsidRPr="00700C80" w:rsidRDefault="00700C80" w:rsidP="00C427A4">
      <w:pPr>
        <w:spacing w:line="480" w:lineRule="auto"/>
        <w:rPr>
          <w:b/>
        </w:rPr>
      </w:pPr>
      <w:r w:rsidRPr="00700C80">
        <w:rPr>
          <w:b/>
        </w:rPr>
        <w:t>Abstract</w:t>
      </w:r>
    </w:p>
    <w:p w14:paraId="7A9EBAF0" w14:textId="77777777" w:rsidR="000C5499" w:rsidRDefault="000C5499" w:rsidP="000C5499">
      <w:pPr>
        <w:spacing w:line="480" w:lineRule="auto"/>
        <w:jc w:val="both"/>
      </w:pPr>
      <w:r w:rsidRPr="00B33FA6">
        <w:t xml:space="preserve">This paper investigates the relationship between board overconfidence and mergers and acquisitions (M&amp;A) performance based on 754 </w:t>
      </w:r>
      <w:r>
        <w:t xml:space="preserve">M&amp;A </w:t>
      </w:r>
      <w:r w:rsidRPr="00B33FA6">
        <w:t>deals in the UK from 2002 to 2018. Employing three proxies to measure overconfidence, namely, fraction of male directors on the board, multiple acquisitions and merger characteristic</w:t>
      </w:r>
      <w:r>
        <w:t>s,</w:t>
      </w:r>
      <w:r w:rsidRPr="00B33FA6">
        <w:t xml:space="preserve"> our results suggest that a higher fraction of male directors on the board and multiple acquisitions lead to poor M&amp;A performance. The result</w:t>
      </w:r>
      <w:r>
        <w:t>s</w:t>
      </w:r>
      <w:r w:rsidRPr="00B33FA6">
        <w:t xml:space="preserve"> also show that multiple acquirers’ deals generate higher returns than subsequent deals and this is due to self-attribution bias. In terms of merger characteristics, this study has found that</w:t>
      </w:r>
      <w:r>
        <w:t>,</w:t>
      </w:r>
      <w:r w:rsidRPr="00B33FA6">
        <w:t xml:space="preserve"> when overconfident acquirers use cash as the method of payment or when they embark on diversifying M&amp;A, it leads to poor M&amp;A performance.</w:t>
      </w:r>
      <w:r w:rsidRPr="00B33FA6">
        <w:rPr>
          <w:sz w:val="20"/>
          <w:szCs w:val="20"/>
        </w:rPr>
        <w:t xml:space="preserve"> </w:t>
      </w:r>
      <w:r w:rsidRPr="00B33FA6">
        <w:t>The results are robust across both univariate and multivariate analyses and also across alternate measures of post-merger performance. Th</w:t>
      </w:r>
      <w:r>
        <w:t>e findings of this study have important</w:t>
      </w:r>
      <w:r w:rsidRPr="00B33FA6">
        <w:t xml:space="preserve"> policy implication </w:t>
      </w:r>
      <w:r>
        <w:t>with regard to the ratio of male directors, number of acquisitions and the method of payment.</w:t>
      </w:r>
    </w:p>
    <w:p w14:paraId="3676959B" w14:textId="77777777" w:rsidR="00D505CD" w:rsidRPr="006342C5" w:rsidRDefault="00D505CD" w:rsidP="00C427A4">
      <w:pPr>
        <w:spacing w:line="480" w:lineRule="auto"/>
        <w:jc w:val="both"/>
      </w:pPr>
    </w:p>
    <w:p w14:paraId="7E561E11" w14:textId="66061588" w:rsidR="00D505CD" w:rsidRPr="008B42AA" w:rsidRDefault="00D505CD" w:rsidP="00C427A4">
      <w:pPr>
        <w:spacing w:line="480" w:lineRule="auto"/>
        <w:jc w:val="both"/>
      </w:pPr>
      <w:r w:rsidRPr="008B42AA">
        <w:t>Keywords: Mergers</w:t>
      </w:r>
      <w:r w:rsidR="001C097A">
        <w:t xml:space="preserve"> and acquisitions,</w:t>
      </w:r>
      <w:r w:rsidRPr="008B42AA">
        <w:t xml:space="preserve"> Overconfidence</w:t>
      </w:r>
      <w:r w:rsidR="00212629" w:rsidRPr="008B42AA">
        <w:t xml:space="preserve">, </w:t>
      </w:r>
      <w:r w:rsidR="001C097A">
        <w:t xml:space="preserve">Board </w:t>
      </w:r>
      <w:r w:rsidR="00E53205">
        <w:t>g</w:t>
      </w:r>
      <w:r w:rsidR="001C097A">
        <w:t xml:space="preserve">ender, </w:t>
      </w:r>
      <w:r w:rsidR="006F20FB">
        <w:t>Acquisitiveness</w:t>
      </w:r>
    </w:p>
    <w:p w14:paraId="48CC6C4F" w14:textId="77777777" w:rsidR="00D505CD" w:rsidRPr="008B42AA" w:rsidRDefault="00D505CD" w:rsidP="00C427A4">
      <w:pPr>
        <w:spacing w:line="480" w:lineRule="auto"/>
        <w:jc w:val="both"/>
      </w:pPr>
    </w:p>
    <w:p w14:paraId="6563EF89" w14:textId="77B0FDCA" w:rsidR="00D505CD" w:rsidRPr="008B42AA" w:rsidRDefault="00D505CD" w:rsidP="00C427A4">
      <w:pPr>
        <w:spacing w:line="480" w:lineRule="auto"/>
        <w:jc w:val="both"/>
      </w:pPr>
      <w:r w:rsidRPr="008B42AA">
        <w:t>JEL Classifications:</w:t>
      </w:r>
      <w:r w:rsidR="00AA2091" w:rsidRPr="008B42AA">
        <w:t xml:space="preserve"> </w:t>
      </w:r>
      <w:r w:rsidR="000109A8" w:rsidRPr="008B42AA">
        <w:t xml:space="preserve">G34, </w:t>
      </w:r>
      <w:r w:rsidR="00AA2091" w:rsidRPr="008B42AA">
        <w:t>G4</w:t>
      </w:r>
      <w:r w:rsidR="00F947D9">
        <w:t>1</w:t>
      </w:r>
    </w:p>
    <w:p w14:paraId="45E936A2" w14:textId="77777777" w:rsidR="00700C80" w:rsidRDefault="00700C80" w:rsidP="00C427A4">
      <w:pPr>
        <w:spacing w:line="480" w:lineRule="auto"/>
      </w:pPr>
    </w:p>
    <w:p w14:paraId="1EE1B2DB" w14:textId="77777777" w:rsidR="003E2AFF" w:rsidRDefault="003E2AFF" w:rsidP="00C427A4">
      <w:pPr>
        <w:spacing w:line="480" w:lineRule="auto"/>
      </w:pPr>
    </w:p>
    <w:p w14:paraId="53973268" w14:textId="77777777" w:rsidR="000C5499" w:rsidRPr="00B33FA6" w:rsidRDefault="000C5499" w:rsidP="000C5499">
      <w:pPr>
        <w:pStyle w:val="Heading1"/>
        <w:rPr>
          <w:b w:val="0"/>
        </w:rPr>
      </w:pPr>
      <w:r w:rsidRPr="00B33FA6">
        <w:rPr>
          <w:b w:val="0"/>
        </w:rPr>
        <w:lastRenderedPageBreak/>
        <w:t>Introduction</w:t>
      </w:r>
    </w:p>
    <w:p w14:paraId="6A75981F" w14:textId="0399583B" w:rsidR="000C5499" w:rsidRPr="00B33FA6" w:rsidRDefault="000C5499" w:rsidP="000C5499">
      <w:pPr>
        <w:autoSpaceDE w:val="0"/>
        <w:autoSpaceDN w:val="0"/>
        <w:adjustRightInd w:val="0"/>
        <w:spacing w:line="480" w:lineRule="auto"/>
        <w:jc w:val="both"/>
      </w:pPr>
      <w:r w:rsidRPr="00B33FA6">
        <w:t>Mergers and acquisitions</w:t>
      </w:r>
      <w:r w:rsidRPr="00B33FA6">
        <w:rPr>
          <w:rStyle w:val="FootnoteReference"/>
        </w:rPr>
        <w:footnoteReference w:id="1"/>
      </w:r>
      <w:r w:rsidRPr="00B33FA6">
        <w:t xml:space="preserve"> (M&amp;A) are amongst the most common corporate investment decisions made by managers (</w:t>
      </w:r>
      <w:proofErr w:type="spellStart"/>
      <w:r w:rsidRPr="00B33FA6">
        <w:t>Harford</w:t>
      </w:r>
      <w:proofErr w:type="spellEnd"/>
      <w:r w:rsidRPr="00B33FA6">
        <w:t xml:space="preserve"> </w:t>
      </w:r>
      <w:r>
        <w:t>and</w:t>
      </w:r>
      <w:r w:rsidRPr="00B33FA6">
        <w:t xml:space="preserve"> Li 2007; Guo</w:t>
      </w:r>
      <w:r w:rsidR="00EF4DF4">
        <w:t xml:space="preserve"> et al.</w:t>
      </w:r>
      <w:r w:rsidRPr="00B33FA6">
        <w:t xml:space="preserve"> 2018)</w:t>
      </w:r>
      <w:r>
        <w:t>. Despite its popularity stylised facts</w:t>
      </w:r>
      <w:r w:rsidRPr="00B33FA6">
        <w:t xml:space="preserve"> indicate that target firms’ shareholders gain, while the acquirer firms’ shareholders experience significant losses in the short run</w:t>
      </w:r>
      <w:r w:rsidRPr="00B33FA6">
        <w:rPr>
          <w:rStyle w:val="FootnoteReference"/>
        </w:rPr>
        <w:footnoteReference w:id="2"/>
      </w:r>
      <w:r w:rsidRPr="00B33FA6">
        <w:rPr>
          <w:color w:val="231F20"/>
        </w:rPr>
        <w:t>. Evidence</w:t>
      </w:r>
      <w:r>
        <w:rPr>
          <w:color w:val="231F20"/>
        </w:rPr>
        <w:t xml:space="preserve"> also</w:t>
      </w:r>
      <w:r w:rsidRPr="00B33FA6">
        <w:rPr>
          <w:color w:val="231F20"/>
        </w:rPr>
        <w:t xml:space="preserve"> suggests</w:t>
      </w:r>
      <w:r>
        <w:rPr>
          <w:color w:val="231F20"/>
        </w:rPr>
        <w:t xml:space="preserve"> that even the</w:t>
      </w:r>
      <w:r w:rsidRPr="00B33FA6">
        <w:rPr>
          <w:color w:val="231F20"/>
        </w:rPr>
        <w:t xml:space="preserve"> long</w:t>
      </w:r>
      <w:r>
        <w:rPr>
          <w:color w:val="231F20"/>
        </w:rPr>
        <w:t>-</w:t>
      </w:r>
      <w:r w:rsidRPr="00B33FA6">
        <w:rPr>
          <w:color w:val="231F20"/>
        </w:rPr>
        <w:t>run shareholder returns are mostly negative</w:t>
      </w:r>
      <w:r w:rsidRPr="00CE4B81">
        <w:rPr>
          <w:rStyle w:val="FootnoteReference"/>
          <w:color w:val="231F20"/>
        </w:rPr>
        <w:footnoteReference w:id="3"/>
      </w:r>
      <w:r w:rsidRPr="00CE4B81">
        <w:rPr>
          <w:color w:val="231F20"/>
        </w:rPr>
        <w:t xml:space="preserve">. </w:t>
      </w:r>
      <w:r w:rsidR="00B43D9C" w:rsidRPr="00CE4B81">
        <w:rPr>
          <w:color w:val="231F20"/>
        </w:rPr>
        <w:t>For instance</w:t>
      </w:r>
      <w:r w:rsidR="001479F6" w:rsidRPr="00CE4B81">
        <w:rPr>
          <w:color w:val="231F20"/>
        </w:rPr>
        <w:t>,</w:t>
      </w:r>
      <w:r w:rsidR="00B43D9C" w:rsidRPr="00CE4B81">
        <w:rPr>
          <w:color w:val="231F20"/>
        </w:rPr>
        <w:t xml:space="preserve"> earlier stud</w:t>
      </w:r>
      <w:r w:rsidR="00363666" w:rsidRPr="00CE4B81">
        <w:rPr>
          <w:color w:val="231F20"/>
        </w:rPr>
        <w:t>ies</w:t>
      </w:r>
      <w:r w:rsidR="00B43D9C" w:rsidRPr="00CE4B81">
        <w:rPr>
          <w:color w:val="231F20"/>
        </w:rPr>
        <w:t xml:space="preserve"> by Agrawal, Jaffe and Mandelker (1992) show that </w:t>
      </w:r>
      <w:r w:rsidR="001479F6" w:rsidRPr="00CE4B81">
        <w:rPr>
          <w:color w:val="231F20"/>
        </w:rPr>
        <w:t>acquirer shareholders suffer substantial losses of 10% in the five</w:t>
      </w:r>
      <w:r w:rsidR="00363666" w:rsidRPr="00CE4B81">
        <w:rPr>
          <w:color w:val="231F20"/>
        </w:rPr>
        <w:t>-</w:t>
      </w:r>
      <w:r w:rsidR="001479F6" w:rsidRPr="00CE4B81">
        <w:rPr>
          <w:color w:val="231F20"/>
        </w:rPr>
        <w:t>year post-merger period</w:t>
      </w:r>
      <w:r w:rsidR="00363666" w:rsidRPr="00CE4B81">
        <w:rPr>
          <w:color w:val="231F20"/>
        </w:rPr>
        <w:t xml:space="preserve">. </w:t>
      </w:r>
      <w:r w:rsidR="001479F6" w:rsidRPr="00CE4B81">
        <w:rPr>
          <w:color w:val="231F20"/>
        </w:rPr>
        <w:t xml:space="preserve">Loughran and </w:t>
      </w:r>
      <w:proofErr w:type="spellStart"/>
      <w:r w:rsidR="001479F6" w:rsidRPr="00CE4B81">
        <w:rPr>
          <w:color w:val="231F20"/>
        </w:rPr>
        <w:t>Vijh</w:t>
      </w:r>
      <w:proofErr w:type="spellEnd"/>
      <w:r w:rsidR="001479F6" w:rsidRPr="00CE4B81">
        <w:rPr>
          <w:color w:val="231F20"/>
        </w:rPr>
        <w:t xml:space="preserve"> (1997) report </w:t>
      </w:r>
      <w:r w:rsidR="00363666" w:rsidRPr="00CE4B81">
        <w:rPr>
          <w:color w:val="231F20"/>
        </w:rPr>
        <w:t>mixed evidence on</w:t>
      </w:r>
      <w:r w:rsidR="00E5667B" w:rsidRPr="00CE4B81">
        <w:rPr>
          <w:color w:val="231F20"/>
        </w:rPr>
        <w:t xml:space="preserve"> the</w:t>
      </w:r>
      <w:r w:rsidR="00363666" w:rsidRPr="00CE4B81">
        <w:rPr>
          <w:color w:val="231F20"/>
        </w:rPr>
        <w:t xml:space="preserve"> long run post-merger performance. They find tha</w:t>
      </w:r>
      <w:r w:rsidR="001479F6" w:rsidRPr="00CE4B81">
        <w:rPr>
          <w:color w:val="231F20"/>
        </w:rPr>
        <w:t xml:space="preserve">t stock mergers suffer significant negative returns of 25% whereas cash tender offer mergers make </w:t>
      </w:r>
      <w:r w:rsidR="00363666" w:rsidRPr="00CE4B81">
        <w:rPr>
          <w:color w:val="231F20"/>
        </w:rPr>
        <w:t xml:space="preserve">significant </w:t>
      </w:r>
      <w:r w:rsidR="001479F6" w:rsidRPr="00CE4B81">
        <w:rPr>
          <w:color w:val="231F20"/>
        </w:rPr>
        <w:t>positive returns over the five</w:t>
      </w:r>
      <w:r w:rsidR="009D302D" w:rsidRPr="00CE4B81">
        <w:rPr>
          <w:color w:val="231F20"/>
        </w:rPr>
        <w:t>-</w:t>
      </w:r>
      <w:r w:rsidR="001479F6" w:rsidRPr="00CE4B81">
        <w:rPr>
          <w:color w:val="231F20"/>
        </w:rPr>
        <w:t xml:space="preserve">year post-merger period. </w:t>
      </w:r>
      <w:r w:rsidR="00E5667B" w:rsidRPr="00CE4B81">
        <w:rPr>
          <w:color w:val="231F20"/>
        </w:rPr>
        <w:t xml:space="preserve">However, </w:t>
      </w:r>
      <w:r w:rsidR="00E4384F" w:rsidRPr="00CE4B81">
        <w:rPr>
          <w:color w:val="231F20"/>
        </w:rPr>
        <w:t>Mitchell and Stafford (2000)</w:t>
      </w:r>
      <w:r w:rsidR="00DA0F49" w:rsidRPr="00CE4B81">
        <w:rPr>
          <w:color w:val="231F20"/>
        </w:rPr>
        <w:t xml:space="preserve"> on the other hand did not find any significant long-term abnormal performance</w:t>
      </w:r>
      <w:r w:rsidR="00DA0F49" w:rsidRPr="00CE4B81">
        <w:rPr>
          <w:rStyle w:val="FootnoteReference"/>
          <w:color w:val="231F20"/>
        </w:rPr>
        <w:footnoteReference w:id="4"/>
      </w:r>
      <w:r w:rsidR="00DA0F49" w:rsidRPr="00CE4B81">
        <w:rPr>
          <w:color w:val="231F20"/>
        </w:rPr>
        <w:t>.</w:t>
      </w:r>
      <w:r w:rsidR="00DA0F49">
        <w:rPr>
          <w:color w:val="231F20"/>
        </w:rPr>
        <w:t xml:space="preserve"> </w:t>
      </w:r>
      <w:r w:rsidRPr="00B33FA6">
        <w:rPr>
          <w:color w:val="231F20"/>
        </w:rPr>
        <w:t>M</w:t>
      </w:r>
      <w:r w:rsidRPr="00B33FA6">
        <w:t xml:space="preserve">ost of the past empirical efforts examining how corporate boards affect M&amp;A outcomes have predominantly employed agency problems amongst managers and shareholders </w:t>
      </w:r>
      <w:r w:rsidRPr="00B33FA6">
        <w:rPr>
          <w:color w:val="231F20"/>
        </w:rPr>
        <w:t xml:space="preserve">(see, Jensen </w:t>
      </w:r>
      <w:r>
        <w:rPr>
          <w:color w:val="231F20"/>
        </w:rPr>
        <w:t>and</w:t>
      </w:r>
      <w:r w:rsidRPr="00B33FA6">
        <w:rPr>
          <w:color w:val="231F20"/>
        </w:rPr>
        <w:t xml:space="preserve"> </w:t>
      </w:r>
      <w:proofErr w:type="spellStart"/>
      <w:r w:rsidRPr="00B33FA6">
        <w:rPr>
          <w:color w:val="231F20"/>
        </w:rPr>
        <w:t>Meckling</w:t>
      </w:r>
      <w:proofErr w:type="spellEnd"/>
      <w:r w:rsidRPr="00B33FA6">
        <w:rPr>
          <w:color w:val="231F20"/>
        </w:rPr>
        <w:t xml:space="preserve"> 1976; Seth</w:t>
      </w:r>
      <w:r w:rsidR="00EF4DF4">
        <w:rPr>
          <w:color w:val="231F20"/>
        </w:rPr>
        <w:t xml:space="preserve"> et al.</w:t>
      </w:r>
      <w:r w:rsidRPr="00B33FA6">
        <w:rPr>
          <w:color w:val="231F20"/>
        </w:rPr>
        <w:t xml:space="preserve"> 2000) and have </w:t>
      </w:r>
      <w:r w:rsidRPr="00B33FA6">
        <w:t>typically maintained that economic factors rather than behavioural factors drive M&amp;A outcomes (see, Huang</w:t>
      </w:r>
      <w:r w:rsidR="00EF4DF4">
        <w:t xml:space="preserve"> et al. </w:t>
      </w:r>
      <w:r w:rsidRPr="00B33FA6">
        <w:t xml:space="preserve">2016). </w:t>
      </w:r>
    </w:p>
    <w:p w14:paraId="3C59BD05" w14:textId="77777777" w:rsidR="009F75E3" w:rsidRDefault="009F75E3" w:rsidP="00C427A4">
      <w:pPr>
        <w:autoSpaceDE w:val="0"/>
        <w:autoSpaceDN w:val="0"/>
        <w:adjustRightInd w:val="0"/>
        <w:spacing w:line="480" w:lineRule="auto"/>
        <w:jc w:val="both"/>
        <w:rPr>
          <w:lang w:val="en-US"/>
        </w:rPr>
      </w:pPr>
    </w:p>
    <w:p w14:paraId="59B547E6" w14:textId="77777777" w:rsidR="000C5499" w:rsidRPr="00B33FA6" w:rsidRDefault="000C5499" w:rsidP="000C5499">
      <w:pPr>
        <w:autoSpaceDE w:val="0"/>
        <w:autoSpaceDN w:val="0"/>
        <w:adjustRightInd w:val="0"/>
        <w:spacing w:line="480" w:lineRule="auto"/>
        <w:jc w:val="both"/>
      </w:pPr>
      <w:r>
        <w:t>Notwithstanding this, t</w:t>
      </w:r>
      <w:r w:rsidRPr="00B33FA6">
        <w:t>he importance of the behavioural approach, which embraces the concept of overconfidence</w:t>
      </w:r>
      <w:r>
        <w:t xml:space="preserve"> offers an important lens to explain post M&amp;A performance. However,</w:t>
      </w:r>
      <w:r w:rsidR="00AE167B">
        <w:t xml:space="preserve"> </w:t>
      </w:r>
      <w:r>
        <w:t>research evidence adopting this behavioural approach</w:t>
      </w:r>
      <w:r w:rsidRPr="00B33FA6">
        <w:t xml:space="preserve"> appears scant, with the exception of notable studies by Doukas </w:t>
      </w:r>
      <w:r>
        <w:t>and</w:t>
      </w:r>
      <w:r w:rsidRPr="00B33FA6">
        <w:t xml:space="preserve"> </w:t>
      </w:r>
      <w:proofErr w:type="spellStart"/>
      <w:r w:rsidRPr="00B33FA6">
        <w:t>Petmezas</w:t>
      </w:r>
      <w:proofErr w:type="spellEnd"/>
      <w:r w:rsidRPr="00B33FA6">
        <w:t xml:space="preserve"> (2007), Billet </w:t>
      </w:r>
      <w:r>
        <w:t>and</w:t>
      </w:r>
      <w:r w:rsidRPr="00B33FA6">
        <w:t xml:space="preserve"> Qian (2008), </w:t>
      </w:r>
      <w:proofErr w:type="spellStart"/>
      <w:r w:rsidRPr="00B33FA6">
        <w:t>Malmendier</w:t>
      </w:r>
      <w:proofErr w:type="spellEnd"/>
      <w:r w:rsidRPr="00B33FA6">
        <w:t xml:space="preserve"> and Tate </w:t>
      </w:r>
      <w:r w:rsidRPr="00B33FA6">
        <w:lastRenderedPageBreak/>
        <w:t>(2008) and Guo et al. (2020). Results from these studies are so far mixed and</w:t>
      </w:r>
      <w:r>
        <w:t>,</w:t>
      </w:r>
      <w:r w:rsidRPr="00B33FA6">
        <w:t xml:space="preserve"> clearly, further research i</w:t>
      </w:r>
      <w:r>
        <w:t>s</w:t>
      </w:r>
      <w:r w:rsidRPr="00B33FA6">
        <w:t xml:space="preserve"> required in this area</w:t>
      </w:r>
      <w:r>
        <w:t xml:space="preserve"> to understand the role of behavioural factors in post-M&amp;A performance</w:t>
      </w:r>
      <w:r w:rsidRPr="00B33FA6">
        <w:t>. In this paper, we ask whether managerial overconfidence can explain M&amp;A performance using</w:t>
      </w:r>
      <w:r>
        <w:t xml:space="preserve"> a new proxy for </w:t>
      </w:r>
      <w:r w:rsidRPr="00B33FA6">
        <w:t xml:space="preserve">managerial overconfidence, thereby extending prior literature. </w:t>
      </w:r>
    </w:p>
    <w:p w14:paraId="1A942FA7" w14:textId="77777777" w:rsidR="006E0E54" w:rsidRDefault="006E0E54" w:rsidP="00C427A4">
      <w:pPr>
        <w:autoSpaceDE w:val="0"/>
        <w:autoSpaceDN w:val="0"/>
        <w:adjustRightInd w:val="0"/>
        <w:spacing w:line="480" w:lineRule="auto"/>
        <w:jc w:val="both"/>
      </w:pPr>
    </w:p>
    <w:p w14:paraId="41F4DF20" w14:textId="20164A90" w:rsidR="000C5499" w:rsidRPr="00B33FA6" w:rsidRDefault="000C5499" w:rsidP="000C5499">
      <w:pPr>
        <w:autoSpaceDE w:val="0"/>
        <w:autoSpaceDN w:val="0"/>
        <w:adjustRightInd w:val="0"/>
        <w:spacing w:line="480" w:lineRule="auto"/>
        <w:jc w:val="both"/>
      </w:pPr>
      <w:r>
        <w:t xml:space="preserve">Focusing on overconfidence is not new and has been examined before in the context of M&amp;A. For instance, </w:t>
      </w:r>
      <w:r w:rsidRPr="00B33FA6">
        <w:t xml:space="preserve">Doukas and </w:t>
      </w:r>
      <w:proofErr w:type="spellStart"/>
      <w:r w:rsidRPr="00B33FA6">
        <w:t>Petmezas</w:t>
      </w:r>
      <w:proofErr w:type="spellEnd"/>
      <w:r w:rsidRPr="00B33FA6">
        <w:t xml:space="preserve"> (2007) use managerial acquisitiveness and insider dealings </w:t>
      </w:r>
      <w:r>
        <w:t>to measure</w:t>
      </w:r>
      <w:r w:rsidRPr="00B33FA6">
        <w:t xml:space="preserve"> overconfidence while </w:t>
      </w:r>
      <w:proofErr w:type="spellStart"/>
      <w:r w:rsidRPr="00B33FA6">
        <w:t>Malmendier</w:t>
      </w:r>
      <w:proofErr w:type="spellEnd"/>
      <w:r w:rsidRPr="00B33FA6">
        <w:t xml:space="preserve"> and Tate (2008) use </w:t>
      </w:r>
      <w:proofErr w:type="spellStart"/>
      <w:r w:rsidRPr="00B33FA6">
        <w:t>longholder</w:t>
      </w:r>
      <w:proofErr w:type="spellEnd"/>
      <w:r w:rsidRPr="00B33FA6">
        <w:t xml:space="preserve"> (late exercise of executive stock options) CEO as a trait for overconfidence. </w:t>
      </w:r>
      <w:r w:rsidR="00B24E85">
        <w:t xml:space="preserve">Tang, Lee, Lee and Huang (2020) </w:t>
      </w:r>
      <w:r w:rsidR="00840A77">
        <w:t xml:space="preserve">report that CEO overconfidence is positively linked to post merger firm value and this is more pronounced for young CEOs whereas female CEOs are risk-averse and show lower firm volatility and leverage. Similarly, </w:t>
      </w:r>
      <w:r w:rsidR="00840A77" w:rsidRPr="00B33FA6">
        <w:t xml:space="preserve">Guo et al. (2020) </w:t>
      </w:r>
      <w:r w:rsidR="00840A77">
        <w:t xml:space="preserve">have taken </w:t>
      </w:r>
      <w:r w:rsidR="00840A77" w:rsidRPr="00B33FA6">
        <w:t xml:space="preserve">manager’s relative salary as the measure of overconfidence. </w:t>
      </w:r>
      <w:r>
        <w:t>Contributing to this stream of research, o</w:t>
      </w:r>
      <w:r w:rsidRPr="00B33FA6">
        <w:t xml:space="preserve">ur study </w:t>
      </w:r>
      <w:r>
        <w:t>focuses</w:t>
      </w:r>
      <w:r w:rsidRPr="00B33FA6">
        <w:t xml:space="preserve"> </w:t>
      </w:r>
      <w:r>
        <w:t>on</w:t>
      </w:r>
      <w:r w:rsidRPr="00B33FA6">
        <w:t xml:space="preserve"> managerial overconfidence instead of just CEO overconfidence</w:t>
      </w:r>
      <w:r>
        <w:t xml:space="preserve"> commonly used in the literature (</w:t>
      </w:r>
      <w:r w:rsidR="00E5667B">
        <w:t>e.g.</w:t>
      </w:r>
      <w:r>
        <w:t xml:space="preserve"> </w:t>
      </w:r>
      <w:proofErr w:type="spellStart"/>
      <w:r w:rsidRPr="00E34977">
        <w:t>Malmendier</w:t>
      </w:r>
      <w:proofErr w:type="spellEnd"/>
      <w:r w:rsidRPr="00E34977">
        <w:t xml:space="preserve"> and Tate</w:t>
      </w:r>
      <w:r w:rsidR="00E5667B">
        <w:t xml:space="preserve">, </w:t>
      </w:r>
      <w:r w:rsidRPr="00E34977">
        <w:t>2008</w:t>
      </w:r>
      <w:r w:rsidR="00E5667B">
        <w:t>;</w:t>
      </w:r>
      <w:r w:rsidRPr="00E34977">
        <w:t xml:space="preserve"> Doukas and </w:t>
      </w:r>
      <w:proofErr w:type="spellStart"/>
      <w:r w:rsidRPr="00E34977">
        <w:t>Petmezas</w:t>
      </w:r>
      <w:proofErr w:type="spellEnd"/>
      <w:r w:rsidR="00E5667B">
        <w:t>, 2007; Chen et al., 2022; Hsu et al., 2022; Guan et al., 2022; Ismail and Mavis 2022; Malhotra et al., 2022</w:t>
      </w:r>
      <w:r w:rsidRPr="00E34977">
        <w:t>)</w:t>
      </w:r>
      <w:r w:rsidRPr="00B33FA6">
        <w:t xml:space="preserve">. </w:t>
      </w:r>
      <w:r>
        <w:t xml:space="preserve">It is argued that, focusing on managerial overconfidence instead of CEO overconfidence provides a better proxy as M&amp;A deals </w:t>
      </w:r>
      <w:r w:rsidR="00990765">
        <w:t>would</w:t>
      </w:r>
      <w:r>
        <w:t xml:space="preserve"> be the board of directors’ collective decision. </w:t>
      </w:r>
      <w:r w:rsidR="00E5667B">
        <w:t xml:space="preserve">For instance, in a recent study, Li and Tong (2022) argue that </w:t>
      </w:r>
      <w:r w:rsidR="00E5667B" w:rsidRPr="00F517C8">
        <w:t>managerial overconfidence</w:t>
      </w:r>
      <w:r w:rsidR="00E5667B">
        <w:t xml:space="preserve"> is associated with the type of CEO being recruited. </w:t>
      </w:r>
      <w:r>
        <w:t>Furthermore, i</w:t>
      </w:r>
      <w:r w:rsidRPr="00B33FA6">
        <w:t xml:space="preserve">n many large firms </w:t>
      </w:r>
      <w:r>
        <w:t xml:space="preserve">the characteristics of </w:t>
      </w:r>
      <w:r w:rsidRPr="00B33FA6">
        <w:t xml:space="preserve">board members </w:t>
      </w:r>
      <w:r w:rsidR="00924F30">
        <w:t>exert</w:t>
      </w:r>
      <w:r w:rsidRPr="00B33FA6">
        <w:t xml:space="preserve"> significant power in decision-making</w:t>
      </w:r>
      <w:r>
        <w:t xml:space="preserve"> and could also affect the post-merger performance</w:t>
      </w:r>
      <w:r w:rsidRPr="00B33FA6">
        <w:t>.</w:t>
      </w:r>
    </w:p>
    <w:p w14:paraId="6A20B713" w14:textId="77777777" w:rsidR="00076907" w:rsidRDefault="00076907" w:rsidP="00C427A4">
      <w:pPr>
        <w:autoSpaceDE w:val="0"/>
        <w:autoSpaceDN w:val="0"/>
        <w:adjustRightInd w:val="0"/>
        <w:spacing w:line="480" w:lineRule="auto"/>
        <w:jc w:val="both"/>
        <w:rPr>
          <w:color w:val="000000" w:themeColor="text1"/>
        </w:rPr>
      </w:pPr>
    </w:p>
    <w:p w14:paraId="041C35B0" w14:textId="04289E61" w:rsidR="00AE167B" w:rsidRPr="00B33FA6" w:rsidRDefault="00AE167B" w:rsidP="00AE167B">
      <w:pPr>
        <w:autoSpaceDE w:val="0"/>
        <w:autoSpaceDN w:val="0"/>
        <w:adjustRightInd w:val="0"/>
        <w:spacing w:line="480" w:lineRule="auto"/>
        <w:jc w:val="both"/>
      </w:pPr>
      <w:r>
        <w:rPr>
          <w:color w:val="000000" w:themeColor="text1"/>
        </w:rPr>
        <w:lastRenderedPageBreak/>
        <w:t xml:space="preserve">We use three different measures to establish the level of managerial overconfidence. </w:t>
      </w:r>
      <w:r w:rsidRPr="00B33FA6">
        <w:rPr>
          <w:color w:val="000000" w:themeColor="text1"/>
        </w:rPr>
        <w:t>The first measure of overconfidence, fraction of male directors</w:t>
      </w:r>
      <w:r>
        <w:rPr>
          <w:color w:val="000000" w:themeColor="text1"/>
        </w:rPr>
        <w:t>,</w:t>
      </w:r>
      <w:r w:rsidRPr="00B33FA6">
        <w:rPr>
          <w:color w:val="000000" w:themeColor="text1"/>
        </w:rPr>
        <w:t xml:space="preserve"> </w:t>
      </w:r>
      <w:r w:rsidRPr="00B33FA6">
        <w:t xml:space="preserve">is driven by both psychological and behavioural finance models which have established that, in </w:t>
      </w:r>
      <w:r>
        <w:t xml:space="preserve">the </w:t>
      </w:r>
      <w:r w:rsidRPr="00B33FA6">
        <w:t>fields of finance and investment, men are</w:t>
      </w:r>
      <w:r>
        <w:t xml:space="preserve"> more</w:t>
      </w:r>
      <w:r w:rsidRPr="00B33FA6">
        <w:t xml:space="preserve"> likely to be overconfident and trade more excessively compared to women (see Barber </w:t>
      </w:r>
      <w:r>
        <w:t>and</w:t>
      </w:r>
      <w:r w:rsidRPr="00B33FA6">
        <w:t xml:space="preserve"> </w:t>
      </w:r>
      <w:proofErr w:type="spellStart"/>
      <w:r w:rsidRPr="00B33FA6">
        <w:t>Odean</w:t>
      </w:r>
      <w:proofErr w:type="spellEnd"/>
      <w:r w:rsidRPr="00B33FA6">
        <w:t xml:space="preserve"> 2001; </w:t>
      </w:r>
      <w:proofErr w:type="spellStart"/>
      <w:r w:rsidRPr="00B33FA6">
        <w:t>Croson</w:t>
      </w:r>
      <w:proofErr w:type="spellEnd"/>
      <w:r w:rsidRPr="00B33FA6">
        <w:t xml:space="preserve"> </w:t>
      </w:r>
      <w:r>
        <w:t>and</w:t>
      </w:r>
      <w:r w:rsidRPr="00B33FA6">
        <w:t xml:space="preserve"> </w:t>
      </w:r>
      <w:proofErr w:type="spellStart"/>
      <w:r w:rsidRPr="00B33FA6">
        <w:t>Gneezy</w:t>
      </w:r>
      <w:proofErr w:type="spellEnd"/>
      <w:r w:rsidRPr="00B33FA6">
        <w:t xml:space="preserve"> 2009). This prediction has been tested </w:t>
      </w:r>
      <w:r>
        <w:t xml:space="preserve">in the context of </w:t>
      </w:r>
      <w:r w:rsidRPr="00B33FA6">
        <w:t xml:space="preserve">investors </w:t>
      </w:r>
      <w:r>
        <w:t xml:space="preserve">by analysing their trading behaviour based on </w:t>
      </w:r>
      <w:r w:rsidRPr="00B33FA6">
        <w:t xml:space="preserve">gender. Barber </w:t>
      </w:r>
      <w:r>
        <w:t>and</w:t>
      </w:r>
      <w:r w:rsidRPr="00B33FA6">
        <w:t xml:space="preserve"> </w:t>
      </w:r>
      <w:proofErr w:type="spellStart"/>
      <w:r w:rsidRPr="00B33FA6">
        <w:t>Odean</w:t>
      </w:r>
      <w:proofErr w:type="spellEnd"/>
      <w:r w:rsidRPr="00B33FA6">
        <w:t xml:space="preserve"> (2001) show that men are </w:t>
      </w:r>
      <w:r>
        <w:t xml:space="preserve">more </w:t>
      </w:r>
      <w:r w:rsidRPr="00B33FA6">
        <w:t>overconfident investors than their female counterparts. Such overconfident investors misjudge the accuracy of information they receive and possibly may trade even when the forecasted gains are negative (</w:t>
      </w:r>
      <w:proofErr w:type="spellStart"/>
      <w:r w:rsidRPr="00B33FA6">
        <w:t>Odean</w:t>
      </w:r>
      <w:proofErr w:type="spellEnd"/>
      <w:r w:rsidRPr="00B33FA6">
        <w:t xml:space="preserve"> 1998; Barber </w:t>
      </w:r>
      <w:r>
        <w:t>and</w:t>
      </w:r>
      <w:r w:rsidRPr="00B33FA6">
        <w:t xml:space="preserve"> </w:t>
      </w:r>
      <w:proofErr w:type="spellStart"/>
      <w:r w:rsidRPr="00B33FA6">
        <w:t>Odean</w:t>
      </w:r>
      <w:proofErr w:type="spellEnd"/>
      <w:r w:rsidRPr="00B33FA6">
        <w:t xml:space="preserve"> 2001). Moreover, research evidence indicates </w:t>
      </w:r>
      <w:r>
        <w:t xml:space="preserve">that </w:t>
      </w:r>
      <w:r w:rsidRPr="00B33FA6">
        <w:t xml:space="preserve">overconfident investors </w:t>
      </w:r>
      <w:r>
        <w:t>are</w:t>
      </w:r>
      <w:r w:rsidRPr="00B33FA6">
        <w:t xml:space="preserve"> more likely to hold riskier investment portfolios in comparison to rational investors, but with </w:t>
      </w:r>
      <w:r>
        <w:t>a</w:t>
      </w:r>
      <w:r w:rsidRPr="00B33FA6">
        <w:t xml:space="preserve"> similar level of risk aversion (</w:t>
      </w:r>
      <w:proofErr w:type="spellStart"/>
      <w:r w:rsidRPr="00B33FA6">
        <w:rPr>
          <w:color w:val="000000" w:themeColor="text1"/>
        </w:rPr>
        <w:t>Croson</w:t>
      </w:r>
      <w:proofErr w:type="spellEnd"/>
      <w:r w:rsidRPr="00B33FA6">
        <w:rPr>
          <w:color w:val="000000" w:themeColor="text1"/>
        </w:rPr>
        <w:t xml:space="preserve"> </w:t>
      </w:r>
      <w:r>
        <w:rPr>
          <w:color w:val="000000" w:themeColor="text1"/>
        </w:rPr>
        <w:t>and</w:t>
      </w:r>
      <w:r w:rsidRPr="00B33FA6">
        <w:rPr>
          <w:color w:val="000000" w:themeColor="text1"/>
        </w:rPr>
        <w:t xml:space="preserve"> </w:t>
      </w:r>
      <w:proofErr w:type="spellStart"/>
      <w:r w:rsidRPr="00B33FA6">
        <w:rPr>
          <w:color w:val="000000" w:themeColor="text1"/>
        </w:rPr>
        <w:t>Gneezy</w:t>
      </w:r>
      <w:proofErr w:type="spellEnd"/>
      <w:r w:rsidRPr="00B33FA6">
        <w:rPr>
          <w:color w:val="000000" w:themeColor="text1"/>
        </w:rPr>
        <w:t xml:space="preserve"> 2009</w:t>
      </w:r>
      <w:r w:rsidRPr="00B33FA6">
        <w:t xml:space="preserve">). </w:t>
      </w:r>
      <w:r>
        <w:t xml:space="preserve">Furthermore, in the context of </w:t>
      </w:r>
      <w:r w:rsidRPr="00B33FA6">
        <w:t xml:space="preserve">acquisition and other risky investments, empirical evidence </w:t>
      </w:r>
      <w:r>
        <w:t>shows</w:t>
      </w:r>
      <w:r w:rsidRPr="00B33FA6">
        <w:t xml:space="preserve"> that women are </w:t>
      </w:r>
      <w:r>
        <w:t xml:space="preserve">risk </w:t>
      </w:r>
      <w:r w:rsidRPr="00B33FA6">
        <w:t xml:space="preserve">averse </w:t>
      </w:r>
      <w:r>
        <w:t xml:space="preserve">as compared with </w:t>
      </w:r>
      <w:r w:rsidRPr="00B33FA6">
        <w:t xml:space="preserve">men (Farrell </w:t>
      </w:r>
      <w:r>
        <w:t>and</w:t>
      </w:r>
      <w:r w:rsidRPr="00B33FA6">
        <w:t xml:space="preserve"> Hersch 2005; Levi</w:t>
      </w:r>
      <w:r w:rsidR="00EF4DF4">
        <w:t xml:space="preserve"> et al. </w:t>
      </w:r>
      <w:r w:rsidRPr="00B33FA6">
        <w:t xml:space="preserve">2014). </w:t>
      </w:r>
      <w:r>
        <w:t>The risk averse behaviour of female directors has been linked with lower firm risk (</w:t>
      </w:r>
      <w:r w:rsidRPr="00B33FA6">
        <w:t xml:space="preserve">Farrell </w:t>
      </w:r>
      <w:r>
        <w:t>and</w:t>
      </w:r>
      <w:r w:rsidRPr="00B33FA6">
        <w:t xml:space="preserve"> Hersch 2005) </w:t>
      </w:r>
      <w:r>
        <w:t xml:space="preserve">and </w:t>
      </w:r>
      <w:r w:rsidRPr="008A0C43">
        <w:t xml:space="preserve">less aggressive acquisition strategies </w:t>
      </w:r>
      <w:r>
        <w:t>(</w:t>
      </w:r>
      <w:r w:rsidRPr="00B33FA6">
        <w:rPr>
          <w:color w:val="000000" w:themeColor="text1"/>
        </w:rPr>
        <w:t>Levi</w:t>
      </w:r>
      <w:r w:rsidR="00EF4DF4">
        <w:rPr>
          <w:color w:val="000000" w:themeColor="text1"/>
        </w:rPr>
        <w:t xml:space="preserve"> et al. </w:t>
      </w:r>
      <w:r w:rsidRPr="00B33FA6">
        <w:t>2014)</w:t>
      </w:r>
      <w:r w:rsidR="002C4115">
        <w:t>.</w:t>
      </w:r>
      <w:r w:rsidRPr="00B33FA6">
        <w:t xml:space="preserve"> As M&amp;A involve extensive discussion at board</w:t>
      </w:r>
      <w:r>
        <w:t xml:space="preserve"> </w:t>
      </w:r>
      <w:r w:rsidRPr="00B33FA6">
        <w:t xml:space="preserve">level and approval by individual directors, the proportion of board gender representation </w:t>
      </w:r>
      <w:r>
        <w:t xml:space="preserve">could play a role and </w:t>
      </w:r>
      <w:r w:rsidRPr="00B33FA6">
        <w:t xml:space="preserve">is </w:t>
      </w:r>
      <w:r>
        <w:t xml:space="preserve">an </w:t>
      </w:r>
      <w:r w:rsidRPr="00B33FA6">
        <w:t>important</w:t>
      </w:r>
      <w:r>
        <w:t xml:space="preserve"> factor to be considered</w:t>
      </w:r>
      <w:r w:rsidRPr="00B33FA6">
        <w:t>. Hence, we employ the fraction of male directors on a corporate board as a proxy for overconfidence</w:t>
      </w:r>
      <w:r>
        <w:t>. This measure of overconfidence</w:t>
      </w:r>
      <w:r w:rsidRPr="00B33FA6">
        <w:t xml:space="preserve"> is consistent with psychological and behavioural finance models (Barber </w:t>
      </w:r>
      <w:r>
        <w:t>and</w:t>
      </w:r>
      <w:r w:rsidRPr="00B33FA6">
        <w:t xml:space="preserve"> </w:t>
      </w:r>
      <w:proofErr w:type="spellStart"/>
      <w:r w:rsidRPr="00B33FA6">
        <w:t>Odean</w:t>
      </w:r>
      <w:proofErr w:type="spellEnd"/>
      <w:r w:rsidRPr="00B33FA6">
        <w:t xml:space="preserve"> 2001; </w:t>
      </w:r>
      <w:proofErr w:type="spellStart"/>
      <w:r w:rsidRPr="00B33FA6">
        <w:rPr>
          <w:color w:val="000000" w:themeColor="text1"/>
        </w:rPr>
        <w:t>Croson</w:t>
      </w:r>
      <w:proofErr w:type="spellEnd"/>
      <w:r w:rsidRPr="00B33FA6">
        <w:rPr>
          <w:color w:val="000000" w:themeColor="text1"/>
        </w:rPr>
        <w:t xml:space="preserve"> </w:t>
      </w:r>
      <w:r>
        <w:rPr>
          <w:color w:val="000000" w:themeColor="text1"/>
        </w:rPr>
        <w:t>and</w:t>
      </w:r>
      <w:r w:rsidRPr="00B33FA6">
        <w:rPr>
          <w:color w:val="000000" w:themeColor="text1"/>
        </w:rPr>
        <w:t xml:space="preserve"> </w:t>
      </w:r>
      <w:proofErr w:type="spellStart"/>
      <w:r w:rsidRPr="00B33FA6">
        <w:rPr>
          <w:color w:val="000000" w:themeColor="text1"/>
        </w:rPr>
        <w:t>Gneezy</w:t>
      </w:r>
      <w:proofErr w:type="spellEnd"/>
      <w:r w:rsidRPr="00B33FA6">
        <w:rPr>
          <w:color w:val="000000" w:themeColor="text1"/>
        </w:rPr>
        <w:t xml:space="preserve"> 2009</w:t>
      </w:r>
      <w:r w:rsidRPr="00B33FA6">
        <w:t>).</w:t>
      </w:r>
    </w:p>
    <w:p w14:paraId="435FF916" w14:textId="77777777" w:rsidR="00E5667B" w:rsidRDefault="00E5667B" w:rsidP="00AE167B">
      <w:pPr>
        <w:spacing w:line="480" w:lineRule="auto"/>
        <w:jc w:val="both"/>
      </w:pPr>
    </w:p>
    <w:p w14:paraId="0A5C0196" w14:textId="4DB34665" w:rsidR="00C23975" w:rsidRDefault="00AE167B" w:rsidP="00AE167B">
      <w:pPr>
        <w:spacing w:line="480" w:lineRule="auto"/>
        <w:jc w:val="both"/>
      </w:pPr>
      <w:r>
        <w:t>For o</w:t>
      </w:r>
      <w:r w:rsidRPr="00B33FA6">
        <w:t xml:space="preserve">ur second measure </w:t>
      </w:r>
      <w:r>
        <w:t>of</w:t>
      </w:r>
      <w:r w:rsidRPr="00B33FA6">
        <w:t xml:space="preserve"> overconfidence, we follow Doukas </w:t>
      </w:r>
      <w:r>
        <w:t>and</w:t>
      </w:r>
      <w:r w:rsidRPr="00B33FA6">
        <w:t xml:space="preserve"> </w:t>
      </w:r>
      <w:proofErr w:type="spellStart"/>
      <w:r w:rsidRPr="00B33FA6">
        <w:t>Petmesaz</w:t>
      </w:r>
      <w:proofErr w:type="spellEnd"/>
      <w:r w:rsidRPr="00B33FA6">
        <w:t xml:space="preserve"> (2007) and Billet </w:t>
      </w:r>
      <w:r>
        <w:t>and</w:t>
      </w:r>
      <w:r w:rsidRPr="00B33FA6">
        <w:t xml:space="preserve"> Qian (2008)</w:t>
      </w:r>
      <w:r>
        <w:t>,</w:t>
      </w:r>
      <w:r w:rsidRPr="00B33FA6">
        <w:t xml:space="preserve"> who employed managers’ acquisitiveness as a proxy for overconfidence. The </w:t>
      </w:r>
      <w:r w:rsidRPr="00B33FA6">
        <w:lastRenderedPageBreak/>
        <w:t>logic behind this overconfidence measure is ascribed to the fact that overconfidence drives managers to undertake</w:t>
      </w:r>
      <w:r>
        <w:t xml:space="preserve"> multiple</w:t>
      </w:r>
      <w:r w:rsidRPr="00B33FA6">
        <w:t xml:space="preserve"> acquisitions in a short</w:t>
      </w:r>
      <w:r>
        <w:t xml:space="preserve"> period of</w:t>
      </w:r>
      <w:r w:rsidRPr="00B33FA6">
        <w:t xml:space="preserve"> time, where they do not give themselves sufficient time to evaluate the synergies from mergers. Consistent with </w:t>
      </w:r>
      <w:proofErr w:type="spellStart"/>
      <w:r w:rsidRPr="00B33FA6">
        <w:t>Odean’s</w:t>
      </w:r>
      <w:proofErr w:type="spellEnd"/>
      <w:r w:rsidRPr="00B33FA6">
        <w:t xml:space="preserve"> (1998) powerful explanation that greater overconfidence leads to more trading, prior studies contend that multiple acquisitions are indicative of overconfidence</w:t>
      </w:r>
      <w:r>
        <w:t>,</w:t>
      </w:r>
      <w:r w:rsidRPr="00B33FA6">
        <w:t xml:space="preserve"> and </w:t>
      </w:r>
      <w:proofErr w:type="spellStart"/>
      <w:r w:rsidRPr="00B33FA6">
        <w:t>Malmendier</w:t>
      </w:r>
      <w:proofErr w:type="spellEnd"/>
      <w:r w:rsidRPr="00B33FA6">
        <w:t xml:space="preserve"> </w:t>
      </w:r>
      <w:r>
        <w:t>and</w:t>
      </w:r>
      <w:r w:rsidRPr="00B33FA6">
        <w:t xml:space="preserve"> Tate (2004) maintain that making multiple acquisitions in a year is an indicator of overconfidence</w:t>
      </w:r>
      <w:r w:rsidRPr="00B33FA6">
        <w:rPr>
          <w:rStyle w:val="FootnoteReference"/>
        </w:rPr>
        <w:footnoteReference w:id="5"/>
      </w:r>
      <w:r w:rsidRPr="00B33FA6">
        <w:t xml:space="preserve">. We classify multiple acquirers to be firms that have completed five or more M&amp;A within three years of the first acquisition. </w:t>
      </w:r>
    </w:p>
    <w:p w14:paraId="79C08EA5" w14:textId="77777777" w:rsidR="00E5667B" w:rsidRDefault="00E5667B" w:rsidP="00AE167B">
      <w:pPr>
        <w:spacing w:line="480" w:lineRule="auto"/>
        <w:jc w:val="both"/>
      </w:pPr>
    </w:p>
    <w:p w14:paraId="771645ED" w14:textId="7EA0CC0A" w:rsidR="00AE167B" w:rsidRPr="00B33FA6" w:rsidRDefault="00AE167B" w:rsidP="00AE167B">
      <w:pPr>
        <w:spacing w:line="480" w:lineRule="auto"/>
        <w:jc w:val="both"/>
      </w:pPr>
      <w:r w:rsidRPr="00B33FA6">
        <w:t xml:space="preserve">Our third measure of overconfidence is merger characteristics. We use two merger characteristics, diversifying acquisitions and method of payment. Brown </w:t>
      </w:r>
      <w:r>
        <w:t>and</w:t>
      </w:r>
      <w:r w:rsidRPr="00B33FA6">
        <w:t xml:space="preserve"> </w:t>
      </w:r>
      <w:proofErr w:type="spellStart"/>
      <w:r w:rsidRPr="00B33FA6">
        <w:t>Sarma</w:t>
      </w:r>
      <w:proofErr w:type="spellEnd"/>
      <w:r w:rsidRPr="00B33FA6">
        <w:t xml:space="preserve"> (2007) and </w:t>
      </w:r>
      <w:r w:rsidRPr="00B33FA6">
        <w:rPr>
          <w:color w:val="000000" w:themeColor="text1"/>
        </w:rPr>
        <w:t>Ferris</w:t>
      </w:r>
      <w:r w:rsidR="00EF4DF4">
        <w:rPr>
          <w:color w:val="000000" w:themeColor="text1"/>
        </w:rPr>
        <w:t xml:space="preserve"> et al.</w:t>
      </w:r>
      <w:r w:rsidRPr="00B33FA6">
        <w:rPr>
          <w:color w:val="000000" w:themeColor="text1"/>
        </w:rPr>
        <w:t xml:space="preserve"> (2013) </w:t>
      </w:r>
      <w:r w:rsidRPr="00B33FA6">
        <w:t xml:space="preserve">examine CEO overconfidence on M&amp;A and find that overconfident CEOs engage in diversifying acquisitions. Drawing on Jensen’s free cash flow hypothesis, </w:t>
      </w:r>
      <w:proofErr w:type="spellStart"/>
      <w:r w:rsidRPr="00B33FA6">
        <w:t>Malmendier</w:t>
      </w:r>
      <w:proofErr w:type="spellEnd"/>
      <w:r w:rsidRPr="00B33FA6">
        <w:t xml:space="preserve"> </w:t>
      </w:r>
      <w:r>
        <w:t>and</w:t>
      </w:r>
      <w:r w:rsidRPr="00B33FA6">
        <w:t xml:space="preserve"> Tate (2004) </w:t>
      </w:r>
      <w:r>
        <w:t>posit</w:t>
      </w:r>
      <w:r w:rsidRPr="00B33FA6">
        <w:t xml:space="preserve"> that managers with abundant internal resources use cash to finance M&amp;A and sometimes </w:t>
      </w:r>
      <w:r>
        <w:t>this</w:t>
      </w:r>
      <w:r w:rsidRPr="00B33FA6">
        <w:t xml:space="preserve"> leads to overpayment. In </w:t>
      </w:r>
      <w:r>
        <w:t xml:space="preserve">a </w:t>
      </w:r>
      <w:r w:rsidRPr="00B33FA6">
        <w:t xml:space="preserve">similar vein, Doukas </w:t>
      </w:r>
      <w:r>
        <w:t>and</w:t>
      </w:r>
      <w:r w:rsidRPr="00B33FA6">
        <w:t xml:space="preserve"> </w:t>
      </w:r>
      <w:proofErr w:type="spellStart"/>
      <w:r w:rsidRPr="00B33FA6">
        <w:t>Petmezas</w:t>
      </w:r>
      <w:proofErr w:type="spellEnd"/>
      <w:r w:rsidRPr="00B33FA6">
        <w:t xml:space="preserve"> (2007) argue that overconfident CEO</w:t>
      </w:r>
      <w:r>
        <w:t>s</w:t>
      </w:r>
      <w:r w:rsidRPr="00B33FA6">
        <w:t xml:space="preserve"> with cash reserves and low leverage would undertake value-destroying M&amp;A compared to rationale CEOs. </w:t>
      </w:r>
      <w:proofErr w:type="spellStart"/>
      <w:r w:rsidRPr="00B33FA6">
        <w:t>Malmendier</w:t>
      </w:r>
      <w:proofErr w:type="spellEnd"/>
      <w:r w:rsidRPr="00B33FA6">
        <w:t xml:space="preserve"> </w:t>
      </w:r>
      <w:r>
        <w:t>and</w:t>
      </w:r>
      <w:r w:rsidRPr="00B33FA6">
        <w:t xml:space="preserve"> Tate (2008) also advance</w:t>
      </w:r>
      <w:r>
        <w:t xml:space="preserve"> the argument</w:t>
      </w:r>
      <w:r w:rsidRPr="00B33FA6">
        <w:t xml:space="preserve"> that overconfident CEOs misjudge the returns produced by their companies and consider that outside investors undervalue their businesses and hence they tend to use cash to finance M&amp;A. </w:t>
      </w:r>
      <w:r w:rsidRPr="00B33FA6">
        <w:rPr>
          <w:color w:val="000000" w:themeColor="text1"/>
        </w:rPr>
        <w:t>Ferris, Jayaraman</w:t>
      </w:r>
      <w:r>
        <w:rPr>
          <w:color w:val="000000" w:themeColor="text1"/>
        </w:rPr>
        <w:t xml:space="preserve"> and</w:t>
      </w:r>
      <w:r w:rsidRPr="00B33FA6">
        <w:rPr>
          <w:color w:val="000000" w:themeColor="text1"/>
        </w:rPr>
        <w:t xml:space="preserve"> </w:t>
      </w:r>
      <w:proofErr w:type="spellStart"/>
      <w:r w:rsidRPr="00B33FA6">
        <w:rPr>
          <w:color w:val="000000" w:themeColor="text1"/>
        </w:rPr>
        <w:t>Sabherwal</w:t>
      </w:r>
      <w:r>
        <w:rPr>
          <w:color w:val="000000" w:themeColor="text1"/>
        </w:rPr>
        <w:t>’s</w:t>
      </w:r>
      <w:proofErr w:type="spellEnd"/>
      <w:r w:rsidRPr="00B33FA6">
        <w:rPr>
          <w:color w:val="000000" w:themeColor="text1"/>
        </w:rPr>
        <w:t xml:space="preserve"> (2013) </w:t>
      </w:r>
      <w:r w:rsidRPr="00B33FA6">
        <w:rPr>
          <w:color w:val="231F20"/>
        </w:rPr>
        <w:t>results concur with this view as they report that overconfident CEOs use cash as the method of payment and engage in multiple M&amp;A</w:t>
      </w:r>
      <w:r w:rsidRPr="00B33FA6">
        <w:t>.</w:t>
      </w:r>
    </w:p>
    <w:p w14:paraId="2C8589FD" w14:textId="77777777" w:rsidR="00E04147" w:rsidRDefault="00E04147" w:rsidP="00C427A4">
      <w:pPr>
        <w:spacing w:line="480" w:lineRule="auto"/>
        <w:jc w:val="both"/>
        <w:rPr>
          <w:lang w:val="en-US"/>
        </w:rPr>
      </w:pPr>
    </w:p>
    <w:p w14:paraId="017CDE41" w14:textId="237686C0" w:rsidR="00C91C84" w:rsidRPr="00B33FA6" w:rsidRDefault="00C91C84" w:rsidP="00C91C84">
      <w:pPr>
        <w:spacing w:line="480" w:lineRule="auto"/>
        <w:jc w:val="both"/>
      </w:pPr>
      <w:r w:rsidRPr="00CE4B81">
        <w:rPr>
          <w:color w:val="000000" w:themeColor="text1"/>
        </w:rPr>
        <w:t>The choice</w:t>
      </w:r>
      <w:r w:rsidR="006467C5" w:rsidRPr="00CE4B81">
        <w:rPr>
          <w:color w:val="000000" w:themeColor="text1"/>
        </w:rPr>
        <w:t xml:space="preserve"> of the UK</w:t>
      </w:r>
      <w:r w:rsidRPr="00CE4B81">
        <w:rPr>
          <w:color w:val="000000" w:themeColor="text1"/>
        </w:rPr>
        <w:t xml:space="preserve"> is motivated by the fact that </w:t>
      </w:r>
      <w:r w:rsidR="006467C5" w:rsidRPr="00CE4B81">
        <w:rPr>
          <w:color w:val="000000" w:themeColor="text1"/>
        </w:rPr>
        <w:t>it</w:t>
      </w:r>
      <w:r w:rsidRPr="00CE4B81">
        <w:rPr>
          <w:color w:val="000000" w:themeColor="text1"/>
        </w:rPr>
        <w:t xml:space="preserve"> has been </w:t>
      </w:r>
      <w:r w:rsidR="006467C5" w:rsidRPr="00CE4B81">
        <w:rPr>
          <w:color w:val="000000" w:themeColor="text1"/>
        </w:rPr>
        <w:t xml:space="preserve">the </w:t>
      </w:r>
      <w:r w:rsidRPr="00CE4B81">
        <w:rPr>
          <w:color w:val="000000" w:themeColor="text1"/>
        </w:rPr>
        <w:t>top acquiring nation in Europe over the past two decades with the total value of acquisitions reaching £181.3 billion and £231 billion in 2000 and 2016, respectively</w:t>
      </w:r>
      <w:r w:rsidRPr="00CE4B81">
        <w:rPr>
          <w:rStyle w:val="FootnoteReference"/>
          <w:color w:val="000000" w:themeColor="text1"/>
        </w:rPr>
        <w:footnoteReference w:id="6"/>
      </w:r>
      <w:r w:rsidRPr="00CE4B81">
        <w:rPr>
          <w:color w:val="000000" w:themeColor="text1"/>
        </w:rPr>
        <w:t xml:space="preserve">. Despite the COVID 19 pandemic, a survey by Ernst </w:t>
      </w:r>
      <w:r w:rsidR="00D440D6" w:rsidRPr="00CE4B81">
        <w:rPr>
          <w:color w:val="000000" w:themeColor="text1"/>
        </w:rPr>
        <w:t>and</w:t>
      </w:r>
      <w:r w:rsidRPr="00CE4B81">
        <w:rPr>
          <w:color w:val="000000" w:themeColor="text1"/>
        </w:rPr>
        <w:t xml:space="preserve"> Young (EY) shows that in 2020 alone M&amp;A deals valued at £347 billion took place in the UK, which was 13% of the global total deals</w:t>
      </w:r>
      <w:r w:rsidRPr="00CE4B81">
        <w:rPr>
          <w:rStyle w:val="FootnoteReference"/>
          <w:color w:val="000000" w:themeColor="text1"/>
        </w:rPr>
        <w:footnoteReference w:id="7"/>
      </w:r>
      <w:r w:rsidRPr="00CE4B81">
        <w:rPr>
          <w:color w:val="000000" w:themeColor="text1"/>
        </w:rPr>
        <w:t xml:space="preserve">. Unlike </w:t>
      </w:r>
      <w:r w:rsidR="006467C5" w:rsidRPr="00CE4B81">
        <w:rPr>
          <w:color w:val="000000" w:themeColor="text1"/>
        </w:rPr>
        <w:t>US M&amp;A</w:t>
      </w:r>
      <w:r w:rsidRPr="00CE4B81">
        <w:rPr>
          <w:color w:val="000000" w:themeColor="text1"/>
        </w:rPr>
        <w:t xml:space="preserve">, UK M&amp;A are distinct as they are characterised by private target firms. Our data shows that 99% of UK targets are private firms. Thus, the dominance of private firms makes the examination of M&amp;A in the UK setting interesting because private targets’ limit the breadth of the acquirer’s search due to lack of information, thereby increasing the risk of acquisition becoming a financial failure. At the same time, Capron </w:t>
      </w:r>
      <w:r w:rsidR="00D440D6" w:rsidRPr="00CE4B81">
        <w:rPr>
          <w:color w:val="000000" w:themeColor="text1"/>
        </w:rPr>
        <w:t>and</w:t>
      </w:r>
      <w:r w:rsidRPr="00CE4B81">
        <w:rPr>
          <w:color w:val="000000" w:themeColor="text1"/>
        </w:rPr>
        <w:t xml:space="preserve"> Shen (2007) contend that less information on private targets create more value-creating opportunities </w:t>
      </w:r>
      <w:r w:rsidR="006467C5" w:rsidRPr="00CE4B81">
        <w:rPr>
          <w:color w:val="000000" w:themeColor="text1"/>
        </w:rPr>
        <w:t>by</w:t>
      </w:r>
      <w:r w:rsidRPr="00CE4B81">
        <w:rPr>
          <w:color w:val="000000" w:themeColor="text1"/>
        </w:rPr>
        <w:t xml:space="preserve"> exploiting private information.</w:t>
      </w:r>
      <w:r w:rsidRPr="00D440D6">
        <w:rPr>
          <w:color w:val="000000" w:themeColor="text1"/>
        </w:rPr>
        <w:t xml:space="preserve"> </w:t>
      </w:r>
      <w:r>
        <w:t>In short, s</w:t>
      </w:r>
      <w:r w:rsidRPr="00B33FA6">
        <w:t xml:space="preserve">ince private firms are not under scrutiny by shareholders and institutional investors, they are not as transparent in their activities as their public counterparts. </w:t>
      </w:r>
      <w:r>
        <w:t>Consequently,</w:t>
      </w:r>
      <w:r w:rsidRPr="00B33FA6">
        <w:t xml:space="preserve"> their valuation would be largely grounded on acquirer managers’ views about potential synergies and cash flows in </w:t>
      </w:r>
      <w:r>
        <w:t xml:space="preserve">the </w:t>
      </w:r>
      <w:r w:rsidRPr="00B33FA6">
        <w:t xml:space="preserve">future. This provides a model testing ground to gauge whether M&amp;A are driven by managerial overconfidence. </w:t>
      </w:r>
    </w:p>
    <w:p w14:paraId="43DB29D7" w14:textId="77777777" w:rsidR="003E2AFF" w:rsidRDefault="003E2AFF" w:rsidP="00C427A4">
      <w:pPr>
        <w:spacing w:line="480" w:lineRule="auto"/>
        <w:jc w:val="both"/>
        <w:rPr>
          <w:strike/>
        </w:rPr>
      </w:pPr>
    </w:p>
    <w:p w14:paraId="49E0FF7C" w14:textId="796889F9" w:rsidR="00AE167B" w:rsidRDefault="00AE167B" w:rsidP="00AE167B">
      <w:pPr>
        <w:spacing w:line="480" w:lineRule="auto"/>
        <w:jc w:val="both"/>
      </w:pPr>
      <w:r w:rsidRPr="00B33FA6">
        <w:rPr>
          <w:color w:val="000000" w:themeColor="text1"/>
        </w:rPr>
        <w:t xml:space="preserve">This paper makes two significant contributions to the literature. First, we use a novel measure, i.e., the relative fraction of male directors, as a measure for overconfidence to explain how male versus female behavioural traits affect the economic outcomes of M&amp;A. The results suggest that a higher fraction of male directors generates poor announcement returns in the </w:t>
      </w:r>
      <w:r w:rsidRPr="00B33FA6">
        <w:rPr>
          <w:color w:val="000000" w:themeColor="text1"/>
        </w:rPr>
        <w:lastRenderedPageBreak/>
        <w:t>short</w:t>
      </w:r>
      <w:r>
        <w:rPr>
          <w:color w:val="000000" w:themeColor="text1"/>
        </w:rPr>
        <w:t xml:space="preserve"> </w:t>
      </w:r>
      <w:r w:rsidRPr="00B33FA6">
        <w:rPr>
          <w:color w:val="000000" w:themeColor="text1"/>
        </w:rPr>
        <w:t xml:space="preserve">term and negative post-merger returns </w:t>
      </w:r>
      <w:r>
        <w:rPr>
          <w:color w:val="000000" w:themeColor="text1"/>
        </w:rPr>
        <w:t xml:space="preserve">in </w:t>
      </w:r>
      <w:r w:rsidRPr="00B33FA6">
        <w:rPr>
          <w:color w:val="000000" w:themeColor="text1"/>
        </w:rPr>
        <w:t xml:space="preserve">the </w:t>
      </w:r>
      <w:r w:rsidR="006467C5">
        <w:rPr>
          <w:color w:val="000000" w:themeColor="text1"/>
        </w:rPr>
        <w:t>long run</w:t>
      </w:r>
      <w:r w:rsidRPr="00B33FA6">
        <w:rPr>
          <w:color w:val="000000" w:themeColor="text1"/>
        </w:rPr>
        <w:t xml:space="preserve">. To the best of our knowledge, </w:t>
      </w:r>
      <w:r w:rsidR="00C91C84">
        <w:rPr>
          <w:color w:val="000000" w:themeColor="text1"/>
        </w:rPr>
        <w:t>this</w:t>
      </w:r>
      <w:r w:rsidRPr="00B33FA6">
        <w:rPr>
          <w:color w:val="000000" w:themeColor="text1"/>
        </w:rPr>
        <w:t xml:space="preserve"> study is the first to examine the connection between overconfidence proxied as a fraction of male directors </w:t>
      </w:r>
      <w:r>
        <w:rPr>
          <w:color w:val="000000" w:themeColor="text1"/>
        </w:rPr>
        <w:t>on</w:t>
      </w:r>
      <w:r w:rsidRPr="00B33FA6">
        <w:rPr>
          <w:color w:val="000000" w:themeColor="text1"/>
        </w:rPr>
        <w:t xml:space="preserve"> the board and M&amp;A performance. </w:t>
      </w:r>
      <w:r w:rsidR="00C91C84">
        <w:rPr>
          <w:color w:val="000000" w:themeColor="text1"/>
        </w:rPr>
        <w:t>The present research</w:t>
      </w:r>
      <w:r w:rsidRPr="00B33FA6">
        <w:rPr>
          <w:color w:val="000000" w:themeColor="text1"/>
        </w:rPr>
        <w:t xml:space="preserve"> adds to the growing number of studies on how behavioural differences between genders matter in corporate investment decisions. </w:t>
      </w:r>
      <w:r w:rsidRPr="00B33FA6">
        <w:t xml:space="preserve">Second, the performance of M&amp;A has been an overarching research theme over the past few years, yet most M&amp;A have failed financially (see, </w:t>
      </w:r>
      <w:proofErr w:type="spellStart"/>
      <w:r w:rsidRPr="00B33FA6">
        <w:t>Ravenscraft</w:t>
      </w:r>
      <w:proofErr w:type="spellEnd"/>
      <w:r w:rsidRPr="00B33FA6">
        <w:t xml:space="preserve"> </w:t>
      </w:r>
      <w:r>
        <w:t>and</w:t>
      </w:r>
      <w:r w:rsidRPr="00B33FA6">
        <w:t xml:space="preserve"> Scherer 1987), and we do not fully understand the reasons for their failure. This study sheds light on the factors that may influence M&amp;A performance. We show that managerial overconfidence, measured</w:t>
      </w:r>
      <w:r>
        <w:t xml:space="preserve"> by</w:t>
      </w:r>
      <w:r w:rsidRPr="00B33FA6">
        <w:t xml:space="preserve"> using three different proxies of overconfidence, affects the economic outcomes of M&amp;A investments and that the </w:t>
      </w:r>
      <w:r w:rsidRPr="00B33FA6">
        <w:rPr>
          <w:color w:val="000000" w:themeColor="text1"/>
        </w:rPr>
        <w:t xml:space="preserve">fraction of males in the boardroom and frequency of acquisitions and merger characteristics are sources of managerial over-optimism </w:t>
      </w:r>
      <w:r w:rsidRPr="00B33FA6">
        <w:t xml:space="preserve">in their investment decisions. Consequently, issues such as board gender diversity in </w:t>
      </w:r>
      <w:r>
        <w:t xml:space="preserve">the </w:t>
      </w:r>
      <w:r w:rsidRPr="00B33FA6">
        <w:t>UK boardrooms being advocated by civil societies, and the reports by Lord Davies in 2011 and Hampton Alexander in 2017</w:t>
      </w:r>
      <w:r>
        <w:t>,</w:t>
      </w:r>
      <w:r w:rsidRPr="00B33FA6">
        <w:t xml:space="preserve"> should be seriously considered by practi</w:t>
      </w:r>
      <w:r>
        <w:t>s</w:t>
      </w:r>
      <w:r w:rsidRPr="00B33FA6">
        <w:t>ing managers and policy makers.</w:t>
      </w:r>
    </w:p>
    <w:p w14:paraId="137BD241" w14:textId="77777777" w:rsidR="00D440D6" w:rsidRPr="00B33FA6" w:rsidRDefault="00D440D6" w:rsidP="00AE167B">
      <w:pPr>
        <w:spacing w:line="480" w:lineRule="auto"/>
        <w:jc w:val="both"/>
      </w:pPr>
    </w:p>
    <w:p w14:paraId="57B624D7" w14:textId="77777777" w:rsidR="00AE167B" w:rsidRPr="00AE167B" w:rsidRDefault="00AE167B" w:rsidP="00AE167B">
      <w:pPr>
        <w:spacing w:line="480" w:lineRule="auto"/>
        <w:jc w:val="both"/>
        <w:rPr>
          <w:color w:val="231F20"/>
        </w:rPr>
      </w:pPr>
      <w:r w:rsidRPr="00AE167B">
        <w:rPr>
          <w:color w:val="231F20"/>
        </w:rPr>
        <w:t>The remainder of the paper is structured in the following way. In Section 2, we present the theoretical and empirical literature. In Section 3 we present our testable hypotheses, Section 4 outlines our data and methodology. Section 5 presents our main results and analyses. We present our conclusion in Section 6.</w:t>
      </w:r>
    </w:p>
    <w:p w14:paraId="01B0426C" w14:textId="77777777" w:rsidR="00AE167B" w:rsidRPr="00B33FA6" w:rsidRDefault="00AE167B" w:rsidP="00AE167B">
      <w:pPr>
        <w:pStyle w:val="Heading1"/>
      </w:pPr>
      <w:r w:rsidRPr="00B33FA6">
        <w:t xml:space="preserve">Literature review </w:t>
      </w:r>
    </w:p>
    <w:p w14:paraId="61F0D571" w14:textId="77777777" w:rsidR="00187597" w:rsidRPr="00AE167B" w:rsidRDefault="00AE167B" w:rsidP="00AE167B">
      <w:pPr>
        <w:pStyle w:val="Heading2"/>
      </w:pPr>
      <w:r w:rsidRPr="00B33FA6">
        <w:t>Gender differences and overconfidence</w:t>
      </w:r>
    </w:p>
    <w:p w14:paraId="6F393055" w14:textId="51CAF50A" w:rsidR="009E5503" w:rsidRDefault="00AE167B" w:rsidP="00C427A4">
      <w:pPr>
        <w:spacing w:line="480" w:lineRule="auto"/>
        <w:jc w:val="both"/>
      </w:pPr>
      <w:r w:rsidRPr="00B33FA6">
        <w:t xml:space="preserve">The association between corporate investment decisions and gender differences is a subject of immense interest </w:t>
      </w:r>
      <w:r w:rsidR="00C91C84">
        <w:t>for</w:t>
      </w:r>
      <w:r w:rsidRPr="00B33FA6">
        <w:t xml:space="preserve"> researchers from both psychology and finance (Beyer 1990; </w:t>
      </w:r>
      <w:proofErr w:type="spellStart"/>
      <w:r w:rsidRPr="00B33FA6">
        <w:t>Jiankoplos</w:t>
      </w:r>
      <w:proofErr w:type="spellEnd"/>
      <w:r w:rsidRPr="00B33FA6">
        <w:t xml:space="preserve"> </w:t>
      </w:r>
      <w:r>
        <w:lastRenderedPageBreak/>
        <w:t>and</w:t>
      </w:r>
      <w:r w:rsidRPr="00B33FA6">
        <w:t xml:space="preserve"> </w:t>
      </w:r>
      <w:proofErr w:type="spellStart"/>
      <w:r w:rsidRPr="00B33FA6">
        <w:t>Bernasek</w:t>
      </w:r>
      <w:proofErr w:type="spellEnd"/>
      <w:r w:rsidRPr="00B33FA6">
        <w:t xml:space="preserve"> 1998; Barber </w:t>
      </w:r>
      <w:r>
        <w:t>and</w:t>
      </w:r>
      <w:r w:rsidRPr="00B33FA6">
        <w:t xml:space="preserve"> </w:t>
      </w:r>
      <w:proofErr w:type="spellStart"/>
      <w:r w:rsidRPr="00B33FA6">
        <w:t>Odean</w:t>
      </w:r>
      <w:proofErr w:type="spellEnd"/>
      <w:r w:rsidRPr="00B33FA6">
        <w:t xml:space="preserve"> 2001). Both psychological and behavioural finance literatures have recognised that men are more overconfident</w:t>
      </w:r>
      <w:r>
        <w:t xml:space="preserve"> than women</w:t>
      </w:r>
      <w:r w:rsidRPr="00B33FA6">
        <w:t xml:space="preserve">. </w:t>
      </w:r>
      <w:r>
        <w:t>An early</w:t>
      </w:r>
      <w:r w:rsidRPr="00B33FA6">
        <w:t xml:space="preserve"> study </w:t>
      </w:r>
      <w:r>
        <w:t xml:space="preserve">by </w:t>
      </w:r>
      <w:r w:rsidRPr="00B33FA6">
        <w:t>Beyer (1990) show</w:t>
      </w:r>
      <w:r w:rsidR="00AF7C1B">
        <w:t>s</w:t>
      </w:r>
      <w:r w:rsidRPr="00B33FA6">
        <w:t xml:space="preserve"> that self-attribution bias is higher in men. </w:t>
      </w:r>
      <w:r>
        <w:t>Similarly, u</w:t>
      </w:r>
      <w:r w:rsidRPr="00B33FA6">
        <w:t xml:space="preserve">sing the amount of trading activity engaged </w:t>
      </w:r>
      <w:r w:rsidR="001C73A2">
        <w:t xml:space="preserve">in </w:t>
      </w:r>
      <w:r w:rsidRPr="00B33FA6">
        <w:t xml:space="preserve">by both men and women to </w:t>
      </w:r>
      <w:r>
        <w:t>measure</w:t>
      </w:r>
      <w:r w:rsidRPr="00B33FA6">
        <w:t xml:space="preserve"> overconfidence, Barber </w:t>
      </w:r>
      <w:r>
        <w:t>and</w:t>
      </w:r>
      <w:r w:rsidRPr="00B33FA6">
        <w:t xml:space="preserve"> </w:t>
      </w:r>
      <w:proofErr w:type="spellStart"/>
      <w:r w:rsidRPr="00B33FA6">
        <w:t>Odean</w:t>
      </w:r>
      <w:proofErr w:type="spellEnd"/>
      <w:r w:rsidRPr="00B33FA6">
        <w:t xml:space="preserve"> (2001) find that </w:t>
      </w:r>
      <w:r>
        <w:t>men trade</w:t>
      </w:r>
      <w:r w:rsidRPr="00B33FA6">
        <w:t xml:space="preserve"> 45% more than women</w:t>
      </w:r>
      <w:r>
        <w:t>,</w:t>
      </w:r>
      <w:r w:rsidRPr="00B33FA6">
        <w:t xml:space="preserve"> and this remains the case even when the expected net returns from trade are negative. They therefore conclude that men are</w:t>
      </w:r>
      <w:r>
        <w:t xml:space="preserve"> more</w:t>
      </w:r>
      <w:r w:rsidRPr="00B33FA6">
        <w:t xml:space="preserve"> overconfident regarding their abilities to trade than women</w:t>
      </w:r>
      <w:r>
        <w:t xml:space="preserve"> are</w:t>
      </w:r>
      <w:r w:rsidRPr="00B33FA6">
        <w:t>. Hence</w:t>
      </w:r>
      <w:r>
        <w:t>,</w:t>
      </w:r>
      <w:r w:rsidRPr="00B33FA6">
        <w:t xml:space="preserve"> having greater overconfidence leads to greater trading from a psychological standpoint. </w:t>
      </w:r>
      <w:r>
        <w:t>Moreover</w:t>
      </w:r>
      <w:r w:rsidRPr="00B33FA6">
        <w:t xml:space="preserve">, </w:t>
      </w:r>
      <w:proofErr w:type="spellStart"/>
      <w:r w:rsidRPr="00B33FA6">
        <w:t>Lenney</w:t>
      </w:r>
      <w:proofErr w:type="spellEnd"/>
      <w:r w:rsidRPr="00B33FA6">
        <w:t xml:space="preserve"> (1977) and </w:t>
      </w:r>
      <w:proofErr w:type="spellStart"/>
      <w:r w:rsidRPr="00B33FA6">
        <w:t>Malmendier</w:t>
      </w:r>
      <w:proofErr w:type="spellEnd"/>
      <w:r w:rsidRPr="00B33FA6">
        <w:t xml:space="preserve"> </w:t>
      </w:r>
      <w:r>
        <w:t>and</w:t>
      </w:r>
      <w:r w:rsidRPr="00B33FA6">
        <w:t xml:space="preserve"> Tate (2005, 2008) argue that women are likely to see future results in a </w:t>
      </w:r>
      <w:r>
        <w:t xml:space="preserve">more </w:t>
      </w:r>
      <w:r w:rsidRPr="00B33FA6">
        <w:t>conservative sense than men and hence they demonstrate a reluctance to accept difficult</w:t>
      </w:r>
      <w:r>
        <w:t xml:space="preserve"> and </w:t>
      </w:r>
      <w:r w:rsidRPr="00B33FA6">
        <w:t>risky strategies.</w:t>
      </w:r>
    </w:p>
    <w:p w14:paraId="00002D63" w14:textId="77777777" w:rsidR="00AE167B" w:rsidRDefault="00AE167B" w:rsidP="00C427A4">
      <w:pPr>
        <w:spacing w:line="480" w:lineRule="auto"/>
        <w:jc w:val="both"/>
      </w:pPr>
    </w:p>
    <w:p w14:paraId="21D9CFDC" w14:textId="5A0D169B" w:rsidR="00AE167B" w:rsidRDefault="00AE167B" w:rsidP="00AE167B">
      <w:pPr>
        <w:pStyle w:val="Default"/>
        <w:spacing w:line="480" w:lineRule="auto"/>
        <w:jc w:val="both"/>
        <w:rPr>
          <w:lang w:val="en-GB"/>
        </w:rPr>
      </w:pPr>
      <w:r w:rsidRPr="00B33FA6">
        <w:rPr>
          <w:lang w:val="en-GB"/>
        </w:rPr>
        <w:t>Grounded on the above</w:t>
      </w:r>
      <w:r>
        <w:rPr>
          <w:lang w:val="en-GB"/>
        </w:rPr>
        <w:t xml:space="preserve"> arguments</w:t>
      </w:r>
      <w:r w:rsidRPr="00B33FA6">
        <w:rPr>
          <w:lang w:val="en-GB"/>
        </w:rPr>
        <w:t>, several studies have looked into the link between male-female overconfidence (i.e., gender differences) and risk-taking behaviour (</w:t>
      </w:r>
      <w:proofErr w:type="spellStart"/>
      <w:r w:rsidRPr="00B33FA6">
        <w:rPr>
          <w:lang w:val="en-GB"/>
        </w:rPr>
        <w:t>Jiankoplos</w:t>
      </w:r>
      <w:proofErr w:type="spellEnd"/>
      <w:r w:rsidRPr="00B33FA6">
        <w:rPr>
          <w:lang w:val="en-GB"/>
        </w:rPr>
        <w:t xml:space="preserve"> </w:t>
      </w:r>
      <w:r>
        <w:rPr>
          <w:lang w:val="en-GB"/>
        </w:rPr>
        <w:t>and</w:t>
      </w:r>
      <w:r w:rsidRPr="00B33FA6">
        <w:rPr>
          <w:lang w:val="en-GB"/>
        </w:rPr>
        <w:t xml:space="preserve"> </w:t>
      </w:r>
      <w:proofErr w:type="spellStart"/>
      <w:r w:rsidRPr="00B33FA6">
        <w:rPr>
          <w:lang w:val="en-GB"/>
        </w:rPr>
        <w:t>Bernasek</w:t>
      </w:r>
      <w:proofErr w:type="spellEnd"/>
      <w:r w:rsidRPr="00B33FA6">
        <w:rPr>
          <w:lang w:val="en-GB"/>
        </w:rPr>
        <w:t xml:space="preserve"> 1998). The results indicate that women are risk averse in financing decisions </w:t>
      </w:r>
      <w:r w:rsidR="00C91C84">
        <w:rPr>
          <w:lang w:val="en-GB"/>
        </w:rPr>
        <w:t xml:space="preserve">as they are less </w:t>
      </w:r>
      <w:r w:rsidR="00C91C84" w:rsidRPr="00F33037">
        <w:rPr>
          <w:lang w:val="en-GB"/>
        </w:rPr>
        <w:t>likely to be overconfident compared to men</w:t>
      </w:r>
      <w:r w:rsidR="00C91C84" w:rsidRPr="00B33FA6">
        <w:rPr>
          <w:lang w:val="en-GB"/>
        </w:rPr>
        <w:t xml:space="preserve"> </w:t>
      </w:r>
      <w:r w:rsidR="00C91C84">
        <w:rPr>
          <w:lang w:val="en-GB"/>
        </w:rPr>
        <w:t>(</w:t>
      </w:r>
      <w:proofErr w:type="spellStart"/>
      <w:r w:rsidRPr="00B33FA6">
        <w:rPr>
          <w:lang w:val="en-GB"/>
        </w:rPr>
        <w:t>Niederle</w:t>
      </w:r>
      <w:proofErr w:type="spellEnd"/>
      <w:r w:rsidRPr="00B33FA6">
        <w:rPr>
          <w:lang w:val="en-GB"/>
        </w:rPr>
        <w:t xml:space="preserve"> </w:t>
      </w:r>
      <w:r>
        <w:rPr>
          <w:lang w:val="en-GB"/>
        </w:rPr>
        <w:t>and</w:t>
      </w:r>
      <w:r w:rsidRPr="00B33FA6">
        <w:rPr>
          <w:lang w:val="en-GB"/>
        </w:rPr>
        <w:t xml:space="preserve"> </w:t>
      </w:r>
      <w:proofErr w:type="spellStart"/>
      <w:r w:rsidRPr="00B33FA6">
        <w:rPr>
          <w:lang w:val="en-GB"/>
        </w:rPr>
        <w:t>Vesterlund</w:t>
      </w:r>
      <w:proofErr w:type="spellEnd"/>
      <w:r w:rsidR="00C91C84">
        <w:rPr>
          <w:lang w:val="en-GB"/>
        </w:rPr>
        <w:t xml:space="preserve">, </w:t>
      </w:r>
      <w:r w:rsidRPr="00B33FA6">
        <w:rPr>
          <w:lang w:val="en-GB"/>
        </w:rPr>
        <w:t>2007</w:t>
      </w:r>
      <w:r w:rsidR="00C91C84">
        <w:rPr>
          <w:lang w:val="en-GB"/>
        </w:rPr>
        <w:t>;</w:t>
      </w:r>
      <w:r w:rsidRPr="00B33FA6">
        <w:rPr>
          <w:lang w:val="en-GB"/>
        </w:rPr>
        <w:t xml:space="preserve"> Barber </w:t>
      </w:r>
      <w:r>
        <w:rPr>
          <w:lang w:val="en-GB"/>
        </w:rPr>
        <w:t>and</w:t>
      </w:r>
      <w:r w:rsidRPr="00B33FA6">
        <w:rPr>
          <w:lang w:val="en-GB"/>
        </w:rPr>
        <w:t xml:space="preserve"> </w:t>
      </w:r>
      <w:proofErr w:type="spellStart"/>
      <w:r w:rsidRPr="00B33FA6">
        <w:rPr>
          <w:lang w:val="en-GB"/>
        </w:rPr>
        <w:t>Odean</w:t>
      </w:r>
      <w:proofErr w:type="spellEnd"/>
      <w:r w:rsidR="00C91C84">
        <w:rPr>
          <w:lang w:val="en-GB"/>
        </w:rPr>
        <w:t xml:space="preserve">, </w:t>
      </w:r>
      <w:r w:rsidRPr="00B33FA6">
        <w:rPr>
          <w:lang w:val="en-GB"/>
        </w:rPr>
        <w:t>2001)</w:t>
      </w:r>
      <w:r w:rsidR="00C91C84">
        <w:rPr>
          <w:lang w:val="en-GB"/>
        </w:rPr>
        <w:t xml:space="preserve">. </w:t>
      </w:r>
      <w:r w:rsidRPr="00B33FA6">
        <w:rPr>
          <w:lang w:val="en-GB"/>
        </w:rPr>
        <w:t xml:space="preserve"> A number of studies, such as Farrell </w:t>
      </w:r>
      <w:r>
        <w:rPr>
          <w:lang w:val="en-GB"/>
        </w:rPr>
        <w:t>and</w:t>
      </w:r>
      <w:r w:rsidRPr="00B33FA6">
        <w:rPr>
          <w:lang w:val="en-GB"/>
        </w:rPr>
        <w:t xml:space="preserve"> Hersch (2005), Dowling </w:t>
      </w:r>
      <w:r>
        <w:rPr>
          <w:lang w:val="en-GB"/>
        </w:rPr>
        <w:t>and</w:t>
      </w:r>
      <w:r w:rsidRPr="00B33FA6">
        <w:rPr>
          <w:lang w:val="en-GB"/>
        </w:rPr>
        <w:t xml:space="preserve"> </w:t>
      </w:r>
      <w:proofErr w:type="spellStart"/>
      <w:r w:rsidRPr="00B33FA6">
        <w:rPr>
          <w:lang w:val="en-GB"/>
        </w:rPr>
        <w:t>Aribi</w:t>
      </w:r>
      <w:proofErr w:type="spellEnd"/>
      <w:r w:rsidRPr="00B33FA6">
        <w:rPr>
          <w:lang w:val="en-GB"/>
        </w:rPr>
        <w:t xml:space="preserve"> (2013) and </w:t>
      </w:r>
      <w:r w:rsidRPr="00B33FA6">
        <w:rPr>
          <w:color w:val="000000" w:themeColor="text1"/>
          <w:lang w:val="en-GB"/>
        </w:rPr>
        <w:t>Levi</w:t>
      </w:r>
      <w:r w:rsidR="00EF4DF4">
        <w:rPr>
          <w:color w:val="000000" w:themeColor="text1"/>
          <w:lang w:val="en-GB"/>
        </w:rPr>
        <w:t xml:space="preserve"> et al. </w:t>
      </w:r>
      <w:r w:rsidRPr="00B33FA6">
        <w:rPr>
          <w:lang w:val="en-GB"/>
        </w:rPr>
        <w:t xml:space="preserve">(2014), have provided support </w:t>
      </w:r>
      <w:r>
        <w:rPr>
          <w:lang w:val="en-GB"/>
        </w:rPr>
        <w:t>for</w:t>
      </w:r>
      <w:r w:rsidRPr="00B33FA6">
        <w:rPr>
          <w:lang w:val="en-GB"/>
        </w:rPr>
        <w:t xml:space="preserve"> the point </w:t>
      </w:r>
      <w:r>
        <w:rPr>
          <w:lang w:val="en-GB"/>
        </w:rPr>
        <w:t xml:space="preserve">of view </w:t>
      </w:r>
      <w:r w:rsidRPr="00B33FA6">
        <w:rPr>
          <w:lang w:val="en-GB"/>
        </w:rPr>
        <w:t xml:space="preserve">that women investors are risk averse. For example, Farrell </w:t>
      </w:r>
      <w:r>
        <w:rPr>
          <w:lang w:val="en-GB"/>
        </w:rPr>
        <w:t>and</w:t>
      </w:r>
      <w:r w:rsidRPr="00B33FA6">
        <w:rPr>
          <w:lang w:val="en-GB"/>
        </w:rPr>
        <w:t xml:space="preserve"> Hersch (2005) find firm</w:t>
      </w:r>
      <w:r>
        <w:rPr>
          <w:lang w:val="en-GB"/>
        </w:rPr>
        <w:t>s’</w:t>
      </w:r>
      <w:r w:rsidRPr="00B33FA6">
        <w:rPr>
          <w:lang w:val="en-GB"/>
        </w:rPr>
        <w:t xml:space="preserve"> risk is negatively </w:t>
      </w:r>
      <w:r>
        <w:rPr>
          <w:lang w:val="en-GB"/>
        </w:rPr>
        <w:t>associated with the number of</w:t>
      </w:r>
      <w:r w:rsidRPr="00B33FA6">
        <w:rPr>
          <w:lang w:val="en-GB"/>
        </w:rPr>
        <w:t xml:space="preserve"> female directors on corporate boards. Recent </w:t>
      </w:r>
      <w:r>
        <w:rPr>
          <w:lang w:val="en-GB"/>
        </w:rPr>
        <w:t>studies</w:t>
      </w:r>
      <w:r w:rsidRPr="00B33FA6">
        <w:rPr>
          <w:lang w:val="en-GB"/>
        </w:rPr>
        <w:t xml:space="preserve"> by </w:t>
      </w:r>
      <w:r w:rsidRPr="00B33FA6">
        <w:rPr>
          <w:color w:val="000000" w:themeColor="text1"/>
          <w:lang w:val="en-GB"/>
        </w:rPr>
        <w:t>Levi</w:t>
      </w:r>
      <w:r w:rsidR="00EF4DF4">
        <w:rPr>
          <w:color w:val="000000" w:themeColor="text1"/>
          <w:lang w:val="en-GB"/>
        </w:rPr>
        <w:t xml:space="preserve"> et al.</w:t>
      </w:r>
      <w:r w:rsidRPr="00B33FA6">
        <w:rPr>
          <w:lang w:val="en-GB"/>
        </w:rPr>
        <w:t xml:space="preserve"> (2014) report that female directors are likely to undertake less hostile acquisition strategies and </w:t>
      </w:r>
      <w:r>
        <w:rPr>
          <w:lang w:val="en-GB"/>
        </w:rPr>
        <w:t xml:space="preserve">that </w:t>
      </w:r>
      <w:r w:rsidRPr="00B33FA6">
        <w:rPr>
          <w:lang w:val="en-GB"/>
        </w:rPr>
        <w:t xml:space="preserve">they often pay lower bid premiums. </w:t>
      </w:r>
      <w:r w:rsidR="00C91C84">
        <w:rPr>
          <w:lang w:val="en-GB"/>
        </w:rPr>
        <w:t>In contrast to this</w:t>
      </w:r>
      <w:r w:rsidRPr="00B33FA6">
        <w:rPr>
          <w:lang w:val="en-GB"/>
        </w:rPr>
        <w:t xml:space="preserve">, Huang </w:t>
      </w:r>
      <w:r>
        <w:rPr>
          <w:lang w:val="en-GB"/>
        </w:rPr>
        <w:t>and</w:t>
      </w:r>
      <w:r w:rsidRPr="00B33FA6">
        <w:rPr>
          <w:lang w:val="en-GB"/>
        </w:rPr>
        <w:t xml:space="preserve"> </w:t>
      </w:r>
      <w:proofErr w:type="spellStart"/>
      <w:r w:rsidRPr="00B33FA6">
        <w:rPr>
          <w:lang w:val="en-GB"/>
        </w:rPr>
        <w:t>Kisgen</w:t>
      </w:r>
      <w:proofErr w:type="spellEnd"/>
      <w:r w:rsidRPr="00B33FA6">
        <w:rPr>
          <w:lang w:val="en-GB"/>
        </w:rPr>
        <w:t xml:space="preserve"> (2013) document that male directors undertake more mergers with lower returns and issue more debt compared to their female counterparts.</w:t>
      </w:r>
      <w:r w:rsidR="00DD5DE0">
        <w:rPr>
          <w:lang w:val="en-GB"/>
        </w:rPr>
        <w:t xml:space="preserve"> In this context, Lee, Hu and Maggie-Foley (2021) report that </w:t>
      </w:r>
      <w:r w:rsidR="00DD5DE0">
        <w:rPr>
          <w:lang w:val="en-GB"/>
        </w:rPr>
        <w:lastRenderedPageBreak/>
        <w:t>excessive debt-based CEO pay may lower firms’ investment on value enhancing policies like R&amp;D investment and hence might alleviate long-term firms’ achievements.</w:t>
      </w:r>
    </w:p>
    <w:p w14:paraId="3C07FACC" w14:textId="77777777" w:rsidR="009E5503" w:rsidRDefault="009E5503" w:rsidP="00C427A4">
      <w:pPr>
        <w:pStyle w:val="Default"/>
        <w:spacing w:line="480" w:lineRule="auto"/>
        <w:jc w:val="both"/>
      </w:pPr>
    </w:p>
    <w:p w14:paraId="192D3D80" w14:textId="0708A086" w:rsidR="00AE167B" w:rsidRPr="00B33FA6" w:rsidRDefault="00AE167B" w:rsidP="00AE167B">
      <w:pPr>
        <w:pStyle w:val="Default"/>
        <w:spacing w:line="480" w:lineRule="auto"/>
        <w:jc w:val="both"/>
        <w:rPr>
          <w:lang w:val="en-GB"/>
        </w:rPr>
      </w:pPr>
      <w:r w:rsidRPr="00B33FA6">
        <w:rPr>
          <w:lang w:val="en-GB"/>
        </w:rPr>
        <w:t xml:space="preserve">Few studies have looked into board gender diversity and M&amp;A. For example, Ben-Amar </w:t>
      </w:r>
      <w:r w:rsidR="00EF4DF4">
        <w:rPr>
          <w:lang w:val="en-GB"/>
        </w:rPr>
        <w:t>et al.</w:t>
      </w:r>
      <w:r w:rsidRPr="00B33FA6">
        <w:rPr>
          <w:lang w:val="en-GB"/>
        </w:rPr>
        <w:t xml:space="preserve"> (2013) find that demographic and strategic diversity can have mixed effect</w:t>
      </w:r>
      <w:r>
        <w:rPr>
          <w:lang w:val="en-GB"/>
        </w:rPr>
        <w:t>s</w:t>
      </w:r>
      <w:r w:rsidRPr="00B33FA6">
        <w:rPr>
          <w:lang w:val="en-GB"/>
        </w:rPr>
        <w:t xml:space="preserve">, depending on other contextual factors such as firms’ ownership concentration. </w:t>
      </w:r>
      <w:proofErr w:type="spellStart"/>
      <w:r w:rsidRPr="00B33FA6">
        <w:rPr>
          <w:lang w:val="en-GB"/>
        </w:rPr>
        <w:t>Parola</w:t>
      </w:r>
      <w:proofErr w:type="spellEnd"/>
      <w:r w:rsidR="00EF4DF4">
        <w:rPr>
          <w:lang w:val="en-GB"/>
        </w:rPr>
        <w:t xml:space="preserve"> et al.</w:t>
      </w:r>
      <w:r w:rsidRPr="00B33FA6">
        <w:rPr>
          <w:lang w:val="en-GB"/>
        </w:rPr>
        <w:t xml:space="preserve"> (2014) show that top management team (TMT) diversity has a favourable impact on pre-integration performance in comparison to post-integration performance.</w:t>
      </w:r>
      <w:r w:rsidR="0081056D">
        <w:rPr>
          <w:lang w:val="en-GB"/>
        </w:rPr>
        <w:t xml:space="preserve"> He et al. (2019) report that acquirer firms’ past association with targets is positively related to long-term profitability and this is more explicit when target specific knowledge and skill</w:t>
      </w:r>
      <w:r w:rsidR="00D0227D">
        <w:rPr>
          <w:lang w:val="en-GB"/>
        </w:rPr>
        <w:t xml:space="preserve"> are critical for merger success.</w:t>
      </w:r>
      <w:r w:rsidRPr="00B33FA6">
        <w:rPr>
          <w:lang w:val="en-GB"/>
        </w:rPr>
        <w:t xml:space="preserve"> In a related study, </w:t>
      </w:r>
      <w:proofErr w:type="spellStart"/>
      <w:r w:rsidRPr="00B33FA6">
        <w:rPr>
          <w:lang w:val="en-GB"/>
        </w:rPr>
        <w:t>Ravaonorohanta</w:t>
      </w:r>
      <w:proofErr w:type="spellEnd"/>
      <w:r w:rsidRPr="00B33FA6">
        <w:rPr>
          <w:lang w:val="en-GB"/>
        </w:rPr>
        <w:t xml:space="preserve"> (2020) documents that </w:t>
      </w:r>
      <w:r>
        <w:rPr>
          <w:lang w:val="en-GB"/>
        </w:rPr>
        <w:t xml:space="preserve">a </w:t>
      </w:r>
      <w:r w:rsidRPr="00B33FA6">
        <w:rPr>
          <w:lang w:val="en-GB"/>
        </w:rPr>
        <w:t>gender</w:t>
      </w:r>
      <w:r>
        <w:rPr>
          <w:lang w:val="en-GB"/>
        </w:rPr>
        <w:t>-</w:t>
      </w:r>
      <w:r w:rsidRPr="00B33FA6">
        <w:rPr>
          <w:lang w:val="en-GB"/>
        </w:rPr>
        <w:t>diverse board has a favourable impact on merger performance and reduced acquisition premiums in firms when there are fewer female members in the executive team, and speculates that managerial overconfidence may be a potential explanation. Our study is different from the above studies as none of these studies on gender and M&amp;A</w:t>
      </w:r>
      <w:r w:rsidR="00531868">
        <w:rPr>
          <w:lang w:val="en-GB"/>
        </w:rPr>
        <w:t xml:space="preserve"> have</w:t>
      </w:r>
      <w:r w:rsidRPr="00B33FA6">
        <w:rPr>
          <w:lang w:val="en-GB"/>
        </w:rPr>
        <w:t xml:space="preserve"> considered higher male representation on the board as a source of overconfidence. Given the theoretical and empirical evidence discussed above, this is a reasonable supposition.</w:t>
      </w:r>
    </w:p>
    <w:p w14:paraId="779D25B9" w14:textId="77777777" w:rsidR="00095F34" w:rsidRDefault="00095F34" w:rsidP="00C427A4">
      <w:pPr>
        <w:pStyle w:val="Default"/>
        <w:spacing w:line="480" w:lineRule="auto"/>
        <w:jc w:val="both"/>
      </w:pPr>
    </w:p>
    <w:p w14:paraId="62BD1C52" w14:textId="77777777" w:rsidR="00AE167B" w:rsidRPr="00B33FA6" w:rsidRDefault="00AE167B" w:rsidP="00AE167B">
      <w:pPr>
        <w:pStyle w:val="Heading2"/>
      </w:pPr>
      <w:r w:rsidRPr="00B33FA6">
        <w:t>Managerial overconfidence and M&amp;A</w:t>
      </w:r>
    </w:p>
    <w:p w14:paraId="0BF46835" w14:textId="2B107A8E" w:rsidR="00AE167B" w:rsidRPr="00B33FA6" w:rsidRDefault="00AE167B" w:rsidP="00AE167B">
      <w:pPr>
        <w:autoSpaceDE w:val="0"/>
        <w:autoSpaceDN w:val="0"/>
        <w:adjustRightInd w:val="0"/>
        <w:spacing w:line="480" w:lineRule="auto"/>
        <w:jc w:val="both"/>
        <w:rPr>
          <w:rFonts w:eastAsiaTheme="minorHAnsi"/>
          <w:color w:val="000000"/>
        </w:rPr>
      </w:pPr>
      <w:r w:rsidRPr="00B33FA6">
        <w:rPr>
          <w:color w:val="000000" w:themeColor="text1"/>
        </w:rPr>
        <w:t xml:space="preserve">Psychology literature advocates that people are overconfident when they think that the situation is under their command and something to which they are extremely dedicated (Langer 1975; March </w:t>
      </w:r>
      <w:r>
        <w:rPr>
          <w:color w:val="000000" w:themeColor="text1"/>
        </w:rPr>
        <w:t>and</w:t>
      </w:r>
      <w:r w:rsidRPr="00B33FA6">
        <w:rPr>
          <w:color w:val="000000" w:themeColor="text1"/>
        </w:rPr>
        <w:t xml:space="preserve"> Shapira 1987; Weinstein </w:t>
      </w:r>
      <w:r>
        <w:rPr>
          <w:color w:val="000000" w:themeColor="text1"/>
        </w:rPr>
        <w:t>and</w:t>
      </w:r>
      <w:r w:rsidRPr="00B33FA6">
        <w:rPr>
          <w:color w:val="000000" w:themeColor="text1"/>
        </w:rPr>
        <w:t xml:space="preserve"> Klein 2002).</w:t>
      </w:r>
      <w:r w:rsidRPr="00B33FA6">
        <w:rPr>
          <w:color w:val="FF0000"/>
        </w:rPr>
        <w:t xml:space="preserve"> </w:t>
      </w:r>
      <w:r w:rsidRPr="00B33FA6">
        <w:rPr>
          <w:color w:val="231F20"/>
        </w:rPr>
        <w:t xml:space="preserve">Several psychology and behavioural finance studies have identified this source of overconfidence as self-attribution bias, which refers to the trend where managers link successful firm strategies to their own achievements </w:t>
      </w:r>
      <w:r w:rsidRPr="00B33FA6">
        <w:rPr>
          <w:color w:val="231F20"/>
        </w:rPr>
        <w:lastRenderedPageBreak/>
        <w:t>but failures to external factors (</w:t>
      </w:r>
      <w:r w:rsidRPr="00B33FA6">
        <w:t xml:space="preserve">Kahneman </w:t>
      </w:r>
      <w:r>
        <w:t>and</w:t>
      </w:r>
      <w:r w:rsidRPr="00B33FA6">
        <w:t xml:space="preserve"> Tversky, 2000). Self-attribution bias has been observed in different areas of finance. For example, </w:t>
      </w:r>
      <w:r w:rsidRPr="00B33FA6">
        <w:rPr>
          <w:color w:val="000000" w:themeColor="text1"/>
        </w:rPr>
        <w:t>Daniel</w:t>
      </w:r>
      <w:r w:rsidR="00EF4DF4">
        <w:rPr>
          <w:color w:val="000000" w:themeColor="text1"/>
        </w:rPr>
        <w:t xml:space="preserve"> et al.</w:t>
      </w:r>
      <w:r w:rsidRPr="00B33FA6">
        <w:t xml:space="preserve"> (1998) attribute investor overconfidence to this bias; </w:t>
      </w:r>
      <w:r w:rsidRPr="00B33FA6">
        <w:rPr>
          <w:color w:val="231F20"/>
        </w:rPr>
        <w:t xml:space="preserve">Gervais </w:t>
      </w:r>
      <w:r>
        <w:rPr>
          <w:color w:val="231F20"/>
        </w:rPr>
        <w:t>and</w:t>
      </w:r>
      <w:r w:rsidRPr="00B33FA6">
        <w:rPr>
          <w:color w:val="231F20"/>
        </w:rPr>
        <w:t xml:space="preserve"> </w:t>
      </w:r>
      <w:proofErr w:type="spellStart"/>
      <w:r w:rsidRPr="00B33FA6">
        <w:rPr>
          <w:color w:val="231F20"/>
        </w:rPr>
        <w:t>Odean</w:t>
      </w:r>
      <w:proofErr w:type="spellEnd"/>
      <w:r w:rsidRPr="00B33FA6">
        <w:rPr>
          <w:color w:val="231F20"/>
        </w:rPr>
        <w:t xml:space="preserve"> (2001) state that self-attribution bias instigates traders to develop overconfidence; while </w:t>
      </w:r>
      <w:r w:rsidRPr="00B33FA6">
        <w:t xml:space="preserve">Hilary </w:t>
      </w:r>
      <w:r>
        <w:t>and</w:t>
      </w:r>
      <w:r w:rsidRPr="00B33FA6">
        <w:t xml:space="preserve"> </w:t>
      </w:r>
      <w:proofErr w:type="spellStart"/>
      <w:r w:rsidRPr="00B33FA6">
        <w:t>Menzly</w:t>
      </w:r>
      <w:proofErr w:type="spellEnd"/>
      <w:r w:rsidRPr="00B33FA6">
        <w:t xml:space="preserve"> (2006)</w:t>
      </w:r>
      <w:r w:rsidRPr="00B33FA6">
        <w:rPr>
          <w:color w:val="231F20"/>
        </w:rPr>
        <w:t xml:space="preserve"> document that those analysts with self-attribution bias become overconfident through their short-term success. Other studies on managerial overconfidence show that overconfident managers delay loss reporting by using less conservative accounting and this factor could not be mitigated by external corporate governance (Ahmed and </w:t>
      </w:r>
      <w:proofErr w:type="spellStart"/>
      <w:r w:rsidRPr="00B33FA6">
        <w:rPr>
          <w:color w:val="231F20"/>
        </w:rPr>
        <w:t>Duellman</w:t>
      </w:r>
      <w:proofErr w:type="spellEnd"/>
      <w:r w:rsidRPr="00B33FA6">
        <w:rPr>
          <w:color w:val="231F20"/>
        </w:rPr>
        <w:t xml:space="preserve"> 2013), give out higher audit fees for firms that do have a strong audit committee and tend to hire non-industry specialist auditors (</w:t>
      </w:r>
      <w:proofErr w:type="spellStart"/>
      <w:r w:rsidRPr="00B33FA6">
        <w:rPr>
          <w:rFonts w:eastAsiaTheme="minorHAnsi"/>
          <w:color w:val="000000"/>
        </w:rPr>
        <w:t>Duellman</w:t>
      </w:r>
      <w:proofErr w:type="spellEnd"/>
      <w:r w:rsidR="00EF4DF4">
        <w:rPr>
          <w:rFonts w:eastAsiaTheme="minorHAnsi"/>
          <w:color w:val="000000"/>
        </w:rPr>
        <w:t xml:space="preserve"> et al.</w:t>
      </w:r>
      <w:r w:rsidRPr="00B33FA6">
        <w:rPr>
          <w:rFonts w:eastAsiaTheme="minorHAnsi"/>
          <w:color w:val="000000"/>
        </w:rPr>
        <w:t xml:space="preserve"> 2015)</w:t>
      </w:r>
      <w:r w:rsidR="00DD5DE0">
        <w:rPr>
          <w:rFonts w:eastAsiaTheme="minorHAnsi"/>
          <w:color w:val="000000"/>
        </w:rPr>
        <w:t xml:space="preserve">, </w:t>
      </w:r>
      <w:r w:rsidR="00B24E85">
        <w:rPr>
          <w:rFonts w:eastAsiaTheme="minorHAnsi"/>
          <w:color w:val="000000"/>
        </w:rPr>
        <w:t>overconfident managers with higher managerial skills pay significantly lower audit fees and could pay significantly higher audit fees where there is board oversight (Mitra et al. 2019)</w:t>
      </w:r>
      <w:r w:rsidRPr="00B33FA6">
        <w:rPr>
          <w:rFonts w:eastAsiaTheme="minorHAnsi"/>
          <w:color w:val="000000"/>
        </w:rPr>
        <w:t>.</w:t>
      </w:r>
    </w:p>
    <w:p w14:paraId="3A4E7ABE" w14:textId="77777777" w:rsidR="009E5503" w:rsidRPr="00B235BC" w:rsidRDefault="009E5503" w:rsidP="00C427A4">
      <w:pPr>
        <w:autoSpaceDE w:val="0"/>
        <w:autoSpaceDN w:val="0"/>
        <w:adjustRightInd w:val="0"/>
        <w:spacing w:line="480" w:lineRule="auto"/>
        <w:jc w:val="both"/>
        <w:rPr>
          <w:color w:val="231F20"/>
          <w:lang w:val="en-US"/>
        </w:rPr>
      </w:pPr>
    </w:p>
    <w:p w14:paraId="6FC79B6B" w14:textId="6F264929" w:rsidR="00AE167B" w:rsidRPr="00B33FA6" w:rsidRDefault="00AE167B" w:rsidP="00AE167B">
      <w:pPr>
        <w:autoSpaceDE w:val="0"/>
        <w:autoSpaceDN w:val="0"/>
        <w:adjustRightInd w:val="0"/>
        <w:spacing w:line="480" w:lineRule="auto"/>
        <w:jc w:val="both"/>
        <w:rPr>
          <w:rFonts w:eastAsiaTheme="minorHAnsi"/>
        </w:rPr>
      </w:pPr>
      <w:r w:rsidRPr="00B33FA6">
        <w:rPr>
          <w:color w:val="000000" w:themeColor="text1"/>
        </w:rPr>
        <w:t>Regarding the relationship between overconfidence and M&amp;A, Roll’s (1986) study was the first attempt to assess the impact of managerial overconfidence and to document that takeover fights could cause winner’s curse. Roll (1986) put forward the hubris hypothesis</w:t>
      </w:r>
      <w:r>
        <w:rPr>
          <w:color w:val="000000" w:themeColor="text1"/>
        </w:rPr>
        <w:t>,</w:t>
      </w:r>
      <w:r w:rsidRPr="00B33FA6">
        <w:rPr>
          <w:color w:val="000000" w:themeColor="text1"/>
        </w:rPr>
        <w:t xml:space="preserve"> which advocates that acquirer firm</w:t>
      </w:r>
      <w:r>
        <w:rPr>
          <w:color w:val="000000" w:themeColor="text1"/>
        </w:rPr>
        <w:t>s’</w:t>
      </w:r>
      <w:r w:rsidRPr="00B33FA6">
        <w:rPr>
          <w:color w:val="000000" w:themeColor="text1"/>
        </w:rPr>
        <w:t xml:space="preserve"> managers could be overconfident and overestimate the potential gains of a takeover, thereby destroying firm value. After</w:t>
      </w:r>
      <w:r>
        <w:rPr>
          <w:color w:val="000000" w:themeColor="text1"/>
        </w:rPr>
        <w:t xml:space="preserve"> Roll’s (1986) seminal paper was published</w:t>
      </w:r>
      <w:r w:rsidRPr="00B33FA6">
        <w:rPr>
          <w:color w:val="000000" w:themeColor="text1"/>
        </w:rPr>
        <w:t xml:space="preserve">, </w:t>
      </w:r>
      <w:r w:rsidRPr="00B33FA6">
        <w:rPr>
          <w:color w:val="231F20"/>
        </w:rPr>
        <w:t>several researchers investigate</w:t>
      </w:r>
      <w:r>
        <w:rPr>
          <w:color w:val="231F20"/>
        </w:rPr>
        <w:t>d</w:t>
      </w:r>
      <w:r w:rsidRPr="00B33FA6">
        <w:rPr>
          <w:color w:val="231F20"/>
        </w:rPr>
        <w:t xml:space="preserve"> the impact of managerial hubris on M&amp;A. For instance, Hayward </w:t>
      </w:r>
      <w:r>
        <w:rPr>
          <w:color w:val="231F20"/>
        </w:rPr>
        <w:t>and</w:t>
      </w:r>
      <w:r w:rsidRPr="00B33FA6">
        <w:rPr>
          <w:color w:val="231F20"/>
        </w:rPr>
        <w:t xml:space="preserve"> Hambrick (1997) examine Roll’s hubris hypothesis and find evidence to suggest that CEO overconfidence leads to overbidding of target firms. </w:t>
      </w:r>
      <w:proofErr w:type="spellStart"/>
      <w:r w:rsidRPr="00B33FA6">
        <w:rPr>
          <w:color w:val="231F20"/>
        </w:rPr>
        <w:t>Malmendier</w:t>
      </w:r>
      <w:proofErr w:type="spellEnd"/>
      <w:r w:rsidRPr="00B33FA6">
        <w:rPr>
          <w:color w:val="231F20"/>
        </w:rPr>
        <w:t xml:space="preserve"> </w:t>
      </w:r>
      <w:r>
        <w:rPr>
          <w:color w:val="231F20"/>
        </w:rPr>
        <w:t>and</w:t>
      </w:r>
      <w:r w:rsidRPr="00B33FA6">
        <w:rPr>
          <w:color w:val="231F20"/>
        </w:rPr>
        <w:t xml:space="preserve"> Tate (2005) investigate the link between M&amp;A and managerial overconfidence in the context of US data, and find greater mean acquisitiveness by overconfident CEOs. In the context of the UK, Doukas </w:t>
      </w:r>
      <w:r>
        <w:rPr>
          <w:color w:val="231F20"/>
        </w:rPr>
        <w:t>and</w:t>
      </w:r>
      <w:r w:rsidRPr="00B33FA6">
        <w:rPr>
          <w:color w:val="231F20"/>
        </w:rPr>
        <w:t xml:space="preserve"> </w:t>
      </w:r>
      <w:proofErr w:type="spellStart"/>
      <w:r w:rsidRPr="00B33FA6">
        <w:rPr>
          <w:color w:val="231F20"/>
        </w:rPr>
        <w:t>Petmezas</w:t>
      </w:r>
      <w:proofErr w:type="spellEnd"/>
      <w:r w:rsidRPr="00B33FA6">
        <w:rPr>
          <w:color w:val="231F20"/>
        </w:rPr>
        <w:t xml:space="preserve"> (2007) look into managerial overconfidence of private targets and find </w:t>
      </w:r>
      <w:r w:rsidRPr="00B33FA6">
        <w:rPr>
          <w:color w:val="231F20"/>
        </w:rPr>
        <w:lastRenderedPageBreak/>
        <w:t>that overconfident acquirers obtain lower acquisition announcement returns in comparison to rational acquirers and demonstrate weak long-term performance. Conversely, using data from Chinese listed companies, Guo</w:t>
      </w:r>
      <w:r w:rsidR="00EF4DF4">
        <w:rPr>
          <w:color w:val="231F20"/>
        </w:rPr>
        <w:t xml:space="preserve"> et al.</w:t>
      </w:r>
      <w:r w:rsidRPr="00B33FA6">
        <w:rPr>
          <w:rFonts w:eastAsiaTheme="minorHAnsi"/>
          <w:sz w:val="18"/>
          <w:szCs w:val="18"/>
        </w:rPr>
        <w:t xml:space="preserve"> </w:t>
      </w:r>
      <w:r w:rsidRPr="00B33FA6">
        <w:rPr>
          <w:rFonts w:eastAsiaTheme="minorHAnsi"/>
        </w:rPr>
        <w:t xml:space="preserve">(2020) find that market reaction is favourable for M&amp;A deals in firms with overconfident managers. </w:t>
      </w:r>
      <w:r w:rsidR="006236BB">
        <w:rPr>
          <w:rFonts w:eastAsiaTheme="minorHAnsi"/>
        </w:rPr>
        <w:t xml:space="preserve">In similar vein, </w:t>
      </w:r>
      <w:proofErr w:type="gramStart"/>
      <w:r w:rsidR="006236BB">
        <w:rPr>
          <w:rFonts w:eastAsiaTheme="minorHAnsi"/>
        </w:rPr>
        <w:t>Pan</w:t>
      </w:r>
      <w:proofErr w:type="gramEnd"/>
      <w:r w:rsidR="006236BB">
        <w:rPr>
          <w:rFonts w:eastAsiaTheme="minorHAnsi"/>
        </w:rPr>
        <w:t xml:space="preserve"> et al (2019) show that managerial overconfidence leads to positive M&amp;A premium and this result is more prominent for firms with higher debt capacity.</w:t>
      </w:r>
    </w:p>
    <w:p w14:paraId="57A25440" w14:textId="77777777" w:rsidR="009E5503" w:rsidRPr="00643F4F" w:rsidRDefault="009E5503" w:rsidP="00C427A4">
      <w:pPr>
        <w:autoSpaceDE w:val="0"/>
        <w:autoSpaceDN w:val="0"/>
        <w:adjustRightInd w:val="0"/>
        <w:spacing w:line="480" w:lineRule="auto"/>
        <w:jc w:val="both"/>
        <w:rPr>
          <w:color w:val="231F20"/>
          <w:lang w:val="en-US"/>
        </w:rPr>
      </w:pPr>
    </w:p>
    <w:p w14:paraId="0987092C" w14:textId="40B246F4" w:rsidR="00CE2C76" w:rsidRPr="00B33FA6" w:rsidRDefault="00CE2C76" w:rsidP="00CE2C76">
      <w:pPr>
        <w:autoSpaceDE w:val="0"/>
        <w:autoSpaceDN w:val="0"/>
        <w:adjustRightInd w:val="0"/>
        <w:spacing w:line="480" w:lineRule="auto"/>
        <w:jc w:val="both"/>
        <w:rPr>
          <w:color w:val="231F20"/>
        </w:rPr>
      </w:pPr>
      <w:r w:rsidRPr="00B33FA6">
        <w:rPr>
          <w:color w:val="231F20"/>
        </w:rPr>
        <w:t xml:space="preserve">The above studies </w:t>
      </w:r>
      <w:r>
        <w:rPr>
          <w:color w:val="231F20"/>
        </w:rPr>
        <w:t>posit</w:t>
      </w:r>
      <w:r w:rsidRPr="00B33FA6">
        <w:rPr>
          <w:color w:val="231F20"/>
        </w:rPr>
        <w:t xml:space="preserve"> that CEOs suffer from cognitive biases and hence they feel that they have excellent decision-making skills, which are reflected in their underestimation of merger risks and overestimation of synergistic gains from acquisitions. Driven by self-attribution bias, CEOs become overconfident through the success of their first acquisitions and undertake multiple acquisitions within a short time span. </w:t>
      </w:r>
      <w:proofErr w:type="spellStart"/>
      <w:r w:rsidRPr="00B33FA6">
        <w:rPr>
          <w:color w:val="231F20"/>
        </w:rPr>
        <w:t>Malmendier</w:t>
      </w:r>
      <w:proofErr w:type="spellEnd"/>
      <w:r w:rsidRPr="00B33FA6">
        <w:rPr>
          <w:color w:val="231F20"/>
        </w:rPr>
        <w:t xml:space="preserve"> </w:t>
      </w:r>
      <w:r>
        <w:rPr>
          <w:color w:val="231F20"/>
        </w:rPr>
        <w:t>and</w:t>
      </w:r>
      <w:r w:rsidRPr="00B33FA6">
        <w:rPr>
          <w:color w:val="231F20"/>
        </w:rPr>
        <w:t xml:space="preserve"> Tate (2004) document that this overestimation stems from managers’ belief that they have superior leadership attributes. Doukas </w:t>
      </w:r>
      <w:r>
        <w:rPr>
          <w:color w:val="231F20"/>
        </w:rPr>
        <w:t>and</w:t>
      </w:r>
      <w:r w:rsidRPr="00B33FA6">
        <w:rPr>
          <w:color w:val="231F20"/>
        </w:rPr>
        <w:t xml:space="preserve"> </w:t>
      </w:r>
      <w:proofErr w:type="spellStart"/>
      <w:r w:rsidRPr="00B33FA6">
        <w:rPr>
          <w:color w:val="231F20"/>
        </w:rPr>
        <w:t>Petmezas</w:t>
      </w:r>
      <w:proofErr w:type="spellEnd"/>
      <w:r w:rsidRPr="00B33FA6">
        <w:rPr>
          <w:color w:val="231F20"/>
        </w:rPr>
        <w:t xml:space="preserve"> (2007)</w:t>
      </w:r>
      <w:r w:rsidRPr="00B33FA6">
        <w:rPr>
          <w:rStyle w:val="FootnoteReference"/>
          <w:color w:val="231F20"/>
        </w:rPr>
        <w:footnoteReference w:id="8"/>
      </w:r>
      <w:r w:rsidRPr="00B33FA6">
        <w:rPr>
          <w:color w:val="231F20"/>
        </w:rPr>
        <w:t xml:space="preserve"> and Billet </w:t>
      </w:r>
      <w:r>
        <w:rPr>
          <w:color w:val="231F20"/>
        </w:rPr>
        <w:t>and</w:t>
      </w:r>
      <w:r w:rsidRPr="00B33FA6">
        <w:rPr>
          <w:color w:val="231F20"/>
        </w:rPr>
        <w:t xml:space="preserve"> Qian (2008) show that multiple acquisition is a sign of managerial overconfidence and this is manifested by the fact that deals with five or more acquisitions in a span of three years are </w:t>
      </w:r>
      <w:r>
        <w:rPr>
          <w:color w:val="231F20"/>
        </w:rPr>
        <w:t xml:space="preserve">more strongly </w:t>
      </w:r>
      <w:r w:rsidRPr="00B33FA6">
        <w:rPr>
          <w:color w:val="231F20"/>
        </w:rPr>
        <w:t>linked with poor value creation than first deals. Multiple acquisitions by corporate managers are equivalent to overconfident analysts who believe in their superior stock</w:t>
      </w:r>
      <w:r>
        <w:rPr>
          <w:color w:val="231F20"/>
        </w:rPr>
        <w:t>-</w:t>
      </w:r>
      <w:r w:rsidRPr="00B33FA6">
        <w:rPr>
          <w:color w:val="231F20"/>
        </w:rPr>
        <w:t xml:space="preserve">picking skills that actually lead to subsequent poorer returns (Doukas </w:t>
      </w:r>
      <w:r>
        <w:rPr>
          <w:color w:val="231F20"/>
        </w:rPr>
        <w:t>and</w:t>
      </w:r>
      <w:r w:rsidRPr="00B33FA6">
        <w:rPr>
          <w:color w:val="231F20"/>
        </w:rPr>
        <w:t xml:space="preserve"> </w:t>
      </w:r>
      <w:proofErr w:type="spellStart"/>
      <w:r w:rsidRPr="00B33FA6">
        <w:rPr>
          <w:color w:val="231F20"/>
        </w:rPr>
        <w:t>Petmezas</w:t>
      </w:r>
      <w:proofErr w:type="spellEnd"/>
      <w:r w:rsidRPr="00B33FA6">
        <w:rPr>
          <w:color w:val="231F20"/>
        </w:rPr>
        <w:t xml:space="preserve"> 2007). Multiple acquirers are analogous to models of investor overconfidence that forecast high trading volume by overconfident traders (</w:t>
      </w:r>
      <w:proofErr w:type="spellStart"/>
      <w:r w:rsidRPr="00B33FA6">
        <w:rPr>
          <w:color w:val="231F20"/>
        </w:rPr>
        <w:t>Odean</w:t>
      </w:r>
      <w:proofErr w:type="spellEnd"/>
      <w:r w:rsidRPr="00B33FA6">
        <w:rPr>
          <w:color w:val="231F20"/>
        </w:rPr>
        <w:t xml:space="preserve"> 1998). The link between multiple acquisitions and overconfidence can also be traced to the notion that overconfidence increases the likelihood of succeeding in contests.</w:t>
      </w:r>
      <w:r>
        <w:rPr>
          <w:color w:val="231F20"/>
        </w:rPr>
        <w:t xml:space="preserve"> More recently,</w:t>
      </w:r>
      <w:r w:rsidRPr="0043091D">
        <w:t xml:space="preserve"> </w:t>
      </w:r>
      <w:r w:rsidRPr="0043091D">
        <w:rPr>
          <w:color w:val="231F20"/>
        </w:rPr>
        <w:t>Li</w:t>
      </w:r>
      <w:r w:rsidR="00EF4DF4">
        <w:rPr>
          <w:color w:val="231F20"/>
        </w:rPr>
        <w:t xml:space="preserve"> et al. </w:t>
      </w:r>
      <w:r>
        <w:rPr>
          <w:color w:val="231F20"/>
        </w:rPr>
        <w:t>(</w:t>
      </w:r>
      <w:r w:rsidRPr="0043091D">
        <w:rPr>
          <w:color w:val="231F20"/>
        </w:rPr>
        <w:t>2021)</w:t>
      </w:r>
      <w:r>
        <w:rPr>
          <w:color w:val="231F20"/>
        </w:rPr>
        <w:t xml:space="preserve"> analyse the difference in the time between M&amp;A deals in 81 countries and </w:t>
      </w:r>
      <w:r>
        <w:rPr>
          <w:color w:val="231F20"/>
        </w:rPr>
        <w:lastRenderedPageBreak/>
        <w:t>document that multiple</w:t>
      </w:r>
      <w:r w:rsidRPr="00AF1E2D">
        <w:t xml:space="preserve"> </w:t>
      </w:r>
      <w:r w:rsidRPr="00AF1E2D">
        <w:rPr>
          <w:color w:val="231F20"/>
        </w:rPr>
        <w:t>mergers</w:t>
      </w:r>
      <w:r>
        <w:rPr>
          <w:color w:val="231F20"/>
        </w:rPr>
        <w:t xml:space="preserve"> undertaken in a short span of time</w:t>
      </w:r>
      <w:r w:rsidRPr="00AF1E2D">
        <w:rPr>
          <w:color w:val="231F20"/>
        </w:rPr>
        <w:t xml:space="preserve"> generate lower abnormal returns</w:t>
      </w:r>
      <w:r>
        <w:rPr>
          <w:color w:val="231F20"/>
        </w:rPr>
        <w:t>. However</w:t>
      </w:r>
      <w:r w:rsidRPr="00B33FA6">
        <w:rPr>
          <w:color w:val="231F20"/>
        </w:rPr>
        <w:t xml:space="preserve">, none of these extant studies have examined the effect of </w:t>
      </w:r>
      <w:r>
        <w:rPr>
          <w:color w:val="231F20"/>
        </w:rPr>
        <w:t xml:space="preserve">managers’ </w:t>
      </w:r>
      <w:r w:rsidRPr="00B33FA6">
        <w:rPr>
          <w:color w:val="231F20"/>
        </w:rPr>
        <w:t>overconfidence on M&amp;A in the post-financial crisis phase in the UK, which was characteri</w:t>
      </w:r>
      <w:r>
        <w:rPr>
          <w:color w:val="231F20"/>
        </w:rPr>
        <w:t>s</w:t>
      </w:r>
      <w:r w:rsidRPr="00B33FA6">
        <w:rPr>
          <w:color w:val="231F20"/>
        </w:rPr>
        <w:t>ed by significant regulatory overhaul, and this study addresses that gap.</w:t>
      </w:r>
    </w:p>
    <w:p w14:paraId="1C77A25F" w14:textId="77777777" w:rsidR="009E5503" w:rsidRDefault="009E5503" w:rsidP="00C427A4">
      <w:pPr>
        <w:autoSpaceDE w:val="0"/>
        <w:autoSpaceDN w:val="0"/>
        <w:adjustRightInd w:val="0"/>
        <w:spacing w:line="480" w:lineRule="auto"/>
        <w:jc w:val="both"/>
        <w:rPr>
          <w:color w:val="231F20"/>
          <w:lang w:val="en-US"/>
        </w:rPr>
      </w:pPr>
    </w:p>
    <w:p w14:paraId="349CD1A2" w14:textId="77777777" w:rsidR="00CE2C76" w:rsidRPr="00B33FA6" w:rsidRDefault="00CE2C76" w:rsidP="00CE2C76">
      <w:pPr>
        <w:pStyle w:val="Heading2"/>
      </w:pPr>
      <w:r w:rsidRPr="00B33FA6">
        <w:t>Empirical evidence on merger characteristics</w:t>
      </w:r>
    </w:p>
    <w:p w14:paraId="7F22F363" w14:textId="4B2D90A4" w:rsidR="00CE2C76" w:rsidRPr="00B33FA6" w:rsidRDefault="00CE2C76" w:rsidP="00D80BCC">
      <w:pPr>
        <w:spacing w:line="480" w:lineRule="auto"/>
        <w:jc w:val="both"/>
      </w:pPr>
      <w:r w:rsidRPr="00B33FA6">
        <w:t>M&amp;As can be distinguished by the method of payment</w:t>
      </w:r>
      <w:r>
        <w:t>,</w:t>
      </w:r>
      <w:r w:rsidRPr="00B33FA6">
        <w:t xml:space="preserve"> i.e. cash versus stock payment</w:t>
      </w:r>
      <w:r>
        <w:t>,</w:t>
      </w:r>
      <w:r w:rsidRPr="00B33FA6">
        <w:t xml:space="preserve"> and the nature of the M&amp;A</w:t>
      </w:r>
      <w:r>
        <w:t>,</w:t>
      </w:r>
      <w:r w:rsidRPr="00B33FA6">
        <w:t xml:space="preserve"> i.e. diversifying versus related M&amp;As. </w:t>
      </w:r>
      <w:r w:rsidR="00D80BCC">
        <w:rPr>
          <w:color w:val="000000" w:themeColor="text1"/>
        </w:rPr>
        <w:t xml:space="preserve">Jory et al. (2020) report that stock acquirers that are overvalued, earn lower profit and face financial limitation are more prone to stock price crash. </w:t>
      </w:r>
      <w:r w:rsidRPr="00B33FA6">
        <w:t xml:space="preserve">Extant studies manifest that M&amp;A characterised by cash payment are driven by managerial overconfidence. These studies contend that managers pursue acquisitions when they have ample internal resources and hence use cash to finance their mergers instead of equity (Brown </w:t>
      </w:r>
      <w:r>
        <w:t>and</w:t>
      </w:r>
      <w:r w:rsidRPr="00B33FA6">
        <w:t xml:space="preserve"> </w:t>
      </w:r>
      <w:proofErr w:type="spellStart"/>
      <w:r w:rsidRPr="00B33FA6">
        <w:t>Sarma</w:t>
      </w:r>
      <w:proofErr w:type="spellEnd"/>
      <w:r w:rsidRPr="00B33FA6">
        <w:t xml:space="preserve"> 2007; </w:t>
      </w:r>
      <w:proofErr w:type="spellStart"/>
      <w:r w:rsidRPr="00B33FA6">
        <w:t>Malmendier</w:t>
      </w:r>
      <w:proofErr w:type="spellEnd"/>
      <w:r w:rsidRPr="00B33FA6">
        <w:t xml:space="preserve"> </w:t>
      </w:r>
      <w:r>
        <w:t>and</w:t>
      </w:r>
      <w:r w:rsidRPr="00B33FA6">
        <w:t xml:space="preserve"> Tate 2008; </w:t>
      </w:r>
      <w:r w:rsidRPr="00B33FA6">
        <w:rPr>
          <w:color w:val="000000" w:themeColor="text1"/>
        </w:rPr>
        <w:t>Ferris</w:t>
      </w:r>
      <w:r w:rsidR="00450D00">
        <w:rPr>
          <w:color w:val="000000" w:themeColor="text1"/>
        </w:rPr>
        <w:t xml:space="preserve"> et al.</w:t>
      </w:r>
      <w:r w:rsidRPr="00B33FA6">
        <w:t xml:space="preserve"> 2013). In addition, Doukas </w:t>
      </w:r>
      <w:r>
        <w:t>and</w:t>
      </w:r>
      <w:r w:rsidRPr="00B33FA6">
        <w:t xml:space="preserve"> </w:t>
      </w:r>
      <w:proofErr w:type="spellStart"/>
      <w:r w:rsidRPr="00B33FA6">
        <w:t>Petmezas</w:t>
      </w:r>
      <w:proofErr w:type="spellEnd"/>
      <w:r w:rsidRPr="00B33FA6">
        <w:t xml:space="preserve"> (2007) and </w:t>
      </w:r>
      <w:proofErr w:type="spellStart"/>
      <w:r w:rsidRPr="00B33FA6">
        <w:t>Malmendier</w:t>
      </w:r>
      <w:proofErr w:type="spellEnd"/>
      <w:r w:rsidRPr="00B33FA6">
        <w:t xml:space="preserve"> </w:t>
      </w:r>
      <w:r>
        <w:t>and</w:t>
      </w:r>
      <w:r w:rsidRPr="00B33FA6">
        <w:t xml:space="preserve"> Tate (2008) also contend that managers driven by overconfidence based on their leadership attributes and chosen investment projects may overestimate the value of their firms and believe that their equity is undervalued. In</w:t>
      </w:r>
      <w:r w:rsidR="00C91C84">
        <w:t xml:space="preserve"> a</w:t>
      </w:r>
      <w:r w:rsidRPr="00B33FA6">
        <w:t xml:space="preserve"> similar vein, </w:t>
      </w:r>
      <w:proofErr w:type="spellStart"/>
      <w:r w:rsidRPr="00B33FA6">
        <w:t>Malmendier</w:t>
      </w:r>
      <w:proofErr w:type="spellEnd"/>
      <w:r w:rsidRPr="00B33FA6">
        <w:t xml:space="preserve"> </w:t>
      </w:r>
      <w:r>
        <w:t>and</w:t>
      </w:r>
      <w:r w:rsidRPr="00B33FA6">
        <w:t xml:space="preserve"> Tate (2004) </w:t>
      </w:r>
      <w:r>
        <w:t>suggest</w:t>
      </w:r>
      <w:r w:rsidRPr="00B33FA6">
        <w:t xml:space="preserve"> that overconfident CEOs will undertake value-destroying acquisitions if the forecasted gains and equity undervaluation are significantly large. These types of M&amp;A tend to use cash as the payment method. Given these discourses, we use cash financed M&amp;A as our third measure of managerial overconfidence.</w:t>
      </w:r>
    </w:p>
    <w:p w14:paraId="7AE01E5D" w14:textId="77777777" w:rsidR="009E5503" w:rsidRDefault="009E5503" w:rsidP="00E04147">
      <w:pPr>
        <w:pStyle w:val="ListParagraph"/>
        <w:spacing w:line="480" w:lineRule="auto"/>
        <w:ind w:left="0"/>
        <w:jc w:val="both"/>
        <w:rPr>
          <w:rFonts w:ascii="Times New Roman" w:hAnsi="Times New Roman" w:cs="Times New Roman"/>
        </w:rPr>
      </w:pPr>
    </w:p>
    <w:p w14:paraId="02F9CA4D" w14:textId="14B3F32A" w:rsidR="00CE2C76" w:rsidRPr="00B33FA6" w:rsidRDefault="00CE2C76" w:rsidP="00CE2C76">
      <w:pPr>
        <w:pStyle w:val="ListParagraph"/>
        <w:spacing w:line="480" w:lineRule="auto"/>
        <w:ind w:left="0"/>
        <w:jc w:val="both"/>
        <w:rPr>
          <w:rFonts w:ascii="Times New Roman" w:hAnsi="Times New Roman" w:cs="Times New Roman"/>
        </w:rPr>
      </w:pPr>
      <w:r w:rsidRPr="00B33FA6">
        <w:rPr>
          <w:rFonts w:ascii="Times New Roman" w:hAnsi="Times New Roman" w:cs="Times New Roman"/>
          <w:color w:val="000000" w:themeColor="text1"/>
        </w:rPr>
        <w:t>Ferris, Jayaraman</w:t>
      </w:r>
      <w:r>
        <w:rPr>
          <w:rFonts w:ascii="Times New Roman" w:hAnsi="Times New Roman" w:cs="Times New Roman"/>
          <w:color w:val="000000" w:themeColor="text1"/>
        </w:rPr>
        <w:t xml:space="preserve"> and</w:t>
      </w:r>
      <w:r w:rsidRPr="00B33FA6">
        <w:rPr>
          <w:rFonts w:ascii="Times New Roman" w:hAnsi="Times New Roman" w:cs="Times New Roman"/>
          <w:color w:val="000000" w:themeColor="text1"/>
        </w:rPr>
        <w:t xml:space="preserve"> </w:t>
      </w:r>
      <w:proofErr w:type="spellStart"/>
      <w:r w:rsidRPr="00B33FA6">
        <w:rPr>
          <w:rFonts w:ascii="Times New Roman" w:hAnsi="Times New Roman" w:cs="Times New Roman"/>
          <w:color w:val="000000" w:themeColor="text1"/>
        </w:rPr>
        <w:t>Sabherwal</w:t>
      </w:r>
      <w:proofErr w:type="spellEnd"/>
      <w:r w:rsidRPr="00B33FA6">
        <w:rPr>
          <w:rFonts w:ascii="Times New Roman" w:hAnsi="Times New Roman" w:cs="Times New Roman"/>
        </w:rPr>
        <w:t xml:space="preserve"> (2013) argue that diversifying mergers are risky as the firm has no experience in that sector</w:t>
      </w:r>
      <w:r>
        <w:rPr>
          <w:rFonts w:ascii="Times New Roman" w:hAnsi="Times New Roman" w:cs="Times New Roman"/>
        </w:rPr>
        <w:t>, s</w:t>
      </w:r>
      <w:r w:rsidRPr="00B33FA6">
        <w:rPr>
          <w:rFonts w:ascii="Times New Roman" w:hAnsi="Times New Roman" w:cs="Times New Roman"/>
        </w:rPr>
        <w:t>o managers depend more on their instincts</w:t>
      </w:r>
      <w:r>
        <w:rPr>
          <w:rFonts w:ascii="Times New Roman" w:hAnsi="Times New Roman" w:cs="Times New Roman"/>
        </w:rPr>
        <w:t>, which</w:t>
      </w:r>
      <w:r w:rsidRPr="00B33FA6">
        <w:rPr>
          <w:rFonts w:ascii="Times New Roman" w:hAnsi="Times New Roman" w:cs="Times New Roman"/>
        </w:rPr>
        <w:t xml:space="preserve"> may be linked with greater behavioural biases (Kahneman 2003)</w:t>
      </w:r>
      <w:r>
        <w:rPr>
          <w:rFonts w:ascii="Times New Roman" w:hAnsi="Times New Roman" w:cs="Times New Roman"/>
        </w:rPr>
        <w:t>,</w:t>
      </w:r>
      <w:r w:rsidRPr="00B33FA6">
        <w:rPr>
          <w:rFonts w:ascii="Times New Roman" w:hAnsi="Times New Roman" w:cs="Times New Roman"/>
        </w:rPr>
        <w:t xml:space="preserve"> and hence managerial </w:t>
      </w:r>
      <w:r w:rsidRPr="00B33FA6">
        <w:rPr>
          <w:rFonts w:ascii="Times New Roman" w:hAnsi="Times New Roman" w:cs="Times New Roman"/>
        </w:rPr>
        <w:lastRenderedPageBreak/>
        <w:t xml:space="preserve">overconfidence can push this type of merger. </w:t>
      </w:r>
      <w:proofErr w:type="spellStart"/>
      <w:r w:rsidRPr="00B33FA6">
        <w:rPr>
          <w:rFonts w:ascii="Times New Roman" w:hAnsi="Times New Roman" w:cs="Times New Roman"/>
          <w:color w:val="000000" w:themeColor="text1"/>
        </w:rPr>
        <w:t>Morck</w:t>
      </w:r>
      <w:proofErr w:type="spellEnd"/>
      <w:r w:rsidR="00EF4DF4">
        <w:rPr>
          <w:rFonts w:ascii="Times New Roman" w:hAnsi="Times New Roman" w:cs="Times New Roman"/>
          <w:color w:val="000000" w:themeColor="text1"/>
        </w:rPr>
        <w:t xml:space="preserve"> et al. </w:t>
      </w:r>
      <w:r w:rsidRPr="00B33FA6">
        <w:rPr>
          <w:rFonts w:ascii="Times New Roman" w:hAnsi="Times New Roman" w:cs="Times New Roman"/>
        </w:rPr>
        <w:t>(1990) document negative announcement period returns for diversifying M&amp;A. Following these studies, we relate diversifying M&amp;A to managerial overconfidence.</w:t>
      </w:r>
    </w:p>
    <w:p w14:paraId="04D6B274" w14:textId="77777777" w:rsidR="00CE2C76" w:rsidRPr="00B33FA6" w:rsidRDefault="00CE2C76" w:rsidP="00CE2C76">
      <w:pPr>
        <w:pStyle w:val="Heading1"/>
        <w:rPr>
          <w:color w:val="231F20"/>
        </w:rPr>
      </w:pPr>
      <w:r w:rsidRPr="00B33FA6">
        <w:t>Hypothes</w:t>
      </w:r>
      <w:r>
        <w:t>e</w:t>
      </w:r>
      <w:r w:rsidRPr="00B33FA6">
        <w:t>s development</w:t>
      </w:r>
    </w:p>
    <w:p w14:paraId="3B88B2CE" w14:textId="77777777" w:rsidR="00CE2C76" w:rsidRPr="00B33FA6" w:rsidRDefault="00CE2C76" w:rsidP="00CE2C76">
      <w:pPr>
        <w:pStyle w:val="Heading2"/>
      </w:pPr>
      <w:r w:rsidRPr="00B33FA6">
        <w:t>Overconfidence and gender</w:t>
      </w:r>
    </w:p>
    <w:p w14:paraId="06405830" w14:textId="1D36697D" w:rsidR="00CE2C76" w:rsidRPr="00B33FA6" w:rsidRDefault="00CE2C76" w:rsidP="00CE2C76">
      <w:pPr>
        <w:spacing w:line="480" w:lineRule="auto"/>
        <w:jc w:val="both"/>
        <w:rPr>
          <w:color w:val="000000" w:themeColor="text1"/>
        </w:rPr>
      </w:pPr>
      <w:r w:rsidRPr="00B33FA6">
        <w:rPr>
          <w:color w:val="000000" w:themeColor="text1"/>
        </w:rPr>
        <w:t xml:space="preserve">The empirical evidence discussed </w:t>
      </w:r>
      <w:r w:rsidR="00C91C84">
        <w:rPr>
          <w:color w:val="000000" w:themeColor="text1"/>
        </w:rPr>
        <w:t>above</w:t>
      </w:r>
      <w:r w:rsidRPr="00B33FA6">
        <w:rPr>
          <w:color w:val="000000" w:themeColor="text1"/>
        </w:rPr>
        <w:t xml:space="preserve"> indicate</w:t>
      </w:r>
      <w:r w:rsidR="001C73A2">
        <w:rPr>
          <w:color w:val="000000" w:themeColor="text1"/>
        </w:rPr>
        <w:t>s</w:t>
      </w:r>
      <w:r w:rsidRPr="00B33FA6">
        <w:rPr>
          <w:color w:val="000000" w:themeColor="text1"/>
        </w:rPr>
        <w:t xml:space="preserve"> that males are </w:t>
      </w:r>
      <w:r>
        <w:rPr>
          <w:color w:val="000000" w:themeColor="text1"/>
        </w:rPr>
        <w:t xml:space="preserve">more </w:t>
      </w:r>
      <w:r w:rsidRPr="00B33FA6">
        <w:rPr>
          <w:color w:val="000000" w:themeColor="text1"/>
        </w:rPr>
        <w:t xml:space="preserve">overconfident than females (e.g. Barber </w:t>
      </w:r>
      <w:r>
        <w:rPr>
          <w:color w:val="000000" w:themeColor="text1"/>
        </w:rPr>
        <w:t>and</w:t>
      </w:r>
      <w:r w:rsidRPr="00B33FA6">
        <w:rPr>
          <w:color w:val="000000" w:themeColor="text1"/>
        </w:rPr>
        <w:t xml:space="preserve"> Oden 2001). With overconfidence linked to a propensity for taking excessive risk, it could be hypothesi</w:t>
      </w:r>
      <w:r>
        <w:rPr>
          <w:color w:val="000000" w:themeColor="text1"/>
        </w:rPr>
        <w:t>s</w:t>
      </w:r>
      <w:r w:rsidRPr="00B33FA6">
        <w:rPr>
          <w:color w:val="000000" w:themeColor="text1"/>
        </w:rPr>
        <w:t xml:space="preserve">ed that a higher fraction of male directors on the board could lead to increased managerial overconfidence. We argue that this increased managerial overconfidence in unbalanced gender-diverse boards manifests in lower announcement period returns of the acquirer firms and also leads to poor post-merger performance. Apart from the above theoretical and empirical evidence on gender diversity, this supposition is also based on further empirical findings that </w:t>
      </w:r>
      <w:r>
        <w:rPr>
          <w:color w:val="000000" w:themeColor="text1"/>
        </w:rPr>
        <w:t xml:space="preserve">a </w:t>
      </w:r>
      <w:r w:rsidRPr="00B33FA6">
        <w:rPr>
          <w:color w:val="000000" w:themeColor="text1"/>
        </w:rPr>
        <w:t>greater number of female directors is linked to improved earnings quality (Gul</w:t>
      </w:r>
      <w:r w:rsidR="00450D00">
        <w:rPr>
          <w:color w:val="000000" w:themeColor="text1"/>
        </w:rPr>
        <w:t xml:space="preserve"> et al.</w:t>
      </w:r>
      <w:r w:rsidRPr="00B33FA6">
        <w:rPr>
          <w:color w:val="000000" w:themeColor="text1"/>
        </w:rPr>
        <w:t xml:space="preserve"> 2011), better supervision of firm activities (Adams </w:t>
      </w:r>
      <w:r>
        <w:rPr>
          <w:color w:val="000000" w:themeColor="text1"/>
        </w:rPr>
        <w:t>and</w:t>
      </w:r>
      <w:r w:rsidRPr="00B33FA6">
        <w:rPr>
          <w:color w:val="000000" w:themeColor="text1"/>
        </w:rPr>
        <w:t xml:space="preserve"> Ferreira 2009), more careful policy choice (Milliken </w:t>
      </w:r>
      <w:r>
        <w:rPr>
          <w:color w:val="000000" w:themeColor="text1"/>
        </w:rPr>
        <w:t>and</w:t>
      </w:r>
      <w:r w:rsidRPr="00B33FA6">
        <w:rPr>
          <w:color w:val="000000" w:themeColor="text1"/>
        </w:rPr>
        <w:t xml:space="preserve"> Martins 1996) and better firm performance (Brahma et al. 2021). Based on the above arguments, we contend that a higher fraction of male representation in the boardroom is likely to cause poor merger outcomes and hence we hypothesi</w:t>
      </w:r>
      <w:r>
        <w:rPr>
          <w:color w:val="000000" w:themeColor="text1"/>
        </w:rPr>
        <w:t>s</w:t>
      </w:r>
      <w:r w:rsidRPr="00B33FA6">
        <w:rPr>
          <w:color w:val="000000" w:themeColor="text1"/>
        </w:rPr>
        <w:t>e the following:</w:t>
      </w:r>
    </w:p>
    <w:p w14:paraId="6D83EA9F" w14:textId="77777777" w:rsidR="00CE2C76" w:rsidRPr="00F74F1F" w:rsidRDefault="00CE2C76" w:rsidP="00CE2C76">
      <w:pPr>
        <w:pStyle w:val="CommentText"/>
        <w:spacing w:line="480" w:lineRule="auto"/>
        <w:jc w:val="both"/>
        <w:rPr>
          <w:i/>
          <w:sz w:val="24"/>
          <w:szCs w:val="24"/>
        </w:rPr>
      </w:pPr>
      <w:r w:rsidRPr="00F74F1F">
        <w:rPr>
          <w:i/>
          <w:color w:val="000000" w:themeColor="text1"/>
          <w:sz w:val="24"/>
          <w:szCs w:val="24"/>
        </w:rPr>
        <w:t>H</w:t>
      </w:r>
      <w:r w:rsidRPr="00F74F1F">
        <w:rPr>
          <w:i/>
          <w:color w:val="000000" w:themeColor="text1"/>
          <w:sz w:val="24"/>
          <w:szCs w:val="24"/>
          <w:vertAlign w:val="subscript"/>
        </w:rPr>
        <w:t>1a</w:t>
      </w:r>
      <w:r w:rsidRPr="00F74F1F">
        <w:rPr>
          <w:i/>
          <w:color w:val="000000" w:themeColor="text1"/>
          <w:sz w:val="24"/>
          <w:szCs w:val="24"/>
        </w:rPr>
        <w:t xml:space="preserve">: </w:t>
      </w:r>
      <w:r w:rsidRPr="00F74F1F">
        <w:rPr>
          <w:i/>
          <w:sz w:val="24"/>
          <w:szCs w:val="24"/>
        </w:rPr>
        <w:t>Boards with a greater fraction of male directors will lead to lower returns for the acquirer firms following the M&amp;A announcement.</w:t>
      </w:r>
    </w:p>
    <w:p w14:paraId="78CCD703" w14:textId="4B79971C" w:rsidR="00CE2C76" w:rsidRDefault="00CE2C76" w:rsidP="00CE2C76">
      <w:pPr>
        <w:pStyle w:val="CommentText"/>
        <w:spacing w:line="480" w:lineRule="auto"/>
        <w:jc w:val="both"/>
        <w:rPr>
          <w:i/>
          <w:sz w:val="24"/>
          <w:szCs w:val="24"/>
        </w:rPr>
      </w:pPr>
      <w:r w:rsidRPr="00F74F1F">
        <w:rPr>
          <w:i/>
          <w:sz w:val="24"/>
          <w:szCs w:val="24"/>
        </w:rPr>
        <w:t>H</w:t>
      </w:r>
      <w:r w:rsidRPr="00F74F1F">
        <w:rPr>
          <w:i/>
          <w:sz w:val="24"/>
          <w:szCs w:val="24"/>
          <w:vertAlign w:val="subscript"/>
        </w:rPr>
        <w:t>1b</w:t>
      </w:r>
      <w:r w:rsidRPr="00F74F1F">
        <w:rPr>
          <w:i/>
          <w:sz w:val="24"/>
          <w:szCs w:val="24"/>
        </w:rPr>
        <w:t>: Boards with a greater fraction of male directors will cause negative returns in the long run.</w:t>
      </w:r>
    </w:p>
    <w:p w14:paraId="12A6D794" w14:textId="77777777" w:rsidR="001C73A2" w:rsidRPr="00F74F1F" w:rsidRDefault="001C73A2" w:rsidP="00CE2C76">
      <w:pPr>
        <w:pStyle w:val="CommentText"/>
        <w:spacing w:line="480" w:lineRule="auto"/>
        <w:jc w:val="both"/>
        <w:rPr>
          <w:i/>
          <w:sz w:val="24"/>
          <w:szCs w:val="24"/>
        </w:rPr>
      </w:pPr>
    </w:p>
    <w:p w14:paraId="656174AA" w14:textId="77777777" w:rsidR="00CE2C76" w:rsidRPr="00B33FA6" w:rsidRDefault="00CE2C76" w:rsidP="00CE2C76">
      <w:pPr>
        <w:pStyle w:val="Heading2"/>
      </w:pPr>
      <w:r w:rsidRPr="00B33FA6">
        <w:lastRenderedPageBreak/>
        <w:t>Overconfidence and Self</w:t>
      </w:r>
      <w:r>
        <w:t>-a</w:t>
      </w:r>
      <w:r w:rsidRPr="00B33FA6">
        <w:t>ttribution Bias</w:t>
      </w:r>
    </w:p>
    <w:p w14:paraId="66C59138" w14:textId="07803F61" w:rsidR="00E8194C" w:rsidRDefault="00E8194C" w:rsidP="00C427A4">
      <w:pPr>
        <w:spacing w:line="480" w:lineRule="auto"/>
        <w:jc w:val="both"/>
        <w:rPr>
          <w:color w:val="000000" w:themeColor="text1"/>
        </w:rPr>
      </w:pPr>
      <w:r>
        <w:rPr>
          <w:color w:val="000000" w:themeColor="text1"/>
        </w:rPr>
        <w:t xml:space="preserve">As documented in </w:t>
      </w:r>
      <w:r w:rsidR="00AF66C1">
        <w:rPr>
          <w:color w:val="000000" w:themeColor="text1"/>
        </w:rPr>
        <w:t>S</w:t>
      </w:r>
      <w:r w:rsidR="00B168F7">
        <w:rPr>
          <w:color w:val="000000" w:themeColor="text1"/>
        </w:rPr>
        <w:t>ection 2</w:t>
      </w:r>
      <w:r>
        <w:rPr>
          <w:color w:val="000000" w:themeColor="text1"/>
        </w:rPr>
        <w:t xml:space="preserve">, extant studies have associated </w:t>
      </w:r>
      <w:r w:rsidR="00E04147">
        <w:rPr>
          <w:color w:val="000000" w:themeColor="text1"/>
        </w:rPr>
        <w:t>multiple</w:t>
      </w:r>
      <w:r>
        <w:rPr>
          <w:color w:val="000000" w:themeColor="text1"/>
        </w:rPr>
        <w:t xml:space="preserve"> acquisitions as a </w:t>
      </w:r>
      <w:r w:rsidR="00DE40F3">
        <w:rPr>
          <w:color w:val="000000" w:themeColor="text1"/>
        </w:rPr>
        <w:t>sign</w:t>
      </w:r>
      <w:r>
        <w:rPr>
          <w:color w:val="000000" w:themeColor="text1"/>
        </w:rPr>
        <w:t xml:space="preserve"> </w:t>
      </w:r>
      <w:r w:rsidR="00AF66C1">
        <w:rPr>
          <w:color w:val="000000" w:themeColor="text1"/>
        </w:rPr>
        <w:t xml:space="preserve">of </w:t>
      </w:r>
      <w:r>
        <w:rPr>
          <w:color w:val="000000" w:themeColor="text1"/>
        </w:rPr>
        <w:t xml:space="preserve">managerial overconfidence (Doukas </w:t>
      </w:r>
      <w:r w:rsidR="00C73C97">
        <w:rPr>
          <w:color w:val="000000" w:themeColor="text1"/>
        </w:rPr>
        <w:t xml:space="preserve">and </w:t>
      </w:r>
      <w:proofErr w:type="spellStart"/>
      <w:r>
        <w:rPr>
          <w:color w:val="000000" w:themeColor="text1"/>
        </w:rPr>
        <w:t>Petmezas</w:t>
      </w:r>
      <w:proofErr w:type="spellEnd"/>
      <w:r>
        <w:rPr>
          <w:color w:val="000000" w:themeColor="text1"/>
        </w:rPr>
        <w:t>, 2007;</w:t>
      </w:r>
      <w:r w:rsidR="00E04B41">
        <w:rPr>
          <w:color w:val="000000" w:themeColor="text1"/>
        </w:rPr>
        <w:t xml:space="preserve"> </w:t>
      </w:r>
      <w:proofErr w:type="spellStart"/>
      <w:r w:rsidR="00E04B41">
        <w:rPr>
          <w:color w:val="000000" w:themeColor="text1"/>
        </w:rPr>
        <w:t>Malmendier</w:t>
      </w:r>
      <w:proofErr w:type="spellEnd"/>
      <w:r w:rsidR="00E04B41">
        <w:rPr>
          <w:color w:val="000000" w:themeColor="text1"/>
        </w:rPr>
        <w:t xml:space="preserve"> </w:t>
      </w:r>
      <w:r w:rsidR="00C73C97">
        <w:rPr>
          <w:color w:val="000000" w:themeColor="text1"/>
        </w:rPr>
        <w:t>and</w:t>
      </w:r>
      <w:r w:rsidR="00E04B41">
        <w:rPr>
          <w:color w:val="000000" w:themeColor="text1"/>
        </w:rPr>
        <w:t xml:space="preserve"> Tate, 2004; </w:t>
      </w:r>
      <w:r>
        <w:rPr>
          <w:color w:val="000000" w:themeColor="text1"/>
        </w:rPr>
        <w:t xml:space="preserve">Billet </w:t>
      </w:r>
      <w:r w:rsidR="00C73C97">
        <w:rPr>
          <w:color w:val="000000" w:themeColor="text1"/>
        </w:rPr>
        <w:t>and</w:t>
      </w:r>
      <w:r>
        <w:rPr>
          <w:color w:val="000000" w:themeColor="text1"/>
        </w:rPr>
        <w:t xml:space="preserve"> Qian, 2008). </w:t>
      </w:r>
      <w:r w:rsidR="004C3382">
        <w:rPr>
          <w:color w:val="000000" w:themeColor="text1"/>
        </w:rPr>
        <w:t xml:space="preserve">After </w:t>
      </w:r>
      <w:r w:rsidR="00F841B5">
        <w:rPr>
          <w:color w:val="000000" w:themeColor="text1"/>
        </w:rPr>
        <w:t xml:space="preserve">a </w:t>
      </w:r>
      <w:r w:rsidR="004C3382">
        <w:rPr>
          <w:color w:val="000000" w:themeColor="text1"/>
        </w:rPr>
        <w:t xml:space="preserve">successful first acquisition, overconfident managers engage in subsequent </w:t>
      </w:r>
      <w:r w:rsidR="00E04147">
        <w:rPr>
          <w:color w:val="000000" w:themeColor="text1"/>
        </w:rPr>
        <w:t>multiple</w:t>
      </w:r>
      <w:r w:rsidR="004C3382">
        <w:rPr>
          <w:color w:val="000000" w:themeColor="text1"/>
        </w:rPr>
        <w:t xml:space="preserve"> acquisitions, d</w:t>
      </w:r>
      <w:r w:rsidR="003D695B">
        <w:rPr>
          <w:color w:val="000000" w:themeColor="text1"/>
        </w:rPr>
        <w:t>riven by self-attribution bias</w:t>
      </w:r>
      <w:r w:rsidR="00F841B5">
        <w:rPr>
          <w:color w:val="000000" w:themeColor="text1"/>
        </w:rPr>
        <w:t>; however, they</w:t>
      </w:r>
      <w:r w:rsidR="003D695B">
        <w:rPr>
          <w:color w:val="000000" w:themeColor="text1"/>
        </w:rPr>
        <w:t xml:space="preserve"> </w:t>
      </w:r>
      <w:r w:rsidR="00F841B5">
        <w:rPr>
          <w:color w:val="000000" w:themeColor="text1"/>
        </w:rPr>
        <w:t xml:space="preserve">have </w:t>
      </w:r>
      <w:r w:rsidR="003D695B">
        <w:rPr>
          <w:color w:val="000000" w:themeColor="text1"/>
        </w:rPr>
        <w:t>less time to evaluate the potential synergies from subsequent acquisition</w:t>
      </w:r>
      <w:r w:rsidR="004C3382">
        <w:rPr>
          <w:color w:val="000000" w:themeColor="text1"/>
        </w:rPr>
        <w:t>s</w:t>
      </w:r>
      <w:r w:rsidR="003D695B">
        <w:rPr>
          <w:color w:val="000000" w:themeColor="text1"/>
        </w:rPr>
        <w:t>. Hence</w:t>
      </w:r>
      <w:r w:rsidR="00A564C3">
        <w:rPr>
          <w:color w:val="000000" w:themeColor="text1"/>
        </w:rPr>
        <w:t>,</w:t>
      </w:r>
      <w:r w:rsidR="00AB7AD9">
        <w:rPr>
          <w:color w:val="000000" w:themeColor="text1"/>
        </w:rPr>
        <w:t xml:space="preserve"> we</w:t>
      </w:r>
      <w:r w:rsidR="003D695B">
        <w:rPr>
          <w:color w:val="000000" w:themeColor="text1"/>
        </w:rPr>
        <w:t xml:space="preserve"> hypothesize that </w:t>
      </w:r>
      <w:r w:rsidR="00DE40F3">
        <w:rPr>
          <w:color w:val="000000" w:themeColor="text1"/>
        </w:rPr>
        <w:t xml:space="preserve">more </w:t>
      </w:r>
      <w:r w:rsidR="00E04147">
        <w:rPr>
          <w:color w:val="000000" w:themeColor="text1"/>
        </w:rPr>
        <w:t>multiple</w:t>
      </w:r>
      <w:r w:rsidR="003D695B">
        <w:rPr>
          <w:color w:val="000000" w:themeColor="text1"/>
        </w:rPr>
        <w:t xml:space="preserve"> acquisitions</w:t>
      </w:r>
      <w:r w:rsidR="00F841B5">
        <w:rPr>
          <w:color w:val="000000" w:themeColor="text1"/>
        </w:rPr>
        <w:t>,</w:t>
      </w:r>
      <w:r w:rsidR="00DE40F3">
        <w:rPr>
          <w:color w:val="000000" w:themeColor="text1"/>
        </w:rPr>
        <w:t xml:space="preserve"> </w:t>
      </w:r>
      <w:r w:rsidR="00F841B5">
        <w:rPr>
          <w:color w:val="000000" w:themeColor="text1"/>
        </w:rPr>
        <w:t xml:space="preserve">following </w:t>
      </w:r>
      <w:r w:rsidR="00DE40F3">
        <w:rPr>
          <w:color w:val="000000" w:themeColor="text1"/>
        </w:rPr>
        <w:t>the first acquisition</w:t>
      </w:r>
      <w:r w:rsidR="00F841B5">
        <w:rPr>
          <w:color w:val="000000" w:themeColor="text1"/>
        </w:rPr>
        <w:t>,</w:t>
      </w:r>
      <w:r w:rsidR="00DE40F3">
        <w:rPr>
          <w:color w:val="000000" w:themeColor="text1"/>
        </w:rPr>
        <w:t xml:space="preserve"> </w:t>
      </w:r>
      <w:r w:rsidR="006D7C26">
        <w:rPr>
          <w:color w:val="000000" w:themeColor="text1"/>
        </w:rPr>
        <w:t xml:space="preserve">in a short period </w:t>
      </w:r>
      <w:r w:rsidR="003D695B">
        <w:rPr>
          <w:color w:val="000000" w:themeColor="text1"/>
        </w:rPr>
        <w:t xml:space="preserve">can </w:t>
      </w:r>
      <w:r w:rsidR="00DE40F3">
        <w:rPr>
          <w:color w:val="000000" w:themeColor="text1"/>
        </w:rPr>
        <w:t xml:space="preserve">destroy </w:t>
      </w:r>
      <w:r w:rsidR="00F841B5">
        <w:rPr>
          <w:color w:val="000000" w:themeColor="text1"/>
        </w:rPr>
        <w:t xml:space="preserve">the </w:t>
      </w:r>
      <w:r w:rsidR="006D7C26">
        <w:rPr>
          <w:color w:val="000000" w:themeColor="text1"/>
        </w:rPr>
        <w:t>firm</w:t>
      </w:r>
      <w:r w:rsidR="003D695B">
        <w:rPr>
          <w:color w:val="000000" w:themeColor="text1"/>
        </w:rPr>
        <w:t xml:space="preserve"> value</w:t>
      </w:r>
      <w:r w:rsidR="006D7C26">
        <w:rPr>
          <w:color w:val="000000" w:themeColor="text1"/>
        </w:rPr>
        <w:t xml:space="preserve"> of acquirers</w:t>
      </w:r>
      <w:r w:rsidR="00483F36">
        <w:rPr>
          <w:color w:val="000000" w:themeColor="text1"/>
        </w:rPr>
        <w:t>.</w:t>
      </w:r>
    </w:p>
    <w:p w14:paraId="44610E06" w14:textId="77777777" w:rsidR="00DE40F3" w:rsidRDefault="00DE40F3" w:rsidP="00C427A4">
      <w:pPr>
        <w:spacing w:line="480" w:lineRule="auto"/>
        <w:jc w:val="both"/>
        <w:rPr>
          <w:color w:val="000000" w:themeColor="text1"/>
        </w:rPr>
      </w:pPr>
    </w:p>
    <w:p w14:paraId="1BD61B6F" w14:textId="77777777" w:rsidR="00B2238D" w:rsidRPr="00B2238D" w:rsidRDefault="00B2238D" w:rsidP="00B2238D">
      <w:pPr>
        <w:spacing w:line="480" w:lineRule="auto"/>
        <w:jc w:val="both"/>
        <w:rPr>
          <w:i/>
          <w:color w:val="000000" w:themeColor="text1"/>
        </w:rPr>
      </w:pPr>
      <w:r w:rsidRPr="00F74F1F">
        <w:rPr>
          <w:i/>
          <w:color w:val="000000" w:themeColor="text1"/>
        </w:rPr>
        <w:t>H</w:t>
      </w:r>
      <w:r w:rsidRPr="00F74F1F">
        <w:rPr>
          <w:i/>
          <w:color w:val="000000" w:themeColor="text1"/>
          <w:vertAlign w:val="subscript"/>
        </w:rPr>
        <w:t>2a</w:t>
      </w:r>
      <w:r w:rsidRPr="00F74F1F">
        <w:rPr>
          <w:i/>
          <w:color w:val="000000" w:themeColor="text1"/>
        </w:rPr>
        <w:t xml:space="preserve">: </w:t>
      </w:r>
      <w:r w:rsidRPr="00B2238D">
        <w:rPr>
          <w:i/>
          <w:color w:val="000000" w:themeColor="text1"/>
        </w:rPr>
        <w:t>Announcement period acquirer returns are higher for single acquirers in comparison to multiple acquirers and also higher for multiple acquirers’ 1</w:t>
      </w:r>
      <w:r w:rsidRPr="00B2238D">
        <w:rPr>
          <w:i/>
          <w:color w:val="000000" w:themeColor="text1"/>
          <w:vertAlign w:val="superscript"/>
        </w:rPr>
        <w:t>st</w:t>
      </w:r>
      <w:r w:rsidRPr="00B2238D">
        <w:rPr>
          <w:i/>
          <w:color w:val="000000" w:themeColor="text1"/>
        </w:rPr>
        <w:t xml:space="preserve"> deal compared to their 5</w:t>
      </w:r>
      <w:r w:rsidRPr="00B2238D">
        <w:rPr>
          <w:i/>
          <w:color w:val="000000" w:themeColor="text1"/>
          <w:vertAlign w:val="superscript"/>
        </w:rPr>
        <w:t>th</w:t>
      </w:r>
      <w:r w:rsidRPr="00B2238D">
        <w:rPr>
          <w:i/>
          <w:color w:val="000000" w:themeColor="text1"/>
        </w:rPr>
        <w:t xml:space="preserve"> or more deals.</w:t>
      </w:r>
    </w:p>
    <w:p w14:paraId="7FE73150" w14:textId="77777777" w:rsidR="00B2238D" w:rsidRPr="00B2238D" w:rsidRDefault="00B2238D" w:rsidP="00B2238D">
      <w:pPr>
        <w:spacing w:line="480" w:lineRule="auto"/>
        <w:jc w:val="both"/>
        <w:rPr>
          <w:i/>
          <w:color w:val="000000" w:themeColor="text1"/>
        </w:rPr>
      </w:pPr>
      <w:r w:rsidRPr="00B2238D">
        <w:rPr>
          <w:i/>
          <w:color w:val="000000" w:themeColor="text1"/>
        </w:rPr>
        <w:t>H</w:t>
      </w:r>
      <w:r w:rsidRPr="00B2238D">
        <w:rPr>
          <w:i/>
          <w:color w:val="000000" w:themeColor="text1"/>
          <w:vertAlign w:val="subscript"/>
        </w:rPr>
        <w:t>2b</w:t>
      </w:r>
      <w:r w:rsidRPr="00B2238D">
        <w:rPr>
          <w:i/>
          <w:color w:val="000000" w:themeColor="text1"/>
        </w:rPr>
        <w:t>: Post-merger combined firm returns are higher for single acquirers in comparison to multiple acquirers and also higher for multiple acquirers’ 1</w:t>
      </w:r>
      <w:r w:rsidRPr="00B2238D">
        <w:rPr>
          <w:i/>
          <w:color w:val="000000" w:themeColor="text1"/>
          <w:vertAlign w:val="superscript"/>
        </w:rPr>
        <w:t>st</w:t>
      </w:r>
      <w:r w:rsidRPr="00B2238D">
        <w:rPr>
          <w:i/>
          <w:color w:val="000000" w:themeColor="text1"/>
        </w:rPr>
        <w:t xml:space="preserve"> deal compared to their 5</w:t>
      </w:r>
      <w:r w:rsidRPr="00B2238D">
        <w:rPr>
          <w:i/>
          <w:color w:val="000000" w:themeColor="text1"/>
          <w:vertAlign w:val="superscript"/>
        </w:rPr>
        <w:t>th</w:t>
      </w:r>
      <w:r w:rsidRPr="00B2238D">
        <w:rPr>
          <w:i/>
          <w:color w:val="000000" w:themeColor="text1"/>
        </w:rPr>
        <w:t xml:space="preserve"> or more deals.</w:t>
      </w:r>
    </w:p>
    <w:p w14:paraId="6D2939CD" w14:textId="77777777" w:rsidR="00095F34" w:rsidRDefault="00095F34" w:rsidP="00E04147">
      <w:pPr>
        <w:spacing w:line="480" w:lineRule="auto"/>
        <w:jc w:val="both"/>
        <w:rPr>
          <w:color w:val="000000" w:themeColor="text1"/>
        </w:rPr>
      </w:pPr>
    </w:p>
    <w:p w14:paraId="619B6BA6" w14:textId="77777777" w:rsidR="00CE2C76" w:rsidRPr="00B33FA6" w:rsidRDefault="00CE2C76" w:rsidP="00CE2C76">
      <w:pPr>
        <w:pStyle w:val="Heading2"/>
      </w:pPr>
      <w:r w:rsidRPr="00B33FA6">
        <w:t>Overconfidence and merger characteristics</w:t>
      </w:r>
    </w:p>
    <w:p w14:paraId="227DBB03" w14:textId="3B56351A" w:rsidR="00095F34" w:rsidRDefault="00CE2C76" w:rsidP="00E04147">
      <w:pPr>
        <w:spacing w:line="480" w:lineRule="auto"/>
        <w:jc w:val="both"/>
        <w:rPr>
          <w:color w:val="000000" w:themeColor="text1"/>
        </w:rPr>
      </w:pPr>
      <w:r w:rsidRPr="00B33FA6">
        <w:rPr>
          <w:color w:val="000000" w:themeColor="text1"/>
        </w:rPr>
        <w:t xml:space="preserve">As discussed in </w:t>
      </w:r>
      <w:r>
        <w:rPr>
          <w:color w:val="000000" w:themeColor="text1"/>
        </w:rPr>
        <w:t>S</w:t>
      </w:r>
      <w:r w:rsidRPr="00B33FA6">
        <w:rPr>
          <w:color w:val="000000" w:themeColor="text1"/>
        </w:rPr>
        <w:t>ection 2, overconfident managers with abundant internal resources would use cash as the method of payment. Overconfident managers also perceive that their equity is undervalued and hence finance their acquisitions with cash. In addition, overconfident CEOs engage in more diversifying acquisitions than related acquisitions. M&amp;A literature suggests that managers use stock as the method of payment when equity is overvalued and use cash when it is undervalued (Asquith</w:t>
      </w:r>
      <w:r w:rsidR="00C73C97">
        <w:rPr>
          <w:color w:val="000000" w:themeColor="text1"/>
        </w:rPr>
        <w:t xml:space="preserve"> et al.</w:t>
      </w:r>
      <w:r>
        <w:rPr>
          <w:color w:val="000000" w:themeColor="text1"/>
        </w:rPr>
        <w:t xml:space="preserve"> </w:t>
      </w:r>
      <w:r w:rsidRPr="00B33FA6">
        <w:rPr>
          <w:color w:val="000000" w:themeColor="text1"/>
        </w:rPr>
        <w:t xml:space="preserve">1983). However, Doukas </w:t>
      </w:r>
      <w:r>
        <w:rPr>
          <w:color w:val="000000" w:themeColor="text1"/>
        </w:rPr>
        <w:t>and</w:t>
      </w:r>
      <w:r w:rsidRPr="00B33FA6">
        <w:rPr>
          <w:color w:val="000000" w:themeColor="text1"/>
        </w:rPr>
        <w:t xml:space="preserve"> </w:t>
      </w:r>
      <w:proofErr w:type="spellStart"/>
      <w:r w:rsidRPr="00B33FA6">
        <w:rPr>
          <w:color w:val="000000" w:themeColor="text1"/>
        </w:rPr>
        <w:t>Petmezas</w:t>
      </w:r>
      <w:proofErr w:type="spellEnd"/>
      <w:r w:rsidRPr="00B33FA6">
        <w:rPr>
          <w:color w:val="000000" w:themeColor="text1"/>
        </w:rPr>
        <w:t xml:space="preserve"> (2007) find that </w:t>
      </w:r>
      <w:r w:rsidRPr="00B33FA6">
        <w:rPr>
          <w:color w:val="000000" w:themeColor="text1"/>
        </w:rPr>
        <w:lastRenderedPageBreak/>
        <w:t>overconfident managers</w:t>
      </w:r>
      <w:r w:rsidR="00F42E14">
        <w:rPr>
          <w:rStyle w:val="FootnoteReference"/>
          <w:color w:val="000000" w:themeColor="text1"/>
        </w:rPr>
        <w:footnoteReference w:id="9"/>
      </w:r>
      <w:r w:rsidRPr="00B33FA6">
        <w:rPr>
          <w:color w:val="000000" w:themeColor="text1"/>
        </w:rPr>
        <w:t xml:space="preserve"> use cash even when the equity is </w:t>
      </w:r>
      <w:r w:rsidR="006C0E20">
        <w:rPr>
          <w:color w:val="000000" w:themeColor="text1"/>
        </w:rPr>
        <w:t>ove</w:t>
      </w:r>
      <w:r w:rsidRPr="00B33FA6">
        <w:rPr>
          <w:color w:val="000000" w:themeColor="text1"/>
        </w:rPr>
        <w:t xml:space="preserve">rvalued. This is in line with Jensen’s (1986) free cash flow hypothesis, that is, firms with abundant internal resources tend to engage in acquisitions and use cash as the payment method. </w:t>
      </w:r>
    </w:p>
    <w:p w14:paraId="4C7C37A8" w14:textId="77777777" w:rsidR="00CE2C76" w:rsidRDefault="00CE2C76" w:rsidP="00E04147">
      <w:pPr>
        <w:spacing w:line="480" w:lineRule="auto"/>
        <w:jc w:val="both"/>
        <w:rPr>
          <w:color w:val="000000" w:themeColor="text1"/>
        </w:rPr>
      </w:pPr>
    </w:p>
    <w:p w14:paraId="54701281" w14:textId="0032E070" w:rsidR="00CE2C76" w:rsidRPr="00B33FA6" w:rsidRDefault="00CE2C76" w:rsidP="00CE2C76">
      <w:pPr>
        <w:spacing w:line="480" w:lineRule="auto"/>
        <w:jc w:val="both"/>
        <w:rPr>
          <w:color w:val="000000" w:themeColor="text1"/>
        </w:rPr>
      </w:pPr>
      <w:r w:rsidRPr="00B33FA6">
        <w:rPr>
          <w:color w:val="000000" w:themeColor="text1"/>
        </w:rPr>
        <w:t>Driven by cognitive biases and illusion of control (</w:t>
      </w:r>
      <w:proofErr w:type="spellStart"/>
      <w:r w:rsidRPr="00B33FA6">
        <w:rPr>
          <w:color w:val="000000" w:themeColor="text1"/>
        </w:rPr>
        <w:t>Malmendier</w:t>
      </w:r>
      <w:proofErr w:type="spellEnd"/>
      <w:r w:rsidRPr="00B33FA6">
        <w:rPr>
          <w:color w:val="000000" w:themeColor="text1"/>
        </w:rPr>
        <w:t xml:space="preserve"> </w:t>
      </w:r>
      <w:r>
        <w:rPr>
          <w:color w:val="000000" w:themeColor="text1"/>
        </w:rPr>
        <w:t>and</w:t>
      </w:r>
      <w:r w:rsidRPr="00B33FA6">
        <w:rPr>
          <w:color w:val="000000" w:themeColor="text1"/>
        </w:rPr>
        <w:t xml:space="preserve"> Tate 2004), overconfident managers believe that they have superior ability to deal with complicated activit</w:t>
      </w:r>
      <w:r>
        <w:rPr>
          <w:color w:val="000000" w:themeColor="text1"/>
        </w:rPr>
        <w:t>ies</w:t>
      </w:r>
      <w:r w:rsidRPr="00B33FA6">
        <w:rPr>
          <w:color w:val="000000" w:themeColor="text1"/>
        </w:rPr>
        <w:t xml:space="preserve"> like diversifying acquisitions, that is, acquisition of firms in a different line of business. When managers engage in diversifying deals they have to depend more on their own judgement</w:t>
      </w:r>
      <w:r>
        <w:rPr>
          <w:color w:val="000000" w:themeColor="text1"/>
        </w:rPr>
        <w:t>,</w:t>
      </w:r>
      <w:r w:rsidRPr="00B33FA6">
        <w:rPr>
          <w:color w:val="000000" w:themeColor="text1"/>
        </w:rPr>
        <w:t xml:space="preserve"> which may lead to inaccurate estimation of the potential synergies that are likely to be generated from M&amp;A. This is in line with Kahneman’s (2003) study, which suggests that managers </w:t>
      </w:r>
      <w:r>
        <w:rPr>
          <w:color w:val="000000" w:themeColor="text1"/>
        </w:rPr>
        <w:t>rely on</w:t>
      </w:r>
      <w:r w:rsidRPr="00B33FA6">
        <w:rPr>
          <w:color w:val="000000" w:themeColor="text1"/>
        </w:rPr>
        <w:t xml:space="preserve"> their own intuitive judgement when there is sparse information like in this case of diversifying acquisitions.</w:t>
      </w:r>
      <w:r w:rsidR="00D80BCC">
        <w:rPr>
          <w:color w:val="000000" w:themeColor="text1"/>
        </w:rPr>
        <w:t xml:space="preserve"> </w:t>
      </w:r>
    </w:p>
    <w:p w14:paraId="6A82BCF9" w14:textId="6F5AB29E" w:rsidR="00CE2C76" w:rsidRPr="00B33FA6" w:rsidRDefault="00CE2C76" w:rsidP="00CE2C76">
      <w:pPr>
        <w:spacing w:line="480" w:lineRule="auto"/>
        <w:jc w:val="both"/>
        <w:rPr>
          <w:color w:val="000000" w:themeColor="text1"/>
        </w:rPr>
      </w:pPr>
      <w:r w:rsidRPr="00B33FA6">
        <w:rPr>
          <w:color w:val="000000" w:themeColor="text1"/>
        </w:rPr>
        <w:t xml:space="preserve">Given </w:t>
      </w:r>
      <w:r>
        <w:rPr>
          <w:color w:val="000000" w:themeColor="text1"/>
        </w:rPr>
        <w:t>this</w:t>
      </w:r>
      <w:r w:rsidRPr="00B33FA6">
        <w:rPr>
          <w:color w:val="000000" w:themeColor="text1"/>
        </w:rPr>
        <w:t xml:space="preserve"> theoretical and empirical evidence</w:t>
      </w:r>
      <w:r>
        <w:rPr>
          <w:color w:val="000000" w:themeColor="text1"/>
        </w:rPr>
        <w:t>,</w:t>
      </w:r>
      <w:r w:rsidRPr="00B33FA6">
        <w:rPr>
          <w:color w:val="000000" w:themeColor="text1"/>
        </w:rPr>
        <w:t xml:space="preserve"> we develop the following hypotheses based on M&amp;A deal characteristics </w:t>
      </w:r>
      <w:r w:rsidR="00C73C97">
        <w:rPr>
          <w:color w:val="000000" w:themeColor="text1"/>
        </w:rPr>
        <w:t xml:space="preserve">which are </w:t>
      </w:r>
      <w:r w:rsidRPr="00B33FA6">
        <w:rPr>
          <w:color w:val="000000" w:themeColor="text1"/>
        </w:rPr>
        <w:t>method of payments and related versus diversifying acquisitions.</w:t>
      </w:r>
    </w:p>
    <w:p w14:paraId="34987BB1" w14:textId="79FB6A7D" w:rsidR="00CE2C76" w:rsidRDefault="00CE2C76" w:rsidP="00CE2C76">
      <w:pPr>
        <w:spacing w:line="480" w:lineRule="auto"/>
        <w:jc w:val="both"/>
        <w:rPr>
          <w:i/>
          <w:color w:val="000000" w:themeColor="text1"/>
        </w:rPr>
      </w:pPr>
      <w:r w:rsidRPr="00F74F1F">
        <w:rPr>
          <w:i/>
          <w:color w:val="000000" w:themeColor="text1"/>
        </w:rPr>
        <w:t>H</w:t>
      </w:r>
      <w:r w:rsidRPr="00F74F1F">
        <w:rPr>
          <w:i/>
          <w:color w:val="000000" w:themeColor="text1"/>
          <w:vertAlign w:val="subscript"/>
        </w:rPr>
        <w:t>3a</w:t>
      </w:r>
      <w:r w:rsidRPr="00F74F1F">
        <w:rPr>
          <w:i/>
          <w:color w:val="000000" w:themeColor="text1"/>
        </w:rPr>
        <w:t xml:space="preserve">: Cash-financed M&amp;A generate lower announcement period returns than stock-financed M&amp;A. </w:t>
      </w:r>
    </w:p>
    <w:p w14:paraId="76BA6D1F" w14:textId="082847D7" w:rsidR="0011699C" w:rsidRDefault="00CE2C76" w:rsidP="00C427A4">
      <w:pPr>
        <w:spacing w:line="480" w:lineRule="auto"/>
        <w:jc w:val="both"/>
        <w:rPr>
          <w:i/>
          <w:color w:val="000000" w:themeColor="text1"/>
        </w:rPr>
      </w:pPr>
      <w:r w:rsidRPr="00F74F1F">
        <w:rPr>
          <w:i/>
          <w:color w:val="000000" w:themeColor="text1"/>
        </w:rPr>
        <w:t>H</w:t>
      </w:r>
      <w:r w:rsidRPr="00F74F1F">
        <w:rPr>
          <w:i/>
          <w:color w:val="000000" w:themeColor="text1"/>
          <w:vertAlign w:val="subscript"/>
        </w:rPr>
        <w:t>3b</w:t>
      </w:r>
      <w:r w:rsidRPr="00F74F1F">
        <w:rPr>
          <w:i/>
          <w:color w:val="000000" w:themeColor="text1"/>
        </w:rPr>
        <w:t>: Cash-financed M&amp;A generate lower long run post-merger returns than stock-financed M&amp;A</w:t>
      </w:r>
      <w:r w:rsidR="00F42E14">
        <w:rPr>
          <w:i/>
          <w:color w:val="000000" w:themeColor="text1"/>
        </w:rPr>
        <w:t>.</w:t>
      </w:r>
    </w:p>
    <w:p w14:paraId="70717A45" w14:textId="77777777" w:rsidR="00EB4BC6" w:rsidRDefault="00CE2C76" w:rsidP="00C427A4">
      <w:pPr>
        <w:spacing w:line="480" w:lineRule="auto"/>
        <w:jc w:val="both"/>
        <w:rPr>
          <w:i/>
          <w:color w:val="000000" w:themeColor="text1"/>
        </w:rPr>
      </w:pPr>
      <w:r w:rsidRPr="00F74F1F">
        <w:rPr>
          <w:i/>
          <w:color w:val="000000" w:themeColor="text1"/>
        </w:rPr>
        <w:t>H</w:t>
      </w:r>
      <w:r w:rsidRPr="00F74F1F">
        <w:rPr>
          <w:i/>
          <w:color w:val="000000" w:themeColor="text1"/>
          <w:vertAlign w:val="subscript"/>
        </w:rPr>
        <w:t>4a</w:t>
      </w:r>
      <w:r w:rsidRPr="00F74F1F">
        <w:rPr>
          <w:i/>
          <w:color w:val="000000" w:themeColor="text1"/>
        </w:rPr>
        <w:t>: Diversifying M&amp;A generate lower announcement period returns than related M&amp;A.</w:t>
      </w:r>
    </w:p>
    <w:p w14:paraId="736152AC" w14:textId="03DA54B3" w:rsidR="00C42FA2" w:rsidRPr="00CE2C76" w:rsidRDefault="00EB4BC6" w:rsidP="00C427A4">
      <w:pPr>
        <w:spacing w:line="480" w:lineRule="auto"/>
        <w:jc w:val="both"/>
        <w:rPr>
          <w:i/>
          <w:color w:val="000000" w:themeColor="text1"/>
        </w:rPr>
      </w:pPr>
      <w:r w:rsidRPr="00F74F1F">
        <w:rPr>
          <w:i/>
          <w:color w:val="000000" w:themeColor="text1"/>
        </w:rPr>
        <w:t>H</w:t>
      </w:r>
      <w:r w:rsidRPr="00F74F1F">
        <w:rPr>
          <w:i/>
          <w:color w:val="000000" w:themeColor="text1"/>
          <w:vertAlign w:val="subscript"/>
        </w:rPr>
        <w:t>4b</w:t>
      </w:r>
      <w:r w:rsidRPr="00F74F1F">
        <w:rPr>
          <w:i/>
          <w:color w:val="000000" w:themeColor="text1"/>
        </w:rPr>
        <w:t>: Diversifying M&amp;A generate lower long run post-merger returns than related M&amp;A.</w:t>
      </w:r>
      <w:r w:rsidR="00CE2C76" w:rsidRPr="00F74F1F">
        <w:rPr>
          <w:i/>
          <w:color w:val="000000" w:themeColor="text1"/>
        </w:rPr>
        <w:t xml:space="preserve"> </w:t>
      </w:r>
    </w:p>
    <w:p w14:paraId="77AD79AE" w14:textId="77777777" w:rsidR="00CE2C76" w:rsidRPr="00B33FA6" w:rsidRDefault="00CE2C76" w:rsidP="00CE2C76">
      <w:pPr>
        <w:pStyle w:val="Heading1"/>
      </w:pPr>
      <w:r w:rsidRPr="00B33FA6">
        <w:lastRenderedPageBreak/>
        <w:t>Data and methodology</w:t>
      </w:r>
    </w:p>
    <w:p w14:paraId="55220950" w14:textId="77777777" w:rsidR="00C22018" w:rsidRPr="00B33FA6" w:rsidRDefault="00C22018" w:rsidP="00C22018">
      <w:pPr>
        <w:pStyle w:val="Heading2"/>
        <w:ind w:left="576"/>
      </w:pPr>
      <w:r w:rsidRPr="00B33FA6">
        <w:t>Sample and data sources</w:t>
      </w:r>
    </w:p>
    <w:p w14:paraId="15CC1AB5" w14:textId="730BAB11" w:rsidR="00CE2C76" w:rsidRPr="00B33FA6" w:rsidRDefault="00CE2C76" w:rsidP="00CE2C76">
      <w:pPr>
        <w:spacing w:line="480" w:lineRule="auto"/>
        <w:jc w:val="both"/>
        <w:rPr>
          <w:color w:val="000000" w:themeColor="text1"/>
        </w:rPr>
      </w:pPr>
      <w:r w:rsidRPr="00B33FA6">
        <w:rPr>
          <w:color w:val="000000" w:themeColor="text1"/>
        </w:rPr>
        <w:t xml:space="preserve">The data </w:t>
      </w:r>
      <w:r>
        <w:rPr>
          <w:color w:val="000000" w:themeColor="text1"/>
        </w:rPr>
        <w:t>for</w:t>
      </w:r>
      <w:r w:rsidRPr="00B33FA6">
        <w:rPr>
          <w:color w:val="000000" w:themeColor="text1"/>
        </w:rPr>
        <w:t xml:space="preserve"> M&amp;A and merger characteristics ha</w:t>
      </w:r>
      <w:r>
        <w:rPr>
          <w:color w:val="000000" w:themeColor="text1"/>
        </w:rPr>
        <w:t>s</w:t>
      </w:r>
      <w:r w:rsidRPr="00B33FA6">
        <w:rPr>
          <w:color w:val="000000" w:themeColor="text1"/>
        </w:rPr>
        <w:t xml:space="preserve"> been taken from the Securities Data Corporation (SDC) database. All other data on share price and firm characteristics have been collected from </w:t>
      </w:r>
      <w:proofErr w:type="spellStart"/>
      <w:r w:rsidRPr="00B33FA6">
        <w:rPr>
          <w:color w:val="000000" w:themeColor="text1"/>
        </w:rPr>
        <w:t>Datastream</w:t>
      </w:r>
      <w:proofErr w:type="spellEnd"/>
      <w:r w:rsidRPr="00B33FA6">
        <w:rPr>
          <w:color w:val="000000" w:themeColor="text1"/>
        </w:rPr>
        <w:t xml:space="preserve">. We have </w:t>
      </w:r>
      <w:r>
        <w:rPr>
          <w:color w:val="000000" w:themeColor="text1"/>
        </w:rPr>
        <w:t>applied</w:t>
      </w:r>
      <w:r w:rsidRPr="00B33FA6">
        <w:rPr>
          <w:color w:val="000000" w:themeColor="text1"/>
        </w:rPr>
        <w:t xml:space="preserve"> the following criteria for sample selection: (</w:t>
      </w:r>
      <w:proofErr w:type="spellStart"/>
      <w:r w:rsidRPr="00B33FA6">
        <w:rPr>
          <w:color w:val="000000" w:themeColor="text1"/>
        </w:rPr>
        <w:t>i</w:t>
      </w:r>
      <w:proofErr w:type="spellEnd"/>
      <w:r w:rsidRPr="00B33FA6">
        <w:rPr>
          <w:color w:val="000000" w:themeColor="text1"/>
        </w:rPr>
        <w:t>) The acquirer firms belong to publicly traded firms in the UK; (ii) Target firms belong to UK private firms (including subsidiaries)</w:t>
      </w:r>
      <w:r w:rsidR="006F5609">
        <w:rPr>
          <w:color w:val="000000" w:themeColor="text1"/>
        </w:rPr>
        <w:t xml:space="preserve"> and public firms</w:t>
      </w:r>
      <w:r w:rsidRPr="00B33FA6">
        <w:rPr>
          <w:color w:val="000000" w:themeColor="text1"/>
        </w:rPr>
        <w:t>.</w:t>
      </w:r>
      <w:r w:rsidR="00693A9F">
        <w:rPr>
          <w:color w:val="000000" w:themeColor="text1"/>
        </w:rPr>
        <w:t xml:space="preserve">  </w:t>
      </w:r>
      <w:r w:rsidR="00693A9F" w:rsidRPr="00CE4B81">
        <w:rPr>
          <w:color w:val="000000" w:themeColor="text1"/>
        </w:rPr>
        <w:t>Private targets are taken as they are difficult to value and hence provide an ideal testing ground for managerial acquisitiveness. This is because private targets are based on managers’ own evaluation of possible synergies from the M&amp;A, whereas public target</w:t>
      </w:r>
      <w:r w:rsidR="00EF561A" w:rsidRPr="00CE4B81">
        <w:rPr>
          <w:color w:val="000000" w:themeColor="text1"/>
        </w:rPr>
        <w:t xml:space="preserve"> firms</w:t>
      </w:r>
      <w:r w:rsidR="00693A9F" w:rsidRPr="00CE4B81">
        <w:rPr>
          <w:color w:val="000000" w:themeColor="text1"/>
        </w:rPr>
        <w:t xml:space="preserve"> </w:t>
      </w:r>
      <w:r w:rsidR="00EF561A" w:rsidRPr="00CE4B81">
        <w:rPr>
          <w:color w:val="000000" w:themeColor="text1"/>
        </w:rPr>
        <w:t xml:space="preserve">with larger investor base, </w:t>
      </w:r>
      <w:r w:rsidR="00693A9F" w:rsidRPr="00CE4B81">
        <w:rPr>
          <w:color w:val="000000" w:themeColor="text1"/>
        </w:rPr>
        <w:t>are</w:t>
      </w:r>
      <w:r w:rsidR="00EF561A" w:rsidRPr="00CE4B81">
        <w:rPr>
          <w:color w:val="000000" w:themeColor="text1"/>
        </w:rPr>
        <w:t xml:space="preserve"> </w:t>
      </w:r>
      <w:r w:rsidR="00693A9F" w:rsidRPr="00CE4B81">
        <w:rPr>
          <w:color w:val="000000" w:themeColor="text1"/>
        </w:rPr>
        <w:t>easier to value as they are</w:t>
      </w:r>
      <w:r w:rsidR="00EF561A" w:rsidRPr="00CE4B81">
        <w:rPr>
          <w:color w:val="000000" w:themeColor="text1"/>
        </w:rPr>
        <w:t xml:space="preserve"> more transparent due to</w:t>
      </w:r>
      <w:r w:rsidR="00693A9F" w:rsidRPr="00CE4B81">
        <w:rPr>
          <w:color w:val="000000" w:themeColor="text1"/>
        </w:rPr>
        <w:t xml:space="preserve"> constant scrutiny by market analysts. </w:t>
      </w:r>
      <w:r w:rsidRPr="00CE4B81">
        <w:rPr>
          <w:color w:val="000000" w:themeColor="text1"/>
        </w:rPr>
        <w:t>Within the sample period given below, we find that 99% of M&amp;A deals are comprised of deals</w:t>
      </w:r>
      <w:r w:rsidRPr="00B33FA6">
        <w:rPr>
          <w:color w:val="000000" w:themeColor="text1"/>
        </w:rPr>
        <w:t xml:space="preserve"> where the target firms are private companies. This is in line with the studies by Doukas </w:t>
      </w:r>
      <w:r>
        <w:rPr>
          <w:color w:val="000000" w:themeColor="text1"/>
        </w:rPr>
        <w:t>and</w:t>
      </w:r>
      <w:r w:rsidRPr="00B33FA6">
        <w:rPr>
          <w:color w:val="000000" w:themeColor="text1"/>
        </w:rPr>
        <w:t xml:space="preserve"> </w:t>
      </w:r>
      <w:proofErr w:type="spellStart"/>
      <w:r w:rsidRPr="00B33FA6">
        <w:rPr>
          <w:color w:val="000000" w:themeColor="text1"/>
        </w:rPr>
        <w:t>Petmezas</w:t>
      </w:r>
      <w:proofErr w:type="spellEnd"/>
      <w:r w:rsidRPr="00B33FA6">
        <w:rPr>
          <w:color w:val="000000" w:themeColor="text1"/>
        </w:rPr>
        <w:t xml:space="preserve"> (2007) and Dowling </w:t>
      </w:r>
      <w:r>
        <w:rPr>
          <w:color w:val="000000" w:themeColor="text1"/>
        </w:rPr>
        <w:t>and</w:t>
      </w:r>
      <w:r w:rsidRPr="00B33FA6">
        <w:rPr>
          <w:color w:val="000000" w:themeColor="text1"/>
        </w:rPr>
        <w:t xml:space="preserve"> </w:t>
      </w:r>
      <w:proofErr w:type="spellStart"/>
      <w:r w:rsidRPr="00B33FA6">
        <w:rPr>
          <w:color w:val="000000" w:themeColor="text1"/>
        </w:rPr>
        <w:t>Aribi</w:t>
      </w:r>
      <w:proofErr w:type="spellEnd"/>
      <w:r w:rsidRPr="00B33FA6">
        <w:rPr>
          <w:color w:val="000000" w:themeColor="text1"/>
        </w:rPr>
        <w:t xml:space="preserve"> (2013). (iii) The acquirer must obtain more than 50% of the target firms</w:t>
      </w:r>
      <w:r w:rsidR="00EB4BC6">
        <w:rPr>
          <w:color w:val="000000" w:themeColor="text1"/>
        </w:rPr>
        <w:t>’</w:t>
      </w:r>
      <w:r w:rsidRPr="00B33FA6">
        <w:rPr>
          <w:color w:val="000000" w:themeColor="text1"/>
        </w:rPr>
        <w:t xml:space="preserve"> shares after the completion of the takeover deal; (iv) We have also excluded financial and utility firms from the sample as these firms are subject to economic regulations and hence managerial overconfidence may not be a significant factor for their takeover decisions. Based on the above criteria</w:t>
      </w:r>
      <w:r>
        <w:rPr>
          <w:color w:val="000000" w:themeColor="text1"/>
        </w:rPr>
        <w:t>,</w:t>
      </w:r>
      <w:r w:rsidRPr="00B33FA6">
        <w:rPr>
          <w:color w:val="000000" w:themeColor="text1"/>
        </w:rPr>
        <w:t xml:space="preserve"> we have obtained 754 M&amp;A deals from 2002 to 2018; (v) The first measure of overconfidence is obtained by calculating the fraction of male directors </w:t>
      </w:r>
      <w:r w:rsidRPr="00B33FA6">
        <w:t xml:space="preserve">on </w:t>
      </w:r>
      <w:r w:rsidRPr="00B33FA6">
        <w:rPr>
          <w:color w:val="000000" w:themeColor="text1"/>
        </w:rPr>
        <w:t>the board</w:t>
      </w:r>
      <w:r>
        <w:rPr>
          <w:color w:val="000000" w:themeColor="text1"/>
        </w:rPr>
        <w:t>;</w:t>
      </w:r>
      <w:r w:rsidRPr="00B33FA6">
        <w:rPr>
          <w:color w:val="000000" w:themeColor="text1"/>
        </w:rPr>
        <w:t xml:space="preserve"> and (vi) In order to evaluate our other measure of overconfidence</w:t>
      </w:r>
      <w:r w:rsidR="00531868">
        <w:rPr>
          <w:color w:val="000000" w:themeColor="text1"/>
        </w:rPr>
        <w:t>,</w:t>
      </w:r>
      <w:r>
        <w:rPr>
          <w:color w:val="000000" w:themeColor="text1"/>
        </w:rPr>
        <w:t xml:space="preserve"> we follow</w:t>
      </w:r>
      <w:r w:rsidRPr="00F74F1F">
        <w:rPr>
          <w:color w:val="000000" w:themeColor="text1"/>
        </w:rPr>
        <w:t xml:space="preserve"> Doukas and </w:t>
      </w:r>
      <w:proofErr w:type="spellStart"/>
      <w:r w:rsidRPr="00F74F1F">
        <w:rPr>
          <w:color w:val="000000" w:themeColor="text1"/>
        </w:rPr>
        <w:t>Petmezas</w:t>
      </w:r>
      <w:proofErr w:type="spellEnd"/>
      <w:r w:rsidRPr="00F74F1F">
        <w:rPr>
          <w:color w:val="000000" w:themeColor="text1"/>
        </w:rPr>
        <w:t xml:space="preserve"> (2007)</w:t>
      </w:r>
      <w:r>
        <w:rPr>
          <w:color w:val="000000" w:themeColor="text1"/>
        </w:rPr>
        <w:t xml:space="preserve"> and define</w:t>
      </w:r>
      <w:r w:rsidRPr="00B33FA6">
        <w:rPr>
          <w:color w:val="000000" w:themeColor="text1"/>
        </w:rPr>
        <w:t xml:space="preserve"> multiple acquirers to be firms that </w:t>
      </w:r>
      <w:r>
        <w:rPr>
          <w:color w:val="000000" w:themeColor="text1"/>
        </w:rPr>
        <w:t>complete</w:t>
      </w:r>
      <w:r w:rsidRPr="00B33FA6">
        <w:rPr>
          <w:color w:val="000000" w:themeColor="text1"/>
        </w:rPr>
        <w:t xml:space="preserve"> five or more acquisitions within a span of three</w:t>
      </w:r>
      <w:r>
        <w:rPr>
          <w:color w:val="000000" w:themeColor="text1"/>
        </w:rPr>
        <w:t xml:space="preserve"> </w:t>
      </w:r>
      <w:r w:rsidRPr="00B33FA6">
        <w:rPr>
          <w:color w:val="000000" w:themeColor="text1"/>
        </w:rPr>
        <w:t>years</w:t>
      </w:r>
      <w:r>
        <w:rPr>
          <w:color w:val="000000" w:themeColor="text1"/>
        </w:rPr>
        <w:t>.</w:t>
      </w:r>
      <w:r w:rsidRPr="00B33FA6">
        <w:rPr>
          <w:color w:val="000000" w:themeColor="text1"/>
        </w:rPr>
        <w:t xml:space="preserve"> </w:t>
      </w:r>
    </w:p>
    <w:p w14:paraId="522940A9" w14:textId="77777777" w:rsidR="0009120B" w:rsidRPr="00500D03" w:rsidRDefault="0009120B" w:rsidP="00C427A4">
      <w:pPr>
        <w:spacing w:line="480" w:lineRule="auto"/>
        <w:jc w:val="both"/>
        <w:rPr>
          <w:color w:val="000000" w:themeColor="text1"/>
        </w:rPr>
      </w:pPr>
    </w:p>
    <w:p w14:paraId="13A261FF" w14:textId="744D81D5" w:rsidR="00CE2C76" w:rsidRDefault="00CE2C76" w:rsidP="00CE2C76">
      <w:pPr>
        <w:pStyle w:val="ListParagraph"/>
        <w:autoSpaceDE w:val="0"/>
        <w:autoSpaceDN w:val="0"/>
        <w:adjustRightInd w:val="0"/>
        <w:spacing w:line="480" w:lineRule="auto"/>
        <w:ind w:left="0"/>
        <w:jc w:val="both"/>
        <w:rPr>
          <w:rFonts w:ascii="Times New Roman" w:hAnsi="Times New Roman" w:cs="Times New Roman"/>
        </w:rPr>
      </w:pPr>
      <w:r w:rsidRPr="00B33FA6">
        <w:rPr>
          <w:rFonts w:ascii="Times New Roman" w:hAnsi="Times New Roman" w:cs="Times New Roman"/>
        </w:rPr>
        <w:lastRenderedPageBreak/>
        <w:t xml:space="preserve">Table 1, </w:t>
      </w:r>
      <w:r w:rsidR="00C91C84">
        <w:rPr>
          <w:rFonts w:ascii="Times New Roman" w:hAnsi="Times New Roman" w:cs="Times New Roman"/>
        </w:rPr>
        <w:t>P</w:t>
      </w:r>
      <w:r w:rsidRPr="00B33FA6">
        <w:rPr>
          <w:rFonts w:ascii="Times New Roman" w:hAnsi="Times New Roman" w:cs="Times New Roman"/>
        </w:rPr>
        <w:t>anel A, presents the M&amp;A sample among private and public targets segregated by the acquisitiveness of the acquirer, related versus diversifying acquisitions, cash, stock or mixed payment and transaction value</w:t>
      </w:r>
      <w:r>
        <w:rPr>
          <w:rFonts w:ascii="Times New Roman" w:hAnsi="Times New Roman" w:cs="Times New Roman"/>
        </w:rPr>
        <w:t>;</w:t>
      </w:r>
      <w:r w:rsidRPr="00B33FA6">
        <w:rPr>
          <w:rFonts w:ascii="Times New Roman" w:hAnsi="Times New Roman" w:cs="Times New Roman"/>
        </w:rPr>
        <w:t xml:space="preserve"> and </w:t>
      </w:r>
      <w:r w:rsidR="00C91C84">
        <w:rPr>
          <w:rFonts w:ascii="Times New Roman" w:hAnsi="Times New Roman" w:cs="Times New Roman"/>
        </w:rPr>
        <w:t>P</w:t>
      </w:r>
      <w:r w:rsidRPr="00B33FA6">
        <w:rPr>
          <w:rFonts w:ascii="Times New Roman" w:hAnsi="Times New Roman" w:cs="Times New Roman"/>
        </w:rPr>
        <w:t>anel B reports the descriptive statistics of other board variables.</w:t>
      </w:r>
    </w:p>
    <w:p w14:paraId="198E0EA9" w14:textId="77777777" w:rsidR="00C73C97" w:rsidRDefault="00C73C97" w:rsidP="00CE2C76">
      <w:pPr>
        <w:pStyle w:val="ListParagraph"/>
        <w:autoSpaceDE w:val="0"/>
        <w:autoSpaceDN w:val="0"/>
        <w:adjustRightInd w:val="0"/>
        <w:spacing w:line="480" w:lineRule="auto"/>
        <w:ind w:left="0"/>
        <w:jc w:val="both"/>
        <w:rPr>
          <w:rFonts w:ascii="Times New Roman" w:hAnsi="Times New Roman" w:cs="Times New Roman"/>
        </w:rPr>
      </w:pPr>
    </w:p>
    <w:p w14:paraId="046621C7" w14:textId="7B53C0DE" w:rsidR="007C1099" w:rsidRPr="00F45CB8" w:rsidRDefault="00CE2C76" w:rsidP="007C1099">
      <w:pPr>
        <w:spacing w:line="480" w:lineRule="auto"/>
        <w:jc w:val="both"/>
        <w:rPr>
          <w:rFonts w:eastAsiaTheme="minorHAnsi"/>
          <w:bCs/>
        </w:rPr>
      </w:pPr>
      <w:r w:rsidRPr="00B33FA6">
        <w:t>The results suggest an interesting trend, which is</w:t>
      </w:r>
      <w:r>
        <w:t xml:space="preserve"> that</w:t>
      </w:r>
      <w:r w:rsidRPr="00B33FA6">
        <w:t xml:space="preserve"> a large fraction of UK acquirers (about 56%, 423 deals) engage in multiple acquisitions and the overwhelming majority (99%, 744 deals) </w:t>
      </w:r>
      <w:r>
        <w:t>are</w:t>
      </w:r>
      <w:r w:rsidRPr="00B33FA6">
        <w:t xml:space="preserve"> linked to private deals. In addition, a staggering 42% (316 deals) of all M&amp;A are completed in cash and 18% (136 deals) in stock; the rest are financed by mixed financing. Multiple acquirers make greater use of cash (47%, 2</w:t>
      </w:r>
      <w:r w:rsidR="00C73C97">
        <w:t>00</w:t>
      </w:r>
      <w:r w:rsidRPr="00B33FA6">
        <w:t xml:space="preserve"> deals) while only 16% (</w:t>
      </w:r>
      <w:r w:rsidR="00C73C97">
        <w:t>66</w:t>
      </w:r>
      <w:r w:rsidRPr="00B33FA6">
        <w:t xml:space="preserve"> deals) of the multiple acquirers use stock. Consistent with Doukas </w:t>
      </w:r>
      <w:r>
        <w:t>and</w:t>
      </w:r>
      <w:r w:rsidRPr="00B33FA6">
        <w:t xml:space="preserve"> </w:t>
      </w:r>
      <w:proofErr w:type="spellStart"/>
      <w:r w:rsidRPr="00B33FA6">
        <w:t>Petmezas</w:t>
      </w:r>
      <w:proofErr w:type="spellEnd"/>
      <w:r w:rsidRPr="00B33FA6">
        <w:t xml:space="preserve"> (2007), this suggests that equity overvaluation does not drive UK mergers. The higher percentage of cash transactions by multiple acquirers supports the notion that overconfident managers show </w:t>
      </w:r>
      <w:r>
        <w:t xml:space="preserve">an </w:t>
      </w:r>
      <w:r w:rsidRPr="00B33FA6">
        <w:t>inclination towards internal financing as they recogni</w:t>
      </w:r>
      <w:r>
        <w:t>s</w:t>
      </w:r>
      <w:r w:rsidRPr="00B33FA6">
        <w:t>e their companies as being undervalued</w:t>
      </w:r>
      <w:r w:rsidRPr="00B33FA6">
        <w:rPr>
          <w:rStyle w:val="FootnoteReference"/>
        </w:rPr>
        <w:footnoteReference w:id="10"/>
      </w:r>
      <w:r w:rsidRPr="00B33FA6">
        <w:t>. This result also implies that managerial overconfidence could impact on firm decision</w:t>
      </w:r>
      <w:r>
        <w:t>-</w:t>
      </w:r>
      <w:r w:rsidRPr="00B33FA6">
        <w:t xml:space="preserve">making (Brown </w:t>
      </w:r>
      <w:r>
        <w:t>and</w:t>
      </w:r>
      <w:r w:rsidRPr="00B33FA6">
        <w:t xml:space="preserve"> </w:t>
      </w:r>
      <w:proofErr w:type="spellStart"/>
      <w:r w:rsidRPr="00B33FA6">
        <w:t>Sarma</w:t>
      </w:r>
      <w:proofErr w:type="spellEnd"/>
      <w:r w:rsidRPr="00B33FA6">
        <w:t xml:space="preserve"> 2007; </w:t>
      </w:r>
      <w:proofErr w:type="spellStart"/>
      <w:r w:rsidRPr="00B33FA6">
        <w:t>Malmendier</w:t>
      </w:r>
      <w:proofErr w:type="spellEnd"/>
      <w:r w:rsidRPr="00B33FA6">
        <w:t xml:space="preserve"> </w:t>
      </w:r>
      <w:r>
        <w:t>and</w:t>
      </w:r>
      <w:r w:rsidRPr="00B33FA6">
        <w:t xml:space="preserve"> Tate 2008; </w:t>
      </w:r>
      <w:r w:rsidRPr="00B33FA6">
        <w:rPr>
          <w:color w:val="000000" w:themeColor="text1"/>
        </w:rPr>
        <w:t>Ferris, Jayaraman</w:t>
      </w:r>
      <w:r>
        <w:rPr>
          <w:color w:val="000000" w:themeColor="text1"/>
        </w:rPr>
        <w:t xml:space="preserve"> and</w:t>
      </w:r>
      <w:r w:rsidRPr="00B33FA6">
        <w:rPr>
          <w:color w:val="000000" w:themeColor="text1"/>
        </w:rPr>
        <w:t xml:space="preserve"> </w:t>
      </w:r>
      <w:proofErr w:type="spellStart"/>
      <w:r w:rsidRPr="00B33FA6">
        <w:rPr>
          <w:color w:val="000000" w:themeColor="text1"/>
        </w:rPr>
        <w:t>Sabherwal</w:t>
      </w:r>
      <w:proofErr w:type="spellEnd"/>
      <w:r w:rsidRPr="00B33FA6">
        <w:t xml:space="preserve"> 2013). The result also shows that 67% (504 deals) of all acquisitions are diversifying acquisitions, while only 33% (250 deals) are related acquisitions. Within the multiple M&amp;A deals, the majority</w:t>
      </w:r>
      <w:r>
        <w:t>,</w:t>
      </w:r>
      <w:r w:rsidRPr="00B33FA6">
        <w:t xml:space="preserve"> i.e. 72% (306 deals)</w:t>
      </w:r>
      <w:r>
        <w:t>,</w:t>
      </w:r>
      <w:r w:rsidRPr="00B33FA6">
        <w:t xml:space="preserve"> are diversifying M&amp;A. This result validates the findings of empirical studies that overconfident managers with abundant internal resources engage in diversifying acquisitions rather than related acquisitions (</w:t>
      </w:r>
      <w:proofErr w:type="spellStart"/>
      <w:r w:rsidRPr="00B33FA6">
        <w:rPr>
          <w:color w:val="000000" w:themeColor="text1"/>
        </w:rPr>
        <w:t>Morck</w:t>
      </w:r>
      <w:proofErr w:type="spellEnd"/>
      <w:r w:rsidRPr="00B33FA6">
        <w:rPr>
          <w:color w:val="000000" w:themeColor="text1"/>
        </w:rPr>
        <w:t>, Shleifer</w:t>
      </w:r>
      <w:r>
        <w:rPr>
          <w:color w:val="000000" w:themeColor="text1"/>
        </w:rPr>
        <w:t xml:space="preserve"> and</w:t>
      </w:r>
      <w:r w:rsidRPr="00B33FA6">
        <w:rPr>
          <w:color w:val="000000" w:themeColor="text1"/>
        </w:rPr>
        <w:t xml:space="preserve"> </w:t>
      </w:r>
      <w:proofErr w:type="spellStart"/>
      <w:r w:rsidRPr="00B33FA6">
        <w:rPr>
          <w:color w:val="000000" w:themeColor="text1"/>
        </w:rPr>
        <w:t>Vishny</w:t>
      </w:r>
      <w:proofErr w:type="spellEnd"/>
      <w:r w:rsidRPr="00B33FA6">
        <w:t xml:space="preserve"> 1990; </w:t>
      </w:r>
      <w:r w:rsidRPr="00B33FA6">
        <w:rPr>
          <w:color w:val="000000" w:themeColor="text1"/>
        </w:rPr>
        <w:t>Ferris, Jayaraman</w:t>
      </w:r>
      <w:r>
        <w:rPr>
          <w:color w:val="000000" w:themeColor="text1"/>
        </w:rPr>
        <w:t xml:space="preserve"> and</w:t>
      </w:r>
      <w:r w:rsidRPr="00B33FA6">
        <w:rPr>
          <w:color w:val="000000" w:themeColor="text1"/>
        </w:rPr>
        <w:t xml:space="preserve"> </w:t>
      </w:r>
      <w:proofErr w:type="spellStart"/>
      <w:r w:rsidRPr="00B33FA6">
        <w:rPr>
          <w:color w:val="000000" w:themeColor="text1"/>
        </w:rPr>
        <w:t>Sabherwal</w:t>
      </w:r>
      <w:proofErr w:type="spellEnd"/>
      <w:r w:rsidRPr="00B33FA6">
        <w:t xml:space="preserve"> 2013</w:t>
      </w:r>
      <w:r w:rsidRPr="00CE4B81">
        <w:t>).</w:t>
      </w:r>
      <w:r w:rsidR="000611C2" w:rsidRPr="00CE4B81">
        <w:t xml:space="preserve"> We further screen</w:t>
      </w:r>
      <w:r w:rsidR="005405DC" w:rsidRPr="00CE4B81">
        <w:t xml:space="preserve"> </w:t>
      </w:r>
      <w:r w:rsidR="000611C2" w:rsidRPr="00CE4B81">
        <w:t xml:space="preserve">the sample by taking M&amp;A deals </w:t>
      </w:r>
      <w:r w:rsidR="000611C2" w:rsidRPr="00CE4B81">
        <w:lastRenderedPageBreak/>
        <w:t>where the transaction size is £20 million or more. This is shown in the last row of Panel A. As the Table shows</w:t>
      </w:r>
      <w:r w:rsidR="006D5EFB" w:rsidRPr="00CE4B81">
        <w:t>,</w:t>
      </w:r>
      <w:r w:rsidR="000611C2" w:rsidRPr="00CE4B81">
        <w:t xml:space="preserve"> 497 out of 754 M&amp;A deals comprises of transaction size of £20 million or more and 488 of these deals are private target firms and </w:t>
      </w:r>
      <w:r w:rsidR="00485013" w:rsidRPr="00CE4B81">
        <w:t xml:space="preserve">the </w:t>
      </w:r>
      <w:r w:rsidR="000611C2" w:rsidRPr="00CE4B81">
        <w:t xml:space="preserve">rest </w:t>
      </w:r>
      <w:r w:rsidR="005405DC" w:rsidRPr="00CE4B81">
        <w:t>of the</w:t>
      </w:r>
      <w:r w:rsidR="000611C2" w:rsidRPr="00CE4B81">
        <w:t xml:space="preserve"> deals </w:t>
      </w:r>
      <w:r w:rsidR="005405DC" w:rsidRPr="00CE4B81">
        <w:t xml:space="preserve">constituting about nine </w:t>
      </w:r>
      <w:r w:rsidR="000611C2" w:rsidRPr="00CE4B81">
        <w:t xml:space="preserve">are public target firms. The median transaction value of these large deals is £79.8 million. </w:t>
      </w:r>
      <w:r w:rsidR="006D5EFB" w:rsidRPr="00CE4B81">
        <w:t xml:space="preserve">Hence, it can be concluded that </w:t>
      </w:r>
      <w:r w:rsidR="005405DC" w:rsidRPr="00CE4B81">
        <w:t xml:space="preserve">the </w:t>
      </w:r>
      <w:r w:rsidR="006D5EFB" w:rsidRPr="00CE4B81">
        <w:t>majority of the private target deals, that is, 65% (488 out of 744) are large deals.</w:t>
      </w:r>
      <w:r w:rsidR="007C1099" w:rsidRPr="00CE4B81">
        <w:t xml:space="preserve"> </w:t>
      </w:r>
      <w:r w:rsidR="007C1099" w:rsidRPr="00CE4B81">
        <w:rPr>
          <w:rFonts w:eastAsiaTheme="minorHAnsi"/>
          <w:bCs/>
        </w:rPr>
        <w:t xml:space="preserve">We have also analysed the size of the acquisition relative to bidder’s market capitalisation. This is shown in the last column </w:t>
      </w:r>
      <w:r w:rsidR="005405DC" w:rsidRPr="00CE4B81">
        <w:rPr>
          <w:rFonts w:eastAsiaTheme="minorHAnsi"/>
          <w:bCs/>
        </w:rPr>
        <w:t xml:space="preserve">of </w:t>
      </w:r>
      <w:r w:rsidR="007C1099" w:rsidRPr="00CE4B81">
        <w:rPr>
          <w:rFonts w:eastAsiaTheme="minorHAnsi"/>
          <w:bCs/>
        </w:rPr>
        <w:t xml:space="preserve">Panel A in Table 1. The results show that for </w:t>
      </w:r>
      <w:r w:rsidR="005405DC" w:rsidRPr="00CE4B81">
        <w:rPr>
          <w:rFonts w:eastAsiaTheme="minorHAnsi"/>
          <w:bCs/>
        </w:rPr>
        <w:t>the full</w:t>
      </w:r>
      <w:r w:rsidR="007C1099" w:rsidRPr="00CE4B81">
        <w:rPr>
          <w:rFonts w:eastAsiaTheme="minorHAnsi"/>
          <w:bCs/>
        </w:rPr>
        <w:t xml:space="preserve"> sample the average size of the acquisition relative to the bidder’s market capitalisation is 0.0624, which is about 6% of the bidder’s market capitalisation. For large deals at or above £20 million this figure is 0.0883 implying that on average for large deals the average size of the acquisition to bidder’s market capitalisation is about 8.8%.</w:t>
      </w:r>
      <w:r w:rsidR="00B67973" w:rsidRPr="00CE4B81">
        <w:rPr>
          <w:rFonts w:eastAsiaTheme="minorHAnsi"/>
          <w:bCs/>
        </w:rPr>
        <w:t xml:space="preserve"> </w:t>
      </w:r>
    </w:p>
    <w:p w14:paraId="57963BDE" w14:textId="401F1B46" w:rsidR="00CE2C76" w:rsidRPr="006D5EFB" w:rsidRDefault="00CE2C76" w:rsidP="00CE2C76">
      <w:pPr>
        <w:pStyle w:val="ListParagraph"/>
        <w:autoSpaceDE w:val="0"/>
        <w:autoSpaceDN w:val="0"/>
        <w:adjustRightInd w:val="0"/>
        <w:spacing w:line="480" w:lineRule="auto"/>
        <w:ind w:left="0"/>
        <w:jc w:val="both"/>
        <w:rPr>
          <w:rFonts w:ascii="Times New Roman" w:hAnsi="Times New Roman" w:cs="Times New Roman"/>
        </w:rPr>
      </w:pPr>
    </w:p>
    <w:p w14:paraId="39839162" w14:textId="77777777" w:rsidR="00BE359D" w:rsidRDefault="00CE2C76" w:rsidP="00CE2C76">
      <w:pPr>
        <w:spacing w:line="480" w:lineRule="auto"/>
        <w:jc w:val="center"/>
      </w:pPr>
      <w:r w:rsidRPr="00C15C8E">
        <w:t xml:space="preserve"> </w:t>
      </w:r>
      <w:r w:rsidR="00C15C8E" w:rsidRPr="00C15C8E">
        <w:t>(Insert Table 1)</w:t>
      </w:r>
    </w:p>
    <w:p w14:paraId="6E3AB1C0" w14:textId="72D18ABC" w:rsidR="00C23975" w:rsidRDefault="0015049B" w:rsidP="0015049B">
      <w:pPr>
        <w:spacing w:line="480" w:lineRule="auto"/>
        <w:jc w:val="both"/>
      </w:pPr>
      <w:r w:rsidRPr="00CE4B81">
        <w:t xml:space="preserve">Panel B of Table 1 shows that the mean fraction of male directors in the board is 0.78, implying that on average 78% of board members are male directors. </w:t>
      </w:r>
      <w:r w:rsidR="005405DC" w:rsidRPr="00CE4B81">
        <w:rPr>
          <w:rFonts w:eastAsiaTheme="minorHAnsi"/>
        </w:rPr>
        <w:t>Over</w:t>
      </w:r>
      <w:r w:rsidR="00C23975" w:rsidRPr="00CE4B81">
        <w:rPr>
          <w:rFonts w:eastAsiaTheme="minorHAnsi"/>
        </w:rPr>
        <w:t xml:space="preserve"> the sample period</w:t>
      </w:r>
      <w:r w:rsidR="005405DC" w:rsidRPr="00CE4B81">
        <w:rPr>
          <w:rFonts w:eastAsiaTheme="minorHAnsi"/>
        </w:rPr>
        <w:t>,</w:t>
      </w:r>
      <w:r w:rsidR="00C23975" w:rsidRPr="00CE4B81">
        <w:rPr>
          <w:rFonts w:eastAsiaTheme="minorHAnsi"/>
        </w:rPr>
        <w:t xml:space="preserve"> boards </w:t>
      </w:r>
      <w:r w:rsidR="005405DC" w:rsidRPr="00CE4B81">
        <w:rPr>
          <w:rFonts w:eastAsiaTheme="minorHAnsi"/>
        </w:rPr>
        <w:t>in the UK have become</w:t>
      </w:r>
      <w:r w:rsidR="00C23975" w:rsidRPr="00CE4B81">
        <w:rPr>
          <w:rFonts w:eastAsiaTheme="minorHAnsi"/>
        </w:rPr>
        <w:t xml:space="preserve"> more gender diverse as the fraction of male directors </w:t>
      </w:r>
      <w:r w:rsidR="005405DC" w:rsidRPr="00CE4B81">
        <w:rPr>
          <w:rFonts w:eastAsiaTheme="minorHAnsi"/>
        </w:rPr>
        <w:t>has fallen</w:t>
      </w:r>
      <w:r w:rsidR="00C23975" w:rsidRPr="00CE4B81">
        <w:rPr>
          <w:rFonts w:eastAsiaTheme="minorHAnsi"/>
        </w:rPr>
        <w:t xml:space="preserve"> and the number of female directors </w:t>
      </w:r>
      <w:r w:rsidR="005405DC" w:rsidRPr="00CE4B81">
        <w:rPr>
          <w:rFonts w:eastAsiaTheme="minorHAnsi"/>
        </w:rPr>
        <w:t xml:space="preserve">has </w:t>
      </w:r>
      <w:r w:rsidR="00C23975" w:rsidRPr="00CE4B81">
        <w:rPr>
          <w:rFonts w:eastAsiaTheme="minorHAnsi"/>
        </w:rPr>
        <w:t xml:space="preserve">increased. </w:t>
      </w:r>
      <w:r w:rsidR="005405DC" w:rsidRPr="00CE4B81">
        <w:rPr>
          <w:rFonts w:eastAsiaTheme="minorHAnsi"/>
        </w:rPr>
        <w:t xml:space="preserve">Similar UK board gender diversity trend has also been observed by Dowling and </w:t>
      </w:r>
      <w:proofErr w:type="spellStart"/>
      <w:r w:rsidR="005405DC" w:rsidRPr="00CE4B81">
        <w:rPr>
          <w:rFonts w:eastAsiaTheme="minorHAnsi"/>
        </w:rPr>
        <w:t>Aribi</w:t>
      </w:r>
      <w:proofErr w:type="spellEnd"/>
      <w:r w:rsidR="005405DC" w:rsidRPr="00CE4B81">
        <w:rPr>
          <w:rFonts w:eastAsiaTheme="minorHAnsi"/>
        </w:rPr>
        <w:t xml:space="preserve"> (2013) in the context of UK M&amp;A and Brahma, </w:t>
      </w:r>
      <w:proofErr w:type="spellStart"/>
      <w:r w:rsidR="005405DC" w:rsidRPr="00CE4B81">
        <w:rPr>
          <w:rFonts w:eastAsiaTheme="minorHAnsi"/>
        </w:rPr>
        <w:t>Nwafor</w:t>
      </w:r>
      <w:proofErr w:type="spellEnd"/>
      <w:r w:rsidR="005405DC" w:rsidRPr="00CE4B81">
        <w:rPr>
          <w:rFonts w:eastAsiaTheme="minorHAnsi"/>
        </w:rPr>
        <w:t>, Boateng (202</w:t>
      </w:r>
      <w:r w:rsidR="00387AE1" w:rsidRPr="00CE4B81">
        <w:rPr>
          <w:rFonts w:eastAsiaTheme="minorHAnsi"/>
        </w:rPr>
        <w:t>1)</w:t>
      </w:r>
      <w:r w:rsidR="00EB4BC6" w:rsidRPr="00CE4B81">
        <w:rPr>
          <w:rFonts w:eastAsiaTheme="minorHAnsi"/>
        </w:rPr>
        <w:t xml:space="preserve"> </w:t>
      </w:r>
      <w:r w:rsidR="005405DC" w:rsidRPr="00CE4B81">
        <w:rPr>
          <w:rFonts w:eastAsiaTheme="minorHAnsi"/>
        </w:rPr>
        <w:t>in the context of FTSE100 firms.</w:t>
      </w:r>
    </w:p>
    <w:p w14:paraId="36493E37" w14:textId="77777777" w:rsidR="005405DC" w:rsidRDefault="005405DC" w:rsidP="0015049B">
      <w:pPr>
        <w:spacing w:line="480" w:lineRule="auto"/>
        <w:jc w:val="both"/>
      </w:pPr>
    </w:p>
    <w:p w14:paraId="05246F56" w14:textId="27397C03" w:rsidR="00CE2C76" w:rsidRPr="00B33FA6" w:rsidRDefault="00CE2C76" w:rsidP="00CE2C76">
      <w:pPr>
        <w:tabs>
          <w:tab w:val="left" w:pos="142"/>
        </w:tabs>
        <w:spacing w:line="480" w:lineRule="auto"/>
        <w:jc w:val="both"/>
        <w:rPr>
          <w:color w:val="000000" w:themeColor="text1"/>
        </w:rPr>
      </w:pPr>
      <w:r w:rsidRPr="00B33FA6">
        <w:rPr>
          <w:color w:val="000000" w:themeColor="text1"/>
        </w:rPr>
        <w:t>Table 2 shows the spread of the M&amp;A deals around the time period selected. As evident from the table</w:t>
      </w:r>
      <w:r>
        <w:rPr>
          <w:color w:val="000000" w:themeColor="text1"/>
        </w:rPr>
        <w:t>,</w:t>
      </w:r>
      <w:r w:rsidRPr="00B33FA6">
        <w:rPr>
          <w:color w:val="000000" w:themeColor="text1"/>
        </w:rPr>
        <w:t xml:space="preserve"> in most years cash deals and diversifying acquisitions were higher than related acquisitions. The results show that percentages of cash payments are higher in most years for multiple acquirers than </w:t>
      </w:r>
      <w:r>
        <w:rPr>
          <w:color w:val="000000" w:themeColor="text1"/>
        </w:rPr>
        <w:t xml:space="preserve">for </w:t>
      </w:r>
      <w:r w:rsidRPr="00B33FA6">
        <w:rPr>
          <w:color w:val="000000" w:themeColor="text1"/>
        </w:rPr>
        <w:t xml:space="preserve">single acquirers. In addition, the percentage of related deals is higher </w:t>
      </w:r>
      <w:r w:rsidRPr="00B33FA6">
        <w:rPr>
          <w:color w:val="000000" w:themeColor="text1"/>
        </w:rPr>
        <w:lastRenderedPageBreak/>
        <w:t>for single acquirers (4</w:t>
      </w:r>
      <w:r w:rsidR="0082613E">
        <w:rPr>
          <w:color w:val="000000" w:themeColor="text1"/>
        </w:rPr>
        <w:t>0</w:t>
      </w:r>
      <w:r w:rsidRPr="00B33FA6">
        <w:rPr>
          <w:color w:val="000000" w:themeColor="text1"/>
        </w:rPr>
        <w:t>%, 1</w:t>
      </w:r>
      <w:r w:rsidR="00C73C97">
        <w:rPr>
          <w:color w:val="000000" w:themeColor="text1"/>
        </w:rPr>
        <w:t>33</w:t>
      </w:r>
      <w:r w:rsidRPr="00B33FA6">
        <w:rPr>
          <w:color w:val="000000" w:themeColor="text1"/>
        </w:rPr>
        <w:t xml:space="preserve"> out of </w:t>
      </w:r>
      <w:r w:rsidR="00C73C97">
        <w:rPr>
          <w:color w:val="000000" w:themeColor="text1"/>
        </w:rPr>
        <w:t>331</w:t>
      </w:r>
      <w:r w:rsidRPr="00B33FA6">
        <w:rPr>
          <w:color w:val="000000" w:themeColor="text1"/>
        </w:rPr>
        <w:t xml:space="preserve"> deals) than for multiple acquirers (28%, 1</w:t>
      </w:r>
      <w:r w:rsidR="00C73C97">
        <w:rPr>
          <w:color w:val="000000" w:themeColor="text1"/>
        </w:rPr>
        <w:t>17</w:t>
      </w:r>
      <w:r w:rsidRPr="00B33FA6">
        <w:rPr>
          <w:color w:val="000000" w:themeColor="text1"/>
        </w:rPr>
        <w:t xml:space="preserve"> out of 4</w:t>
      </w:r>
      <w:r w:rsidR="00C73C97">
        <w:rPr>
          <w:color w:val="000000" w:themeColor="text1"/>
        </w:rPr>
        <w:t>23</w:t>
      </w:r>
      <w:r w:rsidRPr="00B33FA6">
        <w:rPr>
          <w:color w:val="000000" w:themeColor="text1"/>
        </w:rPr>
        <w:t>). This result has substantiated the results of Table 1 that multiple acquirers display managerial overconfidence and conduct M&amp;A with cash rather than stock, and also engage in M&amp;A with firms that are in unrelated sectors.</w:t>
      </w:r>
    </w:p>
    <w:p w14:paraId="61CFF195" w14:textId="77777777" w:rsidR="003E64C5" w:rsidRDefault="003E64C5" w:rsidP="00C427A4">
      <w:pPr>
        <w:tabs>
          <w:tab w:val="left" w:pos="142"/>
        </w:tabs>
        <w:spacing w:line="480" w:lineRule="auto"/>
        <w:jc w:val="both"/>
        <w:rPr>
          <w:color w:val="000000" w:themeColor="text1"/>
        </w:rPr>
      </w:pPr>
    </w:p>
    <w:p w14:paraId="0173DBF1" w14:textId="32E48937" w:rsidR="00BE359D" w:rsidRDefault="00C15C8E" w:rsidP="006F20FB">
      <w:pPr>
        <w:spacing w:line="480" w:lineRule="auto"/>
        <w:jc w:val="center"/>
      </w:pPr>
      <w:r w:rsidRPr="00C15C8E">
        <w:t xml:space="preserve">(Insert Table </w:t>
      </w:r>
      <w:r>
        <w:t>2</w:t>
      </w:r>
      <w:r w:rsidRPr="00C15C8E">
        <w:t>)</w:t>
      </w:r>
    </w:p>
    <w:p w14:paraId="0470D688" w14:textId="77777777" w:rsidR="005405DC" w:rsidRDefault="005405DC" w:rsidP="006F20FB">
      <w:pPr>
        <w:spacing w:line="480" w:lineRule="auto"/>
        <w:jc w:val="center"/>
      </w:pPr>
    </w:p>
    <w:p w14:paraId="54C954DC" w14:textId="77777777" w:rsidR="003E64C5" w:rsidRDefault="00C22018" w:rsidP="00C22018">
      <w:pPr>
        <w:pStyle w:val="Heading2"/>
        <w:ind w:left="576"/>
      </w:pPr>
      <w:r w:rsidRPr="00B33FA6">
        <w:t>Measurement of short-term announcement period returns</w:t>
      </w:r>
    </w:p>
    <w:p w14:paraId="4AC9717C" w14:textId="77777777" w:rsidR="00C22018" w:rsidRPr="00B33FA6" w:rsidRDefault="00C22018" w:rsidP="00C22018">
      <w:pPr>
        <w:spacing w:line="480" w:lineRule="auto"/>
        <w:jc w:val="both"/>
        <w:rPr>
          <w:color w:val="000000" w:themeColor="text1"/>
        </w:rPr>
      </w:pPr>
      <w:r w:rsidRPr="00B33FA6">
        <w:rPr>
          <w:color w:val="000000" w:themeColor="text1"/>
        </w:rPr>
        <w:t>This study has adopted event study methodology to examine short</w:t>
      </w:r>
      <w:r>
        <w:rPr>
          <w:color w:val="000000" w:themeColor="text1"/>
        </w:rPr>
        <w:t>-</w:t>
      </w:r>
      <w:r w:rsidRPr="00B33FA6">
        <w:rPr>
          <w:color w:val="000000" w:themeColor="text1"/>
        </w:rPr>
        <w:t xml:space="preserve">run announcement period returns following Brown </w:t>
      </w:r>
      <w:r>
        <w:rPr>
          <w:color w:val="000000" w:themeColor="text1"/>
        </w:rPr>
        <w:t>and</w:t>
      </w:r>
      <w:r w:rsidRPr="00B33FA6">
        <w:rPr>
          <w:color w:val="000000" w:themeColor="text1"/>
        </w:rPr>
        <w:t xml:space="preserve"> Warner (1980, 1985). </w:t>
      </w:r>
      <w:r>
        <w:rPr>
          <w:color w:val="000000" w:themeColor="text1"/>
        </w:rPr>
        <w:t>The e</w:t>
      </w:r>
      <w:r w:rsidRPr="00B33FA6">
        <w:rPr>
          <w:color w:val="000000" w:themeColor="text1"/>
        </w:rPr>
        <w:t>fficient market hypothesis suggests that securities earn normal returns in the absence of any event announcements. So, abnormal returns following the announcement of an event reveal the impact of that event announcement on the security returns.</w:t>
      </w:r>
      <w:r w:rsidRPr="00B33FA6">
        <w:rPr>
          <w:rFonts w:eastAsiaTheme="minorEastAsia" w:hAnsi="Calibri"/>
          <w:color w:val="000000" w:themeColor="text1"/>
          <w:kern w:val="24"/>
          <w:sz w:val="34"/>
          <w:szCs w:val="34"/>
        </w:rPr>
        <w:t xml:space="preserve"> </w:t>
      </w:r>
      <w:r w:rsidRPr="00B33FA6">
        <w:rPr>
          <w:color w:val="000000" w:themeColor="text1"/>
        </w:rPr>
        <w:t>Abnormal returns are estimated as the difference between actual return and normal (benchmark) return in the absence of the event.</w:t>
      </w:r>
    </w:p>
    <w:p w14:paraId="2D138720" w14:textId="77777777" w:rsidR="00C22018" w:rsidRPr="00B33FA6" w:rsidRDefault="00CC59FF" w:rsidP="00C22018">
      <w:pPr>
        <w:spacing w:line="480" w:lineRule="auto"/>
        <w:jc w:val="both"/>
      </w:pPr>
      <w:r w:rsidRPr="00B33FA6">
        <w:rPr>
          <w:noProof/>
        </w:rPr>
        <w:object w:dxaOrig="3240" w:dyaOrig="600" w14:anchorId="1F57E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pt;height:23.5pt;mso-width-percent:0;mso-height-percent:0;mso-width-percent:0;mso-height-percent:0" o:ole="">
            <v:imagedata r:id="rId11" o:title=""/>
          </v:shape>
          <o:OLEObject Type="Embed" ProgID="Unknown" ShapeID="_x0000_i1025" DrawAspect="Content" ObjectID="_1735126203" r:id="rId12"/>
        </w:object>
      </w:r>
      <w:r w:rsidR="00C22018" w:rsidRPr="00B33FA6">
        <w:t xml:space="preserve">   </w:t>
      </w:r>
      <w:r w:rsidR="00C22018" w:rsidRPr="00B33FA6">
        <w:rPr>
          <w:rFonts w:eastAsiaTheme="minorEastAsia"/>
          <w:color w:val="231F20"/>
        </w:rPr>
        <w:t xml:space="preserve">                                                                                                      (1)</w:t>
      </w:r>
      <w:r w:rsidR="00C22018" w:rsidRPr="00B33FA6">
        <w:t xml:space="preserve"> </w:t>
      </w:r>
    </w:p>
    <w:p w14:paraId="6133B1BC" w14:textId="77777777" w:rsidR="00C22018" w:rsidRPr="00B33FA6" w:rsidRDefault="00C22018" w:rsidP="00C22018">
      <w:pPr>
        <w:spacing w:line="480" w:lineRule="auto"/>
        <w:jc w:val="both"/>
      </w:pPr>
      <w:r w:rsidRPr="00B33FA6">
        <w:t xml:space="preserve">In this study we calculate the benchmark return using the OLS market model following Brown </w:t>
      </w:r>
      <w:r>
        <w:t>and</w:t>
      </w:r>
      <w:r w:rsidRPr="00B33FA6">
        <w:t xml:space="preserve"> Warner (1985). Under the OLS market model</w:t>
      </w:r>
      <w:r>
        <w:t>,</w:t>
      </w:r>
      <w:r w:rsidRPr="00B33FA6">
        <w:t xml:space="preserve"> we regress the actual returns of the sample firms in the estimation period </w:t>
      </w:r>
      <w:r>
        <w:t>with regard</w:t>
      </w:r>
      <w:r w:rsidRPr="00B33FA6">
        <w:t xml:space="preserve"> to the actual returns of a market index. In this case</w:t>
      </w:r>
      <w:r>
        <w:t>,</w:t>
      </w:r>
      <w:r w:rsidRPr="00B33FA6">
        <w:t xml:space="preserve"> we have taken FTSE100 returns as the market return.    </w:t>
      </w:r>
    </w:p>
    <w:p w14:paraId="173674B5" w14:textId="77777777" w:rsidR="00C22018" w:rsidRPr="00B33FA6" w:rsidRDefault="00CC59FF" w:rsidP="00C22018">
      <w:pPr>
        <w:spacing w:line="480" w:lineRule="auto"/>
        <w:jc w:val="both"/>
      </w:pPr>
      <w:r w:rsidRPr="00B33FA6">
        <w:rPr>
          <w:noProof/>
        </w:rPr>
        <w:object w:dxaOrig="2740" w:dyaOrig="460" w14:anchorId="1004612C">
          <v:shape id="_x0000_i1026" type="#_x0000_t75" alt="" style="width:137pt;height:23.5pt;mso-width-percent:0;mso-height-percent:0;mso-width-percent:0;mso-height-percent:0" o:ole="">
            <v:imagedata r:id="rId13" o:title=""/>
          </v:shape>
          <o:OLEObject Type="Embed" ProgID="Unknown" ShapeID="_x0000_i1026" DrawAspect="Content" ObjectID="_1735126204" r:id="rId14"/>
        </w:object>
      </w:r>
      <w:r w:rsidR="00C22018" w:rsidRPr="00B33FA6">
        <w:t xml:space="preserve"> </w:t>
      </w:r>
      <w:r w:rsidR="00C22018" w:rsidRPr="00B33FA6">
        <w:rPr>
          <w:rFonts w:eastAsiaTheme="minorEastAsia"/>
          <w:color w:val="231F20"/>
        </w:rPr>
        <w:t xml:space="preserve">                                                                                                  (2)</w:t>
      </w:r>
      <w:r w:rsidR="00C22018" w:rsidRPr="00B33FA6">
        <w:t xml:space="preserve"> </w:t>
      </w:r>
    </w:p>
    <w:p w14:paraId="1F27FD73" w14:textId="77777777" w:rsidR="00C22018" w:rsidRPr="00B33FA6" w:rsidRDefault="00CC59FF" w:rsidP="00C22018">
      <w:pPr>
        <w:spacing w:line="480" w:lineRule="auto"/>
        <w:jc w:val="both"/>
      </w:pPr>
      <w:r w:rsidRPr="00B33FA6">
        <w:rPr>
          <w:noProof/>
        </w:rPr>
        <w:object w:dxaOrig="3240" w:dyaOrig="740" w14:anchorId="5CD1C7EE">
          <v:shape id="_x0000_i1027" type="#_x0000_t75" alt="" style="width:118pt;height:28pt;mso-width-percent:0;mso-height-percent:0;mso-width-percent:0;mso-height-percent:0" o:ole="">
            <v:imagedata r:id="rId15" o:title=""/>
          </v:shape>
          <o:OLEObject Type="Embed" ProgID="Unknown" ShapeID="_x0000_i1027" DrawAspect="Content" ObjectID="_1735126205" r:id="rId16"/>
        </w:object>
      </w:r>
      <w:r w:rsidR="00C22018" w:rsidRPr="00B33FA6">
        <w:t xml:space="preserve"> </w:t>
      </w:r>
      <w:r w:rsidR="00C22018" w:rsidRPr="00B33FA6">
        <w:rPr>
          <w:rFonts w:eastAsiaTheme="minorEastAsia"/>
          <w:color w:val="231F20"/>
        </w:rPr>
        <w:t xml:space="preserve">                                                                                                        (3)</w:t>
      </w:r>
      <w:r w:rsidR="00C22018" w:rsidRPr="00B33FA6">
        <w:t xml:space="preserve"> </w:t>
      </w:r>
    </w:p>
    <w:p w14:paraId="5C32F95F" w14:textId="77777777" w:rsidR="00C22018" w:rsidRPr="00B33FA6" w:rsidRDefault="00C22018" w:rsidP="00C22018">
      <w:pPr>
        <w:spacing w:line="480" w:lineRule="auto"/>
        <w:jc w:val="both"/>
        <w:rPr>
          <w:iCs/>
          <w:color w:val="000000" w:themeColor="text1"/>
        </w:rPr>
      </w:pPr>
      <w:r w:rsidRPr="00B33FA6">
        <w:rPr>
          <w:iCs/>
          <w:color w:val="000000" w:themeColor="text1"/>
        </w:rPr>
        <w:t>The average abnormal returns (AAR) for the 11</w:t>
      </w:r>
      <w:r>
        <w:rPr>
          <w:iCs/>
          <w:color w:val="000000" w:themeColor="text1"/>
        </w:rPr>
        <w:t>-</w:t>
      </w:r>
      <w:r w:rsidRPr="00B33FA6">
        <w:rPr>
          <w:iCs/>
          <w:color w:val="000000" w:themeColor="text1"/>
        </w:rPr>
        <w:t>day event window across the N portfolios are analysed using the following equation:</w:t>
      </w:r>
    </w:p>
    <w:p w14:paraId="2A958E20" w14:textId="77777777" w:rsidR="00C22018" w:rsidRPr="00B33FA6" w:rsidRDefault="0081596F" w:rsidP="00C22018">
      <w:pPr>
        <w:spacing w:line="480" w:lineRule="auto"/>
        <w:ind w:left="360"/>
        <w:jc w:val="both"/>
        <w:rPr>
          <w:rFonts w:eastAsiaTheme="minorEastAsia"/>
          <w:color w:val="231F20"/>
        </w:rPr>
      </w:pPr>
      <m:oMath>
        <m:sSub>
          <m:sSubPr>
            <m:ctrlPr>
              <w:rPr>
                <w:rFonts w:ascii="Cambria Math" w:hAnsi="Cambria Math"/>
                <w:i/>
                <w:iCs/>
                <w:color w:val="000000" w:themeColor="text1"/>
              </w:rPr>
            </m:ctrlPr>
          </m:sSubPr>
          <m:e>
            <m:r>
              <w:rPr>
                <w:rFonts w:ascii="Cambria Math" w:hAnsi="Cambria Math"/>
                <w:color w:val="000000" w:themeColor="text1"/>
              </w:rPr>
              <m:t>AAR</m:t>
            </m:r>
          </m:e>
          <m:sub>
            <m:r>
              <w:rPr>
                <w:rFonts w:ascii="Cambria Math" w:hAnsi="Cambria Math"/>
                <w:color w:val="000000" w:themeColor="text1"/>
              </w:rPr>
              <m:t>t</m:t>
            </m:r>
          </m:sub>
        </m:sSub>
      </m:oMath>
      <w:r w:rsidR="00C22018" w:rsidRPr="00B33FA6">
        <w:rPr>
          <w:rFonts w:ascii="Cambria Math" w:hAnsi="Cambria Math"/>
          <w:i/>
          <w:iCs/>
          <w:color w:val="000000" w:themeColor="text1"/>
        </w:rPr>
        <w:t>=</w:t>
      </w:r>
      <m:oMath>
        <m:f>
          <m:fPr>
            <m:ctrlPr>
              <w:rPr>
                <w:rFonts w:ascii="Cambria Math" w:hAnsi="Cambria Math"/>
                <w:i/>
                <w:iCs/>
                <w:color w:val="000000" w:themeColor="text1"/>
              </w:rPr>
            </m:ctrlPr>
          </m:fPr>
          <m:num>
            <m:nary>
              <m:naryPr>
                <m:chr m:val="∑"/>
                <m:ctrlPr>
                  <w:rPr>
                    <w:rFonts w:ascii="Cambria Math" w:hAnsi="Cambria Math"/>
                    <w:i/>
                    <w:iCs/>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AAR</m:t>
                    </m:r>
                  </m:e>
                  <m:sub>
                    <m:r>
                      <w:rPr>
                        <w:rFonts w:ascii="Cambria Math" w:hAnsi="Cambria Math"/>
                        <w:color w:val="000000" w:themeColor="text1"/>
                      </w:rPr>
                      <m:t>i,t</m:t>
                    </m:r>
                  </m:sub>
                </m:sSub>
              </m:e>
            </m:nary>
          </m:num>
          <m:den>
            <m:r>
              <w:rPr>
                <w:rFonts w:ascii="Cambria Math" w:hAnsi="Cambria Math"/>
                <w:color w:val="000000" w:themeColor="text1"/>
              </w:rPr>
              <m:t>N</m:t>
            </m:r>
          </m:den>
        </m:f>
      </m:oMath>
      <w:r w:rsidR="00C22018" w:rsidRPr="00B33FA6">
        <w:rPr>
          <w:rFonts w:eastAsiaTheme="minorEastAsia"/>
          <w:color w:val="231F20"/>
        </w:rPr>
        <w:t xml:space="preserve">                                                                                                            </w:t>
      </w:r>
      <w:proofErr w:type="gramStart"/>
      <w:r w:rsidR="00C22018" w:rsidRPr="00B33FA6">
        <w:rPr>
          <w:rFonts w:eastAsiaTheme="minorEastAsia"/>
          <w:color w:val="231F20"/>
        </w:rPr>
        <w:t xml:space="preserve">   (</w:t>
      </w:r>
      <w:proofErr w:type="gramEnd"/>
      <w:r w:rsidR="00C22018" w:rsidRPr="00B33FA6">
        <w:rPr>
          <w:rFonts w:eastAsiaTheme="minorEastAsia"/>
          <w:color w:val="231F20"/>
        </w:rPr>
        <w:t>4)</w:t>
      </w:r>
    </w:p>
    <w:p w14:paraId="467A2895" w14:textId="452CFF43" w:rsidR="00C22018" w:rsidRPr="00B33FA6" w:rsidRDefault="00C22018" w:rsidP="00C22018">
      <w:pPr>
        <w:spacing w:line="480" w:lineRule="auto"/>
        <w:jc w:val="both"/>
        <w:rPr>
          <w:iCs/>
          <w:color w:val="000000" w:themeColor="text1"/>
        </w:rPr>
      </w:pPr>
      <w:r w:rsidRPr="00B33FA6">
        <w:rPr>
          <w:iCs/>
          <w:color w:val="000000" w:themeColor="text1"/>
        </w:rPr>
        <w:t>The cumulative average abnormal returns (CAAR) indicate the overall implication of the announcement of M&amp;A</w:t>
      </w:r>
      <w:r w:rsidR="0078536D">
        <w:rPr>
          <w:iCs/>
          <w:color w:val="000000" w:themeColor="text1"/>
        </w:rPr>
        <w:t xml:space="preserve">. </w:t>
      </w:r>
      <w:r w:rsidRPr="00B33FA6">
        <w:rPr>
          <w:iCs/>
          <w:color w:val="000000" w:themeColor="text1"/>
        </w:rPr>
        <w:t>In addition, CAAR also indicate the effect of the event over different event windows</w:t>
      </w:r>
      <w:r w:rsidR="0078536D">
        <w:rPr>
          <w:iCs/>
          <w:color w:val="000000" w:themeColor="text1"/>
        </w:rPr>
        <w:t>.</w:t>
      </w:r>
    </w:p>
    <w:p w14:paraId="5773B67E" w14:textId="77777777" w:rsidR="00C22018" w:rsidRPr="00B33FA6" w:rsidRDefault="00C22018" w:rsidP="00C22018">
      <w:pPr>
        <w:spacing w:line="480" w:lineRule="auto"/>
        <w:jc w:val="both"/>
        <w:rPr>
          <w:iCs/>
          <w:color w:val="000000" w:themeColor="text1"/>
        </w:rPr>
      </w:pPr>
      <w:r w:rsidRPr="00B33FA6">
        <w:rPr>
          <w:iCs/>
          <w:color w:val="000000" w:themeColor="text1"/>
        </w:rPr>
        <w:t xml:space="preserve">The CAAR across different event windows are calculated as follows. </w:t>
      </w:r>
    </w:p>
    <w:p w14:paraId="0D2CDBDD" w14:textId="77777777" w:rsidR="00C22018" w:rsidRPr="00B33FA6" w:rsidRDefault="00CC59FF" w:rsidP="00C22018">
      <w:pPr>
        <w:spacing w:line="480" w:lineRule="auto"/>
        <w:ind w:left="360"/>
        <w:jc w:val="both"/>
      </w:pPr>
      <w:r w:rsidRPr="00B33FA6">
        <w:rPr>
          <w:noProof/>
        </w:rPr>
        <w:object w:dxaOrig="3120" w:dyaOrig="1260" w14:anchorId="12505C01">
          <v:shape id="_x0000_i1028" type="#_x0000_t75" alt="" style="width:89pt;height:35pt;mso-width-percent:0;mso-height-percent:0;mso-width-percent:0;mso-height-percent:0" o:ole="">
            <v:imagedata r:id="rId17" o:title=""/>
          </v:shape>
          <o:OLEObject Type="Embed" ProgID="Unknown" ShapeID="_x0000_i1028" DrawAspect="Content" ObjectID="_1735126206" r:id="rId18"/>
        </w:object>
      </w:r>
      <w:r w:rsidR="00C22018" w:rsidRPr="00B33FA6">
        <w:t xml:space="preserve">     </w:t>
      </w:r>
      <w:r w:rsidR="00C22018" w:rsidRPr="00B33FA6">
        <w:rPr>
          <w:rFonts w:eastAsiaTheme="minorEastAsia"/>
          <w:color w:val="231F20"/>
        </w:rPr>
        <w:t xml:space="preserve">                                                                                                        (5)</w:t>
      </w:r>
      <w:r w:rsidR="00C22018" w:rsidRPr="00B33FA6">
        <w:t xml:space="preserve">    </w:t>
      </w:r>
    </w:p>
    <w:p w14:paraId="0CFB69D5" w14:textId="3F25719C" w:rsidR="00C22018" w:rsidRDefault="00C22018" w:rsidP="00C22018">
      <w:pPr>
        <w:autoSpaceDE w:val="0"/>
        <w:autoSpaceDN w:val="0"/>
        <w:adjustRightInd w:val="0"/>
        <w:spacing w:line="480" w:lineRule="auto"/>
      </w:pPr>
      <w:r w:rsidRPr="00B33FA6">
        <w:t>In this study</w:t>
      </w:r>
      <w:r>
        <w:t>,</w:t>
      </w:r>
      <w:r w:rsidRPr="00B33FA6">
        <w:t xml:space="preserve"> we have taken two short event windows</w:t>
      </w:r>
      <w:r>
        <w:t>,</w:t>
      </w:r>
      <w:r w:rsidRPr="00B33FA6">
        <w:t xml:space="preserve"> CAAR (-2, +2) and CAAR (-1, +1)</w:t>
      </w:r>
      <w:r>
        <w:t>,</w:t>
      </w:r>
      <w:r w:rsidRPr="00B33FA6">
        <w:t xml:space="preserve"> as </w:t>
      </w:r>
      <w:r w:rsidRPr="00B33FA6">
        <w:rPr>
          <w:rFonts w:eastAsiaTheme="minorHAnsi"/>
        </w:rPr>
        <w:t>they are the most popular event windows for M&amp;A research (Andrade et al. 2001).</w:t>
      </w:r>
      <w:r w:rsidRPr="00B33FA6">
        <w:t xml:space="preserve"> </w:t>
      </w:r>
    </w:p>
    <w:p w14:paraId="1A845440" w14:textId="77777777" w:rsidR="00786B3E" w:rsidRPr="00B33FA6" w:rsidRDefault="00786B3E" w:rsidP="00C22018">
      <w:pPr>
        <w:autoSpaceDE w:val="0"/>
        <w:autoSpaceDN w:val="0"/>
        <w:adjustRightInd w:val="0"/>
        <w:spacing w:line="480" w:lineRule="auto"/>
      </w:pPr>
    </w:p>
    <w:p w14:paraId="2417BADE" w14:textId="77777777" w:rsidR="00C22018" w:rsidRPr="00B33FA6" w:rsidRDefault="00C22018" w:rsidP="00C22018">
      <w:pPr>
        <w:pStyle w:val="Heading2"/>
        <w:ind w:left="576"/>
      </w:pPr>
      <w:r w:rsidRPr="00B33FA6">
        <w:t>Measurement of long</w:t>
      </w:r>
      <w:r>
        <w:t>-</w:t>
      </w:r>
      <w:r w:rsidRPr="00B33FA6">
        <w:t>run performance</w:t>
      </w:r>
    </w:p>
    <w:p w14:paraId="3D6889C0" w14:textId="26CF4715" w:rsidR="00C22018" w:rsidRDefault="00C22018" w:rsidP="00C22018">
      <w:pPr>
        <w:spacing w:line="480" w:lineRule="auto"/>
        <w:jc w:val="both"/>
        <w:rPr>
          <w:color w:val="000000" w:themeColor="text1"/>
        </w:rPr>
      </w:pPr>
      <w:r w:rsidRPr="00B33FA6">
        <w:rPr>
          <w:color w:val="000000" w:themeColor="text1"/>
        </w:rPr>
        <w:t>Following Lyon, Barber</w:t>
      </w:r>
      <w:r>
        <w:rPr>
          <w:color w:val="000000" w:themeColor="text1"/>
        </w:rPr>
        <w:t xml:space="preserve"> and</w:t>
      </w:r>
      <w:r w:rsidRPr="00B33FA6">
        <w:rPr>
          <w:color w:val="000000" w:themeColor="text1"/>
        </w:rPr>
        <w:t xml:space="preserve"> Tsai (1999) and Datta</w:t>
      </w:r>
      <w:r w:rsidR="00786B3E">
        <w:rPr>
          <w:color w:val="000000" w:themeColor="text1"/>
        </w:rPr>
        <w:t xml:space="preserve"> et al.</w:t>
      </w:r>
      <w:r w:rsidRPr="00B33FA6">
        <w:rPr>
          <w:color w:val="000000" w:themeColor="text1"/>
        </w:rPr>
        <w:t xml:space="preserve"> (2013)</w:t>
      </w:r>
      <w:r>
        <w:rPr>
          <w:color w:val="000000" w:themeColor="text1"/>
        </w:rPr>
        <w:t>,</w:t>
      </w:r>
      <w:r w:rsidRPr="00B33FA6">
        <w:rPr>
          <w:color w:val="000000" w:themeColor="text1"/>
        </w:rPr>
        <w:t xml:space="preserve"> we have measured the buy-and-hold abnormal return (BHAR) to calculate post-merger long</w:t>
      </w:r>
      <w:r>
        <w:rPr>
          <w:color w:val="000000" w:themeColor="text1"/>
        </w:rPr>
        <w:t>-</w:t>
      </w:r>
      <w:r w:rsidRPr="00B33FA6">
        <w:rPr>
          <w:color w:val="000000" w:themeColor="text1"/>
        </w:rPr>
        <w:t xml:space="preserve">run stock price performance. We have examined the monthly BHARs as many studies assert that the BHAR is in line with the true investor experience (Barber </w:t>
      </w:r>
      <w:r>
        <w:rPr>
          <w:color w:val="000000" w:themeColor="text1"/>
        </w:rPr>
        <w:t>and</w:t>
      </w:r>
      <w:r w:rsidRPr="00B33FA6">
        <w:rPr>
          <w:color w:val="000000" w:themeColor="text1"/>
        </w:rPr>
        <w:t xml:space="preserve"> Lyon 1997; Lyon</w:t>
      </w:r>
      <w:r w:rsidR="00786B3E">
        <w:rPr>
          <w:color w:val="000000" w:themeColor="text1"/>
        </w:rPr>
        <w:t xml:space="preserve"> et al.</w:t>
      </w:r>
      <w:r w:rsidRPr="00B33FA6">
        <w:rPr>
          <w:color w:val="000000" w:themeColor="text1"/>
        </w:rPr>
        <w:t xml:space="preserve"> 1999; Datta</w:t>
      </w:r>
      <w:r w:rsidR="00786B3E">
        <w:rPr>
          <w:color w:val="000000" w:themeColor="text1"/>
        </w:rPr>
        <w:t xml:space="preserve"> et al.</w:t>
      </w:r>
      <w:r w:rsidRPr="00B33FA6">
        <w:rPr>
          <w:color w:val="000000" w:themeColor="text1"/>
        </w:rPr>
        <w:t xml:space="preserve"> 2013). </w:t>
      </w:r>
    </w:p>
    <w:p w14:paraId="6E795FF1" w14:textId="77777777" w:rsidR="00C22018" w:rsidRPr="00B33FA6" w:rsidRDefault="00C22018" w:rsidP="00C22018">
      <w:pPr>
        <w:pStyle w:val="Heading3"/>
        <w:rPr>
          <w:i w:val="0"/>
        </w:rPr>
      </w:pPr>
      <w:r w:rsidRPr="00B33FA6">
        <w:rPr>
          <w:i w:val="0"/>
        </w:rPr>
        <w:t>Buy-and-hold abnormal return</w:t>
      </w:r>
    </w:p>
    <w:p w14:paraId="41628E8C" w14:textId="77777777" w:rsidR="00C22018" w:rsidRPr="00B33FA6" w:rsidRDefault="00C22018" w:rsidP="00C22018">
      <w:pPr>
        <w:autoSpaceDE w:val="0"/>
        <w:autoSpaceDN w:val="0"/>
        <w:adjustRightInd w:val="0"/>
        <w:spacing w:line="480" w:lineRule="auto"/>
        <w:jc w:val="both"/>
        <w:rPr>
          <w:color w:val="231F20"/>
        </w:rPr>
      </w:pPr>
      <w:r w:rsidRPr="00B33FA6">
        <w:rPr>
          <w:color w:val="231F20"/>
        </w:rPr>
        <w:t xml:space="preserve">The BHAR of security </w:t>
      </w:r>
      <w:proofErr w:type="spellStart"/>
      <w:r w:rsidRPr="00B33FA6">
        <w:rPr>
          <w:i/>
          <w:color w:val="231F20"/>
        </w:rPr>
        <w:t>i</w:t>
      </w:r>
      <w:proofErr w:type="spellEnd"/>
      <w:r w:rsidRPr="00B33FA6">
        <w:rPr>
          <w:color w:val="231F20"/>
        </w:rPr>
        <w:t xml:space="preserve"> for the holding period T is calculated as follows:</w:t>
      </w:r>
    </w:p>
    <w:p w14:paraId="7D035D35" w14:textId="77777777" w:rsidR="00C22018" w:rsidRPr="00B33FA6" w:rsidRDefault="0081596F" w:rsidP="00C22018">
      <w:pPr>
        <w:autoSpaceDE w:val="0"/>
        <w:autoSpaceDN w:val="0"/>
        <w:adjustRightInd w:val="0"/>
        <w:spacing w:line="480" w:lineRule="auto"/>
        <w:rPr>
          <w:color w:val="231F20"/>
        </w:rPr>
      </w:pPr>
      <m:oMath>
        <m:sSub>
          <m:sSubPr>
            <m:ctrlPr>
              <w:rPr>
                <w:rFonts w:ascii="Cambria Math" w:hAnsi="Cambria Math"/>
                <w:i/>
                <w:color w:val="231F20"/>
              </w:rPr>
            </m:ctrlPr>
          </m:sSubPr>
          <m:e>
            <m:r>
              <w:rPr>
                <w:rFonts w:ascii="Cambria Math" w:hAnsi="Cambria Math"/>
                <w:color w:val="231F20"/>
              </w:rPr>
              <m:t>BHAR</m:t>
            </m:r>
          </m:e>
          <m:sub>
            <m:r>
              <w:rPr>
                <w:rFonts w:ascii="Cambria Math" w:hAnsi="Cambria Math"/>
                <w:color w:val="231F20"/>
              </w:rPr>
              <m:t>i,t</m:t>
            </m:r>
          </m:sub>
        </m:sSub>
        <m:r>
          <w:rPr>
            <w:rFonts w:ascii="Cambria Math" w:hAnsi="Cambria Math"/>
            <w:color w:val="231F20"/>
          </w:rPr>
          <m:t>=</m:t>
        </m:r>
        <m:nary>
          <m:naryPr>
            <m:chr m:val="∏"/>
            <m:limLoc m:val="undOvr"/>
            <m:ctrlPr>
              <w:rPr>
                <w:rFonts w:ascii="Cambria Math" w:hAnsi="Cambria Math"/>
                <w:i/>
                <w:color w:val="231F20"/>
              </w:rPr>
            </m:ctrlPr>
          </m:naryPr>
          <m:sub>
            <m:r>
              <w:rPr>
                <w:rFonts w:ascii="Cambria Math" w:hAnsi="Cambria Math"/>
                <w:color w:val="231F20"/>
              </w:rPr>
              <m:t>t=1</m:t>
            </m:r>
          </m:sub>
          <m:sup>
            <m:r>
              <w:rPr>
                <w:rFonts w:ascii="Cambria Math" w:hAnsi="Cambria Math"/>
                <w:color w:val="231F20"/>
              </w:rPr>
              <m:t>T</m:t>
            </m:r>
          </m:sup>
          <m:e>
            <m:r>
              <w:rPr>
                <w:rFonts w:ascii="Cambria Math" w:hAnsi="Cambria Math"/>
                <w:color w:val="231F20"/>
              </w:rPr>
              <m:t>(1+</m:t>
            </m:r>
            <m:sSub>
              <m:sSubPr>
                <m:ctrlPr>
                  <w:rPr>
                    <w:rFonts w:ascii="Cambria Math" w:hAnsi="Cambria Math"/>
                    <w:i/>
                    <w:color w:val="231F20"/>
                  </w:rPr>
                </m:ctrlPr>
              </m:sSubPr>
              <m:e>
                <m:r>
                  <w:rPr>
                    <w:rFonts w:ascii="Cambria Math" w:hAnsi="Cambria Math"/>
                    <w:color w:val="231F20"/>
                  </w:rPr>
                  <m:t>R</m:t>
                </m:r>
              </m:e>
              <m:sub>
                <m:r>
                  <w:rPr>
                    <w:rFonts w:ascii="Cambria Math" w:hAnsi="Cambria Math"/>
                    <w:color w:val="231F20"/>
                  </w:rPr>
                  <m:t>i,t</m:t>
                </m:r>
              </m:sub>
            </m:sSub>
          </m:e>
        </m:nary>
        <m:r>
          <w:rPr>
            <w:rFonts w:ascii="Cambria Math" w:hAnsi="Cambria Math"/>
            <w:color w:val="231F20"/>
          </w:rPr>
          <m:t>)-</m:t>
        </m:r>
        <m:nary>
          <m:naryPr>
            <m:chr m:val="∏"/>
            <m:limLoc m:val="undOvr"/>
            <m:ctrlPr>
              <w:rPr>
                <w:rFonts w:ascii="Cambria Math" w:hAnsi="Cambria Math"/>
                <w:i/>
                <w:color w:val="231F20"/>
              </w:rPr>
            </m:ctrlPr>
          </m:naryPr>
          <m:sub>
            <m:r>
              <w:rPr>
                <w:rFonts w:ascii="Cambria Math" w:hAnsi="Cambria Math"/>
                <w:color w:val="231F20"/>
              </w:rPr>
              <m:t>t=1</m:t>
            </m:r>
          </m:sub>
          <m:sup>
            <m:r>
              <w:rPr>
                <w:rFonts w:ascii="Cambria Math" w:hAnsi="Cambria Math"/>
                <w:color w:val="231F20"/>
              </w:rPr>
              <m:t>T</m:t>
            </m:r>
          </m:sup>
          <m:e>
            <m:r>
              <w:rPr>
                <w:rFonts w:ascii="Cambria Math" w:hAnsi="Cambria Math"/>
                <w:color w:val="231F20"/>
              </w:rPr>
              <m:t>(1+</m:t>
            </m:r>
            <m:sSub>
              <m:sSubPr>
                <m:ctrlPr>
                  <w:rPr>
                    <w:rFonts w:ascii="Cambria Math" w:hAnsi="Cambria Math"/>
                    <w:i/>
                    <w:color w:val="231F20"/>
                  </w:rPr>
                </m:ctrlPr>
              </m:sSubPr>
              <m:e>
                <m:r>
                  <w:rPr>
                    <w:rFonts w:ascii="Cambria Math" w:hAnsi="Cambria Math"/>
                    <w:color w:val="231F20"/>
                  </w:rPr>
                  <m:t>E(R</m:t>
                </m:r>
              </m:e>
              <m:sub>
                <m:r>
                  <w:rPr>
                    <w:rFonts w:ascii="Cambria Math" w:hAnsi="Cambria Math"/>
                    <w:color w:val="231F20"/>
                  </w:rPr>
                  <m:t>i,t</m:t>
                </m:r>
              </m:sub>
            </m:sSub>
            <m:r>
              <w:rPr>
                <w:rFonts w:ascii="Cambria Math" w:hAnsi="Cambria Math"/>
                <w:color w:val="231F20"/>
              </w:rPr>
              <m:t>))</m:t>
            </m:r>
          </m:e>
        </m:nary>
      </m:oMath>
      <w:r w:rsidR="00C22018" w:rsidRPr="00B33FA6">
        <w:rPr>
          <w:rFonts w:eastAsiaTheme="minorEastAsia"/>
          <w:color w:val="231F20"/>
        </w:rPr>
        <w:t xml:space="preserve">                                                                 (6)</w:t>
      </w:r>
    </w:p>
    <w:p w14:paraId="051BBDFB" w14:textId="510C38F1" w:rsidR="00C22018" w:rsidRPr="00B33FA6" w:rsidRDefault="00C22018" w:rsidP="00C22018">
      <w:pPr>
        <w:autoSpaceDE w:val="0"/>
        <w:autoSpaceDN w:val="0"/>
        <w:adjustRightInd w:val="0"/>
        <w:spacing w:line="480" w:lineRule="auto"/>
        <w:jc w:val="both"/>
        <w:rPr>
          <w:color w:val="231F20"/>
        </w:rPr>
      </w:pPr>
      <w:r w:rsidRPr="00B33FA6">
        <w:rPr>
          <w:color w:val="231F20"/>
        </w:rPr>
        <w:t xml:space="preserve">In </w:t>
      </w:r>
      <w:r w:rsidR="005405DC">
        <w:rPr>
          <w:color w:val="231F20"/>
        </w:rPr>
        <w:t>E</w:t>
      </w:r>
      <w:r w:rsidRPr="00B33FA6">
        <w:rPr>
          <w:color w:val="231F20"/>
        </w:rPr>
        <w:t xml:space="preserve">quation 6, </w:t>
      </w:r>
      <m:oMath>
        <m:sSub>
          <m:sSubPr>
            <m:ctrlPr>
              <w:rPr>
                <w:rFonts w:ascii="Cambria Math" w:hAnsi="Cambria Math"/>
                <w:i/>
                <w:color w:val="231F20"/>
              </w:rPr>
            </m:ctrlPr>
          </m:sSubPr>
          <m:e>
            <m:r>
              <w:rPr>
                <w:rFonts w:ascii="Cambria Math" w:hAnsi="Cambria Math"/>
                <w:color w:val="231F20"/>
              </w:rPr>
              <m:t>R</m:t>
            </m:r>
          </m:e>
          <m:sub>
            <m:r>
              <w:rPr>
                <w:rFonts w:ascii="Cambria Math" w:hAnsi="Cambria Math"/>
                <w:color w:val="231F20"/>
              </w:rPr>
              <m:t>i,t</m:t>
            </m:r>
          </m:sub>
        </m:sSub>
      </m:oMath>
      <w:r w:rsidRPr="00B33FA6">
        <w:rPr>
          <w:color w:val="231F20"/>
        </w:rPr>
        <w:t xml:space="preserve"> is the return of security i at month T and </w:t>
      </w:r>
      <m:oMath>
        <m:sSub>
          <m:sSubPr>
            <m:ctrlPr>
              <w:rPr>
                <w:rFonts w:ascii="Cambria Math" w:hAnsi="Cambria Math"/>
                <w:i/>
                <w:color w:val="231F20"/>
              </w:rPr>
            </m:ctrlPr>
          </m:sSubPr>
          <m:e>
            <m:r>
              <w:rPr>
                <w:rFonts w:ascii="Cambria Math" w:hAnsi="Cambria Math"/>
                <w:color w:val="231F20"/>
              </w:rPr>
              <m:t>E(R</m:t>
            </m:r>
          </m:e>
          <m:sub>
            <m:r>
              <w:rPr>
                <w:rFonts w:ascii="Cambria Math" w:hAnsi="Cambria Math"/>
                <w:color w:val="231F20"/>
              </w:rPr>
              <m:t>i,t</m:t>
            </m:r>
          </m:sub>
        </m:sSub>
        <m:r>
          <w:rPr>
            <w:rFonts w:ascii="Cambria Math" w:hAnsi="Cambria Math"/>
            <w:color w:val="231F20"/>
          </w:rPr>
          <m:t>)</m:t>
        </m:r>
      </m:oMath>
      <w:r w:rsidRPr="00B33FA6">
        <w:rPr>
          <w:color w:val="231F20"/>
        </w:rPr>
        <w:t xml:space="preserve"> is the expected or normal monthly return based on a benchmark model. The number of months in the holding period after the completion month of the event is denoted by T. This study has analy</w:t>
      </w:r>
      <w:r>
        <w:rPr>
          <w:color w:val="231F20"/>
        </w:rPr>
        <w:t>s</w:t>
      </w:r>
      <w:r w:rsidRPr="00B33FA6">
        <w:rPr>
          <w:color w:val="231F20"/>
        </w:rPr>
        <w:t>ed 12</w:t>
      </w:r>
      <w:r w:rsidR="00786B3E">
        <w:rPr>
          <w:color w:val="231F20"/>
        </w:rPr>
        <w:t>-</w:t>
      </w:r>
      <w:r w:rsidRPr="00B33FA6">
        <w:rPr>
          <w:color w:val="231F20"/>
        </w:rPr>
        <w:t>months and 24</w:t>
      </w:r>
      <w:r w:rsidR="00786B3E">
        <w:rPr>
          <w:color w:val="231F20"/>
        </w:rPr>
        <w:t>-</w:t>
      </w:r>
      <w:r w:rsidRPr="00B33FA6">
        <w:rPr>
          <w:color w:val="231F20"/>
        </w:rPr>
        <w:t>months holding period BHARs following the event completion month. The ABHAR for the sample of N firms for a particular holding period T (12 or 24 months post-merger) is calculated as follows:</w:t>
      </w:r>
    </w:p>
    <w:p w14:paraId="14540640" w14:textId="7D5ED2A9" w:rsidR="00C22018" w:rsidRDefault="00CC59FF" w:rsidP="00C22018">
      <w:pPr>
        <w:autoSpaceDE w:val="0"/>
        <w:autoSpaceDN w:val="0"/>
        <w:adjustRightInd w:val="0"/>
        <w:spacing w:line="480" w:lineRule="auto"/>
        <w:jc w:val="both"/>
        <w:rPr>
          <w:rFonts w:eastAsiaTheme="minorEastAsia"/>
          <w:color w:val="231F20"/>
        </w:rPr>
      </w:pPr>
      <w:r w:rsidRPr="00B33FA6">
        <w:rPr>
          <w:noProof/>
        </w:rPr>
        <w:object w:dxaOrig="4380" w:dyaOrig="1140" w14:anchorId="7C80AEDA">
          <v:shape id="_x0000_i1029" type="#_x0000_t75" alt="" style="width:127pt;height:34.5pt;mso-width-percent:0;mso-height-percent:0;mso-width-percent:0;mso-height-percent:0" o:ole="">
            <v:imagedata r:id="rId19" o:title=""/>
          </v:shape>
          <o:OLEObject Type="Embed" ProgID="Unknown" ShapeID="_x0000_i1029" DrawAspect="Content" ObjectID="_1735126207" r:id="rId20"/>
        </w:object>
      </w:r>
      <w:r w:rsidR="00C22018" w:rsidRPr="00B33FA6">
        <w:rPr>
          <w:rFonts w:eastAsiaTheme="minorEastAsia"/>
          <w:color w:val="231F20"/>
        </w:rPr>
        <w:t xml:space="preserve">                                                                                                       (7)</w:t>
      </w:r>
    </w:p>
    <w:p w14:paraId="39C49F05" w14:textId="77777777" w:rsidR="00786B3E" w:rsidRPr="00B33FA6" w:rsidRDefault="00786B3E" w:rsidP="00C22018">
      <w:pPr>
        <w:autoSpaceDE w:val="0"/>
        <w:autoSpaceDN w:val="0"/>
        <w:adjustRightInd w:val="0"/>
        <w:spacing w:line="480" w:lineRule="auto"/>
        <w:jc w:val="both"/>
        <w:rPr>
          <w:color w:val="231F20"/>
        </w:rPr>
      </w:pPr>
    </w:p>
    <w:p w14:paraId="76808456" w14:textId="77777777" w:rsidR="00C22018" w:rsidRPr="00B33FA6" w:rsidRDefault="00C22018" w:rsidP="00C22018">
      <w:pPr>
        <w:pStyle w:val="Heading4"/>
      </w:pPr>
      <w:r w:rsidRPr="00B33FA6">
        <w:t>Size and market-to-book value matched control firm for calculating BHAR</w:t>
      </w:r>
    </w:p>
    <w:p w14:paraId="3B61D532" w14:textId="5D55D9C1" w:rsidR="00C22018" w:rsidRPr="00B33FA6" w:rsidRDefault="00C22018" w:rsidP="00C22018">
      <w:pPr>
        <w:autoSpaceDE w:val="0"/>
        <w:autoSpaceDN w:val="0"/>
        <w:adjustRightInd w:val="0"/>
        <w:spacing w:line="480" w:lineRule="auto"/>
        <w:jc w:val="both"/>
        <w:rPr>
          <w:color w:val="231F20"/>
        </w:rPr>
      </w:pPr>
      <w:r w:rsidRPr="00B33FA6">
        <w:rPr>
          <w:color w:val="231F20"/>
        </w:rPr>
        <w:t xml:space="preserve">Following </w:t>
      </w:r>
      <w:proofErr w:type="spellStart"/>
      <w:r w:rsidRPr="00B33FA6">
        <w:rPr>
          <w:color w:val="231F20"/>
        </w:rPr>
        <w:t>Fama</w:t>
      </w:r>
      <w:proofErr w:type="spellEnd"/>
      <w:r w:rsidRPr="00B33FA6">
        <w:rPr>
          <w:color w:val="231F20"/>
        </w:rPr>
        <w:t xml:space="preserve"> </w:t>
      </w:r>
      <w:r>
        <w:rPr>
          <w:color w:val="231F20"/>
        </w:rPr>
        <w:t>and</w:t>
      </w:r>
      <w:r w:rsidRPr="00B33FA6">
        <w:rPr>
          <w:color w:val="231F20"/>
        </w:rPr>
        <w:t xml:space="preserve"> French (1992), we identify </w:t>
      </w:r>
      <w:r>
        <w:rPr>
          <w:color w:val="231F20"/>
        </w:rPr>
        <w:t xml:space="preserve">a </w:t>
      </w:r>
      <w:r w:rsidRPr="00B33FA6">
        <w:rPr>
          <w:color w:val="231F20"/>
        </w:rPr>
        <w:t>control firm for each of our sample M&amp;A firms by matching them in terms of size (market capitali</w:t>
      </w:r>
      <w:r>
        <w:rPr>
          <w:color w:val="231F20"/>
        </w:rPr>
        <w:t>s</w:t>
      </w:r>
      <w:r w:rsidRPr="00B33FA6">
        <w:rPr>
          <w:color w:val="231F20"/>
        </w:rPr>
        <w:t>ation) and market value to book value (MV/BV) ratio. First, 25 size and MV/BV control portfolios are constructed by grouping the constituent firms in the market index into five portfolios on the basis of size (market capitali</w:t>
      </w:r>
      <w:r>
        <w:rPr>
          <w:color w:val="231F20"/>
        </w:rPr>
        <w:t>s</w:t>
      </w:r>
      <w:r w:rsidRPr="00B33FA6">
        <w:rPr>
          <w:color w:val="231F20"/>
        </w:rPr>
        <w:t>ation). They are then divided into five portfolios on the basis of their MV/BV ratio. The control portfolio is first selected by matching the portfolio that has the MVs closest to the sample firm. From this portfolio</w:t>
      </w:r>
      <w:r>
        <w:rPr>
          <w:color w:val="231F20"/>
        </w:rPr>
        <w:t>,</w:t>
      </w:r>
      <w:r w:rsidRPr="00B33FA6">
        <w:rPr>
          <w:color w:val="231F20"/>
        </w:rPr>
        <w:t xml:space="preserve"> the control firm is selected that matches </w:t>
      </w:r>
      <w:r>
        <w:rPr>
          <w:color w:val="231F20"/>
        </w:rPr>
        <w:t xml:space="preserve">the </w:t>
      </w:r>
      <w:r w:rsidRPr="00B33FA6">
        <w:rPr>
          <w:color w:val="231F20"/>
        </w:rPr>
        <w:t xml:space="preserve">sample firm’s size and MV/BV in the month of M&amp;A completion. This control firm return is taken as the expected benchmark return </w:t>
      </w:r>
      <m:oMath>
        <m:sSub>
          <m:sSubPr>
            <m:ctrlPr>
              <w:rPr>
                <w:rFonts w:ascii="Cambria Math" w:hAnsi="Cambria Math"/>
                <w:i/>
                <w:color w:val="231F20"/>
              </w:rPr>
            </m:ctrlPr>
          </m:sSubPr>
          <m:e>
            <m:r>
              <w:rPr>
                <w:rFonts w:ascii="Cambria Math" w:hAnsi="Cambria Math"/>
                <w:color w:val="231F20"/>
              </w:rPr>
              <m:t>E(R</m:t>
            </m:r>
          </m:e>
          <m:sub>
            <m:r>
              <w:rPr>
                <w:rFonts w:ascii="Cambria Math" w:hAnsi="Cambria Math"/>
                <w:color w:val="231F20"/>
              </w:rPr>
              <m:t>i,T</m:t>
            </m:r>
          </m:sub>
        </m:sSub>
        <m:r>
          <w:rPr>
            <w:rFonts w:ascii="Cambria Math" w:hAnsi="Cambria Math"/>
            <w:color w:val="231F20"/>
          </w:rPr>
          <m:t>)</m:t>
        </m:r>
      </m:oMath>
      <w:r w:rsidRPr="00B33FA6">
        <w:rPr>
          <w:color w:val="231F20"/>
        </w:rPr>
        <w:t>.</w:t>
      </w:r>
    </w:p>
    <w:p w14:paraId="333CC60B" w14:textId="77777777" w:rsidR="00D435BB" w:rsidRDefault="00D435BB" w:rsidP="00C427A4">
      <w:pPr>
        <w:autoSpaceDE w:val="0"/>
        <w:autoSpaceDN w:val="0"/>
        <w:adjustRightInd w:val="0"/>
        <w:spacing w:line="480" w:lineRule="auto"/>
        <w:jc w:val="both"/>
        <w:rPr>
          <w:color w:val="231F20"/>
          <w:lang w:val="en-US"/>
        </w:rPr>
      </w:pPr>
    </w:p>
    <w:p w14:paraId="3D865688" w14:textId="77777777" w:rsidR="00C22018" w:rsidRPr="00B33FA6" w:rsidRDefault="00C22018" w:rsidP="00C22018">
      <w:pPr>
        <w:pStyle w:val="Heading4"/>
      </w:pPr>
      <w:r w:rsidRPr="00B33FA6">
        <w:t>Propensity score</w:t>
      </w:r>
      <w:r>
        <w:t>-</w:t>
      </w:r>
      <w:r w:rsidRPr="00B33FA6">
        <w:t>matched control firm for calculating BHAR</w:t>
      </w:r>
    </w:p>
    <w:p w14:paraId="65B284A2" w14:textId="77777777" w:rsidR="00C22018" w:rsidRPr="00B33FA6" w:rsidRDefault="00C22018" w:rsidP="00C22018">
      <w:pPr>
        <w:autoSpaceDE w:val="0"/>
        <w:autoSpaceDN w:val="0"/>
        <w:adjustRightInd w:val="0"/>
        <w:spacing w:line="480" w:lineRule="auto"/>
        <w:jc w:val="both"/>
        <w:rPr>
          <w:color w:val="231F20"/>
        </w:rPr>
      </w:pPr>
      <w:r w:rsidRPr="00B33FA6">
        <w:rPr>
          <w:color w:val="231F20"/>
        </w:rPr>
        <w:t>To determine the robustness of the BHARs obtained from size and market-to-book matched control firms</w:t>
      </w:r>
      <w:r>
        <w:rPr>
          <w:color w:val="231F20"/>
        </w:rPr>
        <w:t>,</w:t>
      </w:r>
      <w:r w:rsidRPr="00B33FA6">
        <w:rPr>
          <w:color w:val="231F20"/>
        </w:rPr>
        <w:t xml:space="preserve"> we have calculated </w:t>
      </w:r>
      <w:r>
        <w:rPr>
          <w:color w:val="231F20"/>
        </w:rPr>
        <w:t xml:space="preserve">the </w:t>
      </w:r>
      <w:r w:rsidRPr="00B33FA6">
        <w:rPr>
          <w:color w:val="231F20"/>
        </w:rPr>
        <w:t>propensity score</w:t>
      </w:r>
      <w:r>
        <w:rPr>
          <w:color w:val="231F20"/>
        </w:rPr>
        <w:t>-</w:t>
      </w:r>
      <w:r w:rsidRPr="00B33FA6">
        <w:rPr>
          <w:color w:val="231F20"/>
        </w:rPr>
        <w:t xml:space="preserve">matched control firm following Li and Zhao (2006). This methodology is dependent on determining </w:t>
      </w:r>
      <w:r>
        <w:rPr>
          <w:color w:val="231F20"/>
        </w:rPr>
        <w:t xml:space="preserve">the </w:t>
      </w:r>
      <w:r w:rsidRPr="00B33FA6">
        <w:rPr>
          <w:color w:val="231F20"/>
        </w:rPr>
        <w:t>control firm on the basis of scalar similarity measure between the sample firm and control firm (Rosenbaum and Rubin 1983). The probability of a firm undergoing</w:t>
      </w:r>
      <w:r>
        <w:rPr>
          <w:color w:val="231F20"/>
        </w:rPr>
        <w:t xml:space="preserve"> an</w:t>
      </w:r>
      <w:r w:rsidRPr="00B33FA6">
        <w:rPr>
          <w:color w:val="231F20"/>
        </w:rPr>
        <w:t xml:space="preserve"> event (M&amp;A) based on a set of explanatory variables is denoted by the propensity score, p(x).</w:t>
      </w:r>
    </w:p>
    <w:p w14:paraId="0C9723E8" w14:textId="77777777" w:rsidR="00C22018" w:rsidRPr="00B33FA6" w:rsidRDefault="00C22018" w:rsidP="00C22018">
      <w:pPr>
        <w:autoSpaceDE w:val="0"/>
        <w:autoSpaceDN w:val="0"/>
        <w:adjustRightInd w:val="0"/>
        <w:spacing w:line="480" w:lineRule="auto"/>
        <w:jc w:val="both"/>
        <w:rPr>
          <w:color w:val="231F20"/>
        </w:rPr>
      </w:pPr>
      <m:oMath>
        <m:r>
          <w:rPr>
            <w:rFonts w:ascii="Cambria Math" w:hAnsi="Cambria Math"/>
            <w:color w:val="231F20"/>
          </w:rPr>
          <m:t>p</m:t>
        </m:r>
        <m:d>
          <m:dPr>
            <m:ctrlPr>
              <w:rPr>
                <w:rFonts w:ascii="Cambria Math" w:hAnsi="Cambria Math"/>
                <w:i/>
                <w:color w:val="231F20"/>
              </w:rPr>
            </m:ctrlPr>
          </m:dPr>
          <m:e>
            <m:r>
              <w:rPr>
                <w:rFonts w:ascii="Cambria Math" w:hAnsi="Cambria Math"/>
                <w:color w:val="231F20"/>
              </w:rPr>
              <m:t>x</m:t>
            </m:r>
          </m:e>
        </m:d>
        <m:r>
          <w:rPr>
            <w:rFonts w:ascii="Cambria Math" w:hAnsi="Cambria Math"/>
            <w:color w:val="231F20"/>
          </w:rPr>
          <m:t>=pr</m:t>
        </m:r>
        <m:d>
          <m:dPr>
            <m:ctrlPr>
              <w:rPr>
                <w:rFonts w:ascii="Cambria Math" w:hAnsi="Cambria Math"/>
                <w:i/>
                <w:color w:val="231F20"/>
              </w:rPr>
            </m:ctrlPr>
          </m:dPr>
          <m:e>
            <m:r>
              <w:rPr>
                <w:rFonts w:ascii="Cambria Math" w:hAnsi="Cambria Math"/>
                <w:color w:val="231F20"/>
              </w:rPr>
              <m:t>D=1</m:t>
            </m:r>
          </m:e>
          <m:e>
            <m:r>
              <w:rPr>
                <w:rFonts w:ascii="Cambria Math" w:hAnsi="Cambria Math"/>
                <w:color w:val="231F20"/>
              </w:rPr>
              <m:t>x</m:t>
            </m:r>
          </m:e>
        </m:d>
      </m:oMath>
      <w:r w:rsidRPr="00B33FA6">
        <w:rPr>
          <w:color w:val="231F20"/>
        </w:rPr>
        <w:t xml:space="preserve">                                                                                                              (8)</w:t>
      </w:r>
    </w:p>
    <w:p w14:paraId="1D4921B9" w14:textId="3E800592" w:rsidR="00C22018" w:rsidRPr="00B33FA6" w:rsidRDefault="00C22018" w:rsidP="00C22018">
      <w:pPr>
        <w:autoSpaceDE w:val="0"/>
        <w:autoSpaceDN w:val="0"/>
        <w:adjustRightInd w:val="0"/>
        <w:spacing w:line="480" w:lineRule="auto"/>
        <w:jc w:val="both"/>
        <w:rPr>
          <w:color w:val="231F20"/>
        </w:rPr>
      </w:pPr>
      <w:r w:rsidRPr="00B33FA6">
        <w:rPr>
          <w:color w:val="231F20"/>
        </w:rPr>
        <w:t xml:space="preserve">In </w:t>
      </w:r>
      <w:r w:rsidR="007260FC">
        <w:rPr>
          <w:color w:val="231F20"/>
        </w:rPr>
        <w:t>E</w:t>
      </w:r>
      <w:r w:rsidRPr="00B33FA6">
        <w:rPr>
          <w:color w:val="231F20"/>
        </w:rPr>
        <w:t>quation 8, D=1 for firms that ha</w:t>
      </w:r>
      <w:r>
        <w:rPr>
          <w:color w:val="231F20"/>
        </w:rPr>
        <w:t>ve</w:t>
      </w:r>
      <w:r w:rsidRPr="00B33FA6">
        <w:rPr>
          <w:color w:val="231F20"/>
        </w:rPr>
        <w:t xml:space="preserve"> undergone M&amp;A and D=0 for non-M&amp;A firms. The explanatory variables selected to calculate the propensity score </w:t>
      </w:r>
      <w:r>
        <w:rPr>
          <w:color w:val="231F20"/>
        </w:rPr>
        <w:t>are</w:t>
      </w:r>
      <w:r w:rsidRPr="00B33FA6">
        <w:rPr>
          <w:color w:val="231F20"/>
        </w:rPr>
        <w:t xml:space="preserve"> important because the score </w:t>
      </w:r>
      <w:r w:rsidRPr="00B33FA6">
        <w:rPr>
          <w:color w:val="231F20"/>
        </w:rPr>
        <w:lastRenderedPageBreak/>
        <w:t>should indicate both the propensity of the control firm to engage in M&amp;A and post-merger performance (Li and Zhao 2006). The propensity score is calculated using the following equation.</w:t>
      </w:r>
    </w:p>
    <w:p w14:paraId="199F70A7" w14:textId="77777777" w:rsidR="00C22018" w:rsidRPr="00B33FA6" w:rsidRDefault="00C22018" w:rsidP="00C22018">
      <w:pPr>
        <w:autoSpaceDE w:val="0"/>
        <w:autoSpaceDN w:val="0"/>
        <w:adjustRightInd w:val="0"/>
        <w:spacing w:line="480" w:lineRule="auto"/>
        <w:jc w:val="both"/>
        <w:rPr>
          <w:color w:val="231F20"/>
        </w:rPr>
      </w:pPr>
      <m:oMath>
        <m:r>
          <w:rPr>
            <w:rFonts w:ascii="Cambria Math" w:hAnsi="Cambria Math"/>
            <w:color w:val="231F20"/>
          </w:rPr>
          <m:t>p</m:t>
        </m:r>
        <m:d>
          <m:dPr>
            <m:ctrlPr>
              <w:rPr>
                <w:rFonts w:ascii="Cambria Math" w:hAnsi="Cambria Math"/>
                <w:i/>
                <w:color w:val="231F20"/>
              </w:rPr>
            </m:ctrlPr>
          </m:dPr>
          <m:e>
            <m:r>
              <w:rPr>
                <w:rFonts w:ascii="Cambria Math" w:hAnsi="Cambria Math"/>
                <w:color w:val="231F20"/>
              </w:rPr>
              <m:t>x</m:t>
            </m:r>
          </m:e>
        </m:d>
        <m:r>
          <w:rPr>
            <w:rFonts w:ascii="Cambria Math" w:hAnsi="Cambria Math"/>
            <w:color w:val="231F20"/>
          </w:rPr>
          <m:t>=</m:t>
        </m:r>
        <m:sSub>
          <m:sSubPr>
            <m:ctrlPr>
              <w:rPr>
                <w:rFonts w:ascii="Cambria Math" w:hAnsi="Cambria Math"/>
                <w:i/>
                <w:color w:val="231F20"/>
              </w:rPr>
            </m:ctrlPr>
          </m:sSubPr>
          <m:e>
            <m:r>
              <w:rPr>
                <w:rFonts w:ascii="Cambria Math" w:hAnsi="Cambria Math"/>
                <w:color w:val="231F20"/>
              </w:rPr>
              <m:t>β</m:t>
            </m:r>
          </m:e>
          <m:sub>
            <m:r>
              <w:rPr>
                <w:rFonts w:ascii="Cambria Math" w:hAnsi="Cambria Math"/>
                <w:color w:val="231F20"/>
              </w:rPr>
              <m:t>0</m:t>
            </m:r>
          </m:sub>
        </m:sSub>
        <m:r>
          <w:rPr>
            <w:rFonts w:ascii="Cambria Math" w:hAnsi="Cambria Math"/>
            <w:color w:val="231F20"/>
          </w:rPr>
          <m:t>+</m:t>
        </m:r>
        <m:sSub>
          <m:sSubPr>
            <m:ctrlPr>
              <w:rPr>
                <w:rFonts w:ascii="Cambria Math" w:hAnsi="Cambria Math"/>
                <w:i/>
                <w:color w:val="231F20"/>
              </w:rPr>
            </m:ctrlPr>
          </m:sSubPr>
          <m:e>
            <m:r>
              <w:rPr>
                <w:rFonts w:ascii="Cambria Math" w:hAnsi="Cambria Math"/>
                <w:color w:val="231F20"/>
              </w:rPr>
              <m:t>β</m:t>
            </m:r>
          </m:e>
          <m:sub>
            <m:r>
              <w:rPr>
                <w:rFonts w:ascii="Cambria Math" w:hAnsi="Cambria Math"/>
                <w:color w:val="231F20"/>
              </w:rPr>
              <m:t>1</m:t>
            </m:r>
          </m:sub>
        </m:sSub>
        <m:r>
          <w:rPr>
            <w:rFonts w:ascii="Cambria Math" w:hAnsi="Cambria Math"/>
            <w:color w:val="231F20"/>
          </w:rPr>
          <m:t>Momentum+</m:t>
        </m:r>
        <m:sSub>
          <m:sSubPr>
            <m:ctrlPr>
              <w:rPr>
                <w:rFonts w:ascii="Cambria Math" w:hAnsi="Cambria Math"/>
                <w:i/>
                <w:color w:val="231F20"/>
              </w:rPr>
            </m:ctrlPr>
          </m:sSubPr>
          <m:e>
            <m:r>
              <w:rPr>
                <w:rFonts w:ascii="Cambria Math" w:hAnsi="Cambria Math"/>
                <w:color w:val="231F20"/>
              </w:rPr>
              <m:t>β</m:t>
            </m:r>
          </m:e>
          <m:sub>
            <m:r>
              <w:rPr>
                <w:rFonts w:ascii="Cambria Math" w:hAnsi="Cambria Math"/>
                <w:color w:val="231F20"/>
              </w:rPr>
              <m:t>2</m:t>
            </m:r>
          </m:sub>
        </m:sSub>
        <m:r>
          <w:rPr>
            <w:rFonts w:ascii="Cambria Math" w:hAnsi="Cambria Math"/>
            <w:color w:val="231F20"/>
          </w:rPr>
          <m:t>Size+</m:t>
        </m:r>
        <m:sSub>
          <m:sSubPr>
            <m:ctrlPr>
              <w:rPr>
                <w:rFonts w:ascii="Cambria Math" w:hAnsi="Cambria Math"/>
                <w:i/>
                <w:color w:val="231F20"/>
              </w:rPr>
            </m:ctrlPr>
          </m:sSubPr>
          <m:e>
            <m:r>
              <w:rPr>
                <w:rFonts w:ascii="Cambria Math" w:hAnsi="Cambria Math"/>
                <w:color w:val="231F20"/>
              </w:rPr>
              <m:t>β</m:t>
            </m:r>
          </m:e>
          <m:sub>
            <m:r>
              <w:rPr>
                <w:rFonts w:ascii="Cambria Math" w:hAnsi="Cambria Math"/>
                <w:color w:val="231F20"/>
              </w:rPr>
              <m:t>3</m:t>
            </m:r>
          </m:sub>
        </m:sSub>
        <m:f>
          <m:fPr>
            <m:type m:val="skw"/>
            <m:ctrlPr>
              <w:rPr>
                <w:rFonts w:ascii="Cambria Math" w:hAnsi="Cambria Math"/>
                <w:i/>
                <w:color w:val="231F20"/>
              </w:rPr>
            </m:ctrlPr>
          </m:fPr>
          <m:num>
            <m:r>
              <w:rPr>
                <w:rFonts w:ascii="Cambria Math" w:hAnsi="Cambria Math"/>
                <w:color w:val="231F20"/>
              </w:rPr>
              <m:t>M</m:t>
            </m:r>
          </m:num>
          <m:den>
            <m:r>
              <w:rPr>
                <w:rFonts w:ascii="Cambria Math" w:hAnsi="Cambria Math"/>
                <w:color w:val="231F20"/>
              </w:rPr>
              <m:t>B</m:t>
            </m:r>
          </m:den>
        </m:f>
        <m:r>
          <w:rPr>
            <w:rFonts w:ascii="Cambria Math" w:hAnsi="Cambria Math"/>
            <w:color w:val="231F20"/>
          </w:rPr>
          <m:t>+</m:t>
        </m:r>
        <m:sSub>
          <m:sSubPr>
            <m:ctrlPr>
              <w:rPr>
                <w:rFonts w:ascii="Cambria Math" w:hAnsi="Cambria Math"/>
                <w:i/>
                <w:color w:val="231F20"/>
              </w:rPr>
            </m:ctrlPr>
          </m:sSubPr>
          <m:e>
            <m:r>
              <w:rPr>
                <w:rFonts w:ascii="Cambria Math" w:hAnsi="Cambria Math"/>
                <w:color w:val="231F20"/>
              </w:rPr>
              <m:t>β</m:t>
            </m:r>
          </m:e>
          <m:sub>
            <m:r>
              <w:rPr>
                <w:rFonts w:ascii="Cambria Math" w:hAnsi="Cambria Math"/>
                <w:color w:val="231F20"/>
              </w:rPr>
              <m:t>4</m:t>
            </m:r>
          </m:sub>
        </m:sSub>
        <m:r>
          <w:rPr>
            <w:rFonts w:ascii="Cambria Math" w:hAnsi="Cambria Math"/>
            <w:color w:val="231F20"/>
          </w:rPr>
          <m:t>DE+</m:t>
        </m:r>
        <m:sSub>
          <m:sSubPr>
            <m:ctrlPr>
              <w:rPr>
                <w:rFonts w:ascii="Cambria Math" w:hAnsi="Cambria Math"/>
                <w:i/>
                <w:color w:val="231F20"/>
              </w:rPr>
            </m:ctrlPr>
          </m:sSubPr>
          <m:e>
            <m:r>
              <w:rPr>
                <w:rFonts w:ascii="Cambria Math" w:hAnsi="Cambria Math"/>
                <w:color w:val="231F20"/>
              </w:rPr>
              <m:t>ε</m:t>
            </m:r>
          </m:e>
          <m:sub>
            <m:r>
              <w:rPr>
                <w:rFonts w:ascii="Cambria Math" w:hAnsi="Cambria Math"/>
                <w:color w:val="231F20"/>
              </w:rPr>
              <m:t>i</m:t>
            </m:r>
          </m:sub>
        </m:sSub>
      </m:oMath>
      <w:r w:rsidRPr="00B33FA6">
        <w:rPr>
          <w:color w:val="231F20"/>
        </w:rPr>
        <w:t xml:space="preserve">                                            (9)</w:t>
      </w:r>
    </w:p>
    <w:p w14:paraId="14B18439" w14:textId="6E21997B" w:rsidR="00C22018" w:rsidRDefault="00C22018" w:rsidP="00C22018">
      <w:pPr>
        <w:autoSpaceDE w:val="0"/>
        <w:autoSpaceDN w:val="0"/>
        <w:adjustRightInd w:val="0"/>
        <w:spacing w:line="480" w:lineRule="auto"/>
        <w:jc w:val="both"/>
        <w:rPr>
          <w:color w:val="231F20"/>
        </w:rPr>
      </w:pPr>
      <w:r w:rsidRPr="00B33FA6">
        <w:rPr>
          <w:color w:val="231F20"/>
        </w:rPr>
        <w:t>The model i</w:t>
      </w:r>
      <w:r>
        <w:rPr>
          <w:color w:val="231F20"/>
        </w:rPr>
        <w:t>n</w:t>
      </w:r>
      <w:r w:rsidRPr="00B33FA6">
        <w:rPr>
          <w:color w:val="231F20"/>
        </w:rPr>
        <w:t xml:space="preserve"> </w:t>
      </w:r>
      <w:r w:rsidR="007260FC">
        <w:rPr>
          <w:color w:val="231F20"/>
        </w:rPr>
        <w:t>E</w:t>
      </w:r>
      <w:r w:rsidRPr="00B33FA6">
        <w:rPr>
          <w:color w:val="231F20"/>
        </w:rPr>
        <w:t xml:space="preserve">quation 9 is based on Akaike and Bayesian information criteria where the dependent variable is a dummy that takes the value 1 if the event (i.e. M&amp;A) has taken place and 0 otherwise. For each sample firm, the control firm is matched with </w:t>
      </w:r>
      <w:r>
        <w:rPr>
          <w:color w:val="231F20"/>
        </w:rPr>
        <w:t xml:space="preserve">the </w:t>
      </w:r>
      <w:r w:rsidRPr="00B33FA6">
        <w:rPr>
          <w:color w:val="231F20"/>
        </w:rPr>
        <w:t xml:space="preserve">nearest propensity score, that is, the closest probability to conduct M&amp;A. The results of propensity matched BHARs are shown in Table </w:t>
      </w:r>
      <w:r w:rsidR="00035BD3">
        <w:rPr>
          <w:color w:val="231F20"/>
        </w:rPr>
        <w:t>5</w:t>
      </w:r>
      <w:r w:rsidRPr="00B33FA6">
        <w:rPr>
          <w:color w:val="231F20"/>
        </w:rPr>
        <w:t>.</w:t>
      </w:r>
    </w:p>
    <w:p w14:paraId="792A321B" w14:textId="77777777" w:rsidR="00C22018" w:rsidRPr="00B33FA6" w:rsidRDefault="00C22018" w:rsidP="00C22018">
      <w:pPr>
        <w:autoSpaceDE w:val="0"/>
        <w:autoSpaceDN w:val="0"/>
        <w:adjustRightInd w:val="0"/>
        <w:spacing w:line="480" w:lineRule="auto"/>
        <w:jc w:val="both"/>
        <w:rPr>
          <w:color w:val="231F20"/>
        </w:rPr>
      </w:pPr>
    </w:p>
    <w:p w14:paraId="62D126E0" w14:textId="77777777" w:rsidR="00C22018" w:rsidRPr="00B33FA6" w:rsidRDefault="00C22018" w:rsidP="00C22018">
      <w:pPr>
        <w:pStyle w:val="Heading2"/>
        <w:ind w:left="576"/>
      </w:pPr>
      <w:r w:rsidRPr="00B33FA6">
        <w:t>Determinants of M&amp;A returns</w:t>
      </w:r>
    </w:p>
    <w:p w14:paraId="0CCD3CF7" w14:textId="77777777" w:rsidR="00240DCC" w:rsidRDefault="00240DCC" w:rsidP="00C427A4">
      <w:pPr>
        <w:autoSpaceDE w:val="0"/>
        <w:autoSpaceDN w:val="0"/>
        <w:adjustRightInd w:val="0"/>
        <w:spacing w:line="480" w:lineRule="auto"/>
        <w:jc w:val="both"/>
        <w:rPr>
          <w:color w:val="231F20"/>
          <w:lang w:val="en-US"/>
        </w:rPr>
      </w:pPr>
      <w:r>
        <w:rPr>
          <w:color w:val="231F20"/>
          <w:lang w:val="en-US"/>
        </w:rPr>
        <w:t xml:space="preserve">The </w:t>
      </w:r>
      <w:r w:rsidR="00286B19">
        <w:rPr>
          <w:color w:val="231F20"/>
          <w:lang w:val="en-US"/>
        </w:rPr>
        <w:t xml:space="preserve">factors determining </w:t>
      </w:r>
      <w:r w:rsidR="00A35E65">
        <w:rPr>
          <w:color w:val="231F20"/>
          <w:lang w:val="en-US"/>
        </w:rPr>
        <w:t xml:space="preserve">the short run CARs and the </w:t>
      </w:r>
      <w:r>
        <w:rPr>
          <w:color w:val="231F20"/>
          <w:lang w:val="en-US"/>
        </w:rPr>
        <w:t>post-merger BHARs are estimated using the following pooled regression model.</w:t>
      </w:r>
    </w:p>
    <w:p w14:paraId="38A87E30" w14:textId="77777777" w:rsidR="00E46624" w:rsidRDefault="00E46624" w:rsidP="00C427A4">
      <w:pPr>
        <w:autoSpaceDE w:val="0"/>
        <w:autoSpaceDN w:val="0"/>
        <w:adjustRightInd w:val="0"/>
        <w:spacing w:line="480" w:lineRule="auto"/>
        <w:jc w:val="both"/>
        <w:rPr>
          <w:color w:val="231F20"/>
          <w:lang w:val="en-US"/>
        </w:rPr>
      </w:pPr>
    </w:p>
    <w:p w14:paraId="32FDC297" w14:textId="77777777" w:rsidR="00775285" w:rsidRDefault="0081596F" w:rsidP="00C427A4">
      <w:pPr>
        <w:autoSpaceDE w:val="0"/>
        <w:autoSpaceDN w:val="0"/>
        <w:adjustRightInd w:val="0"/>
        <w:spacing w:line="480" w:lineRule="auto"/>
        <w:ind w:right="-52"/>
        <w:jc w:val="both"/>
        <w:rPr>
          <w:rFonts w:eastAsiaTheme="minorEastAsia"/>
          <w:color w:val="231F20"/>
          <w:lang w:val="en-US"/>
        </w:rPr>
      </w:pPr>
      <m:oMath>
        <m:sSub>
          <m:sSubPr>
            <m:ctrlPr>
              <w:rPr>
                <w:rFonts w:ascii="Cambria Math" w:hAnsi="Cambria Math"/>
                <w:i/>
                <w:color w:val="231F20"/>
                <w:lang w:val="en-US"/>
              </w:rPr>
            </m:ctrlPr>
          </m:sSubPr>
          <m:e>
            <m:r>
              <w:rPr>
                <w:rFonts w:ascii="Cambria Math" w:hAnsi="Cambria Math"/>
                <w:color w:val="231F20"/>
                <w:lang w:val="en-US"/>
              </w:rPr>
              <m:t>Performance</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α</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1</m:t>
            </m:r>
          </m:sub>
        </m:sSub>
        <m:sSub>
          <m:sSubPr>
            <m:ctrlPr>
              <w:rPr>
                <w:rFonts w:ascii="Cambria Math" w:hAnsi="Cambria Math"/>
                <w:i/>
                <w:color w:val="231F20"/>
                <w:lang w:val="en-US"/>
              </w:rPr>
            </m:ctrlPr>
          </m:sSubPr>
          <m:e>
            <m:r>
              <w:rPr>
                <w:rFonts w:ascii="Cambria Math" w:hAnsi="Cambria Math"/>
                <w:color w:val="231F20"/>
                <w:lang w:val="en-US"/>
              </w:rPr>
              <m:t>Fraction of male directors</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2</m:t>
            </m:r>
          </m:sub>
        </m:sSub>
        <m:sSub>
          <m:sSubPr>
            <m:ctrlPr>
              <w:rPr>
                <w:rFonts w:ascii="Cambria Math" w:hAnsi="Cambria Math"/>
                <w:i/>
                <w:color w:val="231F20"/>
                <w:lang w:val="en-US"/>
              </w:rPr>
            </m:ctrlPr>
          </m:sSubPr>
          <m:e>
            <m:r>
              <w:rPr>
                <w:rFonts w:ascii="Cambria Math" w:hAnsi="Cambria Math"/>
                <w:color w:val="231F20"/>
                <w:lang w:val="en-US"/>
              </w:rPr>
              <m:t>Multiple</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3</m:t>
            </m:r>
          </m:sub>
        </m:sSub>
        <m:sSub>
          <m:sSubPr>
            <m:ctrlPr>
              <w:rPr>
                <w:rFonts w:ascii="Cambria Math" w:hAnsi="Cambria Math"/>
                <w:i/>
                <w:color w:val="231F20"/>
                <w:lang w:val="en-US"/>
              </w:rPr>
            </m:ctrlPr>
          </m:sSubPr>
          <m:e>
            <m:r>
              <w:rPr>
                <w:rFonts w:ascii="Cambria Math" w:hAnsi="Cambria Math"/>
                <w:color w:val="231F20"/>
                <w:lang w:val="en-US"/>
              </w:rPr>
              <m:t>Cash</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4</m:t>
            </m:r>
          </m:sub>
        </m:sSub>
        <m:sSub>
          <m:sSubPr>
            <m:ctrlPr>
              <w:rPr>
                <w:rFonts w:ascii="Cambria Math" w:hAnsi="Cambria Math"/>
                <w:i/>
                <w:color w:val="231F20"/>
                <w:lang w:val="en-US"/>
              </w:rPr>
            </m:ctrlPr>
          </m:sSubPr>
          <m:e>
            <m:r>
              <w:rPr>
                <w:rFonts w:ascii="Cambria Math" w:hAnsi="Cambria Math"/>
                <w:color w:val="231F20"/>
                <w:lang w:val="en-US"/>
              </w:rPr>
              <m:t>Stock</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5</m:t>
            </m:r>
          </m:sub>
        </m:sSub>
        <m:sSub>
          <m:sSubPr>
            <m:ctrlPr>
              <w:rPr>
                <w:rFonts w:ascii="Cambria Math" w:hAnsi="Cambria Math"/>
                <w:i/>
                <w:color w:val="231F20"/>
                <w:lang w:val="en-US"/>
              </w:rPr>
            </m:ctrlPr>
          </m:sSubPr>
          <m:e>
            <m:r>
              <w:rPr>
                <w:rFonts w:ascii="Cambria Math" w:hAnsi="Cambria Math"/>
                <w:color w:val="231F20"/>
                <w:lang w:val="en-US"/>
              </w:rPr>
              <m:t>Related</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6</m:t>
            </m:r>
          </m:sub>
        </m:sSub>
        <m:sSub>
          <m:sSubPr>
            <m:ctrlPr>
              <w:rPr>
                <w:rFonts w:ascii="Cambria Math" w:hAnsi="Cambria Math"/>
                <w:i/>
                <w:color w:val="231F20"/>
                <w:lang w:val="en-US"/>
              </w:rPr>
            </m:ctrlPr>
          </m:sSubPr>
          <m:e>
            <m:r>
              <w:rPr>
                <w:rFonts w:ascii="Cambria Math" w:hAnsi="Cambria Math"/>
                <w:color w:val="231F20"/>
                <w:lang w:val="en-US"/>
              </w:rPr>
              <m:t>Controls</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ε</m:t>
            </m:r>
          </m:e>
          <m:sub>
            <m:r>
              <w:rPr>
                <w:rFonts w:ascii="Cambria Math" w:hAnsi="Cambria Math"/>
                <w:color w:val="231F20"/>
                <w:lang w:val="en-US"/>
              </w:rPr>
              <m:t>i</m:t>
            </m:r>
          </m:sub>
        </m:sSub>
        <m:r>
          <w:rPr>
            <w:rFonts w:ascii="Cambria Math" w:hAnsi="Cambria Math"/>
            <w:color w:val="231F20"/>
            <w:lang w:val="en-US"/>
          </w:rPr>
          <m:t xml:space="preserve"> </m:t>
        </m:r>
      </m:oMath>
      <w:r w:rsidR="00E46624">
        <w:rPr>
          <w:rFonts w:eastAsiaTheme="minorEastAsia"/>
          <w:color w:val="231F20"/>
          <w:lang w:val="en-US"/>
        </w:rPr>
        <w:t xml:space="preserve">          </w:t>
      </w:r>
      <w:r w:rsidR="00D435BB">
        <w:rPr>
          <w:rFonts w:eastAsiaTheme="minorEastAsia"/>
          <w:color w:val="231F20"/>
          <w:lang w:val="en-US"/>
        </w:rPr>
        <w:t xml:space="preserve"> </w:t>
      </w:r>
      <w:r w:rsidR="00E46624">
        <w:rPr>
          <w:rFonts w:eastAsiaTheme="minorEastAsia"/>
          <w:color w:val="231F20"/>
          <w:lang w:val="en-US"/>
        </w:rPr>
        <w:t xml:space="preserve">                                                                            </w:t>
      </w:r>
    </w:p>
    <w:p w14:paraId="4C1EFBD0" w14:textId="77777777" w:rsidR="00E46624" w:rsidRDefault="00E46624" w:rsidP="00C427A4">
      <w:pPr>
        <w:autoSpaceDE w:val="0"/>
        <w:autoSpaceDN w:val="0"/>
        <w:adjustRightInd w:val="0"/>
        <w:spacing w:line="480" w:lineRule="auto"/>
        <w:ind w:right="-52"/>
        <w:jc w:val="right"/>
        <w:rPr>
          <w:rFonts w:eastAsiaTheme="minorEastAsia"/>
          <w:color w:val="231F20"/>
          <w:lang w:val="en-US"/>
        </w:rPr>
      </w:pPr>
      <w:r>
        <w:rPr>
          <w:rFonts w:eastAsiaTheme="minorEastAsia"/>
          <w:color w:val="231F20"/>
          <w:lang w:val="en-US"/>
        </w:rPr>
        <w:t>(</w:t>
      </w:r>
      <w:r w:rsidR="00D435BB">
        <w:rPr>
          <w:rFonts w:eastAsiaTheme="minorEastAsia"/>
          <w:color w:val="231F20"/>
          <w:lang w:val="en-US"/>
        </w:rPr>
        <w:t>10</w:t>
      </w:r>
      <w:r>
        <w:rPr>
          <w:rFonts w:eastAsiaTheme="minorEastAsia"/>
          <w:color w:val="231F20"/>
          <w:lang w:val="en-US"/>
        </w:rPr>
        <w:t>)</w:t>
      </w:r>
    </w:p>
    <w:p w14:paraId="5BAF360C" w14:textId="77777777" w:rsidR="00240DCC" w:rsidRDefault="00E46624" w:rsidP="00C427A4">
      <w:pPr>
        <w:autoSpaceDE w:val="0"/>
        <w:autoSpaceDN w:val="0"/>
        <w:adjustRightInd w:val="0"/>
        <w:spacing w:line="480" w:lineRule="auto"/>
        <w:jc w:val="both"/>
        <w:rPr>
          <w:color w:val="231F20"/>
          <w:lang w:val="en-US"/>
        </w:rPr>
      </w:pPr>
      <w:r>
        <w:rPr>
          <w:rFonts w:eastAsiaTheme="minorEastAsia"/>
          <w:color w:val="231F20"/>
          <w:lang w:val="en-US"/>
        </w:rPr>
        <w:t xml:space="preserve">                         </w:t>
      </w:r>
    </w:p>
    <w:p w14:paraId="6BB9623E" w14:textId="77777777" w:rsidR="00775285" w:rsidRDefault="0081596F" w:rsidP="00C427A4">
      <w:pPr>
        <w:autoSpaceDE w:val="0"/>
        <w:autoSpaceDN w:val="0"/>
        <w:adjustRightInd w:val="0"/>
        <w:spacing w:line="480" w:lineRule="auto"/>
        <w:rPr>
          <w:rFonts w:eastAsiaTheme="minorEastAsia"/>
          <w:color w:val="231F20"/>
          <w:lang w:val="en-US"/>
        </w:rPr>
      </w:pPr>
      <m:oMath>
        <m:sSub>
          <m:sSubPr>
            <m:ctrlPr>
              <w:rPr>
                <w:rFonts w:ascii="Cambria Math" w:hAnsi="Cambria Math"/>
                <w:i/>
                <w:color w:val="231F20"/>
                <w:lang w:val="en-US"/>
              </w:rPr>
            </m:ctrlPr>
          </m:sSubPr>
          <m:e>
            <m:r>
              <w:rPr>
                <w:rFonts w:ascii="Cambria Math" w:hAnsi="Cambria Math"/>
                <w:color w:val="231F20"/>
                <w:lang w:val="en-US"/>
              </w:rPr>
              <m:t>Performance</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α</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1</m:t>
            </m:r>
          </m:sub>
        </m:sSub>
        <m:sSub>
          <m:sSubPr>
            <m:ctrlPr>
              <w:rPr>
                <w:rFonts w:ascii="Cambria Math" w:hAnsi="Cambria Math"/>
                <w:i/>
                <w:color w:val="231F20"/>
                <w:lang w:val="en-US"/>
              </w:rPr>
            </m:ctrlPr>
          </m:sSubPr>
          <m:e>
            <m:r>
              <w:rPr>
                <w:rFonts w:ascii="Cambria Math" w:hAnsi="Cambria Math"/>
                <w:color w:val="231F20"/>
                <w:lang w:val="en-US"/>
              </w:rPr>
              <m:t>Fraction of male directors</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2</m:t>
            </m:r>
          </m:sub>
        </m:sSub>
        <m:sSub>
          <m:sSubPr>
            <m:ctrlPr>
              <w:rPr>
                <w:rFonts w:ascii="Cambria Math" w:hAnsi="Cambria Math"/>
                <w:i/>
                <w:color w:val="231F20"/>
                <w:lang w:val="en-US"/>
              </w:rPr>
            </m:ctrlPr>
          </m:sSubPr>
          <m:e>
            <m:r>
              <w:rPr>
                <w:rFonts w:ascii="Cambria Math" w:hAnsi="Cambria Math"/>
                <w:color w:val="231F20"/>
                <w:lang w:val="en-US"/>
              </w:rPr>
              <m:t>Multiple</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3</m:t>
            </m:r>
          </m:sub>
        </m:sSub>
        <m:sSub>
          <m:sSubPr>
            <m:ctrlPr>
              <w:rPr>
                <w:rFonts w:ascii="Cambria Math" w:hAnsi="Cambria Math"/>
                <w:i/>
                <w:color w:val="231F20"/>
                <w:lang w:val="en-US"/>
              </w:rPr>
            </m:ctrlPr>
          </m:sSubPr>
          <m:e>
            <m:r>
              <w:rPr>
                <w:rFonts w:ascii="Cambria Math" w:hAnsi="Cambria Math"/>
                <w:color w:val="231F20"/>
                <w:lang w:val="en-US"/>
              </w:rPr>
              <m:t>Fraction of male directors*Multiple</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4</m:t>
            </m:r>
          </m:sub>
        </m:sSub>
        <m:sSub>
          <m:sSubPr>
            <m:ctrlPr>
              <w:rPr>
                <w:rFonts w:ascii="Cambria Math" w:hAnsi="Cambria Math"/>
                <w:i/>
                <w:color w:val="231F20"/>
                <w:lang w:val="en-US"/>
              </w:rPr>
            </m:ctrlPr>
          </m:sSubPr>
          <m:e>
            <m:r>
              <w:rPr>
                <w:rFonts w:ascii="Cambria Math" w:hAnsi="Cambria Math"/>
                <w:color w:val="231F20"/>
                <w:lang w:val="en-US"/>
              </w:rPr>
              <m:t>Cash</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5</m:t>
            </m:r>
          </m:sub>
        </m:sSub>
        <m:sSub>
          <m:sSubPr>
            <m:ctrlPr>
              <w:rPr>
                <w:rFonts w:ascii="Cambria Math" w:hAnsi="Cambria Math"/>
                <w:i/>
                <w:color w:val="231F20"/>
                <w:lang w:val="en-US"/>
              </w:rPr>
            </m:ctrlPr>
          </m:sSubPr>
          <m:e>
            <m:r>
              <w:rPr>
                <w:rFonts w:ascii="Cambria Math" w:hAnsi="Cambria Math"/>
                <w:color w:val="231F20"/>
                <w:lang w:val="en-US"/>
              </w:rPr>
              <m:t>Stock</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6</m:t>
            </m:r>
          </m:sub>
        </m:sSub>
        <m:sSub>
          <m:sSubPr>
            <m:ctrlPr>
              <w:rPr>
                <w:rFonts w:ascii="Cambria Math" w:hAnsi="Cambria Math"/>
                <w:i/>
                <w:color w:val="231F20"/>
                <w:lang w:val="en-US"/>
              </w:rPr>
            </m:ctrlPr>
          </m:sSubPr>
          <m:e>
            <m:r>
              <w:rPr>
                <w:rFonts w:ascii="Cambria Math" w:hAnsi="Cambria Math"/>
                <w:color w:val="231F20"/>
                <w:lang w:val="en-US"/>
              </w:rPr>
              <m:t>Related</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β</m:t>
            </m:r>
          </m:e>
          <m:sub>
            <m:r>
              <w:rPr>
                <w:rFonts w:ascii="Cambria Math" w:hAnsi="Cambria Math"/>
                <w:color w:val="231F20"/>
                <w:lang w:val="en-US"/>
              </w:rPr>
              <m:t>7</m:t>
            </m:r>
          </m:sub>
        </m:sSub>
        <m:sSub>
          <m:sSubPr>
            <m:ctrlPr>
              <w:rPr>
                <w:rFonts w:ascii="Cambria Math" w:hAnsi="Cambria Math"/>
                <w:i/>
                <w:color w:val="231F20"/>
                <w:lang w:val="en-US"/>
              </w:rPr>
            </m:ctrlPr>
          </m:sSubPr>
          <m:e>
            <m:r>
              <w:rPr>
                <w:rFonts w:ascii="Cambria Math" w:hAnsi="Cambria Math"/>
                <w:color w:val="231F20"/>
                <w:lang w:val="en-US"/>
              </w:rPr>
              <m:t>Controls</m:t>
            </m:r>
          </m:e>
          <m:sub>
            <m:r>
              <w:rPr>
                <w:rFonts w:ascii="Cambria Math" w:hAnsi="Cambria Math"/>
                <w:color w:val="231F20"/>
                <w:lang w:val="en-US"/>
              </w:rPr>
              <m:t>i</m:t>
            </m:r>
          </m:sub>
        </m:sSub>
        <m:r>
          <w:rPr>
            <w:rFonts w:ascii="Cambria Math" w:hAnsi="Cambria Math"/>
            <w:color w:val="231F20"/>
            <w:lang w:val="en-US"/>
          </w:rPr>
          <m:t>+</m:t>
        </m:r>
        <m:sSub>
          <m:sSubPr>
            <m:ctrlPr>
              <w:rPr>
                <w:rFonts w:ascii="Cambria Math" w:hAnsi="Cambria Math"/>
                <w:i/>
                <w:color w:val="231F20"/>
                <w:lang w:val="en-US"/>
              </w:rPr>
            </m:ctrlPr>
          </m:sSubPr>
          <m:e>
            <m:r>
              <w:rPr>
                <w:rFonts w:ascii="Cambria Math" w:hAnsi="Cambria Math"/>
                <w:color w:val="231F20"/>
                <w:lang w:val="en-US"/>
              </w:rPr>
              <m:t>ε</m:t>
            </m:r>
          </m:e>
          <m:sub>
            <m:r>
              <w:rPr>
                <w:rFonts w:ascii="Cambria Math" w:hAnsi="Cambria Math"/>
                <w:color w:val="231F20"/>
                <w:lang w:val="en-US"/>
              </w:rPr>
              <m:t>i</m:t>
            </m:r>
          </m:sub>
        </m:sSub>
      </m:oMath>
      <w:r w:rsidR="00240DCC">
        <w:rPr>
          <w:rFonts w:eastAsiaTheme="minorEastAsia"/>
          <w:color w:val="231F20"/>
          <w:lang w:val="en-US"/>
        </w:rPr>
        <w:t xml:space="preserve">   </w:t>
      </w:r>
    </w:p>
    <w:p w14:paraId="41FAD657" w14:textId="77777777" w:rsidR="00A521C3" w:rsidRDefault="00775285" w:rsidP="00C427A4">
      <w:pPr>
        <w:autoSpaceDE w:val="0"/>
        <w:autoSpaceDN w:val="0"/>
        <w:adjustRightInd w:val="0"/>
        <w:spacing w:line="480" w:lineRule="auto"/>
        <w:jc w:val="right"/>
        <w:rPr>
          <w:rFonts w:eastAsiaTheme="minorEastAsia"/>
          <w:color w:val="231F20"/>
          <w:lang w:val="en-US"/>
        </w:rPr>
      </w:pPr>
      <w:r>
        <w:rPr>
          <w:rFonts w:eastAsiaTheme="minorEastAsia"/>
          <w:color w:val="231F20"/>
          <w:lang w:val="en-US"/>
        </w:rPr>
        <w:t>(</w:t>
      </w:r>
      <w:r w:rsidR="00E34610">
        <w:rPr>
          <w:rFonts w:eastAsiaTheme="minorEastAsia"/>
          <w:color w:val="231F20"/>
          <w:lang w:val="en-US"/>
        </w:rPr>
        <w:t>1</w:t>
      </w:r>
      <w:r w:rsidR="00D435BB">
        <w:rPr>
          <w:rFonts w:eastAsiaTheme="minorEastAsia"/>
          <w:color w:val="231F20"/>
          <w:lang w:val="en-US"/>
        </w:rPr>
        <w:t>1</w:t>
      </w:r>
      <w:r>
        <w:rPr>
          <w:rFonts w:eastAsiaTheme="minorEastAsia"/>
          <w:color w:val="231F20"/>
          <w:lang w:val="en-US"/>
        </w:rPr>
        <w:t>)</w:t>
      </w:r>
      <w:r w:rsidR="00240DCC">
        <w:rPr>
          <w:rFonts w:eastAsiaTheme="minorEastAsia"/>
          <w:color w:val="231F20"/>
          <w:lang w:val="en-US"/>
        </w:rPr>
        <w:t xml:space="preserve"> </w:t>
      </w:r>
      <w:r>
        <w:rPr>
          <w:rFonts w:eastAsiaTheme="minorEastAsia"/>
          <w:color w:val="231F20"/>
          <w:lang w:val="en-US"/>
        </w:rPr>
        <w:t xml:space="preserve">     </w:t>
      </w:r>
    </w:p>
    <w:p w14:paraId="0D2D54C0" w14:textId="087B644F" w:rsidR="00D45643" w:rsidRDefault="0081596F" w:rsidP="00D45643">
      <w:pPr>
        <w:autoSpaceDE w:val="0"/>
        <w:autoSpaceDN w:val="0"/>
        <w:adjustRightInd w:val="0"/>
        <w:spacing w:line="480" w:lineRule="auto"/>
        <w:jc w:val="both"/>
        <w:rPr>
          <w:color w:val="231F20"/>
        </w:rPr>
      </w:pPr>
      <m:oMath>
        <m:sSub>
          <m:sSubPr>
            <m:ctrlPr>
              <w:rPr>
                <w:rFonts w:ascii="Cambria Math" w:hAnsi="Cambria Math"/>
                <w:i/>
                <w:color w:val="231F20"/>
              </w:rPr>
            </m:ctrlPr>
          </m:sSubPr>
          <m:e>
            <m:r>
              <w:rPr>
                <w:rFonts w:ascii="Cambria Math" w:hAnsi="Cambria Math"/>
                <w:color w:val="231F20"/>
              </w:rPr>
              <m:t>Performance</m:t>
            </m:r>
          </m:e>
          <m:sub>
            <m:r>
              <w:rPr>
                <w:rFonts w:ascii="Cambria Math" w:hAnsi="Cambria Math"/>
                <w:color w:val="231F20"/>
              </w:rPr>
              <m:t>i</m:t>
            </m:r>
          </m:sub>
        </m:sSub>
        <m:r>
          <w:rPr>
            <w:rFonts w:ascii="Cambria Math" w:hAnsi="Cambria Math"/>
            <w:color w:val="231F20"/>
          </w:rPr>
          <m:t xml:space="preserve"> </m:t>
        </m:r>
      </m:oMath>
      <w:r w:rsidR="00D45643" w:rsidRPr="00B33FA6">
        <w:rPr>
          <w:color w:val="231F20"/>
        </w:rPr>
        <w:t xml:space="preserve"> in </w:t>
      </w:r>
      <w:r w:rsidR="007260FC">
        <w:rPr>
          <w:color w:val="231F20"/>
        </w:rPr>
        <w:t>E</w:t>
      </w:r>
      <w:r w:rsidR="00D45643" w:rsidRPr="00B33FA6">
        <w:rPr>
          <w:color w:val="231F20"/>
        </w:rPr>
        <w:t>quations 10 and 11 refers to short</w:t>
      </w:r>
      <w:r w:rsidR="00D45643">
        <w:rPr>
          <w:color w:val="231F20"/>
        </w:rPr>
        <w:t>-</w:t>
      </w:r>
      <w:r w:rsidR="00D45643" w:rsidRPr="00B33FA6">
        <w:rPr>
          <w:color w:val="231F20"/>
        </w:rPr>
        <w:t>run CA</w:t>
      </w:r>
      <w:r w:rsidR="00D45643">
        <w:rPr>
          <w:color w:val="231F20"/>
        </w:rPr>
        <w:t>A</w:t>
      </w:r>
      <w:r w:rsidR="00D45643" w:rsidRPr="00B33FA6">
        <w:rPr>
          <w:color w:val="231F20"/>
        </w:rPr>
        <w:t xml:space="preserve">Rs across different event windows for the </w:t>
      </w:r>
      <w:proofErr w:type="spellStart"/>
      <w:r w:rsidR="00D45643" w:rsidRPr="00B33FA6">
        <w:rPr>
          <w:i/>
          <w:color w:val="231F20"/>
        </w:rPr>
        <w:t>i</w:t>
      </w:r>
      <w:r w:rsidR="00D45643" w:rsidRPr="00B33FA6">
        <w:rPr>
          <w:color w:val="231F20"/>
          <w:vertAlign w:val="superscript"/>
        </w:rPr>
        <w:t>th</w:t>
      </w:r>
      <w:proofErr w:type="spellEnd"/>
      <w:r w:rsidR="00D45643" w:rsidRPr="00B33FA6">
        <w:rPr>
          <w:color w:val="231F20"/>
        </w:rPr>
        <w:t xml:space="preserve"> firm in the M&amp;A sample and 12</w:t>
      </w:r>
      <w:r w:rsidR="00D45643">
        <w:rPr>
          <w:color w:val="231F20"/>
        </w:rPr>
        <w:t>-</w:t>
      </w:r>
      <w:r w:rsidR="00D45643" w:rsidRPr="00B33FA6">
        <w:rPr>
          <w:color w:val="231F20"/>
        </w:rPr>
        <w:t>months and 24</w:t>
      </w:r>
      <w:r w:rsidR="00D45643">
        <w:rPr>
          <w:color w:val="231F20"/>
        </w:rPr>
        <w:t>-</w:t>
      </w:r>
      <w:r w:rsidR="00D45643" w:rsidRPr="00B33FA6">
        <w:rPr>
          <w:color w:val="231F20"/>
        </w:rPr>
        <w:t xml:space="preserve">months post-mergers </w:t>
      </w:r>
      <m:oMath>
        <m:sSub>
          <m:sSubPr>
            <m:ctrlPr>
              <w:rPr>
                <w:rFonts w:ascii="Cambria Math" w:hAnsi="Cambria Math"/>
                <w:i/>
                <w:color w:val="231F20"/>
              </w:rPr>
            </m:ctrlPr>
          </m:sSubPr>
          <m:e>
            <m:r>
              <w:rPr>
                <w:rFonts w:ascii="Cambria Math" w:hAnsi="Cambria Math"/>
                <w:color w:val="231F20"/>
              </w:rPr>
              <m:t>BHAR</m:t>
            </m:r>
          </m:e>
          <m:sub>
            <m:r>
              <w:rPr>
                <w:rFonts w:ascii="Cambria Math" w:hAnsi="Cambria Math"/>
                <w:color w:val="231F20"/>
              </w:rPr>
              <m:t>i</m:t>
            </m:r>
          </m:sub>
        </m:sSub>
      </m:oMath>
      <w:r w:rsidR="00D45643" w:rsidRPr="00B33FA6">
        <w:rPr>
          <w:color w:val="231F20"/>
        </w:rPr>
        <w:t xml:space="preserve"> of firm </w:t>
      </w:r>
      <w:proofErr w:type="spellStart"/>
      <w:r w:rsidR="00D45643" w:rsidRPr="00B33FA6">
        <w:rPr>
          <w:i/>
          <w:color w:val="231F20"/>
        </w:rPr>
        <w:t>i</w:t>
      </w:r>
      <w:proofErr w:type="spellEnd"/>
      <w:r w:rsidR="00D45643" w:rsidRPr="00B33FA6">
        <w:rPr>
          <w:color w:val="231F20"/>
        </w:rPr>
        <w:t xml:space="preserve"> in the M&amp;A sample. The dependent, independent and control variables in equations 10 and 11 are defined in Table </w:t>
      </w:r>
      <w:r w:rsidR="00D45643">
        <w:rPr>
          <w:color w:val="231F20"/>
        </w:rPr>
        <w:t>3</w:t>
      </w:r>
      <w:r w:rsidR="00D45643" w:rsidRPr="00B33FA6">
        <w:rPr>
          <w:color w:val="231F20"/>
        </w:rPr>
        <w:t>.</w:t>
      </w:r>
    </w:p>
    <w:p w14:paraId="4EFD9E26" w14:textId="53EF44FF" w:rsidR="003E64C5" w:rsidRDefault="00D45643" w:rsidP="00005056">
      <w:pPr>
        <w:spacing w:line="480" w:lineRule="auto"/>
        <w:jc w:val="center"/>
        <w:rPr>
          <w:rFonts w:eastAsiaTheme="minorEastAsia"/>
          <w:color w:val="231F20"/>
          <w:lang w:val="en-US"/>
        </w:rPr>
      </w:pPr>
      <w:r w:rsidRPr="00C15C8E">
        <w:t xml:space="preserve"> </w:t>
      </w:r>
      <w:r w:rsidR="00A521C3" w:rsidRPr="00C15C8E">
        <w:t xml:space="preserve">(Insert Table </w:t>
      </w:r>
      <w:r w:rsidR="00A521C3">
        <w:t>3</w:t>
      </w:r>
      <w:r w:rsidR="00A521C3" w:rsidRPr="00C15C8E">
        <w:t>)</w:t>
      </w:r>
      <w:r w:rsidR="00240DCC">
        <w:rPr>
          <w:rFonts w:eastAsiaTheme="minorEastAsia"/>
          <w:color w:val="231F20"/>
          <w:lang w:val="en-US"/>
        </w:rPr>
        <w:t xml:space="preserve">     </w:t>
      </w:r>
    </w:p>
    <w:p w14:paraId="72A8E9C6" w14:textId="28207974" w:rsidR="00240DCC" w:rsidRPr="00AC5D8A" w:rsidRDefault="00D45643" w:rsidP="00AC5D8A">
      <w:pPr>
        <w:autoSpaceDE w:val="0"/>
        <w:autoSpaceDN w:val="0"/>
        <w:adjustRightInd w:val="0"/>
        <w:spacing w:line="480" w:lineRule="auto"/>
        <w:jc w:val="both"/>
        <w:rPr>
          <w:color w:val="000000" w:themeColor="text1"/>
        </w:rPr>
      </w:pPr>
      <w:r w:rsidRPr="00B33FA6">
        <w:rPr>
          <w:color w:val="000000" w:themeColor="text1"/>
        </w:rPr>
        <w:t xml:space="preserve">Table </w:t>
      </w:r>
      <w:r>
        <w:rPr>
          <w:color w:val="000000" w:themeColor="text1"/>
        </w:rPr>
        <w:t>4</w:t>
      </w:r>
      <w:r w:rsidRPr="00B33FA6">
        <w:rPr>
          <w:color w:val="000000" w:themeColor="text1"/>
        </w:rPr>
        <w:t xml:space="preserve"> presents the correlation matrix. </w:t>
      </w:r>
      <w:r w:rsidRPr="00B33FA6">
        <w:t xml:space="preserve">All the correlation coefficients show an absolute value lower than 0.7. In addition, tests for multicollinearity report that the VIF is below 2, indicating that multicollinearity is </w:t>
      </w:r>
      <w:r w:rsidR="007260FC">
        <w:t>not an issue</w:t>
      </w:r>
      <w:r w:rsidRPr="00B33FA6">
        <w:rPr>
          <w:color w:val="000000" w:themeColor="text1"/>
        </w:rPr>
        <w:t xml:space="preserve">. </w:t>
      </w:r>
      <w:r w:rsidR="00240DCC">
        <w:rPr>
          <w:rFonts w:eastAsiaTheme="minorEastAsia"/>
          <w:color w:val="231F20"/>
          <w:lang w:val="en-US"/>
        </w:rPr>
        <w:t xml:space="preserve">                                           </w:t>
      </w:r>
      <w:r w:rsidR="00E46624">
        <w:rPr>
          <w:rFonts w:eastAsiaTheme="minorEastAsia"/>
          <w:color w:val="231F20"/>
          <w:lang w:val="en-US"/>
        </w:rPr>
        <w:t xml:space="preserve">           </w:t>
      </w:r>
      <w:r w:rsidR="00240DCC">
        <w:rPr>
          <w:rFonts w:eastAsiaTheme="minorEastAsia"/>
          <w:color w:val="231F20"/>
          <w:lang w:val="en-US"/>
        </w:rPr>
        <w:t xml:space="preserve">    </w:t>
      </w:r>
      <w:r w:rsidR="00775285">
        <w:rPr>
          <w:rFonts w:eastAsiaTheme="minorEastAsia"/>
          <w:color w:val="231F20"/>
          <w:lang w:val="en-US"/>
        </w:rPr>
        <w:t xml:space="preserve"> </w:t>
      </w:r>
    </w:p>
    <w:p w14:paraId="5F1AA9FA" w14:textId="37F6ABE5" w:rsidR="00076907" w:rsidRDefault="00D45643" w:rsidP="00D45643">
      <w:pPr>
        <w:autoSpaceDE w:val="0"/>
        <w:autoSpaceDN w:val="0"/>
        <w:adjustRightInd w:val="0"/>
        <w:spacing w:line="480" w:lineRule="auto"/>
        <w:jc w:val="center"/>
        <w:rPr>
          <w:color w:val="231F20"/>
          <w:lang w:val="en-US"/>
        </w:rPr>
      </w:pPr>
      <w:r w:rsidRPr="00B33FA6">
        <w:rPr>
          <w:color w:val="000000" w:themeColor="text1"/>
        </w:rPr>
        <w:t xml:space="preserve"> </w:t>
      </w:r>
      <w:r w:rsidR="00005056" w:rsidRPr="00B33FA6">
        <w:rPr>
          <w:color w:val="000000" w:themeColor="text1"/>
        </w:rPr>
        <w:t xml:space="preserve">(Insert Table </w:t>
      </w:r>
      <w:r w:rsidR="00005056">
        <w:rPr>
          <w:color w:val="000000" w:themeColor="text1"/>
        </w:rPr>
        <w:t>4</w:t>
      </w:r>
      <w:r w:rsidR="00005056" w:rsidRPr="00B33FA6">
        <w:rPr>
          <w:color w:val="000000" w:themeColor="text1"/>
        </w:rPr>
        <w:t>)</w:t>
      </w:r>
    </w:p>
    <w:p w14:paraId="1CF7D668" w14:textId="77777777" w:rsidR="00C22018" w:rsidRPr="00B33FA6" w:rsidRDefault="00C22018" w:rsidP="00C22018">
      <w:pPr>
        <w:pStyle w:val="Heading1"/>
      </w:pPr>
      <w:r w:rsidRPr="00B33FA6">
        <w:t xml:space="preserve">Results </w:t>
      </w:r>
      <w:r>
        <w:t>and discussions</w:t>
      </w:r>
    </w:p>
    <w:p w14:paraId="6AE90D8C" w14:textId="30E55488" w:rsidR="00F76B0A" w:rsidRPr="00C22018" w:rsidRDefault="00C22018" w:rsidP="00C427A4">
      <w:pPr>
        <w:pStyle w:val="ListParagraph"/>
        <w:autoSpaceDE w:val="0"/>
        <w:autoSpaceDN w:val="0"/>
        <w:adjustRightInd w:val="0"/>
        <w:spacing w:line="480" w:lineRule="auto"/>
        <w:ind w:left="0"/>
        <w:jc w:val="both"/>
        <w:rPr>
          <w:rFonts w:ascii="Times New Roman" w:hAnsi="Times New Roman" w:cs="Times New Roman"/>
          <w:color w:val="231F20"/>
        </w:rPr>
      </w:pPr>
      <w:r w:rsidRPr="00B33FA6">
        <w:rPr>
          <w:rFonts w:ascii="Times New Roman" w:hAnsi="Times New Roman" w:cs="Times New Roman"/>
          <w:color w:val="231F20"/>
        </w:rPr>
        <w:t xml:space="preserve">Section 5.1 </w:t>
      </w:r>
      <w:r w:rsidR="007260FC">
        <w:rPr>
          <w:rFonts w:ascii="Times New Roman" w:hAnsi="Times New Roman" w:cs="Times New Roman"/>
          <w:color w:val="231F20"/>
        </w:rPr>
        <w:t>outline</w:t>
      </w:r>
      <w:r w:rsidRPr="00B33FA6">
        <w:rPr>
          <w:rFonts w:ascii="Times New Roman" w:hAnsi="Times New Roman" w:cs="Times New Roman"/>
          <w:color w:val="231F20"/>
        </w:rPr>
        <w:t>s the results of univariate analyses to test our three measures of overconfidence by dividing the sample between above and below the mean value of the fraction of male directors, by dividing the sample between single and multiple acquirers, by dividing the sample between diversifying and related deals</w:t>
      </w:r>
      <w:r>
        <w:rPr>
          <w:rFonts w:ascii="Times New Roman" w:hAnsi="Times New Roman" w:cs="Times New Roman"/>
          <w:color w:val="231F20"/>
        </w:rPr>
        <w:t>,</w:t>
      </w:r>
      <w:r w:rsidRPr="00B33FA6">
        <w:rPr>
          <w:rFonts w:ascii="Times New Roman" w:hAnsi="Times New Roman" w:cs="Times New Roman"/>
          <w:color w:val="231F20"/>
        </w:rPr>
        <w:t xml:space="preserve"> and also by cash and stock deals. Section 5.2 presents the results of multiple regression analyses where the dependent variables are short</w:t>
      </w:r>
      <w:r>
        <w:rPr>
          <w:rFonts w:ascii="Times New Roman" w:hAnsi="Times New Roman" w:cs="Times New Roman"/>
          <w:color w:val="231F20"/>
        </w:rPr>
        <w:t>-</w:t>
      </w:r>
      <w:r w:rsidRPr="00B33FA6">
        <w:rPr>
          <w:rFonts w:ascii="Times New Roman" w:hAnsi="Times New Roman" w:cs="Times New Roman"/>
          <w:color w:val="231F20"/>
        </w:rPr>
        <w:t>run CA</w:t>
      </w:r>
      <w:r>
        <w:rPr>
          <w:rFonts w:ascii="Times New Roman" w:hAnsi="Times New Roman" w:cs="Times New Roman"/>
          <w:color w:val="231F20"/>
        </w:rPr>
        <w:t>A</w:t>
      </w:r>
      <w:r w:rsidRPr="00B33FA6">
        <w:rPr>
          <w:rFonts w:ascii="Times New Roman" w:hAnsi="Times New Roman" w:cs="Times New Roman"/>
          <w:color w:val="231F20"/>
        </w:rPr>
        <w:t>Rs and long</w:t>
      </w:r>
      <w:r>
        <w:rPr>
          <w:rFonts w:ascii="Times New Roman" w:hAnsi="Times New Roman" w:cs="Times New Roman"/>
          <w:color w:val="231F20"/>
        </w:rPr>
        <w:t>-</w:t>
      </w:r>
      <w:r w:rsidRPr="00B33FA6">
        <w:rPr>
          <w:rFonts w:ascii="Times New Roman" w:hAnsi="Times New Roman" w:cs="Times New Roman"/>
          <w:color w:val="231F20"/>
        </w:rPr>
        <w:t>run BHARs.</w:t>
      </w:r>
    </w:p>
    <w:p w14:paraId="347FB8A9" w14:textId="77777777" w:rsidR="00C22018" w:rsidRPr="00B33FA6" w:rsidRDefault="00C22018" w:rsidP="00C22018">
      <w:pPr>
        <w:pStyle w:val="Heading2"/>
        <w:ind w:left="576"/>
      </w:pPr>
      <w:r w:rsidRPr="00B33FA6">
        <w:t>Univariate analyses</w:t>
      </w:r>
    </w:p>
    <w:p w14:paraId="22DC00AA" w14:textId="77777777" w:rsidR="00C22018" w:rsidRDefault="00C22018" w:rsidP="00C22018">
      <w:pPr>
        <w:pStyle w:val="Heading3"/>
      </w:pPr>
      <w:r w:rsidRPr="00B33FA6">
        <w:t>Merger performance and overconfidence measured by fraction of male directors</w:t>
      </w:r>
    </w:p>
    <w:p w14:paraId="6D12485B" w14:textId="4EE85727" w:rsidR="00C22018" w:rsidRDefault="00C22018" w:rsidP="00C22018">
      <w:pPr>
        <w:autoSpaceDE w:val="0"/>
        <w:autoSpaceDN w:val="0"/>
        <w:adjustRightInd w:val="0"/>
        <w:spacing w:line="480" w:lineRule="auto"/>
        <w:jc w:val="both"/>
        <w:rPr>
          <w:color w:val="000000" w:themeColor="text1"/>
        </w:rPr>
      </w:pPr>
      <w:r w:rsidRPr="00B33FA6">
        <w:rPr>
          <w:color w:val="000000" w:themeColor="text1"/>
        </w:rPr>
        <w:t xml:space="preserve">Table </w:t>
      </w:r>
      <w:r w:rsidR="00D45643">
        <w:rPr>
          <w:color w:val="000000" w:themeColor="text1"/>
        </w:rPr>
        <w:t>5</w:t>
      </w:r>
      <w:r w:rsidRPr="00B33FA6">
        <w:rPr>
          <w:color w:val="000000" w:themeColor="text1"/>
        </w:rPr>
        <w:t xml:space="preserve"> presents the short-term average announcement period CA</w:t>
      </w:r>
      <w:r>
        <w:rPr>
          <w:color w:val="000000" w:themeColor="text1"/>
        </w:rPr>
        <w:t>A</w:t>
      </w:r>
      <w:r w:rsidRPr="00B33FA6">
        <w:rPr>
          <w:color w:val="000000" w:themeColor="text1"/>
        </w:rPr>
        <w:t>Rs denoted as CAARs for the event window (-1, +1) and (-2, +2) and long</w:t>
      </w:r>
      <w:r>
        <w:rPr>
          <w:color w:val="000000" w:themeColor="text1"/>
        </w:rPr>
        <w:t>-</w:t>
      </w:r>
      <w:r w:rsidRPr="00B33FA6">
        <w:rPr>
          <w:color w:val="000000" w:themeColor="text1"/>
        </w:rPr>
        <w:t>run performance average BHARs denoted by ABHARs for 12</w:t>
      </w:r>
      <w:r w:rsidR="00786B3E">
        <w:rPr>
          <w:color w:val="000000" w:themeColor="text1"/>
        </w:rPr>
        <w:t xml:space="preserve">-months </w:t>
      </w:r>
      <w:r w:rsidRPr="00B33FA6">
        <w:rPr>
          <w:color w:val="000000" w:themeColor="text1"/>
        </w:rPr>
        <w:t>and 24</w:t>
      </w:r>
      <w:r w:rsidR="00786B3E">
        <w:rPr>
          <w:color w:val="000000" w:themeColor="text1"/>
        </w:rPr>
        <w:t>-</w:t>
      </w:r>
      <w:r w:rsidRPr="00B33FA6">
        <w:rPr>
          <w:color w:val="000000" w:themeColor="text1"/>
        </w:rPr>
        <w:t xml:space="preserve">months, respectively. Panel A shows the CAARs for the entire sample. As shown in </w:t>
      </w:r>
      <w:r w:rsidR="007260FC">
        <w:rPr>
          <w:color w:val="000000" w:themeColor="text1"/>
        </w:rPr>
        <w:t>P</w:t>
      </w:r>
      <w:r w:rsidRPr="00B33FA6">
        <w:rPr>
          <w:color w:val="000000" w:themeColor="text1"/>
        </w:rPr>
        <w:t xml:space="preserve">anel A, the short-term announcement period CAARs of the acquirer firms are positive and significant at 1% levels for both the event windows (-1, +1) and (-2, +2). The positive CAARs support the findings of other literatures on M&amp;A that </w:t>
      </w:r>
      <w:r w:rsidR="0046002D">
        <w:rPr>
          <w:color w:val="000000" w:themeColor="text1"/>
        </w:rPr>
        <w:t xml:space="preserve">have </w:t>
      </w:r>
      <w:r w:rsidRPr="00B33FA6">
        <w:rPr>
          <w:color w:val="000000" w:themeColor="text1"/>
        </w:rPr>
        <w:t>reported positive short-term gains from M&amp;A (Antoniou</w:t>
      </w:r>
      <w:r w:rsidR="00786B3E">
        <w:rPr>
          <w:color w:val="000000" w:themeColor="text1"/>
        </w:rPr>
        <w:t xml:space="preserve"> et al.</w:t>
      </w:r>
      <w:r w:rsidRPr="00B33FA6">
        <w:rPr>
          <w:color w:val="231F20"/>
        </w:rPr>
        <w:t xml:space="preserve"> 2007</w:t>
      </w:r>
      <w:r w:rsidRPr="00B33FA6">
        <w:rPr>
          <w:rFonts w:eastAsiaTheme="minorHAnsi"/>
          <w:color w:val="231F20"/>
        </w:rPr>
        <w:t xml:space="preserve">; </w:t>
      </w:r>
      <w:r w:rsidRPr="00B33FA6">
        <w:rPr>
          <w:color w:val="000000" w:themeColor="text1"/>
        </w:rPr>
        <w:t>Datta</w:t>
      </w:r>
      <w:r w:rsidR="00786B3E">
        <w:rPr>
          <w:color w:val="000000" w:themeColor="text1"/>
        </w:rPr>
        <w:t xml:space="preserve"> et al.</w:t>
      </w:r>
      <w:r w:rsidRPr="00B33FA6">
        <w:rPr>
          <w:color w:val="000000" w:themeColor="text1"/>
        </w:rPr>
        <w:t xml:space="preserve"> 2013).</w:t>
      </w:r>
    </w:p>
    <w:p w14:paraId="1B08D59D" w14:textId="77777777" w:rsidR="00786B3E" w:rsidRPr="00B33FA6" w:rsidRDefault="00786B3E" w:rsidP="00C22018">
      <w:pPr>
        <w:autoSpaceDE w:val="0"/>
        <w:autoSpaceDN w:val="0"/>
        <w:adjustRightInd w:val="0"/>
        <w:spacing w:line="480" w:lineRule="auto"/>
        <w:jc w:val="both"/>
        <w:rPr>
          <w:color w:val="000000" w:themeColor="text1"/>
        </w:rPr>
      </w:pPr>
    </w:p>
    <w:p w14:paraId="7A695B3D" w14:textId="5B31D7C2" w:rsidR="00DA0F49" w:rsidRDefault="00C22018" w:rsidP="00C22018">
      <w:pPr>
        <w:autoSpaceDE w:val="0"/>
        <w:autoSpaceDN w:val="0"/>
        <w:adjustRightInd w:val="0"/>
        <w:spacing w:line="480" w:lineRule="auto"/>
        <w:jc w:val="both"/>
        <w:rPr>
          <w:color w:val="000000" w:themeColor="text1"/>
        </w:rPr>
      </w:pPr>
      <w:r w:rsidRPr="00B33FA6">
        <w:rPr>
          <w:color w:val="000000" w:themeColor="text1"/>
        </w:rPr>
        <w:lastRenderedPageBreak/>
        <w:t>The post-merger ABHARs of the combined firms are negative. The ABHARs are significant at 1% levels for both the 12</w:t>
      </w:r>
      <w:r w:rsidR="00786B3E">
        <w:rPr>
          <w:color w:val="000000" w:themeColor="text1"/>
        </w:rPr>
        <w:t>-m</w:t>
      </w:r>
      <w:r w:rsidRPr="00B33FA6">
        <w:rPr>
          <w:color w:val="000000" w:themeColor="text1"/>
        </w:rPr>
        <w:t>onths and 24</w:t>
      </w:r>
      <w:r w:rsidR="00786B3E">
        <w:rPr>
          <w:color w:val="000000" w:themeColor="text1"/>
        </w:rPr>
        <w:t>-</w:t>
      </w:r>
      <w:r w:rsidRPr="00B33FA6">
        <w:rPr>
          <w:color w:val="000000" w:themeColor="text1"/>
        </w:rPr>
        <w:t>months post the merger completion date. The negative ABHARs are consistent with past M&amp;A studies on post-merger performance that show negative shareholder wealth in the post-merger period (</w:t>
      </w:r>
      <w:r w:rsidR="00F83A33">
        <w:rPr>
          <w:color w:val="000000" w:themeColor="text1"/>
        </w:rPr>
        <w:t xml:space="preserve">Agrawal et al. 1992; </w:t>
      </w:r>
      <w:r w:rsidRPr="00B33FA6">
        <w:rPr>
          <w:color w:val="000000" w:themeColor="text1"/>
        </w:rPr>
        <w:t>Megginson</w:t>
      </w:r>
      <w:r w:rsidR="00786B3E">
        <w:rPr>
          <w:color w:val="000000" w:themeColor="text1"/>
        </w:rPr>
        <w:t xml:space="preserve"> et al.</w:t>
      </w:r>
      <w:r w:rsidRPr="00B33FA6">
        <w:rPr>
          <w:color w:val="231F20"/>
        </w:rPr>
        <w:t xml:space="preserve"> 2004</w:t>
      </w:r>
      <w:r w:rsidR="00F83A33">
        <w:rPr>
          <w:color w:val="231F20"/>
        </w:rPr>
        <w:t xml:space="preserve">; </w:t>
      </w:r>
      <w:r w:rsidRPr="00B33FA6">
        <w:rPr>
          <w:color w:val="231F20"/>
        </w:rPr>
        <w:t>Boateng et al. 2017</w:t>
      </w:r>
      <w:r w:rsidR="00035BD3">
        <w:rPr>
          <w:color w:val="231F20"/>
        </w:rPr>
        <w:t>;</w:t>
      </w:r>
      <w:r w:rsidR="0082613E">
        <w:rPr>
          <w:color w:val="231F20"/>
        </w:rPr>
        <w:t xml:space="preserve"> Cao et al. 2019</w:t>
      </w:r>
      <w:r w:rsidRPr="00B33FA6">
        <w:rPr>
          <w:color w:val="000000" w:themeColor="text1"/>
        </w:rPr>
        <w:t>).</w:t>
      </w:r>
      <w:r w:rsidR="0082613E">
        <w:rPr>
          <w:color w:val="000000" w:themeColor="text1"/>
        </w:rPr>
        <w:t xml:space="preserve"> </w:t>
      </w:r>
    </w:p>
    <w:p w14:paraId="222F1D32" w14:textId="77777777" w:rsidR="007260FC" w:rsidRDefault="007260FC" w:rsidP="00C22018">
      <w:pPr>
        <w:autoSpaceDE w:val="0"/>
        <w:autoSpaceDN w:val="0"/>
        <w:adjustRightInd w:val="0"/>
        <w:spacing w:line="480" w:lineRule="auto"/>
        <w:jc w:val="both"/>
      </w:pPr>
    </w:p>
    <w:p w14:paraId="6D3C673F" w14:textId="2EC08693" w:rsidR="00C22018" w:rsidRPr="00DA0F49" w:rsidRDefault="00C22018" w:rsidP="00C22018">
      <w:pPr>
        <w:autoSpaceDE w:val="0"/>
        <w:autoSpaceDN w:val="0"/>
        <w:adjustRightInd w:val="0"/>
        <w:spacing w:line="480" w:lineRule="auto"/>
        <w:jc w:val="both"/>
      </w:pPr>
      <w:r w:rsidRPr="00B33FA6">
        <w:rPr>
          <w:color w:val="000000" w:themeColor="text1"/>
        </w:rPr>
        <w:t xml:space="preserve">The results of the CAARs and ABHARs for the subsample of firms where the fraction of male directors is greater than its mean and the subsample of firms where the fraction of male directors is less than its mean </w:t>
      </w:r>
      <w:r>
        <w:rPr>
          <w:color w:val="000000" w:themeColor="text1"/>
        </w:rPr>
        <w:t>are</w:t>
      </w:r>
      <w:r w:rsidRPr="00B33FA6">
        <w:rPr>
          <w:color w:val="000000" w:themeColor="text1"/>
        </w:rPr>
        <w:t xml:space="preserve"> shown in </w:t>
      </w:r>
      <w:r w:rsidR="007260FC">
        <w:rPr>
          <w:color w:val="000000" w:themeColor="text1"/>
        </w:rPr>
        <w:t>P</w:t>
      </w:r>
      <w:r w:rsidRPr="00B33FA6">
        <w:rPr>
          <w:color w:val="000000" w:themeColor="text1"/>
        </w:rPr>
        <w:t xml:space="preserve">anel B. The CAARs are positive and lower for the subsample where </w:t>
      </w:r>
      <w:r>
        <w:rPr>
          <w:color w:val="000000" w:themeColor="text1"/>
        </w:rPr>
        <w:t xml:space="preserve">the </w:t>
      </w:r>
      <w:r w:rsidRPr="00B33FA6">
        <w:rPr>
          <w:color w:val="000000" w:themeColor="text1"/>
        </w:rPr>
        <w:t>fraction of male directors is greater than its mean, compared to the subsample where the fraction of male directors is less than its mean. This lends support to our hypothesis 1a that a higher fraction of male directors in the boardroom leads to poor short-term performance. The long</w:t>
      </w:r>
      <w:r>
        <w:rPr>
          <w:color w:val="000000" w:themeColor="text1"/>
        </w:rPr>
        <w:t>-</w:t>
      </w:r>
      <w:r w:rsidRPr="00B33FA6">
        <w:rPr>
          <w:color w:val="000000" w:themeColor="text1"/>
        </w:rPr>
        <w:t xml:space="preserve">run post-merger results show that ABHARs are negative across both the subsamples for the fraction of male directors but the negative effect appears pronounced for firms with a higher fraction of male directors than the mean, thus lending support to our hypothesis 1b. The mean differences as shown in </w:t>
      </w:r>
      <w:r w:rsidR="007260FC">
        <w:rPr>
          <w:color w:val="000000" w:themeColor="text1"/>
        </w:rPr>
        <w:t>P</w:t>
      </w:r>
      <w:r w:rsidRPr="00B33FA6">
        <w:rPr>
          <w:color w:val="000000" w:themeColor="text1"/>
        </w:rPr>
        <w:t>anel B are statistically significant at the 1%, 5% and 10% levels. Taken together</w:t>
      </w:r>
      <w:r>
        <w:rPr>
          <w:color w:val="000000" w:themeColor="text1"/>
        </w:rPr>
        <w:t>,</w:t>
      </w:r>
      <w:r w:rsidRPr="00B33FA6">
        <w:rPr>
          <w:color w:val="000000" w:themeColor="text1"/>
        </w:rPr>
        <w:t xml:space="preserve"> this finding suggests that a higher fraction of male directors on the board tends to increase board overconfidence with detrimental implications for M&amp;A outcomes. This result supports the findings of Huang </w:t>
      </w:r>
      <w:r>
        <w:rPr>
          <w:color w:val="000000" w:themeColor="text1"/>
        </w:rPr>
        <w:t>and</w:t>
      </w:r>
      <w:r w:rsidRPr="00B33FA6">
        <w:rPr>
          <w:color w:val="000000" w:themeColor="text1"/>
        </w:rPr>
        <w:t xml:space="preserve"> </w:t>
      </w:r>
      <w:proofErr w:type="spellStart"/>
      <w:r w:rsidRPr="00B33FA6">
        <w:rPr>
          <w:color w:val="000000" w:themeColor="text1"/>
        </w:rPr>
        <w:t>Kisgen</w:t>
      </w:r>
      <w:proofErr w:type="spellEnd"/>
      <w:r w:rsidRPr="00B33FA6">
        <w:rPr>
          <w:color w:val="000000" w:themeColor="text1"/>
        </w:rPr>
        <w:t xml:space="preserve"> (2013) that reported boards with male executives generate 2% l</w:t>
      </w:r>
      <w:r w:rsidR="00ED2E02">
        <w:rPr>
          <w:color w:val="000000" w:themeColor="text1"/>
        </w:rPr>
        <w:t>ower</w:t>
      </w:r>
      <w:r w:rsidRPr="00B33FA6">
        <w:rPr>
          <w:color w:val="000000" w:themeColor="text1"/>
        </w:rPr>
        <w:t xml:space="preserve"> announcement period returns.</w:t>
      </w:r>
    </w:p>
    <w:p w14:paraId="4151CC21" w14:textId="77777777" w:rsidR="00C22018" w:rsidRPr="00B33FA6" w:rsidRDefault="00C22018" w:rsidP="00C22018">
      <w:pPr>
        <w:autoSpaceDE w:val="0"/>
        <w:autoSpaceDN w:val="0"/>
        <w:adjustRightInd w:val="0"/>
        <w:spacing w:line="480" w:lineRule="auto"/>
        <w:jc w:val="both"/>
        <w:rPr>
          <w:color w:val="000000" w:themeColor="text1"/>
        </w:rPr>
      </w:pPr>
    </w:p>
    <w:p w14:paraId="7A10EBB8" w14:textId="77777777" w:rsidR="00C22018" w:rsidRDefault="00C22018" w:rsidP="00C22018">
      <w:pPr>
        <w:pStyle w:val="Heading3"/>
      </w:pPr>
      <w:r w:rsidRPr="00B33FA6">
        <w:t xml:space="preserve">Merger performance and overconfidence measured by merger frequencies </w:t>
      </w:r>
    </w:p>
    <w:p w14:paraId="762FFAF6" w14:textId="0274ECB3" w:rsidR="001A41DA" w:rsidRPr="00B33FA6" w:rsidRDefault="001A41DA" w:rsidP="001A41DA">
      <w:pPr>
        <w:spacing w:line="480" w:lineRule="auto"/>
        <w:jc w:val="both"/>
        <w:rPr>
          <w:color w:val="000000" w:themeColor="text1"/>
        </w:rPr>
      </w:pPr>
      <w:r w:rsidRPr="00B33FA6">
        <w:rPr>
          <w:color w:val="000000" w:themeColor="text1"/>
        </w:rPr>
        <w:t xml:space="preserve">Panel C of Table </w:t>
      </w:r>
      <w:r w:rsidR="00D45643">
        <w:rPr>
          <w:color w:val="000000" w:themeColor="text1"/>
        </w:rPr>
        <w:t>5</w:t>
      </w:r>
      <w:r w:rsidRPr="00B33FA6">
        <w:rPr>
          <w:color w:val="000000" w:themeColor="text1"/>
        </w:rPr>
        <w:t xml:space="preserve"> shows the CAARs and ABHARs for the subsample of firms categori</w:t>
      </w:r>
      <w:r>
        <w:rPr>
          <w:color w:val="000000" w:themeColor="text1"/>
        </w:rPr>
        <w:t>s</w:t>
      </w:r>
      <w:r w:rsidRPr="00B33FA6">
        <w:rPr>
          <w:color w:val="000000" w:themeColor="text1"/>
        </w:rPr>
        <w:t xml:space="preserve">ed as single acquirers or multiple acquirers. As mentioned in Section 3, multiple acquirers are firms </w:t>
      </w:r>
      <w:r w:rsidRPr="00B33FA6">
        <w:rPr>
          <w:color w:val="000000" w:themeColor="text1"/>
        </w:rPr>
        <w:lastRenderedPageBreak/>
        <w:t xml:space="preserve">that conduct five or more acquisitions within a three-year period and the rest are single acquirers. The findings indicate that CAARs are positive across both the subsamples but greater for single acquirers across both the (-1, +1) and (-2, +2) event windows than the multiple acquirers, thereby supporting hypothesis </w:t>
      </w:r>
      <w:r w:rsidR="00B2238D">
        <w:rPr>
          <w:color w:val="000000" w:themeColor="text1"/>
        </w:rPr>
        <w:t>2</w:t>
      </w:r>
      <w:r w:rsidRPr="00B33FA6">
        <w:rPr>
          <w:color w:val="000000" w:themeColor="text1"/>
        </w:rPr>
        <w:t xml:space="preserve">a. All these acquirer CAARs are significant at either 1%, 5% or 10% level. The ABHARs are negative across both the subsamples but significantly worse for multiple acquirers than for single acquirers, again supporting hypothesis </w:t>
      </w:r>
      <w:r w:rsidR="00B2238D">
        <w:rPr>
          <w:color w:val="000000" w:themeColor="text1"/>
        </w:rPr>
        <w:t>2</w:t>
      </w:r>
      <w:r w:rsidRPr="00B33FA6">
        <w:rPr>
          <w:color w:val="000000" w:themeColor="text1"/>
        </w:rPr>
        <w:t xml:space="preserve">b. The ABHARs in </w:t>
      </w:r>
      <w:r w:rsidR="007260FC">
        <w:rPr>
          <w:color w:val="000000" w:themeColor="text1"/>
        </w:rPr>
        <w:t>P</w:t>
      </w:r>
      <w:r w:rsidRPr="00B33FA6">
        <w:rPr>
          <w:color w:val="000000" w:themeColor="text1"/>
        </w:rPr>
        <w:t xml:space="preserve">anel C are statistically significant at either 1% or 5% levels. These results are consistent with the studies by Doukas </w:t>
      </w:r>
      <w:r>
        <w:rPr>
          <w:color w:val="000000" w:themeColor="text1"/>
        </w:rPr>
        <w:t>and</w:t>
      </w:r>
      <w:r w:rsidRPr="00B33FA6">
        <w:rPr>
          <w:color w:val="000000" w:themeColor="text1"/>
        </w:rPr>
        <w:t xml:space="preserve"> </w:t>
      </w:r>
      <w:proofErr w:type="spellStart"/>
      <w:r w:rsidRPr="00B33FA6">
        <w:rPr>
          <w:color w:val="000000" w:themeColor="text1"/>
        </w:rPr>
        <w:t>Petmezas</w:t>
      </w:r>
      <w:proofErr w:type="spellEnd"/>
      <w:r w:rsidRPr="00B33FA6">
        <w:rPr>
          <w:color w:val="000000" w:themeColor="text1"/>
        </w:rPr>
        <w:t xml:space="preserve"> (2007) and Billet </w:t>
      </w:r>
      <w:r>
        <w:rPr>
          <w:color w:val="000000" w:themeColor="text1"/>
        </w:rPr>
        <w:t>and</w:t>
      </w:r>
      <w:r w:rsidRPr="00B33FA6">
        <w:rPr>
          <w:color w:val="000000" w:themeColor="text1"/>
        </w:rPr>
        <w:t xml:space="preserve"> Qian (2008). The results lend support to our hypotheses 2a and 2b that multiple acquisitions are due to managerial overconfidence and lead to poorer returns.</w:t>
      </w:r>
    </w:p>
    <w:p w14:paraId="1CE16D1A" w14:textId="2EF16C22" w:rsidR="00C15C8E" w:rsidRDefault="00B61632" w:rsidP="00C427A4">
      <w:pPr>
        <w:autoSpaceDE w:val="0"/>
        <w:autoSpaceDN w:val="0"/>
        <w:adjustRightInd w:val="0"/>
        <w:spacing w:line="480" w:lineRule="auto"/>
        <w:jc w:val="center"/>
        <w:rPr>
          <w:color w:val="000000" w:themeColor="text1"/>
        </w:rPr>
      </w:pPr>
      <w:r>
        <w:rPr>
          <w:color w:val="000000" w:themeColor="text1"/>
        </w:rPr>
        <w:t xml:space="preserve"> </w:t>
      </w:r>
      <w:r w:rsidR="00C15C8E">
        <w:rPr>
          <w:color w:val="000000" w:themeColor="text1"/>
        </w:rPr>
        <w:t xml:space="preserve">(Insert Table </w:t>
      </w:r>
      <w:r w:rsidR="00D45643">
        <w:rPr>
          <w:color w:val="000000" w:themeColor="text1"/>
        </w:rPr>
        <w:t>5</w:t>
      </w:r>
      <w:r w:rsidR="00C15C8E">
        <w:rPr>
          <w:color w:val="000000" w:themeColor="text1"/>
        </w:rPr>
        <w:t>)</w:t>
      </w:r>
    </w:p>
    <w:p w14:paraId="0F23519E" w14:textId="77777777" w:rsidR="00041906" w:rsidRDefault="00041906" w:rsidP="00C427A4">
      <w:pPr>
        <w:autoSpaceDE w:val="0"/>
        <w:autoSpaceDN w:val="0"/>
        <w:adjustRightInd w:val="0"/>
        <w:spacing w:line="480" w:lineRule="auto"/>
        <w:jc w:val="center"/>
        <w:rPr>
          <w:color w:val="000000" w:themeColor="text1"/>
        </w:rPr>
      </w:pPr>
    </w:p>
    <w:p w14:paraId="58FEE5B3" w14:textId="77777777" w:rsidR="004E0EB4" w:rsidRPr="0009120B" w:rsidRDefault="00095F34" w:rsidP="0009120B">
      <w:pPr>
        <w:autoSpaceDE w:val="0"/>
        <w:autoSpaceDN w:val="0"/>
        <w:adjustRightInd w:val="0"/>
        <w:spacing w:line="480" w:lineRule="auto"/>
        <w:jc w:val="both"/>
        <w:rPr>
          <w:i/>
          <w:color w:val="000000" w:themeColor="text1"/>
        </w:rPr>
      </w:pPr>
      <w:r w:rsidRPr="001A41DA">
        <w:rPr>
          <w:b/>
          <w:i/>
          <w:color w:val="000000" w:themeColor="text1"/>
        </w:rPr>
        <w:t>5</w:t>
      </w:r>
      <w:r w:rsidR="004E0EB4" w:rsidRPr="001A41DA">
        <w:rPr>
          <w:b/>
          <w:i/>
          <w:color w:val="000000" w:themeColor="text1"/>
        </w:rPr>
        <w:t>.1.3 Merger performance and overconfidence measured by merger characteristics</w:t>
      </w:r>
    </w:p>
    <w:p w14:paraId="647E69EE" w14:textId="7490A40A" w:rsidR="007260FC" w:rsidRDefault="001A41DA" w:rsidP="007260FC">
      <w:pPr>
        <w:spacing w:line="480" w:lineRule="auto"/>
        <w:jc w:val="both"/>
      </w:pPr>
      <w:r w:rsidRPr="00B33FA6">
        <w:rPr>
          <w:color w:val="000000" w:themeColor="text1"/>
        </w:rPr>
        <w:t xml:space="preserve">Panel D of </w:t>
      </w:r>
      <w:r>
        <w:rPr>
          <w:color w:val="000000" w:themeColor="text1"/>
        </w:rPr>
        <w:t>T</w:t>
      </w:r>
      <w:r w:rsidRPr="00B33FA6">
        <w:rPr>
          <w:color w:val="000000" w:themeColor="text1"/>
        </w:rPr>
        <w:t xml:space="preserve">able </w:t>
      </w:r>
      <w:r w:rsidR="00D45643">
        <w:rPr>
          <w:color w:val="000000" w:themeColor="text1"/>
        </w:rPr>
        <w:t>5</w:t>
      </w:r>
      <w:r w:rsidRPr="00B33FA6">
        <w:rPr>
          <w:color w:val="000000" w:themeColor="text1"/>
        </w:rPr>
        <w:t xml:space="preserve"> shows that acquirer CAARs are lower for cash</w:t>
      </w:r>
      <w:r>
        <w:rPr>
          <w:color w:val="000000" w:themeColor="text1"/>
        </w:rPr>
        <w:t>-</w:t>
      </w:r>
      <w:r w:rsidRPr="00B33FA6">
        <w:rPr>
          <w:color w:val="000000" w:themeColor="text1"/>
        </w:rPr>
        <w:t>financed M&amp;A compared to stock</w:t>
      </w:r>
      <w:r>
        <w:rPr>
          <w:color w:val="000000" w:themeColor="text1"/>
        </w:rPr>
        <w:t>-</w:t>
      </w:r>
      <w:r w:rsidRPr="00B33FA6">
        <w:rPr>
          <w:color w:val="000000" w:themeColor="text1"/>
        </w:rPr>
        <w:t>financed M&amp;A (0.95% versus 1.78%) for the event window (-1, +1) and (0.86%, versus 1.96%) for the event window (-2, +2). The mean differences in CAARs between cash</w:t>
      </w:r>
      <w:r>
        <w:rPr>
          <w:color w:val="000000" w:themeColor="text1"/>
        </w:rPr>
        <w:t>-</w:t>
      </w:r>
      <w:r w:rsidRPr="00B33FA6">
        <w:rPr>
          <w:color w:val="000000" w:themeColor="text1"/>
        </w:rPr>
        <w:t>financed and stock</w:t>
      </w:r>
      <w:r>
        <w:rPr>
          <w:color w:val="000000" w:themeColor="text1"/>
        </w:rPr>
        <w:t>-</w:t>
      </w:r>
      <w:r w:rsidRPr="00B33FA6">
        <w:rPr>
          <w:color w:val="000000" w:themeColor="text1"/>
        </w:rPr>
        <w:t xml:space="preserve">financed M&amp;As are negative and statistically significant. The results for </w:t>
      </w:r>
      <w:r w:rsidR="008F220A">
        <w:rPr>
          <w:color w:val="000000" w:themeColor="text1"/>
        </w:rPr>
        <w:t>A</w:t>
      </w:r>
      <w:r w:rsidRPr="00B33FA6">
        <w:rPr>
          <w:color w:val="000000" w:themeColor="text1"/>
        </w:rPr>
        <w:t xml:space="preserve">BHARs are similar to CAARs. As </w:t>
      </w:r>
      <w:r w:rsidR="007260FC">
        <w:rPr>
          <w:color w:val="000000" w:themeColor="text1"/>
        </w:rPr>
        <w:t>P</w:t>
      </w:r>
      <w:r w:rsidRPr="00B33FA6">
        <w:rPr>
          <w:color w:val="000000" w:themeColor="text1"/>
        </w:rPr>
        <w:t>anel D shows the ABHARs are higher for stock</w:t>
      </w:r>
      <w:r>
        <w:rPr>
          <w:color w:val="000000" w:themeColor="text1"/>
        </w:rPr>
        <w:t>-</w:t>
      </w:r>
      <w:r w:rsidRPr="00B33FA6">
        <w:rPr>
          <w:color w:val="000000" w:themeColor="text1"/>
        </w:rPr>
        <w:t>financed deals than for cash</w:t>
      </w:r>
      <w:r>
        <w:rPr>
          <w:color w:val="000000" w:themeColor="text1"/>
        </w:rPr>
        <w:t>-</w:t>
      </w:r>
      <w:r w:rsidRPr="00B33FA6">
        <w:rPr>
          <w:color w:val="000000" w:themeColor="text1"/>
        </w:rPr>
        <w:t xml:space="preserve">financed deals (-1.53% versus -2.88%) for ABHAR 12 and (-1.61% versus -2.91%) for ABHAR 24, although all the ABHARs are negative and statistically significant. These results support our hypotheses 3a and 3b that overconfident boards with ample internal resources use cash and earn lower announcement period abnormal returns </w:t>
      </w:r>
      <w:r w:rsidR="00B2238D">
        <w:rPr>
          <w:color w:val="000000" w:themeColor="text1"/>
        </w:rPr>
        <w:t xml:space="preserve">and poor post-merger return </w:t>
      </w:r>
      <w:r w:rsidRPr="00B33FA6">
        <w:rPr>
          <w:color w:val="000000" w:themeColor="text1"/>
        </w:rPr>
        <w:t>as these M&amp;As are driven by managerial hubris. These results</w:t>
      </w:r>
      <w:r w:rsidR="00DB3E7C">
        <w:rPr>
          <w:color w:val="000000" w:themeColor="text1"/>
        </w:rPr>
        <w:t xml:space="preserve"> are</w:t>
      </w:r>
      <w:r w:rsidRPr="00B33FA6">
        <w:rPr>
          <w:color w:val="000000" w:themeColor="text1"/>
        </w:rPr>
        <w:t xml:space="preserve"> consistent </w:t>
      </w:r>
      <w:r>
        <w:rPr>
          <w:color w:val="000000" w:themeColor="text1"/>
        </w:rPr>
        <w:t>with</w:t>
      </w:r>
      <w:r w:rsidRPr="00B33FA6">
        <w:rPr>
          <w:color w:val="000000" w:themeColor="text1"/>
        </w:rPr>
        <w:t xml:space="preserve"> the findings by </w:t>
      </w:r>
      <w:r w:rsidRPr="00B33FA6">
        <w:t xml:space="preserve">Brown </w:t>
      </w:r>
      <w:r>
        <w:t>and</w:t>
      </w:r>
      <w:r w:rsidRPr="00B33FA6">
        <w:t xml:space="preserve"> </w:t>
      </w:r>
      <w:proofErr w:type="spellStart"/>
      <w:r w:rsidRPr="00B33FA6">
        <w:t>Sarma</w:t>
      </w:r>
      <w:proofErr w:type="spellEnd"/>
      <w:r w:rsidRPr="00B33FA6">
        <w:t xml:space="preserve"> (2007)</w:t>
      </w:r>
      <w:r>
        <w:t>,</w:t>
      </w:r>
      <w:r w:rsidRPr="00B33FA6">
        <w:t xml:space="preserve"> </w:t>
      </w:r>
      <w:proofErr w:type="spellStart"/>
      <w:r w:rsidRPr="00B33FA6">
        <w:t>Malmendier</w:t>
      </w:r>
      <w:proofErr w:type="spellEnd"/>
      <w:r w:rsidRPr="00B33FA6">
        <w:t xml:space="preserve"> </w:t>
      </w:r>
      <w:r>
        <w:t>and</w:t>
      </w:r>
      <w:r w:rsidRPr="00B33FA6">
        <w:t xml:space="preserve"> Tate (2008) and </w:t>
      </w:r>
      <w:r w:rsidRPr="00B33FA6">
        <w:rPr>
          <w:color w:val="000000" w:themeColor="text1"/>
        </w:rPr>
        <w:t>Ferris</w:t>
      </w:r>
      <w:r w:rsidR="008F220A">
        <w:rPr>
          <w:color w:val="000000" w:themeColor="text1"/>
        </w:rPr>
        <w:t xml:space="preserve"> et al.</w:t>
      </w:r>
      <w:r w:rsidRPr="00B33FA6">
        <w:t xml:space="preserve"> </w:t>
      </w:r>
      <w:r w:rsidRPr="00B33FA6">
        <w:lastRenderedPageBreak/>
        <w:t>(2013).</w:t>
      </w:r>
      <w:r w:rsidR="00DA0F49">
        <w:t xml:space="preserve"> </w:t>
      </w:r>
      <w:r w:rsidR="00DA0F49" w:rsidRPr="00CE4B81">
        <w:t>However</w:t>
      </w:r>
      <w:r w:rsidR="00AF6382" w:rsidRPr="00CE4B81">
        <w:t>,</w:t>
      </w:r>
      <w:r w:rsidR="00DA0F49" w:rsidRPr="00CE4B81">
        <w:t xml:space="preserve"> our results are inconsistent with Loughran and </w:t>
      </w:r>
      <w:proofErr w:type="spellStart"/>
      <w:r w:rsidR="00DA0F49" w:rsidRPr="00CE4B81">
        <w:t>Vijh</w:t>
      </w:r>
      <w:proofErr w:type="spellEnd"/>
      <w:r w:rsidR="00DA0F49" w:rsidRPr="00CE4B81">
        <w:t xml:space="preserve"> (1997)</w:t>
      </w:r>
      <w:r w:rsidR="00AF6382" w:rsidRPr="00CE4B81">
        <w:t>, which is based on US data and they have reported that cash mergers generate positive returns and stock mergers generate negative returns in the post-merger period.</w:t>
      </w:r>
      <w:r w:rsidR="007260FC" w:rsidRPr="00CE4B81">
        <w:t xml:space="preserve"> The difference in results could be explained by differences in the M&amp;A markets in the US and the UK. As discussed before, in contrast to the US market, the vast majority of M&amp;A deals in the UK are private firms. Given that investors may have less information about private targets, they will react negatively when companies spend cash on such M&amp;A.</w:t>
      </w:r>
    </w:p>
    <w:p w14:paraId="79DDA53C" w14:textId="77777777" w:rsidR="008F220A" w:rsidRPr="001A41DA" w:rsidRDefault="008F220A" w:rsidP="001A41DA">
      <w:pPr>
        <w:spacing w:line="480" w:lineRule="auto"/>
        <w:jc w:val="both"/>
      </w:pPr>
    </w:p>
    <w:p w14:paraId="6C69E174" w14:textId="6BF1F7E2" w:rsidR="001A41DA" w:rsidRPr="00DB3E7C" w:rsidRDefault="001A41DA" w:rsidP="00DB3E7C">
      <w:pPr>
        <w:autoSpaceDE w:val="0"/>
        <w:autoSpaceDN w:val="0"/>
        <w:adjustRightInd w:val="0"/>
        <w:spacing w:line="480" w:lineRule="auto"/>
        <w:jc w:val="both"/>
      </w:pPr>
      <w:r w:rsidRPr="00B33FA6">
        <w:rPr>
          <w:color w:val="000000" w:themeColor="text1"/>
        </w:rPr>
        <w:t xml:space="preserve">Panel E of Table </w:t>
      </w:r>
      <w:r w:rsidR="00D45643">
        <w:rPr>
          <w:color w:val="000000" w:themeColor="text1"/>
        </w:rPr>
        <w:t>5</w:t>
      </w:r>
      <w:r w:rsidRPr="00B33FA6">
        <w:rPr>
          <w:color w:val="000000" w:themeColor="text1"/>
        </w:rPr>
        <w:t xml:space="preserve"> shows the short-term CAARs and 12</w:t>
      </w:r>
      <w:r w:rsidR="008F220A">
        <w:rPr>
          <w:color w:val="000000" w:themeColor="text1"/>
        </w:rPr>
        <w:t>-months</w:t>
      </w:r>
      <w:r w:rsidRPr="00B33FA6">
        <w:rPr>
          <w:color w:val="000000" w:themeColor="text1"/>
        </w:rPr>
        <w:t xml:space="preserve"> and 24</w:t>
      </w:r>
      <w:r w:rsidR="008F220A">
        <w:rPr>
          <w:color w:val="000000" w:themeColor="text1"/>
        </w:rPr>
        <w:t>-</w:t>
      </w:r>
      <w:r w:rsidRPr="00B33FA6">
        <w:rPr>
          <w:color w:val="000000" w:themeColor="text1"/>
        </w:rPr>
        <w:t>months ABHARs in terms of related and diversifying M&amp;A. The results show that acquirer CAARs for related M&amp;A are higher than diversifying M&amp;As (1.48% versus 1.27%) for the event window (-1, +1) and (1.56% versus 1.31%) for the event window (-2, +2). The results for long</w:t>
      </w:r>
      <w:r>
        <w:rPr>
          <w:color w:val="000000" w:themeColor="text1"/>
        </w:rPr>
        <w:t>-</w:t>
      </w:r>
      <w:r w:rsidRPr="00B33FA6">
        <w:rPr>
          <w:color w:val="000000" w:themeColor="text1"/>
        </w:rPr>
        <w:t xml:space="preserve">term </w:t>
      </w:r>
      <w:r w:rsidR="008F220A">
        <w:rPr>
          <w:color w:val="000000" w:themeColor="text1"/>
        </w:rPr>
        <w:t>A</w:t>
      </w:r>
      <w:r w:rsidRPr="00B33FA6">
        <w:rPr>
          <w:color w:val="000000" w:themeColor="text1"/>
        </w:rPr>
        <w:t xml:space="preserve">BHARs are similar to CAARs. As </w:t>
      </w:r>
      <w:r w:rsidR="007260FC">
        <w:rPr>
          <w:color w:val="000000" w:themeColor="text1"/>
        </w:rPr>
        <w:t>P</w:t>
      </w:r>
      <w:r w:rsidRPr="00B33FA6">
        <w:rPr>
          <w:color w:val="000000" w:themeColor="text1"/>
        </w:rPr>
        <w:t>anel E shows</w:t>
      </w:r>
      <w:r>
        <w:rPr>
          <w:color w:val="000000" w:themeColor="text1"/>
        </w:rPr>
        <w:t>,</w:t>
      </w:r>
      <w:r w:rsidRPr="00B33FA6">
        <w:rPr>
          <w:color w:val="000000" w:themeColor="text1"/>
        </w:rPr>
        <w:t xml:space="preserve"> the ABHARs are higher for related deals than for diversifying deals (-1.6% versus -3.1%) for ABHAR 12 and (-1.96% versus -3.17%) for ABHAR 24</w:t>
      </w:r>
      <w:r w:rsidR="008F220A">
        <w:rPr>
          <w:color w:val="000000" w:themeColor="text1"/>
        </w:rPr>
        <w:t xml:space="preserve"> and</w:t>
      </w:r>
      <w:r w:rsidRPr="00B33FA6">
        <w:rPr>
          <w:color w:val="000000" w:themeColor="text1"/>
        </w:rPr>
        <w:t xml:space="preserve"> all the ABHARs are negative and statistically significant. These results </w:t>
      </w:r>
      <w:r w:rsidR="007260FC">
        <w:rPr>
          <w:color w:val="000000" w:themeColor="text1"/>
        </w:rPr>
        <w:t>support</w:t>
      </w:r>
      <w:r w:rsidRPr="00B33FA6">
        <w:rPr>
          <w:color w:val="000000" w:themeColor="text1"/>
        </w:rPr>
        <w:t xml:space="preserve"> our </w:t>
      </w:r>
      <w:r w:rsidR="007260FC">
        <w:rPr>
          <w:color w:val="000000" w:themeColor="text1"/>
        </w:rPr>
        <w:t>H</w:t>
      </w:r>
      <w:r w:rsidRPr="00B33FA6">
        <w:rPr>
          <w:color w:val="000000" w:themeColor="text1"/>
        </w:rPr>
        <w:t xml:space="preserve">ypotheses 4a and 4b that overconfident boards engage in diversifying M&amp;As and that leads to lower shareholder wealth creation. These findings </w:t>
      </w:r>
      <w:r w:rsidR="007260FC">
        <w:rPr>
          <w:color w:val="000000" w:themeColor="text1"/>
        </w:rPr>
        <w:t>are consistent with</w:t>
      </w:r>
      <w:r w:rsidRPr="00B33FA6">
        <w:rPr>
          <w:color w:val="000000" w:themeColor="text1"/>
        </w:rPr>
        <w:t xml:space="preserve"> </w:t>
      </w:r>
      <w:proofErr w:type="spellStart"/>
      <w:r w:rsidRPr="00B33FA6">
        <w:rPr>
          <w:color w:val="000000" w:themeColor="text1"/>
        </w:rPr>
        <w:t>Morck</w:t>
      </w:r>
      <w:proofErr w:type="spellEnd"/>
      <w:r w:rsidR="008F220A">
        <w:rPr>
          <w:color w:val="000000" w:themeColor="text1"/>
        </w:rPr>
        <w:t xml:space="preserve"> et al.</w:t>
      </w:r>
      <w:r w:rsidRPr="00B33FA6">
        <w:t xml:space="preserve"> (1990), </w:t>
      </w:r>
      <w:r w:rsidRPr="00B33FA6">
        <w:rPr>
          <w:color w:val="000000" w:themeColor="text1"/>
        </w:rPr>
        <w:t>Ferris</w:t>
      </w:r>
      <w:r w:rsidR="008F220A">
        <w:rPr>
          <w:color w:val="000000" w:themeColor="text1"/>
        </w:rPr>
        <w:t xml:space="preserve"> et al.</w:t>
      </w:r>
      <w:r w:rsidRPr="00B33FA6">
        <w:t xml:space="preserve"> (2013) and Doukas </w:t>
      </w:r>
      <w:r>
        <w:t>and</w:t>
      </w:r>
      <w:r w:rsidRPr="00B33FA6">
        <w:t xml:space="preserve"> </w:t>
      </w:r>
      <w:proofErr w:type="spellStart"/>
      <w:r w:rsidRPr="00B33FA6">
        <w:t>Petmezas</w:t>
      </w:r>
      <w:proofErr w:type="spellEnd"/>
      <w:r w:rsidRPr="00B33FA6">
        <w:t xml:space="preserve"> (2007).</w:t>
      </w:r>
    </w:p>
    <w:p w14:paraId="34FB09EA" w14:textId="2C78EFDD" w:rsidR="001A41DA" w:rsidRPr="00B33FA6" w:rsidRDefault="001A41DA" w:rsidP="001A41DA">
      <w:pPr>
        <w:spacing w:line="480" w:lineRule="auto"/>
        <w:jc w:val="both"/>
        <w:rPr>
          <w:color w:val="000000" w:themeColor="text1"/>
        </w:rPr>
      </w:pPr>
      <w:r w:rsidRPr="00B33FA6">
        <w:rPr>
          <w:color w:val="000000" w:themeColor="text1"/>
        </w:rPr>
        <w:t xml:space="preserve">The announcement period results are shown in Table </w:t>
      </w:r>
      <w:r w:rsidR="00D45643">
        <w:rPr>
          <w:color w:val="000000" w:themeColor="text1"/>
        </w:rPr>
        <w:t>6</w:t>
      </w:r>
      <w:r w:rsidRPr="00B33FA6">
        <w:rPr>
          <w:color w:val="000000" w:themeColor="text1"/>
        </w:rPr>
        <w:t xml:space="preserve"> (Panel A) for multiple acquirers with a first deal and multiple acquirers with five or more deals across two short</w:t>
      </w:r>
      <w:r>
        <w:rPr>
          <w:color w:val="000000" w:themeColor="text1"/>
        </w:rPr>
        <w:t>-</w:t>
      </w:r>
      <w:r w:rsidRPr="00B33FA6">
        <w:rPr>
          <w:color w:val="000000" w:themeColor="text1"/>
        </w:rPr>
        <w:t>run announcement period event windows, i.e., CAAR (-1, +1) and CAAR (-2, +2). The results show that multiple acquirers’ first deal generate</w:t>
      </w:r>
      <w:r>
        <w:rPr>
          <w:color w:val="000000" w:themeColor="text1"/>
        </w:rPr>
        <w:t>s</w:t>
      </w:r>
      <w:r w:rsidRPr="00B33FA6">
        <w:rPr>
          <w:color w:val="000000" w:themeColor="text1"/>
        </w:rPr>
        <w:t xml:space="preserve"> higher returns than multiple acquirers with five or more deals across both the event windows and these results are significant at either 1% or 5% level. These results lend support to </w:t>
      </w:r>
      <w:r w:rsidR="007260FC">
        <w:rPr>
          <w:color w:val="000000" w:themeColor="text1"/>
        </w:rPr>
        <w:t>H</w:t>
      </w:r>
      <w:r w:rsidRPr="00B33FA6">
        <w:rPr>
          <w:color w:val="000000" w:themeColor="text1"/>
        </w:rPr>
        <w:t xml:space="preserve">ypothesis 2a that multiple acquisitions are driven by managerial </w:t>
      </w:r>
      <w:r w:rsidRPr="00B33FA6">
        <w:rPr>
          <w:color w:val="000000" w:themeColor="text1"/>
        </w:rPr>
        <w:lastRenderedPageBreak/>
        <w:t xml:space="preserve">overconfidence, emanating from self-attribution bias, which led to lower announcement period returns for multiple acquirers with first deals compared to five or more deals. These </w:t>
      </w:r>
      <w:r>
        <w:rPr>
          <w:color w:val="000000" w:themeColor="text1"/>
        </w:rPr>
        <w:t xml:space="preserve">results </w:t>
      </w:r>
      <w:r w:rsidR="007260FC">
        <w:rPr>
          <w:color w:val="000000" w:themeColor="text1"/>
        </w:rPr>
        <w:t>are consistent with the findings reported</w:t>
      </w:r>
      <w:r w:rsidRPr="00B33FA6">
        <w:rPr>
          <w:color w:val="000000" w:themeColor="text1"/>
        </w:rPr>
        <w:t xml:space="preserve"> by Doukas </w:t>
      </w:r>
      <w:r>
        <w:rPr>
          <w:color w:val="000000" w:themeColor="text1"/>
        </w:rPr>
        <w:t>and</w:t>
      </w:r>
      <w:r w:rsidRPr="00B33FA6">
        <w:rPr>
          <w:color w:val="000000" w:themeColor="text1"/>
        </w:rPr>
        <w:t xml:space="preserve"> </w:t>
      </w:r>
      <w:proofErr w:type="spellStart"/>
      <w:r w:rsidRPr="00B33FA6">
        <w:rPr>
          <w:color w:val="000000" w:themeColor="text1"/>
        </w:rPr>
        <w:t>Petmezas</w:t>
      </w:r>
      <w:proofErr w:type="spellEnd"/>
      <w:r w:rsidRPr="00B33FA6">
        <w:rPr>
          <w:color w:val="000000" w:themeColor="text1"/>
        </w:rPr>
        <w:t xml:space="preserve"> (2007) and Billet </w:t>
      </w:r>
      <w:r>
        <w:rPr>
          <w:color w:val="000000" w:themeColor="text1"/>
        </w:rPr>
        <w:t>and</w:t>
      </w:r>
      <w:r w:rsidRPr="00B33FA6">
        <w:rPr>
          <w:color w:val="000000" w:themeColor="text1"/>
        </w:rPr>
        <w:t xml:space="preserve"> Qian (2008). </w:t>
      </w:r>
    </w:p>
    <w:p w14:paraId="1DB829B5" w14:textId="77777777" w:rsidR="001A41DA" w:rsidRDefault="001A41DA" w:rsidP="00C427A4">
      <w:pPr>
        <w:spacing w:line="480" w:lineRule="auto"/>
        <w:jc w:val="both"/>
        <w:rPr>
          <w:color w:val="000000" w:themeColor="text1"/>
        </w:rPr>
      </w:pPr>
    </w:p>
    <w:p w14:paraId="3D24B41C" w14:textId="71B27C8E" w:rsidR="001A41DA" w:rsidRPr="00B33FA6" w:rsidRDefault="007260FC" w:rsidP="001A41DA">
      <w:pPr>
        <w:spacing w:line="480" w:lineRule="auto"/>
        <w:jc w:val="both"/>
        <w:rPr>
          <w:color w:val="000000" w:themeColor="text1"/>
        </w:rPr>
      </w:pPr>
      <w:r>
        <w:rPr>
          <w:color w:val="000000" w:themeColor="text1"/>
        </w:rPr>
        <w:t>Results for m</w:t>
      </w:r>
      <w:r w:rsidR="001A41DA" w:rsidRPr="00B33FA6">
        <w:rPr>
          <w:color w:val="000000" w:themeColor="text1"/>
        </w:rPr>
        <w:t>ultiple acquirers with first deals and multiple acquirers with five or more deals for post-merger BHARs a</w:t>
      </w:r>
      <w:r>
        <w:rPr>
          <w:color w:val="000000" w:themeColor="text1"/>
        </w:rPr>
        <w:t>re</w:t>
      </w:r>
      <w:r w:rsidR="001A41DA" w:rsidRPr="00B33FA6">
        <w:rPr>
          <w:color w:val="000000" w:themeColor="text1"/>
        </w:rPr>
        <w:t xml:space="preserve"> shown in Table </w:t>
      </w:r>
      <w:r w:rsidR="00D45643">
        <w:rPr>
          <w:color w:val="000000" w:themeColor="text1"/>
        </w:rPr>
        <w:t>6</w:t>
      </w:r>
      <w:r w:rsidR="001A41DA" w:rsidRPr="00B33FA6">
        <w:rPr>
          <w:color w:val="000000" w:themeColor="text1"/>
        </w:rPr>
        <w:t xml:space="preserve"> (Panel </w:t>
      </w:r>
      <w:r w:rsidR="00625E9D">
        <w:rPr>
          <w:color w:val="000000" w:themeColor="text1"/>
        </w:rPr>
        <w:t>B</w:t>
      </w:r>
      <w:r w:rsidR="001A41DA" w:rsidRPr="00B33FA6">
        <w:rPr>
          <w:color w:val="000000" w:themeColor="text1"/>
        </w:rPr>
        <w:t>)</w:t>
      </w:r>
      <w:r>
        <w:rPr>
          <w:color w:val="000000" w:themeColor="text1"/>
        </w:rPr>
        <w:t>. The BHARs in both cases are</w:t>
      </w:r>
      <w:r w:rsidR="001A41DA" w:rsidRPr="00B33FA6">
        <w:rPr>
          <w:color w:val="000000" w:themeColor="text1"/>
        </w:rPr>
        <w:t xml:space="preserve"> negative and significant at 1% level. This again supports the findings by Doukas </w:t>
      </w:r>
      <w:r w:rsidR="001A41DA">
        <w:rPr>
          <w:color w:val="000000" w:themeColor="text1"/>
        </w:rPr>
        <w:t>and</w:t>
      </w:r>
      <w:r w:rsidR="001A41DA" w:rsidRPr="00B33FA6">
        <w:rPr>
          <w:color w:val="000000" w:themeColor="text1"/>
        </w:rPr>
        <w:t xml:space="preserve"> </w:t>
      </w:r>
      <w:proofErr w:type="spellStart"/>
      <w:r w:rsidR="001A41DA" w:rsidRPr="00B33FA6">
        <w:rPr>
          <w:color w:val="000000" w:themeColor="text1"/>
        </w:rPr>
        <w:t>Petmezas</w:t>
      </w:r>
      <w:proofErr w:type="spellEnd"/>
      <w:r w:rsidR="001A41DA" w:rsidRPr="00B33FA6">
        <w:rPr>
          <w:color w:val="000000" w:themeColor="text1"/>
        </w:rPr>
        <w:t xml:space="preserve"> (2007). These </w:t>
      </w:r>
      <w:r>
        <w:rPr>
          <w:color w:val="000000" w:themeColor="text1"/>
        </w:rPr>
        <w:t>findings are consistent with H</w:t>
      </w:r>
      <w:r w:rsidR="001A41DA" w:rsidRPr="00B33FA6">
        <w:rPr>
          <w:color w:val="000000" w:themeColor="text1"/>
        </w:rPr>
        <w:t>ypothesis 2b</w:t>
      </w:r>
      <w:r>
        <w:rPr>
          <w:color w:val="000000" w:themeColor="text1"/>
        </w:rPr>
        <w:t xml:space="preserve"> which states</w:t>
      </w:r>
      <w:r w:rsidR="001A41DA" w:rsidRPr="00B33FA6">
        <w:rPr>
          <w:color w:val="000000" w:themeColor="text1"/>
        </w:rPr>
        <w:t xml:space="preserve"> that multiple acquirers engage in subsequent M&amp;A out of managerial overconfidence due to self-attribution bias and this leads to significant wealth losses. </w:t>
      </w:r>
    </w:p>
    <w:p w14:paraId="441E6838" w14:textId="441DF0FF" w:rsidR="001A41DA" w:rsidRPr="00B33FA6" w:rsidRDefault="001A41DA" w:rsidP="001A41DA">
      <w:pPr>
        <w:spacing w:line="480" w:lineRule="auto"/>
        <w:jc w:val="center"/>
        <w:rPr>
          <w:color w:val="000000" w:themeColor="text1"/>
        </w:rPr>
      </w:pPr>
      <w:r w:rsidRPr="00B33FA6">
        <w:rPr>
          <w:color w:val="000000" w:themeColor="text1"/>
        </w:rPr>
        <w:t xml:space="preserve">(Insert Table </w:t>
      </w:r>
      <w:r w:rsidR="00D45643">
        <w:rPr>
          <w:color w:val="000000" w:themeColor="text1"/>
        </w:rPr>
        <w:t>6</w:t>
      </w:r>
      <w:r w:rsidRPr="00B33FA6">
        <w:rPr>
          <w:color w:val="000000" w:themeColor="text1"/>
        </w:rPr>
        <w:t>)</w:t>
      </w:r>
    </w:p>
    <w:p w14:paraId="11C02E93" w14:textId="77777777" w:rsidR="001E46B4" w:rsidRDefault="001E46B4" w:rsidP="00C427A4">
      <w:pPr>
        <w:autoSpaceDE w:val="0"/>
        <w:autoSpaceDN w:val="0"/>
        <w:adjustRightInd w:val="0"/>
        <w:spacing w:line="480" w:lineRule="auto"/>
        <w:jc w:val="center"/>
        <w:rPr>
          <w:color w:val="000000" w:themeColor="text1"/>
        </w:rPr>
      </w:pPr>
    </w:p>
    <w:p w14:paraId="14C777C6" w14:textId="77777777" w:rsidR="001E46B4" w:rsidRPr="001A41DA" w:rsidRDefault="00095F34" w:rsidP="00C427A4">
      <w:pPr>
        <w:autoSpaceDE w:val="0"/>
        <w:autoSpaceDN w:val="0"/>
        <w:adjustRightInd w:val="0"/>
        <w:spacing w:line="480" w:lineRule="auto"/>
        <w:jc w:val="both"/>
        <w:rPr>
          <w:i/>
          <w:color w:val="000000" w:themeColor="text1"/>
        </w:rPr>
      </w:pPr>
      <w:r w:rsidRPr="001A41DA">
        <w:rPr>
          <w:b/>
          <w:i/>
          <w:color w:val="000000" w:themeColor="text1"/>
        </w:rPr>
        <w:t>5</w:t>
      </w:r>
      <w:r w:rsidR="001E46B4" w:rsidRPr="001A41DA">
        <w:rPr>
          <w:b/>
          <w:i/>
          <w:color w:val="000000" w:themeColor="text1"/>
        </w:rPr>
        <w:t xml:space="preserve">.2 </w:t>
      </w:r>
      <w:r w:rsidR="00DD50BD" w:rsidRPr="001A41DA">
        <w:rPr>
          <w:b/>
          <w:i/>
          <w:color w:val="000000" w:themeColor="text1"/>
        </w:rPr>
        <w:t>Multiple</w:t>
      </w:r>
      <w:r w:rsidR="001E46B4" w:rsidRPr="001A41DA">
        <w:rPr>
          <w:b/>
          <w:i/>
          <w:color w:val="000000" w:themeColor="text1"/>
        </w:rPr>
        <w:t xml:space="preserve"> regression results</w:t>
      </w:r>
    </w:p>
    <w:p w14:paraId="434AAD83" w14:textId="38E6FCBA" w:rsidR="00E03965" w:rsidRPr="00B33FA6" w:rsidRDefault="00E03965" w:rsidP="00E03965">
      <w:pPr>
        <w:autoSpaceDE w:val="0"/>
        <w:autoSpaceDN w:val="0"/>
        <w:adjustRightInd w:val="0"/>
        <w:spacing w:line="480" w:lineRule="auto"/>
        <w:jc w:val="both"/>
        <w:rPr>
          <w:color w:val="000000" w:themeColor="text1"/>
        </w:rPr>
      </w:pPr>
      <w:r w:rsidRPr="00B33FA6">
        <w:rPr>
          <w:color w:val="000000" w:themeColor="text1"/>
        </w:rPr>
        <w:t>Table 7 presents the results of the multiple regressions with short</w:t>
      </w:r>
      <w:r>
        <w:rPr>
          <w:color w:val="000000" w:themeColor="text1"/>
        </w:rPr>
        <w:t>-</w:t>
      </w:r>
      <w:r w:rsidRPr="00B33FA6">
        <w:rPr>
          <w:color w:val="000000" w:themeColor="text1"/>
        </w:rPr>
        <w:t>run CARs (-1, +1) and (-2, +2) and 12</w:t>
      </w:r>
      <w:r>
        <w:rPr>
          <w:color w:val="000000" w:themeColor="text1"/>
        </w:rPr>
        <w:t>-months</w:t>
      </w:r>
      <w:r w:rsidRPr="00B33FA6">
        <w:rPr>
          <w:color w:val="000000" w:themeColor="text1"/>
        </w:rPr>
        <w:t xml:space="preserve"> and 24</w:t>
      </w:r>
      <w:r>
        <w:rPr>
          <w:color w:val="000000" w:themeColor="text1"/>
        </w:rPr>
        <w:t>-</w:t>
      </w:r>
      <w:r w:rsidRPr="00B33FA6">
        <w:rPr>
          <w:color w:val="000000" w:themeColor="text1"/>
        </w:rPr>
        <w:t>months</w:t>
      </w:r>
      <w:r w:rsidRPr="00B33FA6">
        <w:rPr>
          <w:color w:val="C00000"/>
        </w:rPr>
        <w:t xml:space="preserve"> </w:t>
      </w:r>
      <w:r w:rsidRPr="00B33FA6">
        <w:rPr>
          <w:color w:val="000000" w:themeColor="text1"/>
        </w:rPr>
        <w:t xml:space="preserve">post-merger BHARs as dependent variables. The findings indicate that </w:t>
      </w:r>
      <w:r w:rsidR="007260FC">
        <w:rPr>
          <w:color w:val="000000" w:themeColor="text1"/>
        </w:rPr>
        <w:t xml:space="preserve">the </w:t>
      </w:r>
      <w:r w:rsidRPr="00B33FA6">
        <w:rPr>
          <w:color w:val="000000" w:themeColor="text1"/>
        </w:rPr>
        <w:t>coefficient</w:t>
      </w:r>
      <w:r w:rsidR="007D5CBF">
        <w:rPr>
          <w:color w:val="000000" w:themeColor="text1"/>
        </w:rPr>
        <w:t>s</w:t>
      </w:r>
      <w:r w:rsidRPr="00B33FA6">
        <w:rPr>
          <w:color w:val="000000" w:themeColor="text1"/>
        </w:rPr>
        <w:t xml:space="preserve"> of the independent variable, fraction of male directors, </w:t>
      </w:r>
      <w:r w:rsidR="007D5CBF">
        <w:rPr>
          <w:color w:val="000000" w:themeColor="text1"/>
        </w:rPr>
        <w:t>are</w:t>
      </w:r>
      <w:r w:rsidRPr="00B33FA6">
        <w:rPr>
          <w:color w:val="000000" w:themeColor="text1"/>
        </w:rPr>
        <w:t xml:space="preserve"> negative and </w:t>
      </w:r>
      <w:r w:rsidR="007260FC">
        <w:rPr>
          <w:color w:val="000000" w:themeColor="text1"/>
        </w:rPr>
        <w:t xml:space="preserve">statistically </w:t>
      </w:r>
      <w:r w:rsidRPr="00B33FA6">
        <w:rPr>
          <w:color w:val="000000" w:themeColor="text1"/>
        </w:rPr>
        <w:t>significant at 1% level for both short</w:t>
      </w:r>
      <w:r>
        <w:rPr>
          <w:color w:val="000000" w:themeColor="text1"/>
        </w:rPr>
        <w:t>-</w:t>
      </w:r>
      <w:r w:rsidRPr="00B33FA6">
        <w:rPr>
          <w:color w:val="000000" w:themeColor="text1"/>
        </w:rPr>
        <w:t>run event windows (-1, +1) and (-2, +2) and long</w:t>
      </w:r>
      <w:r>
        <w:rPr>
          <w:color w:val="000000" w:themeColor="text1"/>
        </w:rPr>
        <w:t>-</w:t>
      </w:r>
      <w:r w:rsidRPr="00B33FA6">
        <w:rPr>
          <w:color w:val="000000" w:themeColor="text1"/>
        </w:rPr>
        <w:t>run 12</w:t>
      </w:r>
      <w:r>
        <w:rPr>
          <w:color w:val="000000" w:themeColor="text1"/>
        </w:rPr>
        <w:t>-</w:t>
      </w:r>
      <w:r w:rsidR="008F220A">
        <w:rPr>
          <w:color w:val="000000" w:themeColor="text1"/>
        </w:rPr>
        <w:t>months</w:t>
      </w:r>
      <w:r>
        <w:rPr>
          <w:color w:val="000000" w:themeColor="text1"/>
        </w:rPr>
        <w:t xml:space="preserve"> and 24-months</w:t>
      </w:r>
      <w:r w:rsidRPr="00B33FA6">
        <w:rPr>
          <w:color w:val="000000" w:themeColor="text1"/>
        </w:rPr>
        <w:t xml:space="preserve"> post-merger BHARs. The</w:t>
      </w:r>
      <w:r w:rsidR="007260FC">
        <w:rPr>
          <w:color w:val="000000" w:themeColor="text1"/>
        </w:rPr>
        <w:t xml:space="preserve">se results confirm the findings </w:t>
      </w:r>
      <w:r w:rsidRPr="00B33FA6">
        <w:rPr>
          <w:color w:val="000000" w:themeColor="text1"/>
        </w:rPr>
        <w:t xml:space="preserve">of univariate analysis reported in </w:t>
      </w:r>
      <w:r>
        <w:rPr>
          <w:color w:val="000000" w:themeColor="text1"/>
        </w:rPr>
        <w:t>T</w:t>
      </w:r>
      <w:r w:rsidRPr="00B33FA6">
        <w:rPr>
          <w:color w:val="000000" w:themeColor="text1"/>
        </w:rPr>
        <w:t xml:space="preserve">able </w:t>
      </w:r>
      <w:r w:rsidR="00617023">
        <w:rPr>
          <w:color w:val="000000" w:themeColor="text1"/>
        </w:rPr>
        <w:t xml:space="preserve">5 </w:t>
      </w:r>
      <w:r w:rsidRPr="00B33FA6">
        <w:rPr>
          <w:color w:val="000000" w:themeColor="text1"/>
        </w:rPr>
        <w:t xml:space="preserve">and </w:t>
      </w:r>
      <w:r w:rsidR="007260FC">
        <w:rPr>
          <w:color w:val="000000" w:themeColor="text1"/>
        </w:rPr>
        <w:t>provide</w:t>
      </w:r>
      <w:r w:rsidRPr="00B33FA6">
        <w:rPr>
          <w:color w:val="000000" w:themeColor="text1"/>
        </w:rPr>
        <w:t xml:space="preserve"> support for the </w:t>
      </w:r>
      <w:r w:rsidR="007D5CBF">
        <w:rPr>
          <w:color w:val="000000" w:themeColor="text1"/>
        </w:rPr>
        <w:t>H</w:t>
      </w:r>
      <w:r w:rsidRPr="00B33FA6">
        <w:rPr>
          <w:color w:val="000000" w:themeColor="text1"/>
        </w:rPr>
        <w:t>ypothes</w:t>
      </w:r>
      <w:r w:rsidR="00625E9D">
        <w:rPr>
          <w:color w:val="000000" w:themeColor="text1"/>
        </w:rPr>
        <w:t>e</w:t>
      </w:r>
      <w:r w:rsidRPr="00B33FA6">
        <w:rPr>
          <w:color w:val="000000" w:themeColor="text1"/>
        </w:rPr>
        <w:t>s</w:t>
      </w:r>
      <w:r w:rsidR="00625E9D">
        <w:rPr>
          <w:color w:val="000000" w:themeColor="text1"/>
        </w:rPr>
        <w:t xml:space="preserve"> 1a and 1b</w:t>
      </w:r>
      <w:r w:rsidRPr="00B33FA6">
        <w:rPr>
          <w:color w:val="000000" w:themeColor="text1"/>
        </w:rPr>
        <w:t xml:space="preserve"> that </w:t>
      </w:r>
      <w:r>
        <w:rPr>
          <w:color w:val="000000" w:themeColor="text1"/>
        </w:rPr>
        <w:t xml:space="preserve">a </w:t>
      </w:r>
      <w:r w:rsidRPr="00B33FA6">
        <w:rPr>
          <w:color w:val="000000" w:themeColor="text1"/>
        </w:rPr>
        <w:t>greater fraction of male directors (i.e., overconfidence) generate</w:t>
      </w:r>
      <w:r>
        <w:rPr>
          <w:color w:val="000000" w:themeColor="text1"/>
        </w:rPr>
        <w:t>s</w:t>
      </w:r>
      <w:r w:rsidRPr="00B33FA6">
        <w:rPr>
          <w:color w:val="000000" w:themeColor="text1"/>
        </w:rPr>
        <w:t xml:space="preserve"> lower returns in the short </w:t>
      </w:r>
      <w:r w:rsidR="007260FC">
        <w:rPr>
          <w:color w:val="000000" w:themeColor="text1"/>
        </w:rPr>
        <w:t>as well as in</w:t>
      </w:r>
      <w:r w:rsidR="008F220A">
        <w:rPr>
          <w:color w:val="000000" w:themeColor="text1"/>
        </w:rPr>
        <w:t xml:space="preserve"> the </w:t>
      </w:r>
      <w:r w:rsidRPr="00B33FA6">
        <w:rPr>
          <w:color w:val="000000" w:themeColor="text1"/>
        </w:rPr>
        <w:t>long run. The coefficients of the multiple acquisitions (i.e., proxy for overconfidence) are negative and significant at 1% and 5% levels for short and long runs</w:t>
      </w:r>
      <w:r w:rsidR="007260FC">
        <w:rPr>
          <w:color w:val="000000" w:themeColor="text1"/>
        </w:rPr>
        <w:t xml:space="preserve"> </w:t>
      </w:r>
      <w:r w:rsidR="007260FC">
        <w:rPr>
          <w:color w:val="000000" w:themeColor="text1"/>
        </w:rPr>
        <w:lastRenderedPageBreak/>
        <w:t>respectively</w:t>
      </w:r>
      <w:r>
        <w:rPr>
          <w:color w:val="000000" w:themeColor="text1"/>
        </w:rPr>
        <w:t>,</w:t>
      </w:r>
      <w:r w:rsidRPr="00B33FA6">
        <w:rPr>
          <w:color w:val="000000" w:themeColor="text1"/>
        </w:rPr>
        <w:t xml:space="preserve"> suggesting that multiple acquisitions destroy firm value </w:t>
      </w:r>
      <w:r w:rsidR="007260FC">
        <w:rPr>
          <w:color w:val="000000" w:themeColor="text1"/>
        </w:rPr>
        <w:t>which</w:t>
      </w:r>
      <w:r>
        <w:rPr>
          <w:color w:val="000000" w:themeColor="text1"/>
        </w:rPr>
        <w:t xml:space="preserve"> is</w:t>
      </w:r>
      <w:r w:rsidRPr="00B33FA6">
        <w:rPr>
          <w:color w:val="000000" w:themeColor="text1"/>
        </w:rPr>
        <w:t xml:space="preserve"> consistent with </w:t>
      </w:r>
      <w:r>
        <w:rPr>
          <w:color w:val="000000" w:themeColor="text1"/>
        </w:rPr>
        <w:t xml:space="preserve">the </w:t>
      </w:r>
      <w:r w:rsidRPr="00B33FA6">
        <w:rPr>
          <w:color w:val="000000" w:themeColor="text1"/>
        </w:rPr>
        <w:t xml:space="preserve">managerial overconfidence hypothesis. </w:t>
      </w:r>
    </w:p>
    <w:p w14:paraId="22EF587A" w14:textId="77777777" w:rsidR="001C183C" w:rsidRDefault="001C183C" w:rsidP="00C427A4">
      <w:pPr>
        <w:autoSpaceDE w:val="0"/>
        <w:autoSpaceDN w:val="0"/>
        <w:adjustRightInd w:val="0"/>
        <w:spacing w:line="480" w:lineRule="auto"/>
        <w:jc w:val="both"/>
        <w:rPr>
          <w:color w:val="000000" w:themeColor="text1"/>
        </w:rPr>
      </w:pPr>
    </w:p>
    <w:p w14:paraId="53220AA6" w14:textId="3B05C321" w:rsidR="00E03965" w:rsidRDefault="00E03965" w:rsidP="00E03965">
      <w:pPr>
        <w:autoSpaceDE w:val="0"/>
        <w:autoSpaceDN w:val="0"/>
        <w:adjustRightInd w:val="0"/>
        <w:spacing w:line="480" w:lineRule="auto"/>
        <w:jc w:val="both"/>
        <w:rPr>
          <w:color w:val="000000" w:themeColor="text1"/>
        </w:rPr>
      </w:pPr>
      <w:r w:rsidRPr="00B33FA6">
        <w:rPr>
          <w:color w:val="000000" w:themeColor="text1"/>
        </w:rPr>
        <w:t xml:space="preserve">We carried out further analysis by incorporating the interaction term </w:t>
      </w:r>
      <w:r w:rsidR="007260FC">
        <w:rPr>
          <w:color w:val="000000" w:themeColor="text1"/>
        </w:rPr>
        <w:t xml:space="preserve">between the </w:t>
      </w:r>
      <w:r w:rsidRPr="00B33FA6">
        <w:rPr>
          <w:color w:val="000000" w:themeColor="text1"/>
        </w:rPr>
        <w:t>directors</w:t>
      </w:r>
      <w:r w:rsidR="007260FC">
        <w:rPr>
          <w:color w:val="000000" w:themeColor="text1"/>
        </w:rPr>
        <w:t xml:space="preserve"> and </w:t>
      </w:r>
      <w:r w:rsidRPr="00B33FA6">
        <w:rPr>
          <w:color w:val="000000" w:themeColor="text1"/>
        </w:rPr>
        <w:t>multiple acquisitions</w:t>
      </w:r>
      <w:r w:rsidR="007260FC">
        <w:rPr>
          <w:color w:val="000000" w:themeColor="text1"/>
        </w:rPr>
        <w:t xml:space="preserve"> (</w:t>
      </w:r>
      <w:r w:rsidR="007260FC" w:rsidRPr="008B6D10">
        <w:rPr>
          <w:i/>
          <w:color w:val="000000" w:themeColor="text1"/>
        </w:rPr>
        <w:t>fraction of male directors*multiple acquisitions</w:t>
      </w:r>
      <w:r w:rsidR="007260FC">
        <w:rPr>
          <w:color w:val="000000" w:themeColor="text1"/>
        </w:rPr>
        <w:t>). T</w:t>
      </w:r>
      <w:r w:rsidRPr="00B33FA6">
        <w:rPr>
          <w:color w:val="000000" w:themeColor="text1"/>
        </w:rPr>
        <w:t>he coefficients</w:t>
      </w:r>
      <w:r w:rsidR="007260FC">
        <w:rPr>
          <w:color w:val="000000" w:themeColor="text1"/>
        </w:rPr>
        <w:t xml:space="preserve"> for this interaction term</w:t>
      </w:r>
      <w:r w:rsidRPr="00B33FA6">
        <w:rPr>
          <w:color w:val="000000" w:themeColor="text1"/>
        </w:rPr>
        <w:t xml:space="preserve"> are negative and significant at </w:t>
      </w:r>
      <w:r>
        <w:rPr>
          <w:color w:val="000000" w:themeColor="text1"/>
        </w:rPr>
        <w:t xml:space="preserve">the </w:t>
      </w:r>
      <w:r w:rsidRPr="00B33FA6">
        <w:rPr>
          <w:color w:val="000000" w:themeColor="text1"/>
        </w:rPr>
        <w:t>5% level, as shown across all the panels, thus supporting our earlier findings.</w:t>
      </w:r>
    </w:p>
    <w:p w14:paraId="5BFF6356" w14:textId="77777777" w:rsidR="00E03965" w:rsidRPr="00B33FA6" w:rsidRDefault="00E03965" w:rsidP="00E03965">
      <w:pPr>
        <w:autoSpaceDE w:val="0"/>
        <w:autoSpaceDN w:val="0"/>
        <w:adjustRightInd w:val="0"/>
        <w:spacing w:line="480" w:lineRule="auto"/>
        <w:jc w:val="both"/>
        <w:rPr>
          <w:color w:val="000000" w:themeColor="text1"/>
        </w:rPr>
      </w:pPr>
    </w:p>
    <w:p w14:paraId="2237DDE8" w14:textId="77777777" w:rsidR="00387AE1" w:rsidRDefault="00E03965" w:rsidP="00387AE1">
      <w:pPr>
        <w:autoSpaceDE w:val="0"/>
        <w:autoSpaceDN w:val="0"/>
        <w:adjustRightInd w:val="0"/>
        <w:spacing w:line="480" w:lineRule="auto"/>
        <w:jc w:val="both"/>
        <w:rPr>
          <w:color w:val="000000" w:themeColor="text1"/>
        </w:rPr>
      </w:pPr>
      <w:r w:rsidRPr="00B33FA6">
        <w:rPr>
          <w:color w:val="000000" w:themeColor="text1"/>
        </w:rPr>
        <w:t>Cash</w:t>
      </w:r>
      <w:r>
        <w:rPr>
          <w:color w:val="000000" w:themeColor="text1"/>
        </w:rPr>
        <w:t>-</w:t>
      </w:r>
      <w:r w:rsidRPr="00B33FA6">
        <w:rPr>
          <w:color w:val="000000" w:themeColor="text1"/>
        </w:rPr>
        <w:t>financed acquirers generated wealth losses</w:t>
      </w:r>
      <w:r>
        <w:rPr>
          <w:color w:val="000000" w:themeColor="text1"/>
        </w:rPr>
        <w:t>,</w:t>
      </w:r>
      <w:r w:rsidRPr="00B33FA6">
        <w:rPr>
          <w:color w:val="000000" w:themeColor="text1"/>
        </w:rPr>
        <w:t xml:space="preserve"> as evidenced by the negative coefficients in the short</w:t>
      </w:r>
      <w:r>
        <w:rPr>
          <w:color w:val="000000" w:themeColor="text1"/>
        </w:rPr>
        <w:t xml:space="preserve"> </w:t>
      </w:r>
      <w:r w:rsidRPr="00B33FA6">
        <w:rPr>
          <w:color w:val="000000" w:themeColor="text1"/>
        </w:rPr>
        <w:t>run and long</w:t>
      </w:r>
      <w:r>
        <w:rPr>
          <w:color w:val="000000" w:themeColor="text1"/>
        </w:rPr>
        <w:t xml:space="preserve"> </w:t>
      </w:r>
      <w:r w:rsidRPr="00B33FA6">
        <w:rPr>
          <w:color w:val="000000" w:themeColor="text1"/>
        </w:rPr>
        <w:t xml:space="preserve">run. However, these are not statistically significant. The coefficients of related </w:t>
      </w:r>
      <w:r>
        <w:rPr>
          <w:color w:val="000000" w:themeColor="text1"/>
        </w:rPr>
        <w:t xml:space="preserve">deals </w:t>
      </w:r>
      <w:r w:rsidRPr="00B33FA6">
        <w:rPr>
          <w:color w:val="000000" w:themeColor="text1"/>
        </w:rPr>
        <w:t>are positive and significant at 5% and 1% levels respectively for short-run CAARs and long-run BHARs</w:t>
      </w:r>
      <w:r>
        <w:rPr>
          <w:color w:val="000000" w:themeColor="text1"/>
        </w:rPr>
        <w:t>,</w:t>
      </w:r>
      <w:r w:rsidRPr="00B33FA6">
        <w:rPr>
          <w:color w:val="000000" w:themeColor="text1"/>
        </w:rPr>
        <w:t xml:space="preserve"> confirming </w:t>
      </w:r>
      <w:r w:rsidR="007260FC">
        <w:rPr>
          <w:color w:val="000000" w:themeColor="text1"/>
        </w:rPr>
        <w:t>H</w:t>
      </w:r>
      <w:r w:rsidRPr="00B33FA6">
        <w:rPr>
          <w:color w:val="000000" w:themeColor="text1"/>
        </w:rPr>
        <w:t xml:space="preserve">ypotheses 4a and 4b </w:t>
      </w:r>
      <w:r w:rsidR="007260FC">
        <w:rPr>
          <w:color w:val="000000" w:themeColor="text1"/>
        </w:rPr>
        <w:t xml:space="preserve">which state </w:t>
      </w:r>
      <w:r w:rsidRPr="00B33FA6">
        <w:rPr>
          <w:color w:val="000000" w:themeColor="text1"/>
        </w:rPr>
        <w:t>that related deals are less value destructive in comparison to diversified deals.</w:t>
      </w:r>
    </w:p>
    <w:p w14:paraId="6039C673" w14:textId="5CE83CFB" w:rsidR="00387AE1" w:rsidRDefault="00657343" w:rsidP="00387AE1">
      <w:pPr>
        <w:autoSpaceDE w:val="0"/>
        <w:autoSpaceDN w:val="0"/>
        <w:adjustRightInd w:val="0"/>
        <w:spacing w:line="480" w:lineRule="auto"/>
        <w:jc w:val="center"/>
        <w:rPr>
          <w:color w:val="000000" w:themeColor="text1"/>
        </w:rPr>
      </w:pPr>
      <w:r>
        <w:rPr>
          <w:color w:val="000000" w:themeColor="text1"/>
        </w:rPr>
        <w:t xml:space="preserve">(Insert Table </w:t>
      </w:r>
      <w:r w:rsidR="00EB3ECB">
        <w:rPr>
          <w:color w:val="000000" w:themeColor="text1"/>
        </w:rPr>
        <w:t>7</w:t>
      </w:r>
      <w:r>
        <w:rPr>
          <w:color w:val="000000" w:themeColor="text1"/>
        </w:rPr>
        <w:t>)</w:t>
      </w:r>
    </w:p>
    <w:p w14:paraId="547848B7" w14:textId="77777777" w:rsidR="00387AE1" w:rsidRDefault="00387AE1" w:rsidP="00387AE1">
      <w:pPr>
        <w:autoSpaceDE w:val="0"/>
        <w:autoSpaceDN w:val="0"/>
        <w:adjustRightInd w:val="0"/>
        <w:spacing w:line="480" w:lineRule="auto"/>
        <w:jc w:val="center"/>
        <w:rPr>
          <w:color w:val="000000" w:themeColor="text1"/>
        </w:rPr>
      </w:pPr>
    </w:p>
    <w:p w14:paraId="05550F47" w14:textId="77777777" w:rsidR="001C5CC4" w:rsidRPr="00E03965" w:rsidRDefault="00095F34" w:rsidP="00C427A4">
      <w:pPr>
        <w:autoSpaceDE w:val="0"/>
        <w:autoSpaceDN w:val="0"/>
        <w:adjustRightInd w:val="0"/>
        <w:spacing w:line="480" w:lineRule="auto"/>
        <w:jc w:val="both"/>
        <w:rPr>
          <w:b/>
          <w:i/>
          <w:color w:val="000000" w:themeColor="text1"/>
        </w:rPr>
      </w:pPr>
      <w:r w:rsidRPr="00E03965">
        <w:rPr>
          <w:b/>
          <w:i/>
          <w:color w:val="000000" w:themeColor="text1"/>
        </w:rPr>
        <w:t>5</w:t>
      </w:r>
      <w:r w:rsidR="00657343" w:rsidRPr="00E03965">
        <w:rPr>
          <w:b/>
          <w:i/>
          <w:color w:val="000000" w:themeColor="text1"/>
        </w:rPr>
        <w:t>.3 Robustness tests</w:t>
      </w:r>
    </w:p>
    <w:p w14:paraId="2B37D00A" w14:textId="509996EA" w:rsidR="001C5CC4" w:rsidRPr="001C5CC4" w:rsidRDefault="001C5CC4" w:rsidP="00C427A4">
      <w:pPr>
        <w:autoSpaceDE w:val="0"/>
        <w:autoSpaceDN w:val="0"/>
        <w:adjustRightInd w:val="0"/>
        <w:spacing w:line="480" w:lineRule="auto"/>
        <w:jc w:val="both"/>
        <w:rPr>
          <w:color w:val="000000" w:themeColor="text1"/>
        </w:rPr>
      </w:pPr>
      <w:r>
        <w:rPr>
          <w:color w:val="000000" w:themeColor="text1"/>
        </w:rPr>
        <w:t xml:space="preserve">To test the robustness of long term BHARs we have conducted further regression using propensity score matched BHARs. The results are shown in Table 8. The regression results for the 12-months and 24-months propensity score matched BHARs as dependent variables are consistent </w:t>
      </w:r>
      <w:r w:rsidR="007260FC">
        <w:rPr>
          <w:color w:val="000000" w:themeColor="text1"/>
        </w:rPr>
        <w:t xml:space="preserve">with the main </w:t>
      </w:r>
      <w:r w:rsidR="00B2238D">
        <w:rPr>
          <w:color w:val="000000" w:themeColor="text1"/>
        </w:rPr>
        <w:t xml:space="preserve">regression </w:t>
      </w:r>
      <w:r w:rsidR="007260FC">
        <w:rPr>
          <w:color w:val="000000" w:themeColor="text1"/>
        </w:rPr>
        <w:t>results reported</w:t>
      </w:r>
      <w:r>
        <w:rPr>
          <w:color w:val="000000" w:themeColor="text1"/>
        </w:rPr>
        <w:t xml:space="preserve"> in Table 7.</w:t>
      </w:r>
    </w:p>
    <w:p w14:paraId="1734E0C8" w14:textId="77777777" w:rsidR="00657343" w:rsidRDefault="00657343" w:rsidP="00C427A4">
      <w:pPr>
        <w:autoSpaceDE w:val="0"/>
        <w:autoSpaceDN w:val="0"/>
        <w:adjustRightInd w:val="0"/>
        <w:spacing w:line="480" w:lineRule="auto"/>
        <w:jc w:val="both"/>
        <w:rPr>
          <w:color w:val="000000" w:themeColor="text1"/>
        </w:rPr>
      </w:pPr>
    </w:p>
    <w:p w14:paraId="62A027A1" w14:textId="77777777" w:rsidR="00C15C8E" w:rsidRDefault="00C15C8E" w:rsidP="00C427A4">
      <w:pPr>
        <w:autoSpaceDE w:val="0"/>
        <w:autoSpaceDN w:val="0"/>
        <w:adjustRightInd w:val="0"/>
        <w:spacing w:line="480" w:lineRule="auto"/>
        <w:jc w:val="center"/>
        <w:rPr>
          <w:color w:val="000000" w:themeColor="text1"/>
        </w:rPr>
      </w:pPr>
      <w:r>
        <w:rPr>
          <w:color w:val="000000" w:themeColor="text1"/>
        </w:rPr>
        <w:t xml:space="preserve">(Insert Table </w:t>
      </w:r>
      <w:r w:rsidR="00EB3ECB">
        <w:rPr>
          <w:color w:val="000000" w:themeColor="text1"/>
        </w:rPr>
        <w:t>8</w:t>
      </w:r>
      <w:r>
        <w:rPr>
          <w:color w:val="000000" w:themeColor="text1"/>
        </w:rPr>
        <w:t>)</w:t>
      </w:r>
    </w:p>
    <w:p w14:paraId="351D3690" w14:textId="77777777" w:rsidR="00E03965" w:rsidRPr="00B33FA6" w:rsidRDefault="00E03965" w:rsidP="00E03965">
      <w:pPr>
        <w:pStyle w:val="Heading1"/>
      </w:pPr>
      <w:r w:rsidRPr="00B33FA6">
        <w:lastRenderedPageBreak/>
        <w:t>Conclusion</w:t>
      </w:r>
    </w:p>
    <w:p w14:paraId="3CC2FB71" w14:textId="18FE249B" w:rsidR="00E03965" w:rsidRPr="00B33FA6" w:rsidRDefault="00E03965" w:rsidP="00E03965">
      <w:pPr>
        <w:autoSpaceDE w:val="0"/>
        <w:autoSpaceDN w:val="0"/>
        <w:adjustRightInd w:val="0"/>
        <w:spacing w:line="480" w:lineRule="auto"/>
        <w:jc w:val="both"/>
        <w:rPr>
          <w:color w:val="000000" w:themeColor="text1"/>
        </w:rPr>
      </w:pPr>
      <w:r w:rsidRPr="00B33FA6">
        <w:rPr>
          <w:color w:val="000000" w:themeColor="text1"/>
        </w:rPr>
        <w:t xml:space="preserve">This study provides </w:t>
      </w:r>
      <w:r>
        <w:rPr>
          <w:color w:val="000000" w:themeColor="text1"/>
        </w:rPr>
        <w:t xml:space="preserve">new evidence on the </w:t>
      </w:r>
      <w:r w:rsidR="007260FC">
        <w:rPr>
          <w:color w:val="000000" w:themeColor="text1"/>
        </w:rPr>
        <w:t>implications</w:t>
      </w:r>
      <w:r>
        <w:rPr>
          <w:color w:val="000000" w:themeColor="text1"/>
        </w:rPr>
        <w:t xml:space="preserve"> of managerial overconfidence </w:t>
      </w:r>
      <w:r w:rsidR="007260FC">
        <w:rPr>
          <w:color w:val="000000" w:themeColor="text1"/>
        </w:rPr>
        <w:t>for</w:t>
      </w:r>
      <w:r>
        <w:rPr>
          <w:color w:val="000000" w:themeColor="text1"/>
        </w:rPr>
        <w:t xml:space="preserve"> M&amp;A performance. </w:t>
      </w:r>
      <w:r w:rsidRPr="00B33FA6">
        <w:rPr>
          <w:color w:val="000000" w:themeColor="text1"/>
        </w:rPr>
        <w:t xml:space="preserve">Using three measures of overconfidence, namely, fraction of male directors, </w:t>
      </w:r>
      <w:r w:rsidRPr="006C1923">
        <w:rPr>
          <w:color w:val="000000" w:themeColor="text1"/>
        </w:rPr>
        <w:t>multiple acquisitions and merger characteristic</w:t>
      </w:r>
      <w:r>
        <w:rPr>
          <w:color w:val="000000" w:themeColor="text1"/>
        </w:rPr>
        <w:t>s</w:t>
      </w:r>
      <w:r w:rsidR="008F220A">
        <w:rPr>
          <w:color w:val="000000" w:themeColor="text1"/>
        </w:rPr>
        <w:t>, the</w:t>
      </w:r>
      <w:r w:rsidRPr="00B33FA6">
        <w:rPr>
          <w:color w:val="000000" w:themeColor="text1"/>
        </w:rPr>
        <w:t xml:space="preserve"> results</w:t>
      </w:r>
      <w:r>
        <w:rPr>
          <w:color w:val="000000" w:themeColor="text1"/>
        </w:rPr>
        <w:t xml:space="preserve"> of the study</w:t>
      </w:r>
      <w:r w:rsidRPr="00B33FA6">
        <w:rPr>
          <w:color w:val="000000" w:themeColor="text1"/>
        </w:rPr>
        <w:t xml:space="preserve"> show that managerial overconfidence </w:t>
      </w:r>
      <w:r>
        <w:rPr>
          <w:color w:val="000000" w:themeColor="text1"/>
        </w:rPr>
        <w:t>has a</w:t>
      </w:r>
      <w:r w:rsidRPr="00B33FA6">
        <w:rPr>
          <w:color w:val="000000" w:themeColor="text1"/>
        </w:rPr>
        <w:t xml:space="preserve"> significant harmful impact on M&amp;A </w:t>
      </w:r>
      <w:r>
        <w:rPr>
          <w:color w:val="000000" w:themeColor="text1"/>
        </w:rPr>
        <w:t>with regard to</w:t>
      </w:r>
      <w:r w:rsidRPr="00B33FA6">
        <w:rPr>
          <w:color w:val="000000" w:themeColor="text1"/>
        </w:rPr>
        <w:t xml:space="preserve"> shareholder</w:t>
      </w:r>
      <w:r w:rsidR="007260FC">
        <w:rPr>
          <w:color w:val="000000" w:themeColor="text1"/>
        </w:rPr>
        <w:t>s’</w:t>
      </w:r>
      <w:r w:rsidRPr="00B33FA6">
        <w:rPr>
          <w:color w:val="000000" w:themeColor="text1"/>
        </w:rPr>
        <w:t xml:space="preserve"> wealth creation. </w:t>
      </w:r>
    </w:p>
    <w:p w14:paraId="1F3502AF" w14:textId="77777777" w:rsidR="001F24F2" w:rsidRDefault="001F24F2" w:rsidP="00C427A4">
      <w:pPr>
        <w:autoSpaceDE w:val="0"/>
        <w:autoSpaceDN w:val="0"/>
        <w:adjustRightInd w:val="0"/>
        <w:spacing w:line="480" w:lineRule="auto"/>
        <w:jc w:val="both"/>
        <w:rPr>
          <w:color w:val="000000" w:themeColor="text1"/>
        </w:rPr>
      </w:pPr>
    </w:p>
    <w:p w14:paraId="4FB4A4E0" w14:textId="63835500" w:rsidR="00E03965" w:rsidRDefault="00E03965" w:rsidP="00E03965">
      <w:pPr>
        <w:autoSpaceDE w:val="0"/>
        <w:autoSpaceDN w:val="0"/>
        <w:adjustRightInd w:val="0"/>
        <w:spacing w:line="480" w:lineRule="auto"/>
        <w:jc w:val="both"/>
        <w:rPr>
          <w:color w:val="000000" w:themeColor="text1"/>
        </w:rPr>
      </w:pPr>
      <w:r w:rsidRPr="00B33FA6">
        <w:rPr>
          <w:color w:val="000000" w:themeColor="text1"/>
        </w:rPr>
        <w:t>In relation to our first measure of overconfidence, i.e., the fraction of male directors, the results indicate that short</w:t>
      </w:r>
      <w:r>
        <w:rPr>
          <w:color w:val="000000" w:themeColor="text1"/>
        </w:rPr>
        <w:t>-</w:t>
      </w:r>
      <w:r w:rsidRPr="00B33FA6">
        <w:rPr>
          <w:color w:val="000000" w:themeColor="text1"/>
        </w:rPr>
        <w:t>run CAARs are lower for acquirer firms with a higher fraction of male directors.</w:t>
      </w:r>
      <w:r>
        <w:rPr>
          <w:color w:val="000000" w:themeColor="text1"/>
        </w:rPr>
        <w:t xml:space="preserve"> Similarly, r</w:t>
      </w:r>
      <w:r w:rsidRPr="00B33FA6">
        <w:rPr>
          <w:color w:val="000000" w:themeColor="text1"/>
        </w:rPr>
        <w:t>esults</w:t>
      </w:r>
      <w:r>
        <w:rPr>
          <w:color w:val="000000" w:themeColor="text1"/>
        </w:rPr>
        <w:t xml:space="preserve"> of the study also show that </w:t>
      </w:r>
      <w:r w:rsidRPr="00066F89">
        <w:rPr>
          <w:color w:val="000000" w:themeColor="text1"/>
        </w:rPr>
        <w:t xml:space="preserve">firms with a higher fraction of male directors </w:t>
      </w:r>
      <w:r>
        <w:rPr>
          <w:color w:val="000000" w:themeColor="text1"/>
        </w:rPr>
        <w:t>demonstrate poor</w:t>
      </w:r>
      <w:r w:rsidRPr="00B33FA6">
        <w:rPr>
          <w:color w:val="000000" w:themeColor="text1"/>
        </w:rPr>
        <w:t xml:space="preserve"> post-merger performance</w:t>
      </w:r>
      <w:r>
        <w:rPr>
          <w:color w:val="000000" w:themeColor="text1"/>
        </w:rPr>
        <w:t xml:space="preserve">. This finding extends the existing literature by providing a new measure of overconfidence and implies that boards dominated by male </w:t>
      </w:r>
      <w:r w:rsidR="002376CE">
        <w:rPr>
          <w:color w:val="000000" w:themeColor="text1"/>
        </w:rPr>
        <w:t>directors tend to</w:t>
      </w:r>
      <w:r>
        <w:rPr>
          <w:color w:val="000000" w:themeColor="text1"/>
        </w:rPr>
        <w:t xml:space="preserve"> exhibit overconfidence. Moreover, these overconfident boards are involved in value destroying M&amp;A. We argue that </w:t>
      </w:r>
      <w:r w:rsidRPr="00B33FA6">
        <w:rPr>
          <w:color w:val="000000" w:themeColor="text1"/>
        </w:rPr>
        <w:t>policy makers should take</w:t>
      </w:r>
      <w:r>
        <w:rPr>
          <w:color w:val="000000" w:themeColor="text1"/>
        </w:rPr>
        <w:t xml:space="preserve"> the number of male directors</w:t>
      </w:r>
      <w:r w:rsidRPr="00B33FA6">
        <w:rPr>
          <w:color w:val="000000" w:themeColor="text1"/>
        </w:rPr>
        <w:t xml:space="preserve"> into account in reforming corporate governance codes</w:t>
      </w:r>
      <w:r>
        <w:rPr>
          <w:color w:val="000000" w:themeColor="text1"/>
        </w:rPr>
        <w:t xml:space="preserve"> in the context of M&amp;A</w:t>
      </w:r>
      <w:r w:rsidRPr="00B33FA6">
        <w:rPr>
          <w:color w:val="000000" w:themeColor="text1"/>
        </w:rPr>
        <w:t>.</w:t>
      </w:r>
    </w:p>
    <w:p w14:paraId="60261325" w14:textId="77777777" w:rsidR="00E03965" w:rsidRDefault="00E03965" w:rsidP="00E03965">
      <w:pPr>
        <w:autoSpaceDE w:val="0"/>
        <w:autoSpaceDN w:val="0"/>
        <w:adjustRightInd w:val="0"/>
        <w:spacing w:line="480" w:lineRule="auto"/>
        <w:jc w:val="both"/>
        <w:rPr>
          <w:color w:val="000000" w:themeColor="text1"/>
        </w:rPr>
      </w:pPr>
    </w:p>
    <w:p w14:paraId="2FB95041" w14:textId="585AD16B" w:rsidR="00E03965" w:rsidRDefault="00E03965" w:rsidP="00E03965">
      <w:pPr>
        <w:autoSpaceDE w:val="0"/>
        <w:autoSpaceDN w:val="0"/>
        <w:adjustRightInd w:val="0"/>
        <w:spacing w:line="480" w:lineRule="auto"/>
        <w:jc w:val="both"/>
        <w:rPr>
          <w:color w:val="000000" w:themeColor="text1"/>
        </w:rPr>
      </w:pPr>
      <w:r>
        <w:rPr>
          <w:color w:val="000000" w:themeColor="text1"/>
        </w:rPr>
        <w:t>With regard to o</w:t>
      </w:r>
      <w:r w:rsidRPr="00B33FA6">
        <w:rPr>
          <w:color w:val="000000" w:themeColor="text1"/>
        </w:rPr>
        <w:t>ur second measure of managerial overconfidence</w:t>
      </w:r>
      <w:r w:rsidR="002376CE">
        <w:rPr>
          <w:color w:val="000000" w:themeColor="text1"/>
        </w:rPr>
        <w:t>, which</w:t>
      </w:r>
      <w:r w:rsidRPr="00B33FA6">
        <w:rPr>
          <w:color w:val="000000" w:themeColor="text1"/>
        </w:rPr>
        <w:t xml:space="preserve"> is multiple acquisitions</w:t>
      </w:r>
      <w:r>
        <w:rPr>
          <w:color w:val="000000" w:themeColor="text1"/>
        </w:rPr>
        <w:t xml:space="preserve">, </w:t>
      </w:r>
      <w:r w:rsidRPr="00B33FA6">
        <w:rPr>
          <w:color w:val="000000" w:themeColor="text1"/>
        </w:rPr>
        <w:t xml:space="preserve">results </w:t>
      </w:r>
      <w:r>
        <w:rPr>
          <w:color w:val="000000" w:themeColor="text1"/>
        </w:rPr>
        <w:t xml:space="preserve">of this study </w:t>
      </w:r>
      <w:r w:rsidRPr="00B33FA6">
        <w:rPr>
          <w:color w:val="000000" w:themeColor="text1"/>
        </w:rPr>
        <w:t>indicate that multiple acqui</w:t>
      </w:r>
      <w:r>
        <w:rPr>
          <w:color w:val="000000" w:themeColor="text1"/>
        </w:rPr>
        <w:t>sitions</w:t>
      </w:r>
      <w:r w:rsidRPr="00B33FA6">
        <w:rPr>
          <w:color w:val="000000" w:themeColor="text1"/>
        </w:rPr>
        <w:t xml:space="preserve"> generate lower CAARs than single acquisitions. </w:t>
      </w:r>
      <w:r>
        <w:rPr>
          <w:color w:val="000000" w:themeColor="text1"/>
        </w:rPr>
        <w:t>It is argued that this can be attributed</w:t>
      </w:r>
      <w:r w:rsidRPr="00B33FA6">
        <w:rPr>
          <w:color w:val="000000" w:themeColor="text1"/>
        </w:rPr>
        <w:t xml:space="preserve"> to self-attribution bias, i.e., managers tend to be overconfident after succeeding in the first deals and hence engage in multiple acquisitions that lead to poor performance in subsequent periods. </w:t>
      </w:r>
    </w:p>
    <w:p w14:paraId="734890F9" w14:textId="77777777" w:rsidR="00E03965" w:rsidRPr="00B33FA6" w:rsidRDefault="00E03965" w:rsidP="00E03965">
      <w:pPr>
        <w:autoSpaceDE w:val="0"/>
        <w:autoSpaceDN w:val="0"/>
        <w:adjustRightInd w:val="0"/>
        <w:spacing w:line="480" w:lineRule="auto"/>
        <w:jc w:val="both"/>
        <w:rPr>
          <w:color w:val="000000" w:themeColor="text1"/>
        </w:rPr>
      </w:pPr>
    </w:p>
    <w:p w14:paraId="41EE859C" w14:textId="779CC43C" w:rsidR="00A30501" w:rsidRDefault="00E03965" w:rsidP="00C427A4">
      <w:pPr>
        <w:spacing w:line="480" w:lineRule="auto"/>
        <w:jc w:val="both"/>
        <w:rPr>
          <w:color w:val="000000" w:themeColor="text1"/>
        </w:rPr>
      </w:pPr>
      <w:r>
        <w:rPr>
          <w:color w:val="000000" w:themeColor="text1"/>
        </w:rPr>
        <w:t>Finally, this study finds that o</w:t>
      </w:r>
      <w:r w:rsidRPr="00B33FA6">
        <w:rPr>
          <w:color w:val="000000" w:themeColor="text1"/>
        </w:rPr>
        <w:t xml:space="preserve">verconfident managers with abundant internal resources use cash as the method of payment. </w:t>
      </w:r>
      <w:r w:rsidR="007260FC">
        <w:rPr>
          <w:color w:val="000000" w:themeColor="text1"/>
        </w:rPr>
        <w:t>Such</w:t>
      </w:r>
      <w:r w:rsidRPr="00B33FA6">
        <w:rPr>
          <w:color w:val="000000" w:themeColor="text1"/>
        </w:rPr>
        <w:t xml:space="preserve"> cash</w:t>
      </w:r>
      <w:r>
        <w:rPr>
          <w:color w:val="000000" w:themeColor="text1"/>
        </w:rPr>
        <w:t>-</w:t>
      </w:r>
      <w:r w:rsidRPr="00B33FA6">
        <w:rPr>
          <w:color w:val="000000" w:themeColor="text1"/>
        </w:rPr>
        <w:t xml:space="preserve">financed M&amp;As earn lower CAARs in comparison to </w:t>
      </w:r>
      <w:r w:rsidRPr="00B33FA6">
        <w:rPr>
          <w:color w:val="000000" w:themeColor="text1"/>
        </w:rPr>
        <w:lastRenderedPageBreak/>
        <w:t>stock</w:t>
      </w:r>
      <w:r>
        <w:rPr>
          <w:color w:val="000000" w:themeColor="text1"/>
        </w:rPr>
        <w:t>-financed</w:t>
      </w:r>
      <w:r w:rsidRPr="00B33FA6">
        <w:rPr>
          <w:color w:val="000000" w:themeColor="text1"/>
        </w:rPr>
        <w:t xml:space="preserve"> M&amp;As</w:t>
      </w:r>
      <w:r>
        <w:rPr>
          <w:color w:val="000000" w:themeColor="text1"/>
        </w:rPr>
        <w:t xml:space="preserve"> and such deals also demonstrate greater post-merger wealth losses</w:t>
      </w:r>
      <w:r w:rsidRPr="00B33FA6">
        <w:rPr>
          <w:color w:val="000000" w:themeColor="text1"/>
        </w:rPr>
        <w:t xml:space="preserve">. </w:t>
      </w:r>
      <w:r>
        <w:rPr>
          <w:color w:val="000000" w:themeColor="text1"/>
        </w:rPr>
        <w:t xml:space="preserve"> Therefore, we argue that the method of payment in an overconfident board could be an indicator of M&amp;A performance. With this in mind, policy makers and shareholders of acquiring firms should give due consideration to how M&amp;A is paid for in the case of overconfident boards as it has important implications for post-merger shareholders’ wealth. In addition to this,</w:t>
      </w:r>
      <w:r w:rsidRPr="00B33FA6">
        <w:rPr>
          <w:color w:val="000000" w:themeColor="text1"/>
        </w:rPr>
        <w:t xml:space="preserve"> results </w:t>
      </w:r>
      <w:r>
        <w:rPr>
          <w:color w:val="000000" w:themeColor="text1"/>
        </w:rPr>
        <w:t xml:space="preserve">of this study </w:t>
      </w:r>
      <w:r w:rsidRPr="00B33FA6">
        <w:rPr>
          <w:color w:val="000000" w:themeColor="text1"/>
        </w:rPr>
        <w:t xml:space="preserve">also indicate that overconfident managers conduct diversifying acquisitions where they rely more on their own judgement of potential synergies from M&amp;A. </w:t>
      </w:r>
      <w:r>
        <w:rPr>
          <w:color w:val="000000" w:themeColor="text1"/>
        </w:rPr>
        <w:t>However, such a behaviour leads to higher</w:t>
      </w:r>
      <w:r w:rsidRPr="00B33FA6">
        <w:rPr>
          <w:color w:val="000000" w:themeColor="text1"/>
        </w:rPr>
        <w:t xml:space="preserve"> wealth losses in the long run.</w:t>
      </w:r>
    </w:p>
    <w:p w14:paraId="6A447F53" w14:textId="77777777" w:rsidR="00625E9D" w:rsidRDefault="00625E9D" w:rsidP="00C427A4">
      <w:pPr>
        <w:spacing w:line="480" w:lineRule="auto"/>
        <w:jc w:val="both"/>
        <w:rPr>
          <w:b/>
          <w:color w:val="000000" w:themeColor="text1"/>
        </w:rPr>
      </w:pPr>
    </w:p>
    <w:p w14:paraId="768893E6" w14:textId="053F58F6" w:rsidR="000D63CB" w:rsidRDefault="00492590" w:rsidP="00C427A4">
      <w:pPr>
        <w:spacing w:line="480" w:lineRule="auto"/>
        <w:jc w:val="both"/>
        <w:rPr>
          <w:color w:val="000000" w:themeColor="text1"/>
        </w:rPr>
      </w:pPr>
      <w:r w:rsidRPr="00492590">
        <w:rPr>
          <w:b/>
          <w:color w:val="000000" w:themeColor="text1"/>
        </w:rPr>
        <w:t>Data availability:</w:t>
      </w:r>
      <w:r>
        <w:rPr>
          <w:color w:val="000000" w:themeColor="text1"/>
        </w:rPr>
        <w:t xml:space="preserve"> </w:t>
      </w:r>
    </w:p>
    <w:p w14:paraId="1A9521A3" w14:textId="60D58890" w:rsidR="0009120B" w:rsidRPr="00625E9D" w:rsidRDefault="00492590" w:rsidP="00625E9D">
      <w:pPr>
        <w:spacing w:line="480" w:lineRule="auto"/>
        <w:jc w:val="both"/>
        <w:rPr>
          <w:color w:val="000000" w:themeColor="text1"/>
        </w:rPr>
      </w:pPr>
      <w:r w:rsidRPr="00492590">
        <w:t xml:space="preserve">The data that support the findings of this study are available from the corresponding author, upon reasonable request. </w:t>
      </w:r>
      <w:r>
        <w:rPr>
          <w:color w:val="000000" w:themeColor="text1"/>
        </w:rPr>
        <w:t>The data o</w:t>
      </w:r>
      <w:r w:rsidR="001A3F47">
        <w:rPr>
          <w:color w:val="000000" w:themeColor="text1"/>
        </w:rPr>
        <w:t>n</w:t>
      </w:r>
      <w:r>
        <w:rPr>
          <w:color w:val="000000" w:themeColor="text1"/>
        </w:rPr>
        <w:t xml:space="preserve"> </w:t>
      </w:r>
      <w:r w:rsidR="001A3F47">
        <w:rPr>
          <w:color w:val="000000" w:themeColor="text1"/>
        </w:rPr>
        <w:t>M&amp;A</w:t>
      </w:r>
      <w:r>
        <w:rPr>
          <w:color w:val="000000" w:themeColor="text1"/>
        </w:rPr>
        <w:t xml:space="preserve"> and merger characteristics have been obtained from </w:t>
      </w:r>
      <w:r w:rsidR="001A3F47">
        <w:rPr>
          <w:color w:val="000000" w:themeColor="text1"/>
        </w:rPr>
        <w:t xml:space="preserve">the </w:t>
      </w:r>
      <w:r>
        <w:rPr>
          <w:color w:val="000000" w:themeColor="text1"/>
        </w:rPr>
        <w:t xml:space="preserve">SDC database. All other data on share price and firm characteristics have been collected from </w:t>
      </w:r>
      <w:proofErr w:type="spellStart"/>
      <w:r>
        <w:rPr>
          <w:color w:val="000000" w:themeColor="text1"/>
        </w:rPr>
        <w:t>Datastream</w:t>
      </w:r>
      <w:proofErr w:type="spellEnd"/>
      <w:r>
        <w:rPr>
          <w:color w:val="000000" w:themeColor="text1"/>
        </w:rPr>
        <w:t>.</w:t>
      </w:r>
    </w:p>
    <w:p w14:paraId="14DD457B" w14:textId="77777777" w:rsidR="00387AE1" w:rsidRDefault="00387AE1" w:rsidP="0009120B">
      <w:pPr>
        <w:autoSpaceDE w:val="0"/>
        <w:autoSpaceDN w:val="0"/>
        <w:adjustRightInd w:val="0"/>
        <w:jc w:val="both"/>
        <w:rPr>
          <w:b/>
          <w:color w:val="FF0000"/>
        </w:rPr>
      </w:pPr>
    </w:p>
    <w:p w14:paraId="2A6A4AE8" w14:textId="77777777" w:rsidR="001C05AC" w:rsidRPr="00D32543" w:rsidRDefault="001C05AC" w:rsidP="001C05AC">
      <w:pPr>
        <w:autoSpaceDE w:val="0"/>
        <w:autoSpaceDN w:val="0"/>
        <w:adjustRightInd w:val="0"/>
        <w:jc w:val="both"/>
        <w:rPr>
          <w:b/>
          <w:color w:val="000000" w:themeColor="text1"/>
        </w:rPr>
      </w:pPr>
      <w:r w:rsidRPr="00D32543">
        <w:rPr>
          <w:b/>
          <w:color w:val="000000" w:themeColor="text1"/>
        </w:rPr>
        <w:t>References:</w:t>
      </w:r>
    </w:p>
    <w:p w14:paraId="4AC8643F" w14:textId="77777777" w:rsidR="001C05AC" w:rsidRPr="003811E1" w:rsidRDefault="001C05AC" w:rsidP="001C05AC">
      <w:pPr>
        <w:autoSpaceDE w:val="0"/>
        <w:autoSpaceDN w:val="0"/>
        <w:adjustRightInd w:val="0"/>
        <w:jc w:val="both"/>
        <w:rPr>
          <w:b/>
          <w:color w:val="FF0000"/>
        </w:rPr>
      </w:pPr>
    </w:p>
    <w:p w14:paraId="04BAA70C" w14:textId="77777777" w:rsidR="001C05AC" w:rsidRPr="00902166" w:rsidRDefault="001C05AC" w:rsidP="001C05AC">
      <w:pPr>
        <w:jc w:val="both"/>
        <w:rPr>
          <w:color w:val="000000" w:themeColor="text1"/>
        </w:rPr>
      </w:pPr>
      <w:r w:rsidRPr="00902166">
        <w:rPr>
          <w:color w:val="000000" w:themeColor="text1"/>
        </w:rPr>
        <w:t xml:space="preserve">Adams RB, Ferreira D (2009) Women in the boardroom and their impact on governance and performance. J </w:t>
      </w:r>
      <w:proofErr w:type="spellStart"/>
      <w:r w:rsidRPr="00902166">
        <w:rPr>
          <w:color w:val="000000" w:themeColor="text1"/>
        </w:rPr>
        <w:t>Financ</w:t>
      </w:r>
      <w:proofErr w:type="spellEnd"/>
      <w:r w:rsidRPr="00902166">
        <w:rPr>
          <w:color w:val="000000" w:themeColor="text1"/>
        </w:rPr>
        <w:t xml:space="preserve"> Econ, </w:t>
      </w:r>
      <w:r w:rsidRPr="00902166">
        <w:rPr>
          <w:iCs/>
          <w:color w:val="000000" w:themeColor="text1"/>
        </w:rPr>
        <w:t>94</w:t>
      </w:r>
      <w:r w:rsidRPr="00902166">
        <w:rPr>
          <w:color w:val="000000" w:themeColor="text1"/>
        </w:rPr>
        <w:t xml:space="preserve">(2): 291-309 </w:t>
      </w:r>
      <w:hyperlink r:id="rId21" w:tgtFrame="_blank" w:tooltip="Persistent link using digital object identifier" w:history="1">
        <w:r w:rsidRPr="00902166">
          <w:rPr>
            <w:rStyle w:val="Hyperlink"/>
            <w:color w:val="000000" w:themeColor="text1"/>
          </w:rPr>
          <w:t>https://doi.org/10.1016/j.jfineco.2008.10.007</w:t>
        </w:r>
      </w:hyperlink>
    </w:p>
    <w:p w14:paraId="07A728E4" w14:textId="77777777" w:rsidR="001C05AC" w:rsidRPr="00917B10" w:rsidRDefault="001C05AC" w:rsidP="001C05AC">
      <w:pPr>
        <w:jc w:val="both"/>
        <w:rPr>
          <w:rFonts w:eastAsiaTheme="minorHAnsi"/>
          <w:color w:val="FF0000"/>
        </w:rPr>
      </w:pPr>
    </w:p>
    <w:p w14:paraId="32D868C7" w14:textId="77777777" w:rsidR="001C05AC" w:rsidRPr="00917B10" w:rsidRDefault="001C05AC" w:rsidP="001C05AC">
      <w:pPr>
        <w:jc w:val="both"/>
        <w:rPr>
          <w:color w:val="000000" w:themeColor="text1"/>
        </w:rPr>
      </w:pPr>
      <w:r w:rsidRPr="00917B10">
        <w:rPr>
          <w:color w:val="000000" w:themeColor="text1"/>
        </w:rPr>
        <w:t>Agrawal A, Jaffe JF, Mandelker GN (1992). The post</w:t>
      </w:r>
      <w:r w:rsidRPr="00917B10">
        <w:rPr>
          <w:rFonts w:ascii="Cambria Math" w:hAnsi="Cambria Math" w:cs="Cambria Math"/>
          <w:color w:val="000000" w:themeColor="text1"/>
        </w:rPr>
        <w:t>‐</w:t>
      </w:r>
      <w:r w:rsidRPr="00917B10">
        <w:rPr>
          <w:color w:val="000000" w:themeColor="text1"/>
        </w:rPr>
        <w:t>merger performance of acquiring firms: a re</w:t>
      </w:r>
      <w:r w:rsidRPr="00917B10">
        <w:rPr>
          <w:rFonts w:ascii="Cambria Math" w:hAnsi="Cambria Math" w:cs="Cambria Math"/>
          <w:color w:val="000000" w:themeColor="text1"/>
        </w:rPr>
        <w:t>‐</w:t>
      </w:r>
      <w:r w:rsidRPr="00917B10">
        <w:rPr>
          <w:color w:val="000000" w:themeColor="text1"/>
        </w:rPr>
        <w:t>examination of an anomaly.</w:t>
      </w:r>
      <w:r w:rsidRPr="00917B10">
        <w:rPr>
          <w:iCs/>
          <w:color w:val="000000" w:themeColor="text1"/>
        </w:rPr>
        <w:t xml:space="preserve"> J </w:t>
      </w:r>
      <w:proofErr w:type="spellStart"/>
      <w:r w:rsidRPr="00917B10">
        <w:rPr>
          <w:iCs/>
          <w:color w:val="000000" w:themeColor="text1"/>
        </w:rPr>
        <w:t>Financ</w:t>
      </w:r>
      <w:proofErr w:type="spellEnd"/>
      <w:r w:rsidRPr="00917B10">
        <w:rPr>
          <w:color w:val="000000" w:themeColor="text1"/>
        </w:rPr>
        <w:t xml:space="preserve">, </w:t>
      </w:r>
      <w:r w:rsidRPr="00917B10">
        <w:rPr>
          <w:iCs/>
          <w:color w:val="000000" w:themeColor="text1"/>
        </w:rPr>
        <w:t>47</w:t>
      </w:r>
      <w:r w:rsidRPr="00917B10">
        <w:rPr>
          <w:color w:val="000000" w:themeColor="text1"/>
        </w:rPr>
        <w:t xml:space="preserve">(4), 1605-1621 </w:t>
      </w:r>
      <w:hyperlink r:id="rId22" w:history="1">
        <w:r w:rsidRPr="00917B10">
          <w:rPr>
            <w:rStyle w:val="Hyperlink"/>
            <w:color w:val="000000" w:themeColor="text1"/>
          </w:rPr>
          <w:t>https://doi.org/10.1111/j.1540-6261.1992.tb04674.x</w:t>
        </w:r>
      </w:hyperlink>
    </w:p>
    <w:p w14:paraId="33386BBE" w14:textId="77777777" w:rsidR="001C05AC" w:rsidRPr="00917B10" w:rsidRDefault="001C05AC" w:rsidP="001C05AC">
      <w:pPr>
        <w:jc w:val="both"/>
        <w:rPr>
          <w:rFonts w:eastAsiaTheme="minorHAnsi"/>
          <w:color w:val="FF0000"/>
        </w:rPr>
      </w:pPr>
    </w:p>
    <w:p w14:paraId="168A1C83" w14:textId="77777777" w:rsidR="001C05AC" w:rsidRPr="00A96DBF" w:rsidRDefault="001C05AC" w:rsidP="001C05AC">
      <w:pPr>
        <w:jc w:val="both"/>
        <w:rPr>
          <w:color w:val="000000" w:themeColor="text1"/>
        </w:rPr>
      </w:pPr>
      <w:r w:rsidRPr="00A96DBF">
        <w:rPr>
          <w:rFonts w:eastAsiaTheme="minorHAnsi"/>
          <w:color w:val="000000" w:themeColor="text1"/>
        </w:rPr>
        <w:t xml:space="preserve">Ahmed AS, </w:t>
      </w:r>
      <w:proofErr w:type="spellStart"/>
      <w:r w:rsidRPr="00A96DBF">
        <w:rPr>
          <w:rFonts w:eastAsiaTheme="minorHAnsi"/>
          <w:color w:val="000000" w:themeColor="text1"/>
        </w:rPr>
        <w:t>Duellman</w:t>
      </w:r>
      <w:proofErr w:type="spellEnd"/>
      <w:r w:rsidRPr="00A96DBF">
        <w:rPr>
          <w:rFonts w:eastAsiaTheme="minorHAnsi"/>
          <w:color w:val="000000" w:themeColor="text1"/>
        </w:rPr>
        <w:t xml:space="preserve"> S (2013) Managerial Overconfidence and Accounting Conservatism. J Account Res, 51(1): 1-30 </w:t>
      </w:r>
      <w:hyperlink r:id="rId23" w:history="1">
        <w:r w:rsidRPr="00A96DBF">
          <w:rPr>
            <w:rStyle w:val="Hyperlink"/>
            <w:color w:val="000000" w:themeColor="text1"/>
          </w:rPr>
          <w:t>https://doi.org/10.1111/j.1475-679X.2012.00467.x</w:t>
        </w:r>
      </w:hyperlink>
    </w:p>
    <w:p w14:paraId="4B7481D1" w14:textId="77777777" w:rsidR="001C05AC" w:rsidRPr="00917B10" w:rsidRDefault="001C05AC" w:rsidP="001C05AC">
      <w:pPr>
        <w:jc w:val="both"/>
        <w:rPr>
          <w:color w:val="FF0000"/>
        </w:rPr>
      </w:pPr>
    </w:p>
    <w:p w14:paraId="4FA4F98E" w14:textId="77777777" w:rsidR="001C05AC" w:rsidRPr="00902166" w:rsidRDefault="001C05AC" w:rsidP="001C05AC">
      <w:pPr>
        <w:jc w:val="both"/>
        <w:rPr>
          <w:iCs/>
          <w:color w:val="000000" w:themeColor="text1"/>
        </w:rPr>
      </w:pPr>
      <w:r w:rsidRPr="00902166">
        <w:rPr>
          <w:color w:val="000000" w:themeColor="text1"/>
        </w:rPr>
        <w:t xml:space="preserve">Andrade G, Mitchell M, Stafford E (2001) New evidence and perspectives on mergers. </w:t>
      </w:r>
      <w:r w:rsidRPr="00902166">
        <w:rPr>
          <w:iCs/>
          <w:color w:val="000000" w:themeColor="text1"/>
        </w:rPr>
        <w:t xml:space="preserve">J Econ </w:t>
      </w:r>
      <w:proofErr w:type="spellStart"/>
      <w:r w:rsidRPr="00902166">
        <w:rPr>
          <w:iCs/>
          <w:color w:val="000000" w:themeColor="text1"/>
        </w:rPr>
        <w:t>Perspect</w:t>
      </w:r>
      <w:proofErr w:type="spellEnd"/>
      <w:r w:rsidRPr="00902166">
        <w:rPr>
          <w:color w:val="000000" w:themeColor="text1"/>
        </w:rPr>
        <w:t xml:space="preserve">, </w:t>
      </w:r>
      <w:r w:rsidRPr="00902166">
        <w:rPr>
          <w:iCs/>
          <w:color w:val="000000" w:themeColor="text1"/>
        </w:rPr>
        <w:t>15</w:t>
      </w:r>
      <w:r w:rsidRPr="00902166">
        <w:rPr>
          <w:color w:val="000000" w:themeColor="text1"/>
        </w:rPr>
        <w:t xml:space="preserve">(2): 103-120 </w:t>
      </w:r>
      <w:r w:rsidRPr="00902166">
        <w:rPr>
          <w:iCs/>
          <w:color w:val="000000" w:themeColor="text1"/>
        </w:rPr>
        <w:t>DOI: 10.1257/jep.15.2.103</w:t>
      </w:r>
    </w:p>
    <w:p w14:paraId="07069322" w14:textId="77777777" w:rsidR="001C05AC" w:rsidRPr="00917B10" w:rsidRDefault="001C05AC" w:rsidP="001C05AC">
      <w:pPr>
        <w:jc w:val="both"/>
        <w:rPr>
          <w:iCs/>
          <w:color w:val="FF0000"/>
        </w:rPr>
      </w:pPr>
    </w:p>
    <w:p w14:paraId="22472AF6" w14:textId="77777777" w:rsidR="001C05AC" w:rsidRPr="00902166" w:rsidRDefault="001C05AC" w:rsidP="001C05AC">
      <w:pPr>
        <w:jc w:val="both"/>
        <w:rPr>
          <w:iCs/>
          <w:color w:val="000000" w:themeColor="text1"/>
        </w:rPr>
      </w:pPr>
      <w:r w:rsidRPr="00902166">
        <w:rPr>
          <w:color w:val="000000" w:themeColor="text1"/>
        </w:rPr>
        <w:t xml:space="preserve">Antoniou A, </w:t>
      </w:r>
      <w:proofErr w:type="spellStart"/>
      <w:r w:rsidRPr="00902166">
        <w:rPr>
          <w:color w:val="000000" w:themeColor="text1"/>
        </w:rPr>
        <w:t>Petmezas</w:t>
      </w:r>
      <w:proofErr w:type="spellEnd"/>
      <w:r w:rsidRPr="00902166">
        <w:rPr>
          <w:color w:val="000000" w:themeColor="text1"/>
        </w:rPr>
        <w:t xml:space="preserve"> D, Zhao H (2007) Bidder gains and losses of firms involved in many acquisitions. </w:t>
      </w:r>
      <w:r w:rsidRPr="00902166">
        <w:rPr>
          <w:iCs/>
          <w:color w:val="000000" w:themeColor="text1"/>
        </w:rPr>
        <w:t xml:space="preserve">J Bus </w:t>
      </w:r>
      <w:proofErr w:type="spellStart"/>
      <w:r w:rsidRPr="00902166">
        <w:rPr>
          <w:iCs/>
          <w:color w:val="000000" w:themeColor="text1"/>
        </w:rPr>
        <w:t>Financ</w:t>
      </w:r>
      <w:proofErr w:type="spellEnd"/>
      <w:r w:rsidRPr="00902166">
        <w:rPr>
          <w:iCs/>
          <w:color w:val="000000" w:themeColor="text1"/>
        </w:rPr>
        <w:t xml:space="preserve"> Account</w:t>
      </w:r>
      <w:r w:rsidRPr="00902166">
        <w:rPr>
          <w:color w:val="000000" w:themeColor="text1"/>
        </w:rPr>
        <w:t xml:space="preserve">, </w:t>
      </w:r>
      <w:r w:rsidRPr="00902166">
        <w:rPr>
          <w:iCs/>
          <w:color w:val="000000" w:themeColor="text1"/>
        </w:rPr>
        <w:t>34</w:t>
      </w:r>
      <w:r w:rsidRPr="00902166">
        <w:rPr>
          <w:color w:val="000000" w:themeColor="text1"/>
        </w:rPr>
        <w:t>(7</w:t>
      </w:r>
      <w:r w:rsidRPr="00902166">
        <w:rPr>
          <w:rFonts w:ascii="Cambria Math" w:hAnsi="Cambria Math" w:cs="Cambria Math"/>
          <w:color w:val="000000" w:themeColor="text1"/>
        </w:rPr>
        <w:t>‐</w:t>
      </w:r>
      <w:r w:rsidRPr="00902166">
        <w:rPr>
          <w:color w:val="000000" w:themeColor="text1"/>
        </w:rPr>
        <w:t xml:space="preserve">8): 1221-1244 </w:t>
      </w:r>
      <w:hyperlink r:id="rId24" w:history="1">
        <w:r w:rsidRPr="00902166">
          <w:rPr>
            <w:rStyle w:val="Hyperlink"/>
            <w:color w:val="000000" w:themeColor="text1"/>
          </w:rPr>
          <w:t>https://doi.org/10.1111/j.1468-5957.2007.02012.x</w:t>
        </w:r>
      </w:hyperlink>
    </w:p>
    <w:p w14:paraId="1F47EE45" w14:textId="77777777" w:rsidR="001C05AC" w:rsidRPr="00917B10" w:rsidRDefault="001C05AC" w:rsidP="001C05AC">
      <w:pPr>
        <w:jc w:val="both"/>
        <w:rPr>
          <w:color w:val="FF0000"/>
        </w:rPr>
      </w:pPr>
    </w:p>
    <w:p w14:paraId="258C8ACF" w14:textId="77777777" w:rsidR="001C05AC" w:rsidRPr="00902166" w:rsidRDefault="001C05AC" w:rsidP="001C05AC">
      <w:pPr>
        <w:jc w:val="both"/>
        <w:rPr>
          <w:color w:val="000000" w:themeColor="text1"/>
        </w:rPr>
      </w:pPr>
      <w:r w:rsidRPr="00902166">
        <w:rPr>
          <w:color w:val="000000" w:themeColor="text1"/>
        </w:rPr>
        <w:lastRenderedPageBreak/>
        <w:t xml:space="preserve">Asquith P, Bruner R, Mullins, D (1983) The gains to bidding firms from merger, J </w:t>
      </w:r>
      <w:proofErr w:type="spellStart"/>
      <w:r w:rsidRPr="00902166">
        <w:rPr>
          <w:color w:val="000000" w:themeColor="text1"/>
        </w:rPr>
        <w:t>Financ</w:t>
      </w:r>
      <w:proofErr w:type="spellEnd"/>
      <w:r w:rsidRPr="00902166">
        <w:rPr>
          <w:color w:val="000000" w:themeColor="text1"/>
        </w:rPr>
        <w:t xml:space="preserve"> Econ, 11(1-4): 121–40 </w:t>
      </w:r>
      <w:hyperlink r:id="rId25" w:tgtFrame="_blank" w:tooltip="Persistent link using digital object identifier" w:history="1">
        <w:r w:rsidRPr="00902166">
          <w:rPr>
            <w:rStyle w:val="Hyperlink"/>
            <w:color w:val="000000" w:themeColor="text1"/>
          </w:rPr>
          <w:t>https://doi.org/10.1016/0304-405X(83)90007-7</w:t>
        </w:r>
      </w:hyperlink>
    </w:p>
    <w:p w14:paraId="10C04219" w14:textId="77777777" w:rsidR="001C05AC" w:rsidRPr="00917B10" w:rsidRDefault="001C05AC" w:rsidP="001C05AC">
      <w:pPr>
        <w:autoSpaceDE w:val="0"/>
        <w:autoSpaceDN w:val="0"/>
        <w:adjustRightInd w:val="0"/>
        <w:jc w:val="both"/>
        <w:rPr>
          <w:color w:val="FF0000"/>
        </w:rPr>
      </w:pPr>
    </w:p>
    <w:p w14:paraId="3AB46EBB" w14:textId="77777777" w:rsidR="001C05AC" w:rsidRPr="00902166" w:rsidRDefault="001C05AC" w:rsidP="001C05AC">
      <w:pPr>
        <w:jc w:val="both"/>
        <w:rPr>
          <w:color w:val="000000" w:themeColor="text1"/>
        </w:rPr>
      </w:pPr>
      <w:r w:rsidRPr="00902166">
        <w:rPr>
          <w:color w:val="000000" w:themeColor="text1"/>
        </w:rPr>
        <w:t xml:space="preserve">Barber BM, Lyon JD (1997) Detecting long-run abnormal stock returns: The empirical power and specification of test statistics.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43</w:t>
      </w:r>
      <w:r w:rsidRPr="00902166">
        <w:rPr>
          <w:color w:val="000000" w:themeColor="text1"/>
        </w:rPr>
        <w:t>(3): 341-372</w:t>
      </w:r>
    </w:p>
    <w:p w14:paraId="3708D7DF" w14:textId="77777777" w:rsidR="001C05AC" w:rsidRPr="00902166" w:rsidRDefault="0081596F" w:rsidP="001C05AC">
      <w:pPr>
        <w:jc w:val="both"/>
        <w:rPr>
          <w:color w:val="000000" w:themeColor="text1"/>
        </w:rPr>
      </w:pPr>
      <w:hyperlink r:id="rId26" w:history="1">
        <w:r w:rsidR="001C05AC" w:rsidRPr="00902166">
          <w:rPr>
            <w:rStyle w:val="Hyperlink"/>
            <w:color w:val="000000" w:themeColor="text1"/>
          </w:rPr>
          <w:t>https://doi.org/10.1016/S0304-405X(96)00890-2</w:t>
        </w:r>
      </w:hyperlink>
    </w:p>
    <w:p w14:paraId="694E5AFA" w14:textId="77777777" w:rsidR="001C05AC" w:rsidRPr="00917B10" w:rsidRDefault="001C05AC" w:rsidP="001C05AC">
      <w:pPr>
        <w:jc w:val="both"/>
        <w:rPr>
          <w:color w:val="FF0000"/>
        </w:rPr>
      </w:pPr>
    </w:p>
    <w:p w14:paraId="7E052845" w14:textId="77777777" w:rsidR="001C05AC" w:rsidRPr="00917B10" w:rsidRDefault="001C05AC" w:rsidP="001C05AC">
      <w:pPr>
        <w:jc w:val="both"/>
        <w:rPr>
          <w:rStyle w:val="Hyperlink"/>
          <w:color w:val="000000" w:themeColor="text1"/>
        </w:rPr>
      </w:pPr>
      <w:r w:rsidRPr="00917B10">
        <w:rPr>
          <w:color w:val="000000" w:themeColor="text1"/>
        </w:rPr>
        <w:t xml:space="preserve">Barber BM, </w:t>
      </w:r>
      <w:proofErr w:type="spellStart"/>
      <w:r w:rsidRPr="00917B10">
        <w:rPr>
          <w:color w:val="000000" w:themeColor="text1"/>
        </w:rPr>
        <w:t>Odean</w:t>
      </w:r>
      <w:proofErr w:type="spellEnd"/>
      <w:r w:rsidRPr="00917B10">
        <w:rPr>
          <w:color w:val="000000" w:themeColor="text1"/>
        </w:rPr>
        <w:t xml:space="preserve"> T (2001) Boys will be boys: Gender, overconfidence, and common stock investment. </w:t>
      </w:r>
      <w:r w:rsidRPr="00917B10">
        <w:rPr>
          <w:iCs/>
          <w:color w:val="000000" w:themeColor="text1"/>
        </w:rPr>
        <w:t>Q J Econ</w:t>
      </w:r>
      <w:r w:rsidRPr="00917B10">
        <w:rPr>
          <w:color w:val="000000" w:themeColor="text1"/>
        </w:rPr>
        <w:t xml:space="preserve">, </w:t>
      </w:r>
      <w:r w:rsidRPr="00917B10">
        <w:rPr>
          <w:iCs/>
          <w:color w:val="000000" w:themeColor="text1"/>
        </w:rPr>
        <w:t>116</w:t>
      </w:r>
      <w:r w:rsidRPr="00917B10">
        <w:rPr>
          <w:color w:val="000000" w:themeColor="text1"/>
        </w:rPr>
        <w:t xml:space="preserve">(1): 261-292 </w:t>
      </w:r>
      <w:hyperlink r:id="rId27" w:history="1">
        <w:r w:rsidRPr="00917B10">
          <w:rPr>
            <w:rStyle w:val="Hyperlink"/>
            <w:color w:val="000000" w:themeColor="text1"/>
          </w:rPr>
          <w:t>https://doi.org/10.1162/003355301556400</w:t>
        </w:r>
      </w:hyperlink>
    </w:p>
    <w:p w14:paraId="26E6DE26" w14:textId="77777777" w:rsidR="001C05AC" w:rsidRPr="00917B10" w:rsidRDefault="001C05AC" w:rsidP="001C05AC">
      <w:pPr>
        <w:jc w:val="both"/>
        <w:rPr>
          <w:color w:val="FF0000"/>
        </w:rPr>
      </w:pPr>
    </w:p>
    <w:p w14:paraId="01E50DAF" w14:textId="77777777" w:rsidR="001C05AC" w:rsidRPr="00A96DBF" w:rsidRDefault="001C05AC" w:rsidP="001C05AC">
      <w:pPr>
        <w:jc w:val="both"/>
        <w:rPr>
          <w:color w:val="000000" w:themeColor="text1"/>
        </w:rPr>
      </w:pPr>
      <w:r w:rsidRPr="00A96DBF">
        <w:rPr>
          <w:rFonts w:eastAsiaTheme="minorHAnsi"/>
          <w:color w:val="000000" w:themeColor="text1"/>
        </w:rPr>
        <w:t xml:space="preserve">Ben-Amar W, Francoeur C, </w:t>
      </w:r>
      <w:proofErr w:type="spellStart"/>
      <w:r w:rsidRPr="00A96DBF">
        <w:rPr>
          <w:rFonts w:eastAsiaTheme="minorHAnsi"/>
          <w:color w:val="000000" w:themeColor="text1"/>
        </w:rPr>
        <w:t>Hafsi</w:t>
      </w:r>
      <w:proofErr w:type="spellEnd"/>
      <w:r w:rsidRPr="00A96DBF">
        <w:rPr>
          <w:rFonts w:eastAsiaTheme="minorHAnsi"/>
          <w:color w:val="000000" w:themeColor="text1"/>
        </w:rPr>
        <w:t xml:space="preserve"> T, Labelle R (2013) What Makes Better Boards? Brit J </w:t>
      </w:r>
      <w:proofErr w:type="spellStart"/>
      <w:r w:rsidRPr="00A96DBF">
        <w:rPr>
          <w:rFonts w:eastAsiaTheme="minorHAnsi"/>
          <w:color w:val="000000" w:themeColor="text1"/>
        </w:rPr>
        <w:t>Manag</w:t>
      </w:r>
      <w:proofErr w:type="spellEnd"/>
      <w:r w:rsidRPr="00A96DBF">
        <w:rPr>
          <w:rFonts w:eastAsiaTheme="minorHAnsi"/>
          <w:color w:val="000000" w:themeColor="text1"/>
        </w:rPr>
        <w:t xml:space="preserve">, 24(1): 85-101 </w:t>
      </w:r>
      <w:hyperlink r:id="rId28" w:history="1">
        <w:r w:rsidRPr="00A96DBF">
          <w:rPr>
            <w:rStyle w:val="Hyperlink"/>
            <w:color w:val="000000" w:themeColor="text1"/>
          </w:rPr>
          <w:t>https://doi.org/10.1111/j.1467-8551.2011.00789.x</w:t>
        </w:r>
      </w:hyperlink>
    </w:p>
    <w:p w14:paraId="4B4A96B0" w14:textId="77777777" w:rsidR="001C05AC" w:rsidRPr="00917B10" w:rsidRDefault="001C05AC" w:rsidP="001C05AC">
      <w:pPr>
        <w:jc w:val="both"/>
        <w:rPr>
          <w:color w:val="FF0000"/>
        </w:rPr>
      </w:pPr>
    </w:p>
    <w:p w14:paraId="0783CCEA" w14:textId="77777777" w:rsidR="001C05AC" w:rsidRPr="00A96DBF" w:rsidRDefault="001C05AC" w:rsidP="001C05AC">
      <w:pPr>
        <w:jc w:val="both"/>
        <w:rPr>
          <w:color w:val="000000" w:themeColor="text1"/>
        </w:rPr>
      </w:pPr>
      <w:r w:rsidRPr="00A96DBF">
        <w:rPr>
          <w:color w:val="000000" w:themeColor="text1"/>
        </w:rPr>
        <w:t xml:space="preserve">Beyer S (1990) Gender differences in the accuracy of self-evaluations of performance. </w:t>
      </w:r>
      <w:r w:rsidRPr="00A96DBF">
        <w:rPr>
          <w:iCs/>
          <w:color w:val="000000" w:themeColor="text1"/>
        </w:rPr>
        <w:t xml:space="preserve">J Personality Soc </w:t>
      </w:r>
      <w:proofErr w:type="spellStart"/>
      <w:r w:rsidRPr="00A96DBF">
        <w:rPr>
          <w:iCs/>
          <w:color w:val="000000" w:themeColor="text1"/>
        </w:rPr>
        <w:t>Psychol</w:t>
      </w:r>
      <w:proofErr w:type="spellEnd"/>
      <w:r w:rsidRPr="00A96DBF">
        <w:rPr>
          <w:color w:val="000000" w:themeColor="text1"/>
        </w:rPr>
        <w:t xml:space="preserve">, </w:t>
      </w:r>
      <w:r w:rsidRPr="00A96DBF">
        <w:rPr>
          <w:iCs/>
          <w:color w:val="000000" w:themeColor="text1"/>
        </w:rPr>
        <w:t>59</w:t>
      </w:r>
      <w:r w:rsidRPr="00A96DBF">
        <w:rPr>
          <w:color w:val="000000" w:themeColor="text1"/>
        </w:rPr>
        <w:t xml:space="preserve">(5): 960 </w:t>
      </w:r>
      <w:hyperlink r:id="rId29" w:tgtFrame="_blank" w:history="1">
        <w:r w:rsidRPr="00A96DBF">
          <w:rPr>
            <w:rStyle w:val="Hyperlink"/>
            <w:color w:val="000000" w:themeColor="text1"/>
          </w:rPr>
          <w:t>https://doi.org/10.1037/0022-3514.59.5.960</w:t>
        </w:r>
      </w:hyperlink>
    </w:p>
    <w:p w14:paraId="6658D17F" w14:textId="77777777" w:rsidR="001C05AC" w:rsidRPr="00917B10" w:rsidRDefault="001C05AC" w:rsidP="001C05AC">
      <w:pPr>
        <w:jc w:val="both"/>
        <w:rPr>
          <w:b/>
          <w:color w:val="FF0000"/>
        </w:rPr>
      </w:pPr>
    </w:p>
    <w:p w14:paraId="7869E095" w14:textId="77777777" w:rsidR="001C05AC" w:rsidRPr="00917B10" w:rsidRDefault="001C05AC" w:rsidP="001C05AC">
      <w:pPr>
        <w:jc w:val="both"/>
        <w:rPr>
          <w:color w:val="000000" w:themeColor="text1"/>
        </w:rPr>
      </w:pPr>
      <w:r w:rsidRPr="00917B10">
        <w:rPr>
          <w:color w:val="000000" w:themeColor="text1"/>
        </w:rPr>
        <w:t xml:space="preserve">Billet MT, Qian Y (2008) Are overconfident managers born or made? </w:t>
      </w:r>
      <w:r w:rsidRPr="00917B10">
        <w:rPr>
          <w:iCs/>
          <w:color w:val="000000" w:themeColor="text1"/>
        </w:rPr>
        <w:t>Evidence of self-attribution bias</w:t>
      </w:r>
      <w:r w:rsidRPr="00917B10">
        <w:rPr>
          <w:color w:val="000000" w:themeColor="text1"/>
        </w:rPr>
        <w:t xml:space="preserve">. </w:t>
      </w:r>
      <w:proofErr w:type="spellStart"/>
      <w:r w:rsidRPr="00917B10">
        <w:rPr>
          <w:color w:val="000000" w:themeColor="text1"/>
        </w:rPr>
        <w:t>Manag</w:t>
      </w:r>
      <w:proofErr w:type="spellEnd"/>
      <w:r w:rsidRPr="00917B10">
        <w:rPr>
          <w:color w:val="000000" w:themeColor="text1"/>
        </w:rPr>
        <w:t xml:space="preserve"> Sci, 54(6): 1037-1051 </w:t>
      </w:r>
      <w:hyperlink r:id="rId30" w:history="1">
        <w:r w:rsidRPr="00917B10">
          <w:rPr>
            <w:rStyle w:val="Hyperlink"/>
            <w:color w:val="000000" w:themeColor="text1"/>
          </w:rPr>
          <w:t>https://doi.org/10.1287/mnsc.1070.0830</w:t>
        </w:r>
      </w:hyperlink>
    </w:p>
    <w:p w14:paraId="10D9A01B" w14:textId="77777777" w:rsidR="001C05AC" w:rsidRPr="00917B10" w:rsidRDefault="001C05AC" w:rsidP="001C05AC">
      <w:pPr>
        <w:jc w:val="both"/>
        <w:rPr>
          <w:color w:val="FF0000"/>
        </w:rPr>
      </w:pPr>
    </w:p>
    <w:p w14:paraId="07DFD58C" w14:textId="77777777" w:rsidR="001C05AC" w:rsidRPr="00902166" w:rsidRDefault="001C05AC" w:rsidP="001C05AC">
      <w:pPr>
        <w:jc w:val="both"/>
        <w:rPr>
          <w:color w:val="000000" w:themeColor="text1"/>
        </w:rPr>
      </w:pPr>
      <w:r w:rsidRPr="00902166">
        <w:rPr>
          <w:color w:val="000000" w:themeColor="text1"/>
        </w:rPr>
        <w:t xml:space="preserve">Boateng A, Bi X, Brahma S (2017) The impact of firm ownership, board monitoring on operating performance of Chinese mergers and acquisitions. </w:t>
      </w:r>
      <w:r w:rsidRPr="00902166">
        <w:rPr>
          <w:iCs/>
          <w:color w:val="000000" w:themeColor="text1"/>
        </w:rPr>
        <w:t xml:space="preserve">Rev Quant </w:t>
      </w:r>
      <w:proofErr w:type="spellStart"/>
      <w:r w:rsidRPr="00902166">
        <w:rPr>
          <w:iCs/>
          <w:color w:val="000000" w:themeColor="text1"/>
        </w:rPr>
        <w:t>Financ</w:t>
      </w:r>
      <w:proofErr w:type="spellEnd"/>
      <w:r w:rsidRPr="00902166">
        <w:rPr>
          <w:iCs/>
          <w:color w:val="000000" w:themeColor="text1"/>
        </w:rPr>
        <w:t xml:space="preserve"> Account</w:t>
      </w:r>
      <w:r w:rsidRPr="00902166">
        <w:rPr>
          <w:color w:val="000000" w:themeColor="text1"/>
        </w:rPr>
        <w:t xml:space="preserve">, </w:t>
      </w:r>
      <w:r w:rsidRPr="00902166">
        <w:rPr>
          <w:iCs/>
          <w:color w:val="000000" w:themeColor="text1"/>
        </w:rPr>
        <w:t>49</w:t>
      </w:r>
      <w:r w:rsidRPr="00902166">
        <w:rPr>
          <w:color w:val="000000" w:themeColor="text1"/>
        </w:rPr>
        <w:t>(4): 925-948 DOI 10.1007/s11156-016-0612-y</w:t>
      </w:r>
    </w:p>
    <w:p w14:paraId="31101601" w14:textId="77777777" w:rsidR="001C05AC" w:rsidRPr="00917B10" w:rsidRDefault="001C05AC" w:rsidP="001C05AC">
      <w:pPr>
        <w:jc w:val="both"/>
        <w:rPr>
          <w:b/>
          <w:color w:val="FF0000"/>
        </w:rPr>
      </w:pPr>
    </w:p>
    <w:p w14:paraId="5128FC67" w14:textId="77777777" w:rsidR="001C05AC" w:rsidRPr="00902166" w:rsidRDefault="001C05AC" w:rsidP="001C05AC">
      <w:pPr>
        <w:jc w:val="both"/>
        <w:rPr>
          <w:color w:val="000000" w:themeColor="text1"/>
        </w:rPr>
      </w:pPr>
      <w:r w:rsidRPr="00902166">
        <w:rPr>
          <w:color w:val="000000" w:themeColor="text1"/>
        </w:rPr>
        <w:t xml:space="preserve">Bradley M, Desai A, Kim EH (1988) Synergistic gains from corporate acquisitions and their division between the stockholders of target and acquiring firms.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21</w:t>
      </w:r>
      <w:r w:rsidRPr="00902166">
        <w:rPr>
          <w:color w:val="000000" w:themeColor="text1"/>
        </w:rPr>
        <w:t xml:space="preserve">(1): 3-40 </w:t>
      </w:r>
      <w:hyperlink r:id="rId31" w:tgtFrame="_blank" w:tooltip="Persistent link using digital object identifier" w:history="1">
        <w:r w:rsidRPr="00902166">
          <w:rPr>
            <w:rStyle w:val="Hyperlink"/>
            <w:color w:val="000000" w:themeColor="text1"/>
          </w:rPr>
          <w:t>https://doi.org/10.1016/0304-405X(88)90030-X</w:t>
        </w:r>
      </w:hyperlink>
    </w:p>
    <w:p w14:paraId="2C67E5AB" w14:textId="77777777" w:rsidR="001C05AC" w:rsidRPr="00917B10" w:rsidRDefault="001C05AC" w:rsidP="001C05AC">
      <w:pPr>
        <w:jc w:val="both"/>
        <w:rPr>
          <w:color w:val="FF0000"/>
        </w:rPr>
      </w:pPr>
    </w:p>
    <w:p w14:paraId="28E29A54" w14:textId="77777777" w:rsidR="001C05AC" w:rsidRPr="00902166" w:rsidRDefault="001C05AC" w:rsidP="001C05AC">
      <w:pPr>
        <w:jc w:val="both"/>
        <w:rPr>
          <w:color w:val="000000" w:themeColor="text1"/>
        </w:rPr>
      </w:pPr>
      <w:r w:rsidRPr="00902166">
        <w:rPr>
          <w:color w:val="000000" w:themeColor="text1"/>
        </w:rPr>
        <w:t xml:space="preserve">Brahma S, </w:t>
      </w:r>
      <w:proofErr w:type="spellStart"/>
      <w:r w:rsidRPr="00902166">
        <w:rPr>
          <w:color w:val="000000" w:themeColor="text1"/>
        </w:rPr>
        <w:t>Nwafor</w:t>
      </w:r>
      <w:proofErr w:type="spellEnd"/>
      <w:r w:rsidRPr="00902166">
        <w:rPr>
          <w:color w:val="000000" w:themeColor="text1"/>
        </w:rPr>
        <w:t xml:space="preserve"> C, Boateng A (2021) Board gender diversity and firm performance: The UK evidence. </w:t>
      </w:r>
      <w:r w:rsidRPr="00902166">
        <w:rPr>
          <w:iCs/>
          <w:color w:val="000000" w:themeColor="text1"/>
        </w:rPr>
        <w:t xml:space="preserve">Int 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w:t>
      </w:r>
      <w:r w:rsidRPr="00902166">
        <w:rPr>
          <w:i/>
          <w:iCs/>
          <w:color w:val="000000" w:themeColor="text1"/>
        </w:rPr>
        <w:t xml:space="preserve"> </w:t>
      </w:r>
      <w:r w:rsidRPr="00902166">
        <w:rPr>
          <w:iCs/>
          <w:color w:val="000000" w:themeColor="text1"/>
        </w:rPr>
        <w:t>26</w:t>
      </w:r>
      <w:r w:rsidRPr="00902166">
        <w:rPr>
          <w:color w:val="000000" w:themeColor="text1"/>
        </w:rPr>
        <w:t xml:space="preserve">(4): 5704-5719 </w:t>
      </w:r>
      <w:hyperlink r:id="rId32" w:history="1">
        <w:r w:rsidRPr="00902166">
          <w:rPr>
            <w:rStyle w:val="Hyperlink"/>
            <w:color w:val="000000" w:themeColor="text1"/>
          </w:rPr>
          <w:t>https://doi.org/10.1002/ijfe.2089</w:t>
        </w:r>
      </w:hyperlink>
    </w:p>
    <w:p w14:paraId="18474DC1" w14:textId="77777777" w:rsidR="001C05AC" w:rsidRPr="00917B10" w:rsidRDefault="001C05AC" w:rsidP="001C05AC">
      <w:pPr>
        <w:jc w:val="both"/>
        <w:rPr>
          <w:b/>
          <w:color w:val="FF0000"/>
        </w:rPr>
      </w:pPr>
    </w:p>
    <w:p w14:paraId="027E924D" w14:textId="77777777" w:rsidR="001C05AC" w:rsidRPr="00A96DBF" w:rsidRDefault="001C05AC" w:rsidP="001C05AC">
      <w:pPr>
        <w:jc w:val="both"/>
        <w:rPr>
          <w:color w:val="000000" w:themeColor="text1"/>
        </w:rPr>
      </w:pPr>
      <w:r w:rsidRPr="00A96DBF">
        <w:rPr>
          <w:color w:val="000000" w:themeColor="text1"/>
        </w:rPr>
        <w:t xml:space="preserve">Brown R, </w:t>
      </w:r>
      <w:proofErr w:type="spellStart"/>
      <w:r w:rsidRPr="00A96DBF">
        <w:rPr>
          <w:color w:val="000000" w:themeColor="text1"/>
        </w:rPr>
        <w:t>Sarma</w:t>
      </w:r>
      <w:proofErr w:type="spellEnd"/>
      <w:r w:rsidRPr="00A96DBF">
        <w:rPr>
          <w:color w:val="000000" w:themeColor="text1"/>
        </w:rPr>
        <w:t xml:space="preserve"> N (2007) CEO overconfidence, CEO dominance and corporate acquisitions. </w:t>
      </w:r>
      <w:r w:rsidRPr="00A96DBF">
        <w:rPr>
          <w:iCs/>
          <w:color w:val="000000" w:themeColor="text1"/>
        </w:rPr>
        <w:t>J Econ Bus</w:t>
      </w:r>
      <w:r w:rsidRPr="00A96DBF">
        <w:rPr>
          <w:color w:val="000000" w:themeColor="text1"/>
        </w:rPr>
        <w:t xml:space="preserve">, </w:t>
      </w:r>
      <w:r w:rsidRPr="00A96DBF">
        <w:rPr>
          <w:iCs/>
          <w:color w:val="000000" w:themeColor="text1"/>
        </w:rPr>
        <w:t>59</w:t>
      </w:r>
      <w:r w:rsidRPr="00A96DBF">
        <w:rPr>
          <w:color w:val="000000" w:themeColor="text1"/>
        </w:rPr>
        <w:t xml:space="preserve">(5): 358-379 </w:t>
      </w:r>
      <w:hyperlink r:id="rId33" w:tgtFrame="_blank" w:tooltip="Persistent link using digital object identifier" w:history="1">
        <w:r w:rsidRPr="00A96DBF">
          <w:rPr>
            <w:rStyle w:val="Hyperlink"/>
            <w:color w:val="000000" w:themeColor="text1"/>
          </w:rPr>
          <w:t>https://doi.org/10.1016/j.jeconbus.2007.04.002</w:t>
        </w:r>
      </w:hyperlink>
    </w:p>
    <w:p w14:paraId="4CBF3564" w14:textId="77777777" w:rsidR="001C05AC" w:rsidRPr="00917B10" w:rsidRDefault="001C05AC" w:rsidP="001C05AC">
      <w:pPr>
        <w:jc w:val="both"/>
        <w:rPr>
          <w:color w:val="FF0000"/>
        </w:rPr>
      </w:pPr>
    </w:p>
    <w:p w14:paraId="5E70179E" w14:textId="77777777" w:rsidR="001C05AC" w:rsidRPr="00902166" w:rsidRDefault="001C05AC" w:rsidP="001C05AC">
      <w:pPr>
        <w:jc w:val="both"/>
        <w:rPr>
          <w:color w:val="000000" w:themeColor="text1"/>
        </w:rPr>
      </w:pPr>
      <w:r w:rsidRPr="00902166">
        <w:rPr>
          <w:color w:val="000000" w:themeColor="text1"/>
        </w:rPr>
        <w:t xml:space="preserve">Brown SJ, Warner JB (1980) Measuring security price performance.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8</w:t>
      </w:r>
      <w:r w:rsidRPr="00902166">
        <w:rPr>
          <w:color w:val="000000" w:themeColor="text1"/>
        </w:rPr>
        <w:t xml:space="preserve">(3): 205-258 </w:t>
      </w:r>
      <w:hyperlink r:id="rId34" w:tgtFrame="_blank" w:tooltip="Persistent link using digital object identifier" w:history="1">
        <w:r w:rsidRPr="00902166">
          <w:rPr>
            <w:rStyle w:val="Hyperlink"/>
            <w:color w:val="000000" w:themeColor="text1"/>
          </w:rPr>
          <w:t>https://doi.org/10.1016/0304-405X(80)90002-1</w:t>
        </w:r>
      </w:hyperlink>
    </w:p>
    <w:p w14:paraId="0D46F486" w14:textId="77777777" w:rsidR="001C05AC" w:rsidRPr="00902166" w:rsidRDefault="001C05AC" w:rsidP="001C05AC">
      <w:pPr>
        <w:jc w:val="both"/>
        <w:rPr>
          <w:color w:val="000000" w:themeColor="text1"/>
        </w:rPr>
      </w:pPr>
    </w:p>
    <w:p w14:paraId="761F7046" w14:textId="77777777" w:rsidR="001C05AC" w:rsidRPr="00902166" w:rsidRDefault="001C05AC" w:rsidP="001C05AC">
      <w:pPr>
        <w:jc w:val="both"/>
        <w:rPr>
          <w:rStyle w:val="Hyperlink"/>
          <w:color w:val="000000" w:themeColor="text1"/>
        </w:rPr>
      </w:pPr>
      <w:r w:rsidRPr="00902166">
        <w:rPr>
          <w:color w:val="000000" w:themeColor="text1"/>
        </w:rPr>
        <w:t xml:space="preserve">Brown SJ, Warner JB (1985) Using daily stock returns: The case of event studies.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14</w:t>
      </w:r>
      <w:r w:rsidRPr="00902166">
        <w:rPr>
          <w:color w:val="000000" w:themeColor="text1"/>
        </w:rPr>
        <w:t xml:space="preserve">(1): 3-31 </w:t>
      </w:r>
      <w:hyperlink r:id="rId35" w:tgtFrame="_blank" w:tooltip="Persistent link using digital object identifier" w:history="1">
        <w:r w:rsidRPr="00902166">
          <w:rPr>
            <w:rStyle w:val="Hyperlink"/>
            <w:color w:val="000000" w:themeColor="text1"/>
          </w:rPr>
          <w:t>https://doi.org/10.1016/0304-405X(85)90042-X</w:t>
        </w:r>
      </w:hyperlink>
    </w:p>
    <w:p w14:paraId="2F232517" w14:textId="77777777" w:rsidR="001C05AC" w:rsidRPr="00917B10" w:rsidRDefault="001C05AC" w:rsidP="001C05AC">
      <w:pPr>
        <w:jc w:val="both"/>
        <w:rPr>
          <w:color w:val="FF0000"/>
        </w:rPr>
      </w:pPr>
    </w:p>
    <w:p w14:paraId="7252C057" w14:textId="77777777" w:rsidR="001C05AC" w:rsidRPr="00902166" w:rsidRDefault="001C05AC" w:rsidP="001C05AC">
      <w:pPr>
        <w:jc w:val="both"/>
        <w:rPr>
          <w:color w:val="000000" w:themeColor="text1"/>
        </w:rPr>
      </w:pPr>
      <w:r w:rsidRPr="00902166">
        <w:rPr>
          <w:color w:val="000000" w:themeColor="text1"/>
        </w:rPr>
        <w:t xml:space="preserve">Cao J, Ellis KM, Li M (2019) Inside the board room: the influence of nationality and cultural diversity on cross-border merger and acquisition outcomes. </w:t>
      </w:r>
      <w:r w:rsidRPr="00902166">
        <w:rPr>
          <w:iCs/>
          <w:color w:val="000000" w:themeColor="text1"/>
        </w:rPr>
        <w:t xml:space="preserve">Rev Quant </w:t>
      </w:r>
      <w:proofErr w:type="spellStart"/>
      <w:r w:rsidRPr="00902166">
        <w:rPr>
          <w:iCs/>
          <w:color w:val="000000" w:themeColor="text1"/>
        </w:rPr>
        <w:t>Financ</w:t>
      </w:r>
      <w:proofErr w:type="spellEnd"/>
      <w:r w:rsidRPr="00902166">
        <w:rPr>
          <w:iCs/>
          <w:color w:val="000000" w:themeColor="text1"/>
        </w:rPr>
        <w:t xml:space="preserve"> Account</w:t>
      </w:r>
      <w:r w:rsidRPr="00902166">
        <w:rPr>
          <w:color w:val="000000" w:themeColor="text1"/>
        </w:rPr>
        <w:t xml:space="preserve">, </w:t>
      </w:r>
      <w:r w:rsidRPr="00902166">
        <w:rPr>
          <w:iCs/>
          <w:color w:val="000000" w:themeColor="text1"/>
        </w:rPr>
        <w:t>53</w:t>
      </w:r>
      <w:r w:rsidRPr="00902166">
        <w:rPr>
          <w:color w:val="000000" w:themeColor="text1"/>
        </w:rPr>
        <w:t xml:space="preserve">(4): 1031-1068 </w:t>
      </w:r>
      <w:hyperlink r:id="rId36" w:history="1">
        <w:r w:rsidRPr="00902166">
          <w:rPr>
            <w:rStyle w:val="Hyperlink"/>
            <w:color w:val="000000" w:themeColor="text1"/>
          </w:rPr>
          <w:t>https://doi.org/10.1007/s11156-018-0774-x</w:t>
        </w:r>
      </w:hyperlink>
    </w:p>
    <w:p w14:paraId="6BA9B367" w14:textId="77777777" w:rsidR="001C05AC" w:rsidRPr="00917B10" w:rsidRDefault="001C05AC" w:rsidP="001C05AC">
      <w:pPr>
        <w:jc w:val="both"/>
        <w:rPr>
          <w:color w:val="FF0000"/>
        </w:rPr>
      </w:pPr>
    </w:p>
    <w:p w14:paraId="6854628A" w14:textId="77777777" w:rsidR="001C05AC" w:rsidRPr="00917B10" w:rsidRDefault="001C05AC" w:rsidP="001C05AC">
      <w:pPr>
        <w:rPr>
          <w:color w:val="FF0000"/>
        </w:rPr>
      </w:pPr>
      <w:r w:rsidRPr="00A96DBF">
        <w:rPr>
          <w:color w:val="000000" w:themeColor="text1"/>
        </w:rPr>
        <w:t>Capron L, Shen J-C (2007) Acquisition of private vs. public firms: private information, target selection, and acquirer returns</w:t>
      </w:r>
      <w:r>
        <w:rPr>
          <w:color w:val="000000" w:themeColor="text1"/>
        </w:rPr>
        <w:t>.</w:t>
      </w:r>
      <w:r w:rsidRPr="00A96DBF">
        <w:rPr>
          <w:color w:val="000000" w:themeColor="text1"/>
        </w:rPr>
        <w:t xml:space="preserve"> Strat </w:t>
      </w:r>
      <w:proofErr w:type="spellStart"/>
      <w:r w:rsidRPr="00A96DBF">
        <w:rPr>
          <w:color w:val="000000" w:themeColor="text1"/>
        </w:rPr>
        <w:t>Manag</w:t>
      </w:r>
      <w:proofErr w:type="spellEnd"/>
      <w:r w:rsidRPr="00A96DBF">
        <w:rPr>
          <w:color w:val="000000" w:themeColor="text1"/>
        </w:rPr>
        <w:t xml:space="preserve"> J, 28, 891-911 </w:t>
      </w:r>
      <w:hyperlink r:id="rId37" w:history="1">
        <w:r w:rsidRPr="00A96DBF">
          <w:rPr>
            <w:rStyle w:val="Hyperlink"/>
            <w:color w:val="000000" w:themeColor="text1"/>
          </w:rPr>
          <w:t>https://doi.org/10.1002/smj.612</w:t>
        </w:r>
      </w:hyperlink>
    </w:p>
    <w:p w14:paraId="0855262C" w14:textId="77777777" w:rsidR="001C05AC" w:rsidRPr="00917B10" w:rsidRDefault="001C05AC" w:rsidP="001C05AC">
      <w:pPr>
        <w:jc w:val="both"/>
        <w:rPr>
          <w:color w:val="FF0000"/>
        </w:rPr>
      </w:pPr>
    </w:p>
    <w:p w14:paraId="45A617E3" w14:textId="77777777" w:rsidR="001C05AC" w:rsidRPr="00917B10" w:rsidRDefault="001C05AC" w:rsidP="001C05AC">
      <w:pPr>
        <w:jc w:val="both"/>
        <w:rPr>
          <w:color w:val="000000" w:themeColor="text1"/>
        </w:rPr>
      </w:pPr>
      <w:bookmarkStart w:id="0" w:name="_Hlk120882599"/>
      <w:r w:rsidRPr="00917B10">
        <w:rPr>
          <w:color w:val="000000" w:themeColor="text1"/>
        </w:rPr>
        <w:t xml:space="preserve">Chen SS, Ho KY, Ho PH, </w:t>
      </w:r>
      <w:proofErr w:type="spellStart"/>
      <w:r w:rsidRPr="00917B10">
        <w:rPr>
          <w:color w:val="000000" w:themeColor="text1"/>
        </w:rPr>
        <w:t>Nie</w:t>
      </w:r>
      <w:proofErr w:type="spellEnd"/>
      <w:r w:rsidRPr="00917B10">
        <w:rPr>
          <w:color w:val="000000" w:themeColor="text1"/>
        </w:rPr>
        <w:t xml:space="preserve"> WY (2022) CEO overconfidence and bondholder wealth effects: Evidence from mergers and acquisitions. J Corp </w:t>
      </w:r>
      <w:proofErr w:type="spellStart"/>
      <w:r w:rsidRPr="00917B10">
        <w:rPr>
          <w:color w:val="000000" w:themeColor="text1"/>
        </w:rPr>
        <w:t>Finan</w:t>
      </w:r>
      <w:proofErr w:type="spellEnd"/>
      <w:r w:rsidRPr="00917B10">
        <w:rPr>
          <w:color w:val="000000" w:themeColor="text1"/>
        </w:rPr>
        <w:t>, 77, 102278</w:t>
      </w:r>
      <w:bookmarkEnd w:id="0"/>
    </w:p>
    <w:p w14:paraId="0FEF3842" w14:textId="77777777" w:rsidR="001C05AC" w:rsidRPr="00917B10" w:rsidRDefault="0081596F" w:rsidP="001C05AC">
      <w:pPr>
        <w:rPr>
          <w:color w:val="000000" w:themeColor="text1"/>
        </w:rPr>
      </w:pPr>
      <w:hyperlink r:id="rId38" w:tgtFrame="_blank" w:tooltip="Persistent link using digital object identifier" w:history="1">
        <w:r w:rsidR="001C05AC" w:rsidRPr="00917B10">
          <w:rPr>
            <w:rStyle w:val="Hyperlink"/>
            <w:color w:val="000000" w:themeColor="text1"/>
          </w:rPr>
          <w:t>https://doi.org/10.1016/j.jcorpfin.2022.102278</w:t>
        </w:r>
      </w:hyperlink>
    </w:p>
    <w:p w14:paraId="674DF8D1" w14:textId="77777777" w:rsidR="001C05AC" w:rsidRPr="00917B10" w:rsidRDefault="001C05AC" w:rsidP="001C05AC">
      <w:pPr>
        <w:jc w:val="both"/>
        <w:rPr>
          <w:color w:val="FF0000"/>
        </w:rPr>
      </w:pPr>
    </w:p>
    <w:p w14:paraId="354F56A6" w14:textId="77777777" w:rsidR="001C05AC" w:rsidRPr="00917B10" w:rsidRDefault="001C05AC" w:rsidP="001C05AC">
      <w:pPr>
        <w:jc w:val="both"/>
        <w:rPr>
          <w:iCs/>
          <w:color w:val="000000" w:themeColor="text1"/>
        </w:rPr>
      </w:pPr>
      <w:proofErr w:type="spellStart"/>
      <w:r w:rsidRPr="00917B10">
        <w:rPr>
          <w:color w:val="000000" w:themeColor="text1"/>
        </w:rPr>
        <w:t>Croson</w:t>
      </w:r>
      <w:proofErr w:type="spellEnd"/>
      <w:r w:rsidRPr="00917B10">
        <w:rPr>
          <w:color w:val="000000" w:themeColor="text1"/>
        </w:rPr>
        <w:t xml:space="preserve"> R, </w:t>
      </w:r>
      <w:proofErr w:type="spellStart"/>
      <w:r w:rsidRPr="00917B10">
        <w:rPr>
          <w:color w:val="000000" w:themeColor="text1"/>
        </w:rPr>
        <w:t>Gneezy</w:t>
      </w:r>
      <w:proofErr w:type="spellEnd"/>
      <w:r w:rsidRPr="00917B10">
        <w:rPr>
          <w:color w:val="000000" w:themeColor="text1"/>
        </w:rPr>
        <w:t xml:space="preserve"> U (2009) Gender differences in preferences. </w:t>
      </w:r>
      <w:r w:rsidRPr="00917B10">
        <w:rPr>
          <w:iCs/>
          <w:color w:val="000000" w:themeColor="text1"/>
        </w:rPr>
        <w:t>J Econ Lit</w:t>
      </w:r>
      <w:r w:rsidRPr="00917B10">
        <w:rPr>
          <w:color w:val="000000" w:themeColor="text1"/>
        </w:rPr>
        <w:t xml:space="preserve">, </w:t>
      </w:r>
      <w:r w:rsidRPr="00917B10">
        <w:rPr>
          <w:iCs/>
          <w:color w:val="000000" w:themeColor="text1"/>
        </w:rPr>
        <w:t>47</w:t>
      </w:r>
      <w:r w:rsidRPr="00917B10">
        <w:rPr>
          <w:color w:val="000000" w:themeColor="text1"/>
        </w:rPr>
        <w:t xml:space="preserve">(2): 448-74 </w:t>
      </w:r>
      <w:r w:rsidRPr="00917B10">
        <w:rPr>
          <w:rStyle w:val="doi"/>
          <w:iCs/>
          <w:color w:val="000000" w:themeColor="text1"/>
        </w:rPr>
        <w:t>DOI: 10.1257/jel.47.2.448</w:t>
      </w:r>
    </w:p>
    <w:p w14:paraId="3FBBE749" w14:textId="77777777" w:rsidR="001C05AC" w:rsidRPr="00917B10" w:rsidRDefault="001C05AC" w:rsidP="001C05AC">
      <w:pPr>
        <w:jc w:val="both"/>
        <w:rPr>
          <w:color w:val="FF0000"/>
        </w:rPr>
      </w:pPr>
    </w:p>
    <w:p w14:paraId="26A4B237" w14:textId="77777777" w:rsidR="001C05AC" w:rsidRPr="00A96DBF" w:rsidRDefault="001C05AC" w:rsidP="001C05AC">
      <w:pPr>
        <w:jc w:val="both"/>
        <w:rPr>
          <w:color w:val="000000" w:themeColor="text1"/>
        </w:rPr>
      </w:pPr>
      <w:r w:rsidRPr="00A96DBF">
        <w:rPr>
          <w:color w:val="000000" w:themeColor="text1"/>
          <w:lang w:val="en-US"/>
        </w:rPr>
        <w:t xml:space="preserve">Daniel KD, </w:t>
      </w:r>
      <w:proofErr w:type="spellStart"/>
      <w:r w:rsidRPr="00A96DBF">
        <w:rPr>
          <w:color w:val="000000" w:themeColor="text1"/>
          <w:lang w:val="en-US"/>
        </w:rPr>
        <w:t>Hirshleifer</w:t>
      </w:r>
      <w:proofErr w:type="spellEnd"/>
      <w:r w:rsidRPr="00A96DBF">
        <w:rPr>
          <w:color w:val="000000" w:themeColor="text1"/>
          <w:lang w:val="en-US"/>
        </w:rPr>
        <w:t xml:space="preserve"> D, Subrahmanyam A (1998) Investor psychology and security market understand over-reactions</w:t>
      </w:r>
      <w:r>
        <w:rPr>
          <w:color w:val="000000" w:themeColor="text1"/>
          <w:lang w:val="en-US"/>
        </w:rPr>
        <w:t>.</w:t>
      </w:r>
      <w:r w:rsidRPr="00A96DBF">
        <w:rPr>
          <w:color w:val="000000" w:themeColor="text1"/>
          <w:lang w:val="en-US"/>
        </w:rPr>
        <w:t xml:space="preserve"> J </w:t>
      </w:r>
      <w:proofErr w:type="spellStart"/>
      <w:r w:rsidRPr="00A96DBF">
        <w:rPr>
          <w:color w:val="000000" w:themeColor="text1"/>
          <w:lang w:val="en-US"/>
        </w:rPr>
        <w:t>Financ</w:t>
      </w:r>
      <w:proofErr w:type="spellEnd"/>
      <w:r w:rsidRPr="00A96DBF">
        <w:rPr>
          <w:color w:val="000000" w:themeColor="text1"/>
          <w:lang w:val="en-US"/>
        </w:rPr>
        <w:t xml:space="preserve">, 53, 1839-86 </w:t>
      </w:r>
      <w:hyperlink r:id="rId39" w:history="1">
        <w:r w:rsidRPr="00A96DBF">
          <w:rPr>
            <w:rStyle w:val="Hyperlink"/>
            <w:color w:val="000000" w:themeColor="text1"/>
          </w:rPr>
          <w:t>https://doi.org/10.1111/0022-1082.00077</w:t>
        </w:r>
      </w:hyperlink>
    </w:p>
    <w:p w14:paraId="1755A187" w14:textId="77777777" w:rsidR="001C05AC" w:rsidRPr="00917B10" w:rsidRDefault="001C05AC" w:rsidP="001C05AC">
      <w:pPr>
        <w:jc w:val="both"/>
        <w:rPr>
          <w:b/>
          <w:color w:val="FF0000"/>
        </w:rPr>
      </w:pPr>
    </w:p>
    <w:p w14:paraId="4B227EB3" w14:textId="77777777" w:rsidR="001C05AC" w:rsidRDefault="001C05AC" w:rsidP="001C05AC">
      <w:pPr>
        <w:jc w:val="both"/>
        <w:rPr>
          <w:color w:val="000000" w:themeColor="text1"/>
        </w:rPr>
      </w:pPr>
      <w:r w:rsidRPr="00902166">
        <w:rPr>
          <w:color w:val="000000" w:themeColor="text1"/>
        </w:rPr>
        <w:t xml:space="preserve">Datta S, </w:t>
      </w:r>
      <w:proofErr w:type="spellStart"/>
      <w:r w:rsidRPr="00902166">
        <w:rPr>
          <w:color w:val="000000" w:themeColor="text1"/>
        </w:rPr>
        <w:t>Kodwani</w:t>
      </w:r>
      <w:proofErr w:type="spellEnd"/>
      <w:r w:rsidRPr="00902166">
        <w:rPr>
          <w:color w:val="000000" w:themeColor="text1"/>
        </w:rPr>
        <w:t xml:space="preserve"> D, </w:t>
      </w:r>
      <w:proofErr w:type="spellStart"/>
      <w:r w:rsidRPr="00902166">
        <w:rPr>
          <w:color w:val="000000" w:themeColor="text1"/>
        </w:rPr>
        <w:t>Viney</w:t>
      </w:r>
      <w:proofErr w:type="spellEnd"/>
      <w:r w:rsidRPr="00902166">
        <w:rPr>
          <w:color w:val="000000" w:themeColor="text1"/>
        </w:rPr>
        <w:t xml:space="preserve"> H (2013) Shareholder wealth creation following M&amp;A: Evidence from European utility sectors. </w:t>
      </w:r>
      <w:proofErr w:type="spellStart"/>
      <w:r w:rsidRPr="00902166">
        <w:rPr>
          <w:iCs/>
          <w:color w:val="000000" w:themeColor="text1"/>
        </w:rPr>
        <w:t>Appl</w:t>
      </w:r>
      <w:proofErr w:type="spellEnd"/>
      <w:r w:rsidRPr="00902166">
        <w:rPr>
          <w:iCs/>
          <w:color w:val="000000" w:themeColor="text1"/>
        </w:rPr>
        <w:t xml:space="preserve">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23</w:t>
      </w:r>
      <w:r w:rsidRPr="00902166">
        <w:rPr>
          <w:color w:val="000000" w:themeColor="text1"/>
        </w:rPr>
        <w:t>(10): 891-900</w:t>
      </w:r>
    </w:p>
    <w:p w14:paraId="05637DE2" w14:textId="77777777" w:rsidR="001C05AC" w:rsidRPr="00902166" w:rsidRDefault="0081596F" w:rsidP="001C05AC">
      <w:pPr>
        <w:jc w:val="both"/>
        <w:rPr>
          <w:color w:val="000000" w:themeColor="text1"/>
        </w:rPr>
      </w:pPr>
      <w:hyperlink r:id="rId40" w:history="1">
        <w:r w:rsidR="001C05AC" w:rsidRPr="00902166">
          <w:rPr>
            <w:rStyle w:val="Hyperlink"/>
            <w:color w:val="000000" w:themeColor="text1"/>
          </w:rPr>
          <w:t>https://doi.org/10.1080/09603107.2013.778943</w:t>
        </w:r>
      </w:hyperlink>
    </w:p>
    <w:p w14:paraId="54E10D4F" w14:textId="77777777" w:rsidR="001C05AC" w:rsidRPr="00917B10" w:rsidRDefault="001C05AC" w:rsidP="001C05AC">
      <w:pPr>
        <w:jc w:val="both"/>
        <w:rPr>
          <w:color w:val="FF0000"/>
        </w:rPr>
      </w:pPr>
      <w:r w:rsidRPr="00917B10">
        <w:rPr>
          <w:color w:val="FF0000"/>
        </w:rPr>
        <w:t xml:space="preserve"> </w:t>
      </w:r>
    </w:p>
    <w:p w14:paraId="58C8711B" w14:textId="77777777" w:rsidR="001C05AC" w:rsidRPr="00917B10" w:rsidRDefault="001C05AC" w:rsidP="001C05AC">
      <w:pPr>
        <w:jc w:val="both"/>
        <w:rPr>
          <w:color w:val="000000" w:themeColor="text1"/>
        </w:rPr>
      </w:pPr>
      <w:r w:rsidRPr="00917B10">
        <w:rPr>
          <w:color w:val="000000" w:themeColor="text1"/>
        </w:rPr>
        <w:t xml:space="preserve">Doukas JA, </w:t>
      </w:r>
      <w:proofErr w:type="spellStart"/>
      <w:r w:rsidRPr="00917B10">
        <w:rPr>
          <w:color w:val="000000" w:themeColor="text1"/>
        </w:rPr>
        <w:t>Petmezas</w:t>
      </w:r>
      <w:proofErr w:type="spellEnd"/>
      <w:r w:rsidRPr="00917B10">
        <w:rPr>
          <w:color w:val="000000" w:themeColor="text1"/>
        </w:rPr>
        <w:t xml:space="preserve"> D (2007) Acquisitions, overconfident managers and self</w:t>
      </w:r>
      <w:r w:rsidRPr="00917B10">
        <w:rPr>
          <w:rFonts w:ascii="Cambria Math" w:hAnsi="Cambria Math" w:cs="Cambria Math"/>
          <w:color w:val="000000" w:themeColor="text1"/>
        </w:rPr>
        <w:t>‐</w:t>
      </w:r>
      <w:r w:rsidRPr="00917B10">
        <w:rPr>
          <w:color w:val="000000" w:themeColor="text1"/>
        </w:rPr>
        <w:t xml:space="preserve">attribution bias. </w:t>
      </w:r>
      <w:proofErr w:type="spellStart"/>
      <w:r w:rsidRPr="00917B10">
        <w:rPr>
          <w:iCs/>
          <w:color w:val="000000" w:themeColor="text1"/>
        </w:rPr>
        <w:t>Europ</w:t>
      </w:r>
      <w:proofErr w:type="spellEnd"/>
      <w:r w:rsidRPr="00917B10">
        <w:rPr>
          <w:iCs/>
          <w:color w:val="000000" w:themeColor="text1"/>
        </w:rPr>
        <w:t xml:space="preserve"> </w:t>
      </w:r>
      <w:proofErr w:type="spellStart"/>
      <w:r w:rsidRPr="00917B10">
        <w:rPr>
          <w:iCs/>
          <w:color w:val="000000" w:themeColor="text1"/>
        </w:rPr>
        <w:t>Financ</w:t>
      </w:r>
      <w:proofErr w:type="spellEnd"/>
      <w:r w:rsidRPr="00917B10">
        <w:rPr>
          <w:iCs/>
          <w:color w:val="000000" w:themeColor="text1"/>
        </w:rPr>
        <w:t xml:space="preserve"> </w:t>
      </w:r>
      <w:proofErr w:type="spellStart"/>
      <w:r w:rsidRPr="00917B10">
        <w:rPr>
          <w:iCs/>
          <w:color w:val="000000" w:themeColor="text1"/>
        </w:rPr>
        <w:t>Manag</w:t>
      </w:r>
      <w:proofErr w:type="spellEnd"/>
      <w:r w:rsidRPr="00917B10">
        <w:rPr>
          <w:color w:val="000000" w:themeColor="text1"/>
        </w:rPr>
        <w:t xml:space="preserve">, </w:t>
      </w:r>
      <w:r w:rsidRPr="00917B10">
        <w:rPr>
          <w:iCs/>
          <w:color w:val="000000" w:themeColor="text1"/>
        </w:rPr>
        <w:t>13</w:t>
      </w:r>
      <w:r w:rsidRPr="00917B10">
        <w:rPr>
          <w:color w:val="000000" w:themeColor="text1"/>
        </w:rPr>
        <w:t xml:space="preserve">(3): 531-577 </w:t>
      </w:r>
      <w:hyperlink r:id="rId41" w:history="1">
        <w:r w:rsidRPr="00917B10">
          <w:rPr>
            <w:rStyle w:val="Hyperlink"/>
            <w:color w:val="000000" w:themeColor="text1"/>
          </w:rPr>
          <w:t>https://doi.org/10.1111/j.1468-036X.2007.00371.x</w:t>
        </w:r>
      </w:hyperlink>
    </w:p>
    <w:p w14:paraId="1CA7F7BF" w14:textId="77777777" w:rsidR="001C05AC" w:rsidRPr="00917B10" w:rsidRDefault="001C05AC" w:rsidP="001C05AC">
      <w:pPr>
        <w:jc w:val="both"/>
        <w:rPr>
          <w:b/>
          <w:color w:val="FF0000"/>
        </w:rPr>
      </w:pPr>
    </w:p>
    <w:p w14:paraId="421DF6B5" w14:textId="77777777" w:rsidR="001C05AC" w:rsidRPr="00917B10" w:rsidRDefault="001C05AC" w:rsidP="001C05AC">
      <w:pPr>
        <w:jc w:val="both"/>
        <w:rPr>
          <w:color w:val="000000" w:themeColor="text1"/>
        </w:rPr>
      </w:pPr>
      <w:r w:rsidRPr="00917B10">
        <w:rPr>
          <w:color w:val="000000" w:themeColor="text1"/>
        </w:rPr>
        <w:t xml:space="preserve">Dowling M, </w:t>
      </w:r>
      <w:proofErr w:type="spellStart"/>
      <w:r w:rsidRPr="00917B10">
        <w:rPr>
          <w:color w:val="000000" w:themeColor="text1"/>
        </w:rPr>
        <w:t>Aribi</w:t>
      </w:r>
      <w:proofErr w:type="spellEnd"/>
      <w:r w:rsidRPr="00917B10">
        <w:rPr>
          <w:color w:val="000000" w:themeColor="text1"/>
        </w:rPr>
        <w:t xml:space="preserve"> ZA (2013) Female directors and UK company acquisitiveness. </w:t>
      </w:r>
      <w:r w:rsidRPr="00917B10">
        <w:rPr>
          <w:iCs/>
          <w:color w:val="000000" w:themeColor="text1"/>
        </w:rPr>
        <w:t xml:space="preserve">Int Rev </w:t>
      </w:r>
      <w:proofErr w:type="spellStart"/>
      <w:r w:rsidRPr="00917B10">
        <w:rPr>
          <w:iCs/>
          <w:color w:val="000000" w:themeColor="text1"/>
        </w:rPr>
        <w:t>Financ</w:t>
      </w:r>
      <w:proofErr w:type="spellEnd"/>
      <w:r w:rsidRPr="00917B10">
        <w:rPr>
          <w:iCs/>
          <w:color w:val="000000" w:themeColor="text1"/>
        </w:rPr>
        <w:t xml:space="preserve"> Anal</w:t>
      </w:r>
      <w:r w:rsidRPr="00917B10">
        <w:rPr>
          <w:color w:val="000000" w:themeColor="text1"/>
        </w:rPr>
        <w:t xml:space="preserve">, </w:t>
      </w:r>
      <w:r w:rsidRPr="00917B10">
        <w:rPr>
          <w:iCs/>
          <w:color w:val="000000" w:themeColor="text1"/>
        </w:rPr>
        <w:t>29</w:t>
      </w:r>
      <w:r w:rsidRPr="00917B10">
        <w:rPr>
          <w:color w:val="000000" w:themeColor="text1"/>
        </w:rPr>
        <w:t xml:space="preserve">: 79-86 </w:t>
      </w:r>
      <w:hyperlink r:id="rId42" w:tgtFrame="_blank" w:tooltip="Persistent link using digital object identifier" w:history="1">
        <w:r w:rsidRPr="00917B10">
          <w:rPr>
            <w:rStyle w:val="Hyperlink"/>
            <w:color w:val="000000" w:themeColor="text1"/>
          </w:rPr>
          <w:t>https://doi.org/10.1016/j.irfa.2013.04.004</w:t>
        </w:r>
      </w:hyperlink>
    </w:p>
    <w:p w14:paraId="128E4730" w14:textId="77777777" w:rsidR="001C05AC" w:rsidRPr="00917B10" w:rsidRDefault="001C05AC" w:rsidP="001C05AC">
      <w:pPr>
        <w:jc w:val="both"/>
        <w:rPr>
          <w:color w:val="FF0000"/>
        </w:rPr>
      </w:pPr>
    </w:p>
    <w:p w14:paraId="774DB036" w14:textId="77777777" w:rsidR="001C05AC" w:rsidRPr="00A96DBF" w:rsidRDefault="001C05AC" w:rsidP="001C05AC">
      <w:pPr>
        <w:jc w:val="both"/>
        <w:rPr>
          <w:color w:val="000000" w:themeColor="text1"/>
        </w:rPr>
      </w:pPr>
      <w:proofErr w:type="spellStart"/>
      <w:r w:rsidRPr="00A96DBF">
        <w:rPr>
          <w:rFonts w:eastAsiaTheme="minorHAnsi"/>
          <w:color w:val="000000" w:themeColor="text1"/>
          <w:lang w:val="en-US"/>
        </w:rPr>
        <w:t>Duellman</w:t>
      </w:r>
      <w:proofErr w:type="spellEnd"/>
      <w:r w:rsidRPr="00A96DBF">
        <w:rPr>
          <w:rFonts w:eastAsiaTheme="minorHAnsi"/>
          <w:color w:val="000000" w:themeColor="text1"/>
          <w:lang w:val="en-US"/>
        </w:rPr>
        <w:t xml:space="preserve"> S, Hurwitz H, Sun Y (2015) Managerial overconfidence and audit fees. J </w:t>
      </w:r>
      <w:proofErr w:type="spellStart"/>
      <w:r w:rsidRPr="00A96DBF">
        <w:rPr>
          <w:rFonts w:eastAsiaTheme="minorHAnsi"/>
          <w:color w:val="000000" w:themeColor="text1"/>
          <w:lang w:val="en-US"/>
        </w:rPr>
        <w:t>Cont</w:t>
      </w:r>
      <w:proofErr w:type="spellEnd"/>
      <w:r w:rsidRPr="00A96DBF">
        <w:rPr>
          <w:rFonts w:eastAsiaTheme="minorHAnsi"/>
          <w:color w:val="000000" w:themeColor="text1"/>
          <w:lang w:val="en-US"/>
        </w:rPr>
        <w:t xml:space="preserve"> Account Econ, 11(2): 148-165 </w:t>
      </w:r>
      <w:hyperlink r:id="rId43" w:tgtFrame="_blank" w:tooltip="Persistent link using digital object identifier" w:history="1">
        <w:r w:rsidRPr="00A96DBF">
          <w:rPr>
            <w:rStyle w:val="Hyperlink"/>
            <w:color w:val="000000" w:themeColor="text1"/>
          </w:rPr>
          <w:t>https://doi.org/10.1016/j.jcae.2015.05.001</w:t>
        </w:r>
      </w:hyperlink>
    </w:p>
    <w:p w14:paraId="7A6DF529" w14:textId="77777777" w:rsidR="001C05AC" w:rsidRPr="00917B10" w:rsidRDefault="001C05AC" w:rsidP="001C05AC">
      <w:pPr>
        <w:jc w:val="both"/>
        <w:rPr>
          <w:b/>
          <w:color w:val="FF0000"/>
        </w:rPr>
      </w:pPr>
    </w:p>
    <w:p w14:paraId="67631550" w14:textId="77777777" w:rsidR="001C05AC" w:rsidRPr="00902166" w:rsidRDefault="001C05AC" w:rsidP="001C05AC">
      <w:pPr>
        <w:jc w:val="both"/>
        <w:rPr>
          <w:color w:val="000000" w:themeColor="text1"/>
        </w:rPr>
      </w:pPr>
      <w:proofErr w:type="spellStart"/>
      <w:r w:rsidRPr="00902166">
        <w:rPr>
          <w:color w:val="000000" w:themeColor="text1"/>
        </w:rPr>
        <w:t>Fama</w:t>
      </w:r>
      <w:proofErr w:type="spellEnd"/>
      <w:r w:rsidRPr="00902166">
        <w:rPr>
          <w:color w:val="000000" w:themeColor="text1"/>
        </w:rPr>
        <w:t xml:space="preserve"> EF, French KR (1992) The cross</w:t>
      </w:r>
      <w:r w:rsidRPr="00902166">
        <w:rPr>
          <w:rFonts w:ascii="Cambria Math" w:hAnsi="Cambria Math" w:cs="Cambria Math"/>
          <w:color w:val="000000" w:themeColor="text1"/>
        </w:rPr>
        <w:t>‐</w:t>
      </w:r>
      <w:r w:rsidRPr="00902166">
        <w:rPr>
          <w:color w:val="000000" w:themeColor="text1"/>
        </w:rPr>
        <w:t xml:space="preserve">section of expected stock returns. </w:t>
      </w:r>
      <w:r w:rsidRPr="00902166">
        <w:rPr>
          <w:iCs/>
          <w:color w:val="000000" w:themeColor="text1"/>
        </w:rPr>
        <w:t xml:space="preserve">J </w:t>
      </w:r>
      <w:proofErr w:type="spellStart"/>
      <w:r w:rsidRPr="00902166">
        <w:rPr>
          <w:iCs/>
          <w:color w:val="000000" w:themeColor="text1"/>
        </w:rPr>
        <w:t>Financ</w:t>
      </w:r>
      <w:proofErr w:type="spellEnd"/>
      <w:r w:rsidRPr="00902166">
        <w:rPr>
          <w:color w:val="000000" w:themeColor="text1"/>
        </w:rPr>
        <w:t xml:space="preserve">, </w:t>
      </w:r>
      <w:r w:rsidRPr="00902166">
        <w:rPr>
          <w:iCs/>
          <w:color w:val="000000" w:themeColor="text1"/>
        </w:rPr>
        <w:t>47</w:t>
      </w:r>
      <w:r w:rsidRPr="00902166">
        <w:rPr>
          <w:color w:val="000000" w:themeColor="text1"/>
        </w:rPr>
        <w:t xml:space="preserve">(2), 427-465 </w:t>
      </w:r>
      <w:hyperlink r:id="rId44" w:history="1">
        <w:r w:rsidRPr="00902166">
          <w:rPr>
            <w:rStyle w:val="Hyperlink"/>
            <w:color w:val="000000" w:themeColor="text1"/>
          </w:rPr>
          <w:t>https://doi.org/10.1111/j.1540-6261.1992.tb04398.x</w:t>
        </w:r>
      </w:hyperlink>
    </w:p>
    <w:p w14:paraId="5F357BCC" w14:textId="77777777" w:rsidR="001C05AC" w:rsidRPr="00917B10" w:rsidRDefault="001C05AC" w:rsidP="001C05AC">
      <w:pPr>
        <w:jc w:val="both"/>
        <w:rPr>
          <w:b/>
          <w:color w:val="FF0000"/>
        </w:rPr>
      </w:pPr>
    </w:p>
    <w:p w14:paraId="21DB23DE" w14:textId="77777777" w:rsidR="001C05AC" w:rsidRPr="00917B10" w:rsidRDefault="001C05AC" w:rsidP="001C05AC">
      <w:pPr>
        <w:jc w:val="both"/>
        <w:rPr>
          <w:color w:val="000000" w:themeColor="text1"/>
        </w:rPr>
      </w:pPr>
      <w:r w:rsidRPr="00917B10">
        <w:rPr>
          <w:color w:val="000000" w:themeColor="text1"/>
        </w:rPr>
        <w:t xml:space="preserve">Farrell KA, Hersch, PL (2005) Additions to corporate boards: the effect of gender. J Corp </w:t>
      </w:r>
      <w:proofErr w:type="spellStart"/>
      <w:r w:rsidRPr="00917B10">
        <w:rPr>
          <w:color w:val="000000" w:themeColor="text1"/>
        </w:rPr>
        <w:t>Financ</w:t>
      </w:r>
      <w:proofErr w:type="spellEnd"/>
      <w:r w:rsidRPr="00917B10">
        <w:rPr>
          <w:color w:val="000000" w:themeColor="text1"/>
        </w:rPr>
        <w:t xml:space="preserve">, 11(1-2): 85-106 </w:t>
      </w:r>
      <w:hyperlink r:id="rId45" w:tgtFrame="_blank" w:tooltip="Persistent link using digital object identifier" w:history="1">
        <w:r w:rsidRPr="00917B10">
          <w:rPr>
            <w:rStyle w:val="Hyperlink"/>
            <w:color w:val="000000" w:themeColor="text1"/>
          </w:rPr>
          <w:t>https://doi.org/10.1016/j.jcorpfin.2003.12.001</w:t>
        </w:r>
      </w:hyperlink>
    </w:p>
    <w:p w14:paraId="6EFBBE8F" w14:textId="77777777" w:rsidR="001C05AC" w:rsidRPr="00917B10" w:rsidRDefault="001C05AC" w:rsidP="001C05AC">
      <w:pPr>
        <w:jc w:val="both"/>
        <w:rPr>
          <w:color w:val="FF0000"/>
        </w:rPr>
      </w:pPr>
    </w:p>
    <w:p w14:paraId="4ACA55A8" w14:textId="77777777" w:rsidR="001C05AC" w:rsidRPr="00A96DBF" w:rsidRDefault="001C05AC" w:rsidP="001C05AC">
      <w:pPr>
        <w:jc w:val="both"/>
        <w:rPr>
          <w:color w:val="000000" w:themeColor="text1"/>
        </w:rPr>
      </w:pPr>
      <w:r w:rsidRPr="00A96DBF">
        <w:rPr>
          <w:color w:val="000000" w:themeColor="text1"/>
        </w:rPr>
        <w:t xml:space="preserve">Ferris SP, Jayaraman N, </w:t>
      </w:r>
      <w:proofErr w:type="spellStart"/>
      <w:r w:rsidRPr="00A96DBF">
        <w:rPr>
          <w:color w:val="000000" w:themeColor="text1"/>
        </w:rPr>
        <w:t>Sabherwal</w:t>
      </w:r>
      <w:proofErr w:type="spellEnd"/>
      <w:r w:rsidRPr="00A96DBF">
        <w:rPr>
          <w:color w:val="000000" w:themeColor="text1"/>
        </w:rPr>
        <w:t xml:space="preserve"> S (2013) CEO overconfidence and international merger and acquisition activity. </w:t>
      </w:r>
      <w:r w:rsidRPr="00A96DBF">
        <w:rPr>
          <w:iCs/>
          <w:color w:val="000000" w:themeColor="text1"/>
        </w:rPr>
        <w:t xml:space="preserve">J </w:t>
      </w:r>
      <w:proofErr w:type="spellStart"/>
      <w:r w:rsidRPr="00A96DBF">
        <w:rPr>
          <w:iCs/>
          <w:color w:val="000000" w:themeColor="text1"/>
        </w:rPr>
        <w:t>Financ</w:t>
      </w:r>
      <w:proofErr w:type="spellEnd"/>
      <w:r w:rsidRPr="00A96DBF">
        <w:rPr>
          <w:iCs/>
          <w:color w:val="000000" w:themeColor="text1"/>
        </w:rPr>
        <w:t xml:space="preserve"> Quant Anal</w:t>
      </w:r>
      <w:r w:rsidRPr="00A96DBF">
        <w:rPr>
          <w:color w:val="000000" w:themeColor="text1"/>
        </w:rPr>
        <w:t xml:space="preserve">, 48(1): 137-164 </w:t>
      </w:r>
    </w:p>
    <w:p w14:paraId="4F44E27A" w14:textId="77777777" w:rsidR="001C05AC" w:rsidRPr="00CE4B81" w:rsidRDefault="0081596F" w:rsidP="001C05AC">
      <w:pPr>
        <w:jc w:val="both"/>
        <w:rPr>
          <w:color w:val="000000" w:themeColor="text1"/>
        </w:rPr>
      </w:pPr>
      <w:hyperlink r:id="rId46" w:history="1">
        <w:r w:rsidR="001C05AC" w:rsidRPr="00CE4B81">
          <w:rPr>
            <w:rStyle w:val="Hyperlink"/>
            <w:color w:val="000000" w:themeColor="text1"/>
          </w:rPr>
          <w:t>https://doi.org/10.1017/S0022109013000069</w:t>
        </w:r>
      </w:hyperlink>
    </w:p>
    <w:p w14:paraId="20B130FF" w14:textId="77777777" w:rsidR="001C05AC" w:rsidRPr="00917B10" w:rsidRDefault="001C05AC" w:rsidP="001C05AC">
      <w:pPr>
        <w:jc w:val="both"/>
        <w:rPr>
          <w:color w:val="FF0000"/>
        </w:rPr>
      </w:pPr>
      <w:r w:rsidRPr="00917B10">
        <w:rPr>
          <w:color w:val="FF0000"/>
        </w:rPr>
        <w:t xml:space="preserve"> </w:t>
      </w:r>
    </w:p>
    <w:p w14:paraId="48B175D6" w14:textId="77777777" w:rsidR="001C05AC" w:rsidRPr="00A96DBF" w:rsidRDefault="001C05AC" w:rsidP="001C05AC">
      <w:pPr>
        <w:jc w:val="both"/>
        <w:rPr>
          <w:color w:val="000000" w:themeColor="text1"/>
        </w:rPr>
      </w:pPr>
      <w:r w:rsidRPr="00A96DBF">
        <w:rPr>
          <w:color w:val="000000" w:themeColor="text1"/>
          <w:lang w:val="en-US"/>
        </w:rPr>
        <w:t xml:space="preserve">Gervais S, </w:t>
      </w:r>
      <w:proofErr w:type="spellStart"/>
      <w:r w:rsidRPr="00A96DBF">
        <w:rPr>
          <w:color w:val="000000" w:themeColor="text1"/>
          <w:lang w:val="en-US"/>
        </w:rPr>
        <w:t>Odean</w:t>
      </w:r>
      <w:proofErr w:type="spellEnd"/>
      <w:r w:rsidRPr="00A96DBF">
        <w:rPr>
          <w:color w:val="000000" w:themeColor="text1"/>
          <w:lang w:val="en-US"/>
        </w:rPr>
        <w:t xml:space="preserve"> T (2001) Learning to be overconfident. Rev </w:t>
      </w:r>
      <w:proofErr w:type="spellStart"/>
      <w:r w:rsidRPr="00A96DBF">
        <w:rPr>
          <w:color w:val="000000" w:themeColor="text1"/>
          <w:lang w:val="en-US"/>
        </w:rPr>
        <w:t>Financ</w:t>
      </w:r>
      <w:proofErr w:type="spellEnd"/>
      <w:r w:rsidRPr="00A96DBF">
        <w:rPr>
          <w:color w:val="000000" w:themeColor="text1"/>
          <w:lang w:val="en-US"/>
        </w:rPr>
        <w:t xml:space="preserve"> Stud, 14 (1): 1-27 </w:t>
      </w:r>
      <w:hyperlink r:id="rId47" w:history="1">
        <w:r w:rsidRPr="00A96DBF">
          <w:rPr>
            <w:rStyle w:val="Hyperlink"/>
            <w:color w:val="000000" w:themeColor="text1"/>
          </w:rPr>
          <w:t>https://doi.org/10.1093/rfs/14.1.1</w:t>
        </w:r>
      </w:hyperlink>
    </w:p>
    <w:p w14:paraId="283C613D" w14:textId="77777777" w:rsidR="001C05AC" w:rsidRPr="00917B10" w:rsidRDefault="001C05AC" w:rsidP="001C05AC">
      <w:pPr>
        <w:jc w:val="both"/>
        <w:rPr>
          <w:b/>
          <w:color w:val="FF0000"/>
        </w:rPr>
      </w:pPr>
    </w:p>
    <w:p w14:paraId="2F6B1E3A" w14:textId="77777777" w:rsidR="001C05AC" w:rsidRPr="00917B10" w:rsidRDefault="001C05AC" w:rsidP="001C05AC">
      <w:pPr>
        <w:rPr>
          <w:color w:val="000000" w:themeColor="text1"/>
        </w:rPr>
      </w:pPr>
      <w:bookmarkStart w:id="1" w:name="_Hlk120882618"/>
      <w:r w:rsidRPr="00917B10">
        <w:rPr>
          <w:color w:val="000000" w:themeColor="text1"/>
        </w:rPr>
        <w:t xml:space="preserve">Guan J, Lam BM, Lam CC, Liu M (2022) CEO overconfidence and the level of short-selling activity. Rev. Quant. </w:t>
      </w:r>
      <w:proofErr w:type="spellStart"/>
      <w:r w:rsidRPr="00917B10">
        <w:rPr>
          <w:color w:val="000000" w:themeColor="text1"/>
        </w:rPr>
        <w:t>Finan</w:t>
      </w:r>
      <w:proofErr w:type="spellEnd"/>
      <w:r w:rsidRPr="00917B10">
        <w:rPr>
          <w:color w:val="000000" w:themeColor="text1"/>
        </w:rPr>
        <w:t xml:space="preserve"> Account, 58 (2): 685–708</w:t>
      </w:r>
    </w:p>
    <w:p w14:paraId="3B737255" w14:textId="77777777" w:rsidR="001C05AC" w:rsidRPr="00917B10" w:rsidRDefault="001C05AC" w:rsidP="001C05AC">
      <w:pPr>
        <w:rPr>
          <w:color w:val="000000" w:themeColor="text1"/>
        </w:rPr>
      </w:pPr>
      <w:r w:rsidRPr="00753218">
        <w:rPr>
          <w:color w:val="000000" w:themeColor="text1"/>
        </w:rPr>
        <w:t>https://doi.org/10.1007/s11156-021-01006-y</w:t>
      </w:r>
    </w:p>
    <w:bookmarkEnd w:id="1"/>
    <w:p w14:paraId="56F609DC" w14:textId="77777777" w:rsidR="001C05AC" w:rsidRPr="00917B10" w:rsidRDefault="001C05AC" w:rsidP="001C05AC">
      <w:pPr>
        <w:jc w:val="both"/>
        <w:rPr>
          <w:b/>
          <w:color w:val="FF0000"/>
        </w:rPr>
      </w:pPr>
    </w:p>
    <w:p w14:paraId="37E514BD" w14:textId="77777777" w:rsidR="001C05AC" w:rsidRPr="00A96DBF" w:rsidRDefault="001C05AC" w:rsidP="001C05AC">
      <w:pPr>
        <w:jc w:val="both"/>
        <w:rPr>
          <w:color w:val="000000" w:themeColor="text1"/>
        </w:rPr>
      </w:pPr>
      <w:r w:rsidRPr="00A96DBF">
        <w:rPr>
          <w:color w:val="000000" w:themeColor="text1"/>
        </w:rPr>
        <w:t xml:space="preserve">Gul FA, </w:t>
      </w:r>
      <w:proofErr w:type="spellStart"/>
      <w:r w:rsidRPr="00A96DBF">
        <w:rPr>
          <w:color w:val="000000" w:themeColor="text1"/>
        </w:rPr>
        <w:t>Srinidhi</w:t>
      </w:r>
      <w:proofErr w:type="spellEnd"/>
      <w:r w:rsidRPr="00A96DBF">
        <w:rPr>
          <w:color w:val="000000" w:themeColor="text1"/>
        </w:rPr>
        <w:t xml:space="preserve"> B, Ng AC (2011) Does board gender diversity improve the informativeness of stock prices? </w:t>
      </w:r>
      <w:r w:rsidRPr="00A96DBF">
        <w:rPr>
          <w:iCs/>
          <w:color w:val="000000" w:themeColor="text1"/>
        </w:rPr>
        <w:t>J Account Econ</w:t>
      </w:r>
      <w:r w:rsidRPr="00A96DBF">
        <w:rPr>
          <w:color w:val="000000" w:themeColor="text1"/>
        </w:rPr>
        <w:t xml:space="preserve">, </w:t>
      </w:r>
      <w:r w:rsidRPr="00A96DBF">
        <w:rPr>
          <w:iCs/>
          <w:color w:val="000000" w:themeColor="text1"/>
        </w:rPr>
        <w:t>51(3)</w:t>
      </w:r>
      <w:r w:rsidRPr="00A96DBF">
        <w:rPr>
          <w:color w:val="000000" w:themeColor="text1"/>
        </w:rPr>
        <w:t>: 314-338</w:t>
      </w:r>
    </w:p>
    <w:p w14:paraId="6A596C00" w14:textId="77777777" w:rsidR="001C05AC" w:rsidRPr="00A96DBF" w:rsidRDefault="0081596F" w:rsidP="001C05AC">
      <w:pPr>
        <w:jc w:val="both"/>
        <w:rPr>
          <w:color w:val="000000" w:themeColor="text1"/>
        </w:rPr>
      </w:pPr>
      <w:hyperlink r:id="rId48" w:history="1">
        <w:r w:rsidR="001C05AC" w:rsidRPr="00A96DBF">
          <w:rPr>
            <w:rStyle w:val="Hyperlink"/>
            <w:color w:val="000000" w:themeColor="text1"/>
          </w:rPr>
          <w:t>https://doi.org/10.1016/j.jacceco.2011.01.005</w:t>
        </w:r>
      </w:hyperlink>
    </w:p>
    <w:p w14:paraId="039137EF" w14:textId="77777777" w:rsidR="001C05AC" w:rsidRPr="00917B10" w:rsidRDefault="001C05AC" w:rsidP="001C05AC">
      <w:pPr>
        <w:jc w:val="both"/>
        <w:rPr>
          <w:b/>
          <w:color w:val="FF0000"/>
        </w:rPr>
      </w:pPr>
    </w:p>
    <w:p w14:paraId="751B8FEE" w14:textId="77777777" w:rsidR="001C05AC" w:rsidRPr="00917B10" w:rsidRDefault="001C05AC" w:rsidP="001C05AC">
      <w:pPr>
        <w:jc w:val="both"/>
        <w:rPr>
          <w:color w:val="000000" w:themeColor="text1"/>
        </w:rPr>
      </w:pPr>
      <w:r w:rsidRPr="00917B10">
        <w:rPr>
          <w:color w:val="000000" w:themeColor="text1"/>
        </w:rPr>
        <w:t xml:space="preserve">Guo JM, Li Y, Wang C, Xing X (2018) The role of investment bankers in M&amp;As: New evidence on acquirers’ financial conditions. </w:t>
      </w:r>
      <w:r w:rsidRPr="00917B10">
        <w:rPr>
          <w:iCs/>
          <w:color w:val="000000" w:themeColor="text1"/>
        </w:rPr>
        <w:t xml:space="preserve">J Bank </w:t>
      </w:r>
      <w:proofErr w:type="spellStart"/>
      <w:r w:rsidRPr="00917B10">
        <w:rPr>
          <w:iCs/>
          <w:color w:val="000000" w:themeColor="text1"/>
        </w:rPr>
        <w:t>Financ</w:t>
      </w:r>
      <w:proofErr w:type="spellEnd"/>
      <w:r w:rsidRPr="00917B10">
        <w:rPr>
          <w:color w:val="000000" w:themeColor="text1"/>
        </w:rPr>
        <w:t>, 119:</w:t>
      </w:r>
      <w:r w:rsidRPr="00917B10">
        <w:rPr>
          <w:i/>
          <w:color w:val="000000" w:themeColor="text1"/>
        </w:rPr>
        <w:t xml:space="preserve"> </w:t>
      </w:r>
      <w:r w:rsidRPr="00917B10">
        <w:rPr>
          <w:color w:val="000000" w:themeColor="text1"/>
        </w:rPr>
        <w:t xml:space="preserve">105298 </w:t>
      </w:r>
      <w:hyperlink r:id="rId49" w:history="1">
        <w:r w:rsidRPr="00917B10">
          <w:rPr>
            <w:rStyle w:val="Hyperlink"/>
            <w:color w:val="000000" w:themeColor="text1"/>
          </w:rPr>
          <w:t>https://doi.org/10.1016/j.jbankfin.2018.02.004</w:t>
        </w:r>
      </w:hyperlink>
    </w:p>
    <w:p w14:paraId="3D6DA1EF" w14:textId="77777777" w:rsidR="001C05AC" w:rsidRPr="00917B10" w:rsidRDefault="001C05AC" w:rsidP="001C05AC">
      <w:pPr>
        <w:jc w:val="both"/>
        <w:rPr>
          <w:color w:val="000000" w:themeColor="text1"/>
        </w:rPr>
      </w:pPr>
    </w:p>
    <w:p w14:paraId="31EA2D0F" w14:textId="77777777" w:rsidR="001C05AC" w:rsidRPr="00917B10" w:rsidRDefault="001C05AC" w:rsidP="001C05AC">
      <w:pPr>
        <w:jc w:val="both"/>
        <w:rPr>
          <w:rFonts w:eastAsiaTheme="minorHAnsi"/>
          <w:color w:val="000000" w:themeColor="text1"/>
          <w:lang w:val="en-US"/>
        </w:rPr>
      </w:pPr>
      <w:r w:rsidRPr="00917B10">
        <w:rPr>
          <w:rFonts w:eastAsiaTheme="minorHAnsi"/>
          <w:color w:val="000000" w:themeColor="text1"/>
          <w:lang w:val="en-US"/>
        </w:rPr>
        <w:t xml:space="preserve">Guo M, Liu J, He Q, Xin JY (2020) Managerial overconfidence and M&amp;A performance: evidence from China. Int J Bank Account </w:t>
      </w:r>
      <w:proofErr w:type="spellStart"/>
      <w:r w:rsidRPr="00917B10">
        <w:rPr>
          <w:rFonts w:eastAsiaTheme="minorHAnsi"/>
          <w:color w:val="000000" w:themeColor="text1"/>
          <w:lang w:val="en-US"/>
        </w:rPr>
        <w:t>Financ</w:t>
      </w:r>
      <w:proofErr w:type="spellEnd"/>
      <w:r w:rsidRPr="00917B10">
        <w:rPr>
          <w:rFonts w:eastAsiaTheme="minorHAnsi"/>
          <w:color w:val="000000" w:themeColor="text1"/>
          <w:lang w:val="en-US"/>
        </w:rPr>
        <w:t>, 11(3): 342-360</w:t>
      </w:r>
    </w:p>
    <w:p w14:paraId="7FCF6D1D" w14:textId="77777777" w:rsidR="001C05AC" w:rsidRPr="00917B10" w:rsidRDefault="0081596F" w:rsidP="001C05AC">
      <w:pPr>
        <w:jc w:val="both"/>
        <w:rPr>
          <w:color w:val="000000" w:themeColor="text1"/>
        </w:rPr>
      </w:pPr>
      <w:hyperlink r:id="rId50" w:history="1">
        <w:r w:rsidR="001C05AC" w:rsidRPr="00917B10">
          <w:rPr>
            <w:rStyle w:val="Hyperlink"/>
            <w:color w:val="000000" w:themeColor="text1"/>
          </w:rPr>
          <w:t>https://doi.org/10.1504/IJBAAF.2020.10028269</w:t>
        </w:r>
      </w:hyperlink>
    </w:p>
    <w:p w14:paraId="5399FB7A" w14:textId="77777777" w:rsidR="001C05AC" w:rsidRPr="00917B10" w:rsidRDefault="001C05AC" w:rsidP="001C05AC">
      <w:pPr>
        <w:jc w:val="both"/>
        <w:rPr>
          <w:b/>
          <w:color w:val="FF0000"/>
        </w:rPr>
      </w:pPr>
    </w:p>
    <w:p w14:paraId="55516098" w14:textId="77777777" w:rsidR="001C05AC" w:rsidRPr="00902166" w:rsidRDefault="001C05AC" w:rsidP="001C05AC">
      <w:pPr>
        <w:jc w:val="both"/>
        <w:rPr>
          <w:color w:val="000000" w:themeColor="text1"/>
        </w:rPr>
      </w:pPr>
      <w:r w:rsidRPr="00902166">
        <w:rPr>
          <w:color w:val="000000" w:themeColor="text1"/>
        </w:rPr>
        <w:t xml:space="preserve">Hansen RG (1987) A theory for the choice of exchange medium in mergers and acquisitions. </w:t>
      </w:r>
      <w:r w:rsidRPr="00902166">
        <w:rPr>
          <w:iCs/>
          <w:color w:val="000000" w:themeColor="text1"/>
        </w:rPr>
        <w:t>J Bus</w:t>
      </w:r>
      <w:r w:rsidRPr="00902166">
        <w:rPr>
          <w:color w:val="000000" w:themeColor="text1"/>
        </w:rPr>
        <w:t xml:space="preserve">, 60(1): 75-95 https://www.jstor.org/stable/2352948 </w:t>
      </w:r>
    </w:p>
    <w:p w14:paraId="2DF388ED" w14:textId="77777777" w:rsidR="001C05AC" w:rsidRPr="00917B10" w:rsidRDefault="001C05AC" w:rsidP="001C05AC">
      <w:pPr>
        <w:jc w:val="both"/>
        <w:rPr>
          <w:b/>
          <w:color w:val="FF0000"/>
        </w:rPr>
      </w:pPr>
    </w:p>
    <w:p w14:paraId="72D8C08A" w14:textId="77777777" w:rsidR="001C05AC" w:rsidRPr="00917B10" w:rsidRDefault="001C05AC" w:rsidP="001C05AC">
      <w:pPr>
        <w:jc w:val="both"/>
        <w:rPr>
          <w:color w:val="000000" w:themeColor="text1"/>
        </w:rPr>
      </w:pPr>
      <w:proofErr w:type="spellStart"/>
      <w:r w:rsidRPr="00917B10">
        <w:rPr>
          <w:color w:val="000000" w:themeColor="text1"/>
        </w:rPr>
        <w:t>Harford</w:t>
      </w:r>
      <w:proofErr w:type="spellEnd"/>
      <w:r w:rsidRPr="00917B10">
        <w:rPr>
          <w:color w:val="000000" w:themeColor="text1"/>
        </w:rPr>
        <w:t xml:space="preserve"> J, Li K (2007) Decoupling CEO wealth and firm performance: The case of acquiring CEOs. </w:t>
      </w:r>
      <w:r w:rsidRPr="00917B10">
        <w:rPr>
          <w:iCs/>
          <w:color w:val="000000" w:themeColor="text1"/>
        </w:rPr>
        <w:t xml:space="preserve">J </w:t>
      </w:r>
      <w:proofErr w:type="spellStart"/>
      <w:r w:rsidRPr="00917B10">
        <w:rPr>
          <w:iCs/>
          <w:color w:val="000000" w:themeColor="text1"/>
        </w:rPr>
        <w:t>Financ</w:t>
      </w:r>
      <w:proofErr w:type="spellEnd"/>
      <w:r w:rsidRPr="00917B10">
        <w:rPr>
          <w:color w:val="000000" w:themeColor="text1"/>
        </w:rPr>
        <w:t xml:space="preserve">, </w:t>
      </w:r>
      <w:r w:rsidRPr="00917B10">
        <w:rPr>
          <w:iCs/>
          <w:color w:val="000000" w:themeColor="text1"/>
        </w:rPr>
        <w:t>62</w:t>
      </w:r>
      <w:r w:rsidRPr="00917B10">
        <w:rPr>
          <w:color w:val="000000" w:themeColor="text1"/>
        </w:rPr>
        <w:t xml:space="preserve">(2): 917-949 </w:t>
      </w:r>
      <w:hyperlink r:id="rId51" w:history="1">
        <w:r w:rsidRPr="00917B10">
          <w:rPr>
            <w:rStyle w:val="Hyperlink"/>
            <w:color w:val="000000" w:themeColor="text1"/>
          </w:rPr>
          <w:t>https://doi.org/10.1111/j.1540-6261.2007.01227.x</w:t>
        </w:r>
      </w:hyperlink>
    </w:p>
    <w:p w14:paraId="005F632D" w14:textId="77777777" w:rsidR="001C05AC" w:rsidRPr="00917B10" w:rsidRDefault="001C05AC" w:rsidP="001C05AC">
      <w:pPr>
        <w:jc w:val="both"/>
        <w:rPr>
          <w:color w:val="FF0000"/>
        </w:rPr>
      </w:pPr>
    </w:p>
    <w:p w14:paraId="666C5E55" w14:textId="77777777" w:rsidR="001C05AC" w:rsidRPr="00A96DBF" w:rsidRDefault="001C05AC" w:rsidP="001C05AC">
      <w:pPr>
        <w:jc w:val="both"/>
        <w:rPr>
          <w:color w:val="000000" w:themeColor="text1"/>
        </w:rPr>
      </w:pPr>
      <w:r w:rsidRPr="00A96DBF">
        <w:rPr>
          <w:color w:val="000000" w:themeColor="text1"/>
        </w:rPr>
        <w:t xml:space="preserve">Hayward ML, Hambrick DC (1997) Explaining the premiums paid for large acquisitions: Evidence of CEO hubris. </w:t>
      </w:r>
      <w:proofErr w:type="spellStart"/>
      <w:r w:rsidRPr="00A96DBF">
        <w:rPr>
          <w:iCs/>
          <w:color w:val="000000" w:themeColor="text1"/>
        </w:rPr>
        <w:t>Adm</w:t>
      </w:r>
      <w:proofErr w:type="spellEnd"/>
      <w:r w:rsidRPr="00A96DBF">
        <w:rPr>
          <w:iCs/>
          <w:color w:val="000000" w:themeColor="text1"/>
        </w:rPr>
        <w:t xml:space="preserve"> Sci Q</w:t>
      </w:r>
      <w:r w:rsidRPr="00A96DBF">
        <w:rPr>
          <w:color w:val="000000" w:themeColor="text1"/>
        </w:rPr>
        <w:t xml:space="preserve">, 42(1): 103-127 https://doi.org/10.2307/2393810 </w:t>
      </w:r>
    </w:p>
    <w:p w14:paraId="666BCA6E" w14:textId="77777777" w:rsidR="001C05AC" w:rsidRPr="00917B10" w:rsidRDefault="001C05AC" w:rsidP="001C05AC">
      <w:pPr>
        <w:jc w:val="both"/>
        <w:rPr>
          <w:b/>
          <w:color w:val="FF0000"/>
        </w:rPr>
      </w:pPr>
    </w:p>
    <w:p w14:paraId="5041C73C" w14:textId="77777777" w:rsidR="001C05AC" w:rsidRPr="00A96DBF" w:rsidRDefault="001C05AC" w:rsidP="001C05AC">
      <w:pPr>
        <w:jc w:val="both"/>
        <w:rPr>
          <w:color w:val="000000" w:themeColor="text1"/>
        </w:rPr>
      </w:pPr>
      <w:r w:rsidRPr="00A96DBF">
        <w:rPr>
          <w:color w:val="000000" w:themeColor="text1"/>
        </w:rPr>
        <w:t xml:space="preserve">Heaton JB (2002) Managerial optimism and corporate finance. </w:t>
      </w:r>
      <w:proofErr w:type="spellStart"/>
      <w:r w:rsidRPr="00A96DBF">
        <w:rPr>
          <w:iCs/>
          <w:color w:val="000000" w:themeColor="text1"/>
        </w:rPr>
        <w:t>Financ</w:t>
      </w:r>
      <w:proofErr w:type="spellEnd"/>
      <w:r w:rsidRPr="00A96DBF">
        <w:rPr>
          <w:iCs/>
          <w:color w:val="000000" w:themeColor="text1"/>
        </w:rPr>
        <w:t xml:space="preserve"> </w:t>
      </w:r>
      <w:proofErr w:type="spellStart"/>
      <w:r w:rsidRPr="00A96DBF">
        <w:rPr>
          <w:iCs/>
          <w:color w:val="000000" w:themeColor="text1"/>
        </w:rPr>
        <w:t>Manag</w:t>
      </w:r>
      <w:proofErr w:type="spellEnd"/>
      <w:r w:rsidRPr="00A96DBF">
        <w:rPr>
          <w:color w:val="000000" w:themeColor="text1"/>
        </w:rPr>
        <w:t>, 31(2): 33-45 https://doi.org/10.2307/3666221</w:t>
      </w:r>
    </w:p>
    <w:p w14:paraId="06852A82" w14:textId="77777777" w:rsidR="001C05AC" w:rsidRDefault="001C05AC" w:rsidP="001C05AC">
      <w:pPr>
        <w:jc w:val="both"/>
        <w:rPr>
          <w:b/>
          <w:color w:val="000000" w:themeColor="text1"/>
        </w:rPr>
      </w:pPr>
    </w:p>
    <w:p w14:paraId="3DBC6B4F" w14:textId="77777777" w:rsidR="001C05AC" w:rsidRDefault="001C05AC" w:rsidP="001C05AC">
      <w:pPr>
        <w:jc w:val="both"/>
      </w:pPr>
      <w:r w:rsidRPr="00C70499">
        <w:t xml:space="preserve">He Z, Yu H, Du L. (2020) Cohabitation before marriage: do prior alliances enhance post-merger </w:t>
      </w:r>
      <w:proofErr w:type="gramStart"/>
      <w:r w:rsidRPr="00C70499">
        <w:t>performance?.</w:t>
      </w:r>
      <w:proofErr w:type="gramEnd"/>
      <w:r w:rsidRPr="00C70499">
        <w:t xml:space="preserve"> </w:t>
      </w:r>
      <w:r w:rsidRPr="00C70499">
        <w:rPr>
          <w:iCs/>
        </w:rPr>
        <w:t xml:space="preserve">Rev Quant </w:t>
      </w:r>
      <w:proofErr w:type="spellStart"/>
      <w:r w:rsidRPr="00C70499">
        <w:rPr>
          <w:iCs/>
        </w:rPr>
        <w:t>Financ</w:t>
      </w:r>
      <w:proofErr w:type="spellEnd"/>
      <w:r>
        <w:rPr>
          <w:iCs/>
        </w:rPr>
        <w:t xml:space="preserve"> </w:t>
      </w:r>
      <w:r w:rsidRPr="00C70499">
        <w:rPr>
          <w:iCs/>
        </w:rPr>
        <w:t>Account</w:t>
      </w:r>
      <w:r w:rsidRPr="00C70499">
        <w:t xml:space="preserve">, </w:t>
      </w:r>
      <w:r w:rsidRPr="00C70499">
        <w:rPr>
          <w:iCs/>
        </w:rPr>
        <w:t>54</w:t>
      </w:r>
      <w:r w:rsidRPr="00C70499">
        <w:t>(4), 1315-1349</w:t>
      </w:r>
      <w:r>
        <w:t xml:space="preserve"> </w:t>
      </w:r>
    </w:p>
    <w:p w14:paraId="006D8461" w14:textId="77777777" w:rsidR="001C05AC" w:rsidRPr="00C70499" w:rsidRDefault="001C05AC" w:rsidP="001C05AC">
      <w:pPr>
        <w:jc w:val="both"/>
      </w:pPr>
      <w:r>
        <w:t>h</w:t>
      </w:r>
      <w:r w:rsidRPr="00C70499">
        <w:t>ttps://doi.org/10.1007/s11156-019-00826-3</w:t>
      </w:r>
    </w:p>
    <w:p w14:paraId="5AE2B886" w14:textId="77777777" w:rsidR="001C05AC" w:rsidRPr="00917B10" w:rsidRDefault="001C05AC" w:rsidP="001C05AC">
      <w:pPr>
        <w:jc w:val="both"/>
        <w:rPr>
          <w:color w:val="FF0000"/>
        </w:rPr>
      </w:pPr>
    </w:p>
    <w:p w14:paraId="46CDCC4A" w14:textId="77777777" w:rsidR="001C05AC" w:rsidRPr="00A96DBF" w:rsidRDefault="001C05AC" w:rsidP="001C05AC">
      <w:pPr>
        <w:jc w:val="both"/>
        <w:rPr>
          <w:rStyle w:val="Hyperlink"/>
          <w:color w:val="000000" w:themeColor="text1"/>
        </w:rPr>
      </w:pPr>
      <w:r w:rsidRPr="00A96DBF">
        <w:rPr>
          <w:color w:val="000000" w:themeColor="text1"/>
        </w:rPr>
        <w:t xml:space="preserve">Hilary G, </w:t>
      </w:r>
      <w:proofErr w:type="spellStart"/>
      <w:r w:rsidRPr="00A96DBF">
        <w:rPr>
          <w:color w:val="000000" w:themeColor="text1"/>
        </w:rPr>
        <w:t>Menzly</w:t>
      </w:r>
      <w:proofErr w:type="spellEnd"/>
      <w:r w:rsidRPr="00A96DBF">
        <w:rPr>
          <w:color w:val="000000" w:themeColor="text1"/>
        </w:rPr>
        <w:t xml:space="preserve"> L (2006) Does past success lead analysts to become overconfident? </w:t>
      </w:r>
      <w:proofErr w:type="spellStart"/>
      <w:r w:rsidRPr="00A96DBF">
        <w:rPr>
          <w:iCs/>
          <w:color w:val="000000" w:themeColor="text1"/>
        </w:rPr>
        <w:t>Manag</w:t>
      </w:r>
      <w:proofErr w:type="spellEnd"/>
      <w:r w:rsidRPr="00A96DBF">
        <w:rPr>
          <w:iCs/>
          <w:color w:val="000000" w:themeColor="text1"/>
        </w:rPr>
        <w:t xml:space="preserve"> Sci</w:t>
      </w:r>
      <w:r w:rsidRPr="00A96DBF">
        <w:rPr>
          <w:color w:val="000000" w:themeColor="text1"/>
        </w:rPr>
        <w:t xml:space="preserve">, </w:t>
      </w:r>
      <w:r w:rsidRPr="00A96DBF">
        <w:rPr>
          <w:iCs/>
          <w:color w:val="000000" w:themeColor="text1"/>
        </w:rPr>
        <w:t>52</w:t>
      </w:r>
      <w:r w:rsidRPr="00A96DBF">
        <w:rPr>
          <w:color w:val="000000" w:themeColor="text1"/>
        </w:rPr>
        <w:t xml:space="preserve">(4): 489-500 </w:t>
      </w:r>
      <w:hyperlink r:id="rId52" w:history="1">
        <w:r w:rsidRPr="00A96DBF">
          <w:rPr>
            <w:rStyle w:val="Hyperlink"/>
            <w:color w:val="000000" w:themeColor="text1"/>
          </w:rPr>
          <w:t>https://doi.org/10.1287/mnsc.1050.0485</w:t>
        </w:r>
      </w:hyperlink>
    </w:p>
    <w:p w14:paraId="60230407" w14:textId="77777777" w:rsidR="001C05AC" w:rsidRPr="00917B10" w:rsidRDefault="001C05AC" w:rsidP="001C05AC">
      <w:pPr>
        <w:jc w:val="both"/>
        <w:rPr>
          <w:color w:val="FF0000"/>
        </w:rPr>
      </w:pPr>
    </w:p>
    <w:p w14:paraId="3A5E75E2" w14:textId="77777777" w:rsidR="001C05AC" w:rsidRPr="00917B10" w:rsidRDefault="001C05AC" w:rsidP="001C05AC">
      <w:pPr>
        <w:jc w:val="both"/>
        <w:rPr>
          <w:color w:val="000000" w:themeColor="text1"/>
        </w:rPr>
      </w:pPr>
      <w:bookmarkStart w:id="2" w:name="_Hlk120882642"/>
      <w:r w:rsidRPr="00917B10">
        <w:rPr>
          <w:color w:val="000000" w:themeColor="text1"/>
        </w:rPr>
        <w:t>Hsu A, Lee C-F, Liu S (2022) Book-tax differences, CEO overconfidence, and bank loan contracting. </w:t>
      </w:r>
      <w:r w:rsidRPr="00917B10">
        <w:rPr>
          <w:iCs/>
          <w:color w:val="000000" w:themeColor="text1"/>
        </w:rPr>
        <w:t xml:space="preserve">Rev Quant </w:t>
      </w:r>
      <w:proofErr w:type="spellStart"/>
      <w:r w:rsidRPr="00917B10">
        <w:rPr>
          <w:iCs/>
          <w:color w:val="000000" w:themeColor="text1"/>
        </w:rPr>
        <w:t>Financ</w:t>
      </w:r>
      <w:proofErr w:type="spellEnd"/>
      <w:r w:rsidRPr="00917B10">
        <w:rPr>
          <w:iCs/>
          <w:color w:val="000000" w:themeColor="text1"/>
        </w:rPr>
        <w:t xml:space="preserve"> Account</w:t>
      </w:r>
      <w:r w:rsidRPr="00917B10">
        <w:rPr>
          <w:color w:val="000000" w:themeColor="text1"/>
        </w:rPr>
        <w:t>, 58(2): 437–472 https://doi.org/10.1007/s11156-021-00992-3</w:t>
      </w:r>
    </w:p>
    <w:bookmarkEnd w:id="2"/>
    <w:p w14:paraId="54DD23CF" w14:textId="77777777" w:rsidR="001C05AC" w:rsidRPr="00917B10" w:rsidRDefault="001C05AC" w:rsidP="001C05AC">
      <w:pPr>
        <w:jc w:val="both"/>
        <w:rPr>
          <w:b/>
          <w:color w:val="FF0000"/>
        </w:rPr>
      </w:pPr>
    </w:p>
    <w:p w14:paraId="42B3ABB1" w14:textId="77777777" w:rsidR="001C05AC" w:rsidRDefault="001C05AC" w:rsidP="001C05AC">
      <w:pPr>
        <w:jc w:val="both"/>
        <w:rPr>
          <w:color w:val="000000" w:themeColor="text1"/>
        </w:rPr>
      </w:pPr>
      <w:r w:rsidRPr="00A96DBF">
        <w:rPr>
          <w:color w:val="000000" w:themeColor="text1"/>
        </w:rPr>
        <w:t xml:space="preserve">Huang J, </w:t>
      </w:r>
      <w:proofErr w:type="spellStart"/>
      <w:r w:rsidRPr="00A96DBF">
        <w:rPr>
          <w:color w:val="000000" w:themeColor="text1"/>
        </w:rPr>
        <w:t>Kisgen</w:t>
      </w:r>
      <w:proofErr w:type="spellEnd"/>
      <w:r w:rsidRPr="00A96DBF">
        <w:rPr>
          <w:color w:val="000000" w:themeColor="text1"/>
        </w:rPr>
        <w:t xml:space="preserve">, DJ (2013) Gender and corporate finance: Are male executives overconfident relative to female </w:t>
      </w:r>
      <w:proofErr w:type="gramStart"/>
      <w:r w:rsidRPr="00A96DBF">
        <w:rPr>
          <w:color w:val="000000" w:themeColor="text1"/>
        </w:rPr>
        <w:t>executives?.</w:t>
      </w:r>
      <w:proofErr w:type="gramEnd"/>
      <w:r w:rsidRPr="00A96DBF">
        <w:rPr>
          <w:color w:val="000000" w:themeColor="text1"/>
        </w:rPr>
        <w:t xml:space="preserve"> </w:t>
      </w:r>
      <w:r w:rsidRPr="00A96DBF">
        <w:rPr>
          <w:iCs/>
          <w:color w:val="000000" w:themeColor="text1"/>
        </w:rPr>
        <w:t xml:space="preserve">J </w:t>
      </w:r>
      <w:proofErr w:type="spellStart"/>
      <w:r w:rsidRPr="00A96DBF">
        <w:rPr>
          <w:iCs/>
          <w:color w:val="000000" w:themeColor="text1"/>
        </w:rPr>
        <w:t>Financ</w:t>
      </w:r>
      <w:proofErr w:type="spellEnd"/>
      <w:r w:rsidRPr="00A96DBF">
        <w:rPr>
          <w:iCs/>
          <w:color w:val="000000" w:themeColor="text1"/>
        </w:rPr>
        <w:t xml:space="preserve"> Econ</w:t>
      </w:r>
      <w:r w:rsidRPr="00A96DBF">
        <w:rPr>
          <w:color w:val="000000" w:themeColor="text1"/>
        </w:rPr>
        <w:t xml:space="preserve">, </w:t>
      </w:r>
      <w:r w:rsidRPr="00A96DBF">
        <w:rPr>
          <w:iCs/>
          <w:color w:val="000000" w:themeColor="text1"/>
        </w:rPr>
        <w:t>108</w:t>
      </w:r>
      <w:r w:rsidRPr="00A96DBF">
        <w:rPr>
          <w:color w:val="000000" w:themeColor="text1"/>
        </w:rPr>
        <w:t>(3): 822-839</w:t>
      </w:r>
    </w:p>
    <w:p w14:paraId="01CE89EF" w14:textId="77777777" w:rsidR="001C05AC" w:rsidRPr="00A96DBF" w:rsidRDefault="0081596F" w:rsidP="001C05AC">
      <w:pPr>
        <w:jc w:val="both"/>
        <w:rPr>
          <w:color w:val="000000" w:themeColor="text1"/>
        </w:rPr>
      </w:pPr>
      <w:hyperlink r:id="rId53" w:tgtFrame="_blank" w:tooltip="Persistent link using digital object identifier" w:history="1">
        <w:r w:rsidR="001C05AC" w:rsidRPr="00A96DBF">
          <w:rPr>
            <w:rStyle w:val="Hyperlink"/>
            <w:color w:val="000000" w:themeColor="text1"/>
          </w:rPr>
          <w:t>https://doi.org/10.1016/j.jfineco.2012.12.005</w:t>
        </w:r>
      </w:hyperlink>
    </w:p>
    <w:p w14:paraId="6B8E4720" w14:textId="77777777" w:rsidR="001C05AC" w:rsidRPr="00917B10" w:rsidRDefault="001C05AC" w:rsidP="001C05AC">
      <w:pPr>
        <w:jc w:val="both"/>
        <w:rPr>
          <w:b/>
          <w:color w:val="FF0000"/>
        </w:rPr>
      </w:pPr>
    </w:p>
    <w:p w14:paraId="4C4B8466" w14:textId="77777777" w:rsidR="001C05AC" w:rsidRPr="00917B10" w:rsidRDefault="001C05AC" w:rsidP="001C05AC">
      <w:pPr>
        <w:jc w:val="both"/>
        <w:rPr>
          <w:color w:val="000000" w:themeColor="text1"/>
        </w:rPr>
      </w:pPr>
      <w:r w:rsidRPr="00917B10">
        <w:rPr>
          <w:color w:val="000000" w:themeColor="text1"/>
        </w:rPr>
        <w:t>Huang R, Tan KJK, Faff R (2016) CEO overconfidence and debt maturity</w:t>
      </w:r>
      <w:r>
        <w:rPr>
          <w:color w:val="000000" w:themeColor="text1"/>
        </w:rPr>
        <w:t>.</w:t>
      </w:r>
      <w:r w:rsidRPr="00917B10">
        <w:rPr>
          <w:color w:val="000000" w:themeColor="text1"/>
        </w:rPr>
        <w:t xml:space="preserve"> J Corp </w:t>
      </w:r>
      <w:proofErr w:type="spellStart"/>
      <w:r w:rsidRPr="00917B10">
        <w:rPr>
          <w:color w:val="000000" w:themeColor="text1"/>
        </w:rPr>
        <w:t>Financ</w:t>
      </w:r>
      <w:proofErr w:type="spellEnd"/>
      <w:r w:rsidRPr="00917B10">
        <w:rPr>
          <w:color w:val="000000" w:themeColor="text1"/>
        </w:rPr>
        <w:t xml:space="preserve">, 36: 93-110 </w:t>
      </w:r>
      <w:hyperlink r:id="rId54" w:tgtFrame="_blank" w:tooltip="Persistent link using digital object identifier" w:history="1">
        <w:r w:rsidRPr="00917B10">
          <w:rPr>
            <w:rStyle w:val="Hyperlink"/>
            <w:color w:val="000000" w:themeColor="text1"/>
          </w:rPr>
          <w:t>https://doi.org/10.1016/j.jcorpfin.2015.10.009</w:t>
        </w:r>
      </w:hyperlink>
    </w:p>
    <w:p w14:paraId="08230B82" w14:textId="77777777" w:rsidR="001C05AC" w:rsidRPr="00917B10" w:rsidRDefault="001C05AC" w:rsidP="001C05AC">
      <w:pPr>
        <w:jc w:val="both"/>
        <w:rPr>
          <w:color w:val="FF0000"/>
        </w:rPr>
      </w:pPr>
    </w:p>
    <w:p w14:paraId="437D3485" w14:textId="77777777" w:rsidR="001C05AC" w:rsidRPr="00917B10" w:rsidRDefault="001C05AC" w:rsidP="001C05AC">
      <w:pPr>
        <w:jc w:val="both"/>
        <w:rPr>
          <w:color w:val="000000" w:themeColor="text1"/>
        </w:rPr>
      </w:pPr>
      <w:bookmarkStart w:id="3" w:name="_Hlk120882657"/>
      <w:r w:rsidRPr="00917B10">
        <w:rPr>
          <w:color w:val="000000" w:themeColor="text1"/>
        </w:rPr>
        <w:t xml:space="preserve">Ismail A, Mavis CP (2022) A new method for measuring CEO overconfidence: Evidence from acquisitions. Inter Rev </w:t>
      </w:r>
      <w:proofErr w:type="spellStart"/>
      <w:r w:rsidRPr="00917B10">
        <w:rPr>
          <w:color w:val="000000" w:themeColor="text1"/>
        </w:rPr>
        <w:t>Financ</w:t>
      </w:r>
      <w:proofErr w:type="spellEnd"/>
      <w:r w:rsidRPr="00917B10">
        <w:rPr>
          <w:color w:val="000000" w:themeColor="text1"/>
        </w:rPr>
        <w:t xml:space="preserve"> Anal, </w:t>
      </w:r>
      <w:r w:rsidRPr="00917B10">
        <w:rPr>
          <w:iCs/>
          <w:color w:val="000000" w:themeColor="text1"/>
        </w:rPr>
        <w:t>79</w:t>
      </w:r>
      <w:r w:rsidRPr="00917B10">
        <w:rPr>
          <w:color w:val="000000" w:themeColor="text1"/>
        </w:rPr>
        <w:t xml:space="preserve">: 101964 </w:t>
      </w:r>
      <w:hyperlink r:id="rId55" w:tgtFrame="_blank" w:tooltip="Persistent link using digital object identifier" w:history="1">
        <w:r w:rsidRPr="00917B10">
          <w:rPr>
            <w:rStyle w:val="Hyperlink"/>
            <w:color w:val="000000" w:themeColor="text1"/>
          </w:rPr>
          <w:t>https://doi.org/10.1016/j.irfa.2021.101964</w:t>
        </w:r>
      </w:hyperlink>
    </w:p>
    <w:bookmarkEnd w:id="3"/>
    <w:p w14:paraId="3554B84B" w14:textId="77777777" w:rsidR="001C05AC" w:rsidRPr="00917B10" w:rsidRDefault="001C05AC" w:rsidP="001C05AC">
      <w:pPr>
        <w:jc w:val="both"/>
        <w:rPr>
          <w:color w:val="FF0000"/>
        </w:rPr>
      </w:pPr>
    </w:p>
    <w:p w14:paraId="0E2EF741" w14:textId="77777777" w:rsidR="001C05AC" w:rsidRPr="00917B10" w:rsidRDefault="001C05AC" w:rsidP="001C05AC">
      <w:pPr>
        <w:jc w:val="both"/>
        <w:rPr>
          <w:color w:val="000000" w:themeColor="text1"/>
        </w:rPr>
      </w:pPr>
      <w:r w:rsidRPr="00917B10">
        <w:rPr>
          <w:color w:val="000000" w:themeColor="text1"/>
          <w:lang w:val="en-US"/>
        </w:rPr>
        <w:t xml:space="preserve">Jensen MC, </w:t>
      </w:r>
      <w:proofErr w:type="spellStart"/>
      <w:r w:rsidRPr="00917B10">
        <w:rPr>
          <w:color w:val="000000" w:themeColor="text1"/>
          <w:lang w:val="en-US"/>
        </w:rPr>
        <w:t>Meckling</w:t>
      </w:r>
      <w:proofErr w:type="spellEnd"/>
      <w:r w:rsidRPr="00917B10">
        <w:rPr>
          <w:color w:val="000000" w:themeColor="text1"/>
          <w:lang w:val="en-US"/>
        </w:rPr>
        <w:t xml:space="preserve"> W (1976) Theory of the firm: managerial behavior, agency costs and ownership structure, J </w:t>
      </w:r>
      <w:proofErr w:type="spellStart"/>
      <w:r w:rsidRPr="00917B10">
        <w:rPr>
          <w:color w:val="000000" w:themeColor="text1"/>
          <w:lang w:val="en-US"/>
        </w:rPr>
        <w:t>Financ</w:t>
      </w:r>
      <w:proofErr w:type="spellEnd"/>
      <w:r w:rsidRPr="00917B10">
        <w:rPr>
          <w:color w:val="000000" w:themeColor="text1"/>
          <w:lang w:val="en-US"/>
        </w:rPr>
        <w:t xml:space="preserve"> Econ, 3: 305-360</w:t>
      </w:r>
    </w:p>
    <w:p w14:paraId="3AD04291" w14:textId="77777777" w:rsidR="001C05AC" w:rsidRPr="00917B10" w:rsidRDefault="001C05AC" w:rsidP="001C05AC">
      <w:pPr>
        <w:jc w:val="both"/>
        <w:rPr>
          <w:color w:val="FF0000"/>
        </w:rPr>
      </w:pPr>
    </w:p>
    <w:p w14:paraId="6296993A" w14:textId="77777777" w:rsidR="001C05AC" w:rsidRDefault="001C05AC" w:rsidP="001C05AC">
      <w:pPr>
        <w:jc w:val="both"/>
        <w:rPr>
          <w:rStyle w:val="Hyperlink"/>
          <w:color w:val="000000" w:themeColor="text1"/>
        </w:rPr>
      </w:pPr>
      <w:proofErr w:type="spellStart"/>
      <w:r w:rsidRPr="00A96DBF">
        <w:rPr>
          <w:color w:val="000000" w:themeColor="text1"/>
        </w:rPr>
        <w:t>Jianakoplos</w:t>
      </w:r>
      <w:proofErr w:type="spellEnd"/>
      <w:r w:rsidRPr="00A96DBF">
        <w:rPr>
          <w:color w:val="000000" w:themeColor="text1"/>
        </w:rPr>
        <w:t xml:space="preserve"> NA, </w:t>
      </w:r>
      <w:proofErr w:type="spellStart"/>
      <w:r w:rsidRPr="00A96DBF">
        <w:rPr>
          <w:color w:val="000000" w:themeColor="text1"/>
        </w:rPr>
        <w:t>Bernasek</w:t>
      </w:r>
      <w:proofErr w:type="spellEnd"/>
      <w:r w:rsidRPr="00A96DBF">
        <w:rPr>
          <w:color w:val="000000" w:themeColor="text1"/>
        </w:rPr>
        <w:t xml:space="preserve"> A (1998) Are women more risk averse? Econ Inquiry, 36(4): 620-630 </w:t>
      </w:r>
      <w:hyperlink r:id="rId56" w:history="1">
        <w:r w:rsidRPr="00A96DBF">
          <w:rPr>
            <w:rStyle w:val="Hyperlink"/>
            <w:color w:val="000000" w:themeColor="text1"/>
          </w:rPr>
          <w:t>https://doi.org/10.1111/j.1465-7295.1998.tb01740.x</w:t>
        </w:r>
      </w:hyperlink>
    </w:p>
    <w:p w14:paraId="46813D22" w14:textId="77777777" w:rsidR="001C05AC" w:rsidRDefault="001C05AC" w:rsidP="001C05AC">
      <w:pPr>
        <w:jc w:val="both"/>
        <w:rPr>
          <w:color w:val="000000" w:themeColor="text1"/>
        </w:rPr>
      </w:pPr>
    </w:p>
    <w:p w14:paraId="67130CE1" w14:textId="77777777" w:rsidR="001C05AC" w:rsidRPr="00C70499" w:rsidRDefault="001C05AC" w:rsidP="001C05AC">
      <w:pPr>
        <w:jc w:val="both"/>
      </w:pPr>
      <w:r w:rsidRPr="00C70499">
        <w:t>Jory S, Ngo</w:t>
      </w:r>
      <w:r>
        <w:t xml:space="preserve"> </w:t>
      </w:r>
      <w:r w:rsidRPr="00C70499">
        <w:t xml:space="preserve">T, </w:t>
      </w:r>
      <w:proofErr w:type="spellStart"/>
      <w:r w:rsidRPr="00C70499">
        <w:t>Susnjara</w:t>
      </w:r>
      <w:proofErr w:type="spellEnd"/>
      <w:r w:rsidRPr="00C70499">
        <w:t xml:space="preserve"> J (2020) Stock mergers and acquirers’ subsequent stock price crash risk. </w:t>
      </w:r>
      <w:r w:rsidRPr="00C70499">
        <w:rPr>
          <w:iCs/>
        </w:rPr>
        <w:t>Re</w:t>
      </w:r>
      <w:r>
        <w:rPr>
          <w:iCs/>
        </w:rPr>
        <w:t xml:space="preserve">v </w:t>
      </w:r>
      <w:r w:rsidRPr="00C70499">
        <w:rPr>
          <w:iCs/>
        </w:rPr>
        <w:t>Quant</w:t>
      </w:r>
      <w:r>
        <w:rPr>
          <w:iCs/>
        </w:rPr>
        <w:t xml:space="preserve"> </w:t>
      </w:r>
      <w:proofErr w:type="spellStart"/>
      <w:r w:rsidRPr="00C70499">
        <w:rPr>
          <w:iCs/>
        </w:rPr>
        <w:t>Financ</w:t>
      </w:r>
      <w:proofErr w:type="spellEnd"/>
      <w:r>
        <w:rPr>
          <w:iCs/>
        </w:rPr>
        <w:t xml:space="preserve"> </w:t>
      </w:r>
      <w:r w:rsidRPr="00C70499">
        <w:rPr>
          <w:iCs/>
        </w:rPr>
        <w:t>Account</w:t>
      </w:r>
      <w:r w:rsidRPr="00C70499">
        <w:t xml:space="preserve">, </w:t>
      </w:r>
      <w:r w:rsidRPr="00C70499">
        <w:rPr>
          <w:iCs/>
        </w:rPr>
        <w:t>54</w:t>
      </w:r>
      <w:r w:rsidRPr="00C70499">
        <w:t>(1), 359-387</w:t>
      </w:r>
      <w:r>
        <w:t xml:space="preserve"> </w:t>
      </w:r>
      <w:r w:rsidRPr="00C70499">
        <w:t>https://doi.org/10.1007/s11156-019-00792-w</w:t>
      </w:r>
    </w:p>
    <w:p w14:paraId="60E1F12C" w14:textId="77777777" w:rsidR="001C05AC" w:rsidRPr="00917B10" w:rsidRDefault="001C05AC" w:rsidP="001C05AC">
      <w:pPr>
        <w:jc w:val="both"/>
        <w:rPr>
          <w:b/>
          <w:color w:val="FF0000"/>
        </w:rPr>
      </w:pPr>
    </w:p>
    <w:p w14:paraId="56EE123B" w14:textId="77777777" w:rsidR="001C05AC" w:rsidRPr="00A96DBF" w:rsidRDefault="001C05AC" w:rsidP="001C05AC">
      <w:pPr>
        <w:jc w:val="both"/>
        <w:rPr>
          <w:color w:val="000000" w:themeColor="text1"/>
        </w:rPr>
      </w:pPr>
      <w:r w:rsidRPr="00A96DBF">
        <w:rPr>
          <w:color w:val="000000" w:themeColor="text1"/>
          <w:lang w:val="en-US"/>
        </w:rPr>
        <w:t xml:space="preserve">Kahneman D (2003) Maps of bounded rationality, psychology for behavioral Econ, Am Econ Rev, 93(5): 1449-75. </w:t>
      </w:r>
      <w:r w:rsidRPr="00A96DBF">
        <w:rPr>
          <w:rStyle w:val="doi"/>
          <w:iCs/>
          <w:color w:val="000000" w:themeColor="text1"/>
        </w:rPr>
        <w:t>DOI: 10.1257/000282803322655392</w:t>
      </w:r>
    </w:p>
    <w:p w14:paraId="063E34D5" w14:textId="77777777" w:rsidR="001C05AC" w:rsidRPr="00917B10" w:rsidRDefault="001C05AC" w:rsidP="001C05AC">
      <w:pPr>
        <w:autoSpaceDE w:val="0"/>
        <w:autoSpaceDN w:val="0"/>
        <w:adjustRightInd w:val="0"/>
        <w:jc w:val="both"/>
        <w:rPr>
          <w:b/>
          <w:color w:val="FF0000"/>
        </w:rPr>
      </w:pPr>
    </w:p>
    <w:p w14:paraId="1B7D893A" w14:textId="77777777" w:rsidR="001C05AC" w:rsidRPr="00A96DBF" w:rsidRDefault="001C05AC" w:rsidP="001C05AC">
      <w:pPr>
        <w:autoSpaceDE w:val="0"/>
        <w:autoSpaceDN w:val="0"/>
        <w:adjustRightInd w:val="0"/>
        <w:jc w:val="both"/>
        <w:rPr>
          <w:color w:val="000000" w:themeColor="text1"/>
          <w:lang w:val="en-US"/>
        </w:rPr>
      </w:pPr>
      <w:r w:rsidRPr="00A96DBF">
        <w:rPr>
          <w:color w:val="000000" w:themeColor="text1"/>
          <w:lang w:val="en-US"/>
        </w:rPr>
        <w:lastRenderedPageBreak/>
        <w:t>Kahneman D, Tversky A (2000) Choices, Values, and Frames</w:t>
      </w:r>
      <w:r w:rsidRPr="00A96DBF">
        <w:rPr>
          <w:i/>
          <w:color w:val="000000" w:themeColor="text1"/>
          <w:lang w:val="en-US"/>
        </w:rPr>
        <w:t>.</w:t>
      </w:r>
      <w:r w:rsidRPr="00A96DBF">
        <w:rPr>
          <w:color w:val="000000" w:themeColor="text1"/>
          <w:lang w:val="en-US"/>
        </w:rPr>
        <w:t xml:space="preserve"> Cambridge: Cambridge University Press</w:t>
      </w:r>
    </w:p>
    <w:p w14:paraId="3A06323D" w14:textId="77777777" w:rsidR="001C05AC" w:rsidRPr="00917B10" w:rsidRDefault="001C05AC" w:rsidP="001C05AC">
      <w:pPr>
        <w:autoSpaceDE w:val="0"/>
        <w:autoSpaceDN w:val="0"/>
        <w:adjustRightInd w:val="0"/>
        <w:jc w:val="both"/>
        <w:rPr>
          <w:b/>
          <w:color w:val="FF0000"/>
          <w:lang w:val="en-US"/>
        </w:rPr>
      </w:pPr>
    </w:p>
    <w:p w14:paraId="1AC22288" w14:textId="77777777" w:rsidR="001C05AC" w:rsidRDefault="001C05AC" w:rsidP="001C05AC">
      <w:pPr>
        <w:jc w:val="both"/>
        <w:rPr>
          <w:rStyle w:val="Hyperlink"/>
          <w:color w:val="000000" w:themeColor="text1"/>
        </w:rPr>
      </w:pPr>
      <w:r w:rsidRPr="00902166">
        <w:rPr>
          <w:color w:val="000000" w:themeColor="text1"/>
        </w:rPr>
        <w:t xml:space="preserve">Langer EJ (1975) The illusion of control. </w:t>
      </w:r>
      <w:r w:rsidRPr="00902166">
        <w:rPr>
          <w:iCs/>
          <w:color w:val="000000" w:themeColor="text1"/>
        </w:rPr>
        <w:t xml:space="preserve">J Personality Soc </w:t>
      </w:r>
      <w:proofErr w:type="spellStart"/>
      <w:r w:rsidRPr="00902166">
        <w:rPr>
          <w:iCs/>
          <w:color w:val="000000" w:themeColor="text1"/>
        </w:rPr>
        <w:t>Psychol</w:t>
      </w:r>
      <w:proofErr w:type="spellEnd"/>
      <w:r w:rsidRPr="00902166">
        <w:rPr>
          <w:color w:val="000000" w:themeColor="text1"/>
        </w:rPr>
        <w:t xml:space="preserve">, </w:t>
      </w:r>
      <w:r w:rsidRPr="00902166">
        <w:rPr>
          <w:iCs/>
          <w:color w:val="000000" w:themeColor="text1"/>
        </w:rPr>
        <w:t>32</w:t>
      </w:r>
      <w:r w:rsidRPr="00902166">
        <w:rPr>
          <w:color w:val="000000" w:themeColor="text1"/>
        </w:rPr>
        <w:t xml:space="preserve">(2): 311 </w:t>
      </w:r>
      <w:hyperlink r:id="rId57" w:tgtFrame="_blank" w:history="1">
        <w:r w:rsidRPr="00902166">
          <w:rPr>
            <w:rStyle w:val="Hyperlink"/>
            <w:color w:val="000000" w:themeColor="text1"/>
          </w:rPr>
          <w:t>https://doi.org/10.1037/0022-3514.32.2.311</w:t>
        </w:r>
      </w:hyperlink>
    </w:p>
    <w:p w14:paraId="24B3831D" w14:textId="77777777" w:rsidR="001C05AC" w:rsidRDefault="001C05AC" w:rsidP="001C05AC">
      <w:pPr>
        <w:jc w:val="both"/>
        <w:rPr>
          <w:color w:val="000000" w:themeColor="text1"/>
        </w:rPr>
      </w:pPr>
    </w:p>
    <w:p w14:paraId="15B9C2DC" w14:textId="77777777" w:rsidR="001C05AC" w:rsidRPr="00383795" w:rsidRDefault="001C05AC" w:rsidP="001C05AC">
      <w:pPr>
        <w:jc w:val="both"/>
      </w:pPr>
      <w:r w:rsidRPr="00383795">
        <w:t>Lee CF, Hu</w:t>
      </w:r>
      <w:r>
        <w:t xml:space="preserve"> </w:t>
      </w:r>
      <w:r w:rsidRPr="00383795">
        <w:t xml:space="preserve">C, Foley M (2021) Differential risk effect of inside debt, CEO compensation diversification, and firm investment. </w:t>
      </w:r>
      <w:r w:rsidRPr="00383795">
        <w:rPr>
          <w:iCs/>
        </w:rPr>
        <w:t xml:space="preserve">Rev Quant </w:t>
      </w:r>
      <w:proofErr w:type="spellStart"/>
      <w:r w:rsidRPr="00383795">
        <w:rPr>
          <w:iCs/>
        </w:rPr>
        <w:t>Financ</w:t>
      </w:r>
      <w:proofErr w:type="spellEnd"/>
      <w:r>
        <w:rPr>
          <w:iCs/>
        </w:rPr>
        <w:t xml:space="preserve"> </w:t>
      </w:r>
      <w:r w:rsidRPr="00383795">
        <w:rPr>
          <w:iCs/>
        </w:rPr>
        <w:t>Acc</w:t>
      </w:r>
      <w:r>
        <w:rPr>
          <w:iCs/>
        </w:rPr>
        <w:t>ount</w:t>
      </w:r>
      <w:r w:rsidRPr="00383795">
        <w:t xml:space="preserve">, </w:t>
      </w:r>
      <w:r w:rsidRPr="00C70499">
        <w:rPr>
          <w:iCs/>
        </w:rPr>
        <w:t>56</w:t>
      </w:r>
      <w:r w:rsidRPr="00383795">
        <w:t>(2), 505-543</w:t>
      </w:r>
      <w:r>
        <w:t xml:space="preserve"> </w:t>
      </w:r>
      <w:r w:rsidRPr="00383795">
        <w:t>https://doi.org/10.1007/s11156-020-00901-0</w:t>
      </w:r>
    </w:p>
    <w:p w14:paraId="127524CD" w14:textId="77777777" w:rsidR="001C05AC" w:rsidRPr="00917B10" w:rsidRDefault="001C05AC" w:rsidP="001C05AC">
      <w:pPr>
        <w:jc w:val="both"/>
        <w:rPr>
          <w:color w:val="FF0000"/>
        </w:rPr>
      </w:pPr>
    </w:p>
    <w:p w14:paraId="33118CC3" w14:textId="77777777" w:rsidR="001C05AC" w:rsidRPr="00A96DBF" w:rsidRDefault="001C05AC" w:rsidP="001C05AC">
      <w:pPr>
        <w:jc w:val="both"/>
        <w:rPr>
          <w:color w:val="000000" w:themeColor="text1"/>
        </w:rPr>
      </w:pPr>
      <w:proofErr w:type="spellStart"/>
      <w:r w:rsidRPr="00A96DBF">
        <w:rPr>
          <w:color w:val="000000" w:themeColor="text1"/>
        </w:rPr>
        <w:t>Lenney</w:t>
      </w:r>
      <w:proofErr w:type="spellEnd"/>
      <w:r w:rsidRPr="00A96DBF">
        <w:rPr>
          <w:color w:val="000000" w:themeColor="text1"/>
        </w:rPr>
        <w:t xml:space="preserve"> E (1977) Women's self-confidence in achievement settings. </w:t>
      </w:r>
      <w:proofErr w:type="spellStart"/>
      <w:r w:rsidRPr="00A96DBF">
        <w:rPr>
          <w:iCs/>
          <w:color w:val="000000" w:themeColor="text1"/>
        </w:rPr>
        <w:t>Psychol</w:t>
      </w:r>
      <w:proofErr w:type="spellEnd"/>
      <w:r w:rsidRPr="00A96DBF">
        <w:rPr>
          <w:iCs/>
          <w:color w:val="000000" w:themeColor="text1"/>
        </w:rPr>
        <w:t xml:space="preserve"> </w:t>
      </w:r>
      <w:r>
        <w:rPr>
          <w:iCs/>
          <w:color w:val="000000" w:themeColor="text1"/>
        </w:rPr>
        <w:t>B</w:t>
      </w:r>
      <w:r w:rsidRPr="00A96DBF">
        <w:rPr>
          <w:iCs/>
          <w:color w:val="000000" w:themeColor="text1"/>
        </w:rPr>
        <w:t>ull</w:t>
      </w:r>
      <w:r w:rsidRPr="00A96DBF">
        <w:rPr>
          <w:color w:val="000000" w:themeColor="text1"/>
        </w:rPr>
        <w:t xml:space="preserve">, </w:t>
      </w:r>
      <w:r w:rsidRPr="00A96DBF">
        <w:rPr>
          <w:iCs/>
          <w:color w:val="000000" w:themeColor="text1"/>
        </w:rPr>
        <w:t>84</w:t>
      </w:r>
      <w:r w:rsidRPr="00A96DBF">
        <w:rPr>
          <w:color w:val="000000" w:themeColor="text1"/>
        </w:rPr>
        <w:t xml:space="preserve">(1): 1 </w:t>
      </w:r>
      <w:hyperlink r:id="rId58" w:tgtFrame="_blank" w:history="1">
        <w:r w:rsidRPr="00A96DBF">
          <w:rPr>
            <w:rStyle w:val="Hyperlink"/>
            <w:color w:val="000000" w:themeColor="text1"/>
          </w:rPr>
          <w:t>https://doi.org/10.1037/0033-2909.84.1.1</w:t>
        </w:r>
      </w:hyperlink>
    </w:p>
    <w:p w14:paraId="4351E8D6" w14:textId="77777777" w:rsidR="001C05AC" w:rsidRPr="00917B10" w:rsidRDefault="001C05AC" w:rsidP="001C05AC">
      <w:pPr>
        <w:jc w:val="both"/>
        <w:rPr>
          <w:color w:val="FF0000"/>
        </w:rPr>
      </w:pPr>
    </w:p>
    <w:p w14:paraId="385E24F9" w14:textId="77777777" w:rsidR="001C05AC" w:rsidRPr="00A96DBF" w:rsidRDefault="001C05AC" w:rsidP="001C05AC">
      <w:pPr>
        <w:jc w:val="both"/>
        <w:rPr>
          <w:color w:val="000000" w:themeColor="text1"/>
        </w:rPr>
      </w:pPr>
      <w:r w:rsidRPr="00A96DBF">
        <w:rPr>
          <w:color w:val="000000" w:themeColor="text1"/>
        </w:rPr>
        <w:t xml:space="preserve">Levi M, Li K, Zhang F (2014) Director gender and mergers and acquisitions. </w:t>
      </w:r>
      <w:r w:rsidRPr="00A96DBF">
        <w:rPr>
          <w:iCs/>
          <w:color w:val="000000" w:themeColor="text1"/>
        </w:rPr>
        <w:t xml:space="preserve">J Corp </w:t>
      </w:r>
      <w:proofErr w:type="spellStart"/>
      <w:r w:rsidRPr="00A96DBF">
        <w:rPr>
          <w:iCs/>
          <w:color w:val="000000" w:themeColor="text1"/>
        </w:rPr>
        <w:t>Financ</w:t>
      </w:r>
      <w:proofErr w:type="spellEnd"/>
      <w:r w:rsidRPr="00A96DBF">
        <w:rPr>
          <w:color w:val="000000" w:themeColor="text1"/>
        </w:rPr>
        <w:t xml:space="preserve">, </w:t>
      </w:r>
      <w:r w:rsidRPr="00A96DBF">
        <w:rPr>
          <w:iCs/>
          <w:color w:val="000000" w:themeColor="text1"/>
        </w:rPr>
        <w:t>28</w:t>
      </w:r>
      <w:r w:rsidRPr="00A96DBF">
        <w:rPr>
          <w:color w:val="000000" w:themeColor="text1"/>
        </w:rPr>
        <w:t xml:space="preserve">: 185-200 </w:t>
      </w:r>
      <w:hyperlink r:id="rId59" w:tgtFrame="_blank" w:tooltip="Persistent link using digital object identifier" w:history="1">
        <w:r w:rsidRPr="00A96DBF">
          <w:rPr>
            <w:rStyle w:val="Hyperlink"/>
            <w:color w:val="000000" w:themeColor="text1"/>
          </w:rPr>
          <w:t>https://doi.org/10.1016/j.jcorpfin.2013.11.005</w:t>
        </w:r>
      </w:hyperlink>
    </w:p>
    <w:p w14:paraId="0EBD2606" w14:textId="77777777" w:rsidR="001C05AC" w:rsidRPr="00917B10" w:rsidRDefault="001C05AC" w:rsidP="001C05AC">
      <w:pPr>
        <w:jc w:val="both"/>
        <w:rPr>
          <w:color w:val="FF0000"/>
        </w:rPr>
      </w:pPr>
    </w:p>
    <w:p w14:paraId="09686530" w14:textId="77777777" w:rsidR="001C05AC" w:rsidRPr="00917B10" w:rsidRDefault="001C05AC" w:rsidP="001C05AC">
      <w:pPr>
        <w:rPr>
          <w:color w:val="000000" w:themeColor="text1"/>
        </w:rPr>
      </w:pPr>
      <w:bookmarkStart w:id="4" w:name="_Hlk120882673"/>
      <w:r w:rsidRPr="00917B10">
        <w:rPr>
          <w:color w:val="000000" w:themeColor="text1"/>
        </w:rPr>
        <w:t>Li L, Tong WH (2022) Who shall succeed? An examination of manager overconfidence and CEO selection. </w:t>
      </w:r>
      <w:r w:rsidRPr="00917B10">
        <w:rPr>
          <w:iCs/>
          <w:color w:val="000000" w:themeColor="text1"/>
        </w:rPr>
        <w:t xml:space="preserve">J Bus </w:t>
      </w:r>
      <w:proofErr w:type="spellStart"/>
      <w:r w:rsidRPr="00917B10">
        <w:rPr>
          <w:iCs/>
          <w:color w:val="000000" w:themeColor="text1"/>
        </w:rPr>
        <w:t>Financ</w:t>
      </w:r>
      <w:proofErr w:type="spellEnd"/>
      <w:r w:rsidRPr="00917B10">
        <w:rPr>
          <w:iCs/>
          <w:color w:val="000000" w:themeColor="text1"/>
        </w:rPr>
        <w:t xml:space="preserve"> Account, 49(9-10): 1736-1783 </w:t>
      </w:r>
      <w:hyperlink r:id="rId60" w:history="1">
        <w:r w:rsidRPr="00917B10">
          <w:rPr>
            <w:rStyle w:val="Hyperlink"/>
            <w:color w:val="000000" w:themeColor="text1"/>
          </w:rPr>
          <w:t>https://doi.org/10.1111/jbfa.12607</w:t>
        </w:r>
      </w:hyperlink>
    </w:p>
    <w:bookmarkEnd w:id="4"/>
    <w:p w14:paraId="04FE8DFA" w14:textId="77777777" w:rsidR="001C05AC" w:rsidRPr="00917B10" w:rsidRDefault="001C05AC" w:rsidP="001C05AC">
      <w:pPr>
        <w:jc w:val="both"/>
        <w:rPr>
          <w:color w:val="FF0000"/>
        </w:rPr>
      </w:pPr>
    </w:p>
    <w:p w14:paraId="34995164" w14:textId="77777777" w:rsidR="001C05AC" w:rsidRPr="00902166" w:rsidRDefault="001C05AC" w:rsidP="001C05AC">
      <w:pPr>
        <w:jc w:val="both"/>
        <w:rPr>
          <w:color w:val="000000" w:themeColor="text1"/>
        </w:rPr>
      </w:pPr>
      <w:r w:rsidRPr="00902166">
        <w:rPr>
          <w:color w:val="000000" w:themeColor="text1"/>
        </w:rPr>
        <w:t xml:space="preserve">Li X, Zhao X (2006) Propensity score matching and abnormal performance after seasoned equity offerings. </w:t>
      </w:r>
      <w:r w:rsidRPr="00902166">
        <w:rPr>
          <w:iCs/>
          <w:color w:val="000000" w:themeColor="text1"/>
        </w:rPr>
        <w:t xml:space="preserve">J </w:t>
      </w:r>
      <w:proofErr w:type="spellStart"/>
      <w:r w:rsidRPr="00902166">
        <w:rPr>
          <w:iCs/>
          <w:color w:val="000000" w:themeColor="text1"/>
        </w:rPr>
        <w:t>Empir</w:t>
      </w:r>
      <w:proofErr w:type="spellEnd"/>
      <w:r w:rsidRPr="00902166">
        <w:rPr>
          <w:iCs/>
          <w:color w:val="000000" w:themeColor="text1"/>
        </w:rPr>
        <w:t xml:space="preserve"> </w:t>
      </w:r>
      <w:proofErr w:type="spellStart"/>
      <w:r w:rsidRPr="00902166">
        <w:rPr>
          <w:iCs/>
          <w:color w:val="000000" w:themeColor="text1"/>
        </w:rPr>
        <w:t>Financ</w:t>
      </w:r>
      <w:proofErr w:type="spellEnd"/>
      <w:r w:rsidRPr="00902166">
        <w:rPr>
          <w:color w:val="000000" w:themeColor="text1"/>
        </w:rPr>
        <w:t xml:space="preserve">, </w:t>
      </w:r>
      <w:r w:rsidRPr="00902166">
        <w:rPr>
          <w:iCs/>
          <w:color w:val="000000" w:themeColor="text1"/>
        </w:rPr>
        <w:t>13</w:t>
      </w:r>
      <w:r w:rsidRPr="00902166">
        <w:rPr>
          <w:color w:val="000000" w:themeColor="text1"/>
        </w:rPr>
        <w:t>(3): 351-370</w:t>
      </w:r>
    </w:p>
    <w:p w14:paraId="78D42B30" w14:textId="77777777" w:rsidR="001C05AC" w:rsidRPr="00917B10" w:rsidRDefault="0081596F" w:rsidP="001C05AC">
      <w:pPr>
        <w:jc w:val="both"/>
        <w:rPr>
          <w:rStyle w:val="Hyperlink"/>
          <w:color w:val="FF0000"/>
        </w:rPr>
      </w:pPr>
      <w:hyperlink r:id="rId61" w:history="1">
        <w:r w:rsidR="001C05AC" w:rsidRPr="00902166">
          <w:rPr>
            <w:rStyle w:val="Hyperlink"/>
            <w:color w:val="000000" w:themeColor="text1"/>
          </w:rPr>
          <w:t>https://doi.org/10.1016/j.jempfin.2005.10.003</w:t>
        </w:r>
      </w:hyperlink>
    </w:p>
    <w:p w14:paraId="7E89C3AC" w14:textId="77777777" w:rsidR="001C05AC" w:rsidRPr="00917B10" w:rsidRDefault="001C05AC" w:rsidP="001C05AC">
      <w:pPr>
        <w:jc w:val="both"/>
        <w:rPr>
          <w:rStyle w:val="Hyperlink"/>
          <w:color w:val="FF0000"/>
        </w:rPr>
      </w:pPr>
    </w:p>
    <w:p w14:paraId="0624ABC7" w14:textId="77777777" w:rsidR="001C05AC" w:rsidRPr="00A96DBF" w:rsidRDefault="001C05AC" w:rsidP="001C05AC">
      <w:pPr>
        <w:jc w:val="both"/>
        <w:rPr>
          <w:rStyle w:val="Hyperlink"/>
          <w:color w:val="000000" w:themeColor="text1"/>
          <w:u w:val="none"/>
        </w:rPr>
      </w:pPr>
      <w:r w:rsidRPr="00A96DBF">
        <w:rPr>
          <w:color w:val="000000" w:themeColor="text1"/>
        </w:rPr>
        <w:t xml:space="preserve">Li S, Liu, GS </w:t>
      </w:r>
      <w:proofErr w:type="spellStart"/>
      <w:r w:rsidRPr="00A96DBF">
        <w:rPr>
          <w:color w:val="000000" w:themeColor="text1"/>
        </w:rPr>
        <w:t>Gregoriou</w:t>
      </w:r>
      <w:proofErr w:type="spellEnd"/>
      <w:r w:rsidRPr="00A96DBF">
        <w:rPr>
          <w:color w:val="000000" w:themeColor="text1"/>
        </w:rPr>
        <w:t xml:space="preserve"> A (2021) Do more mergers and acquisitions create value for </w:t>
      </w:r>
      <w:proofErr w:type="gramStart"/>
      <w:r w:rsidRPr="00A96DBF">
        <w:rPr>
          <w:color w:val="000000" w:themeColor="text1"/>
        </w:rPr>
        <w:t>shareholders?.</w:t>
      </w:r>
      <w:proofErr w:type="gramEnd"/>
      <w:r w:rsidRPr="00A96DBF">
        <w:rPr>
          <w:color w:val="000000" w:themeColor="text1"/>
        </w:rPr>
        <w:t xml:space="preserve"> </w:t>
      </w:r>
      <w:r w:rsidRPr="00A96DBF">
        <w:rPr>
          <w:iCs/>
          <w:color w:val="000000" w:themeColor="text1"/>
        </w:rPr>
        <w:t xml:space="preserve">Rev Quant </w:t>
      </w:r>
      <w:proofErr w:type="spellStart"/>
      <w:r w:rsidRPr="00A96DBF">
        <w:rPr>
          <w:iCs/>
          <w:color w:val="000000" w:themeColor="text1"/>
        </w:rPr>
        <w:t>Finan</w:t>
      </w:r>
      <w:proofErr w:type="spellEnd"/>
      <w:r w:rsidRPr="00A96DBF">
        <w:rPr>
          <w:iCs/>
          <w:color w:val="000000" w:themeColor="text1"/>
        </w:rPr>
        <w:t xml:space="preserve"> </w:t>
      </w:r>
      <w:proofErr w:type="spellStart"/>
      <w:r w:rsidRPr="00A96DBF">
        <w:rPr>
          <w:iCs/>
          <w:color w:val="000000" w:themeColor="text1"/>
        </w:rPr>
        <w:t>Acc</w:t>
      </w:r>
      <w:proofErr w:type="spellEnd"/>
      <w:r w:rsidRPr="00A96DBF">
        <w:rPr>
          <w:iCs/>
          <w:color w:val="000000" w:themeColor="text1"/>
        </w:rPr>
        <w:t>,</w:t>
      </w:r>
      <w:r w:rsidRPr="00A96DBF">
        <w:rPr>
          <w:color w:val="000000" w:themeColor="text1"/>
        </w:rPr>
        <w:t xml:space="preserve"> </w:t>
      </w:r>
      <w:r w:rsidRPr="00A96DBF">
        <w:rPr>
          <w:bCs/>
          <w:color w:val="000000" w:themeColor="text1"/>
        </w:rPr>
        <w:t>56</w:t>
      </w:r>
      <w:r w:rsidRPr="00A96DBF">
        <w:rPr>
          <w:color w:val="000000" w:themeColor="text1"/>
        </w:rPr>
        <w:t>, 755–787 https://doi.org/10.1007/s11156-020-00908-7</w:t>
      </w:r>
    </w:p>
    <w:p w14:paraId="47DEA25F" w14:textId="77777777" w:rsidR="001C05AC" w:rsidRPr="00917B10" w:rsidRDefault="001C05AC" w:rsidP="001C05AC">
      <w:pPr>
        <w:jc w:val="both"/>
        <w:rPr>
          <w:color w:val="FF0000"/>
        </w:rPr>
      </w:pPr>
    </w:p>
    <w:p w14:paraId="4307EF60" w14:textId="77777777" w:rsidR="001C05AC" w:rsidRPr="00917B10" w:rsidRDefault="001C05AC" w:rsidP="001C05AC">
      <w:pPr>
        <w:jc w:val="both"/>
        <w:rPr>
          <w:color w:val="000000" w:themeColor="text1"/>
        </w:rPr>
      </w:pPr>
      <w:r w:rsidRPr="00917B10">
        <w:rPr>
          <w:color w:val="000000" w:themeColor="text1"/>
        </w:rPr>
        <w:t xml:space="preserve">Loughran T, </w:t>
      </w:r>
      <w:proofErr w:type="spellStart"/>
      <w:r w:rsidRPr="00917B10">
        <w:rPr>
          <w:color w:val="000000" w:themeColor="text1"/>
        </w:rPr>
        <w:t>Vijh</w:t>
      </w:r>
      <w:proofErr w:type="spellEnd"/>
      <w:r w:rsidRPr="00917B10">
        <w:rPr>
          <w:color w:val="000000" w:themeColor="text1"/>
        </w:rPr>
        <w:t xml:space="preserve"> AM (1997). Do long</w:t>
      </w:r>
      <w:r w:rsidRPr="00917B10">
        <w:rPr>
          <w:rFonts w:ascii="Cambria Math" w:hAnsi="Cambria Math" w:cs="Cambria Math"/>
          <w:color w:val="000000" w:themeColor="text1"/>
        </w:rPr>
        <w:t>‐</w:t>
      </w:r>
      <w:r w:rsidRPr="00917B10">
        <w:rPr>
          <w:color w:val="000000" w:themeColor="text1"/>
        </w:rPr>
        <w:t xml:space="preserve">term shareholders benefit from corporate </w:t>
      </w:r>
      <w:proofErr w:type="gramStart"/>
      <w:r w:rsidRPr="00917B10">
        <w:rPr>
          <w:color w:val="000000" w:themeColor="text1"/>
        </w:rPr>
        <w:t>acquisitions?.</w:t>
      </w:r>
      <w:proofErr w:type="gramEnd"/>
      <w:r w:rsidRPr="00917B10">
        <w:rPr>
          <w:color w:val="000000" w:themeColor="text1"/>
        </w:rPr>
        <w:t xml:space="preserve"> </w:t>
      </w:r>
      <w:r w:rsidRPr="00917B10">
        <w:rPr>
          <w:iCs/>
          <w:color w:val="000000" w:themeColor="text1"/>
        </w:rPr>
        <w:t xml:space="preserve">J </w:t>
      </w:r>
      <w:proofErr w:type="spellStart"/>
      <w:r w:rsidRPr="00917B10">
        <w:rPr>
          <w:iCs/>
          <w:color w:val="000000" w:themeColor="text1"/>
        </w:rPr>
        <w:t>Financ</w:t>
      </w:r>
      <w:proofErr w:type="spellEnd"/>
      <w:r w:rsidRPr="00917B10">
        <w:rPr>
          <w:color w:val="000000" w:themeColor="text1"/>
        </w:rPr>
        <w:t xml:space="preserve">, </w:t>
      </w:r>
      <w:r w:rsidRPr="00917B10">
        <w:rPr>
          <w:iCs/>
          <w:color w:val="000000" w:themeColor="text1"/>
        </w:rPr>
        <w:t>52</w:t>
      </w:r>
      <w:r w:rsidRPr="00917B10">
        <w:rPr>
          <w:color w:val="000000" w:themeColor="text1"/>
        </w:rPr>
        <w:t xml:space="preserve">(5), 1765-1790 </w:t>
      </w:r>
      <w:hyperlink r:id="rId62" w:history="1">
        <w:r w:rsidRPr="00917B10">
          <w:rPr>
            <w:rStyle w:val="Hyperlink"/>
            <w:color w:val="000000" w:themeColor="text1"/>
          </w:rPr>
          <w:t>https://doi.org/10.1111/j.1540-6261.1997.tb02741.x</w:t>
        </w:r>
      </w:hyperlink>
    </w:p>
    <w:p w14:paraId="2277200D" w14:textId="77777777" w:rsidR="001C05AC" w:rsidRPr="00917B10" w:rsidRDefault="001C05AC" w:rsidP="001C05AC">
      <w:pPr>
        <w:jc w:val="both"/>
        <w:rPr>
          <w:color w:val="FF0000"/>
        </w:rPr>
      </w:pPr>
    </w:p>
    <w:p w14:paraId="4F1554F5" w14:textId="77777777" w:rsidR="001C05AC" w:rsidRPr="00902166" w:rsidRDefault="001C05AC" w:rsidP="001C05AC">
      <w:pPr>
        <w:jc w:val="both"/>
        <w:rPr>
          <w:color w:val="000000" w:themeColor="text1"/>
        </w:rPr>
      </w:pPr>
      <w:r w:rsidRPr="00902166">
        <w:rPr>
          <w:color w:val="000000" w:themeColor="text1"/>
        </w:rPr>
        <w:t>Lyon JD, Barber BM, Tsai CL (1999) Improved methods for tests of long</w:t>
      </w:r>
      <w:r w:rsidRPr="00902166">
        <w:rPr>
          <w:rFonts w:ascii="Cambria Math" w:hAnsi="Cambria Math" w:cs="Cambria Math"/>
          <w:color w:val="000000" w:themeColor="text1"/>
        </w:rPr>
        <w:t>‐</w:t>
      </w:r>
      <w:r w:rsidRPr="00902166">
        <w:rPr>
          <w:color w:val="000000" w:themeColor="text1"/>
        </w:rPr>
        <w:t xml:space="preserve">run abnormal stock returns. </w:t>
      </w:r>
      <w:r w:rsidRPr="00902166">
        <w:rPr>
          <w:iCs/>
          <w:color w:val="000000" w:themeColor="text1"/>
        </w:rPr>
        <w:t xml:space="preserve">J </w:t>
      </w:r>
      <w:proofErr w:type="spellStart"/>
      <w:r w:rsidRPr="00902166">
        <w:rPr>
          <w:iCs/>
          <w:color w:val="000000" w:themeColor="text1"/>
        </w:rPr>
        <w:t>Financ</w:t>
      </w:r>
      <w:proofErr w:type="spellEnd"/>
      <w:r w:rsidRPr="00902166">
        <w:rPr>
          <w:color w:val="000000" w:themeColor="text1"/>
        </w:rPr>
        <w:t xml:space="preserve">, </w:t>
      </w:r>
      <w:r w:rsidRPr="00902166">
        <w:rPr>
          <w:iCs/>
          <w:color w:val="000000" w:themeColor="text1"/>
        </w:rPr>
        <w:t>54</w:t>
      </w:r>
      <w:r w:rsidRPr="00902166">
        <w:rPr>
          <w:color w:val="000000" w:themeColor="text1"/>
        </w:rPr>
        <w:t xml:space="preserve">(1): 165-201 </w:t>
      </w:r>
      <w:hyperlink r:id="rId63" w:history="1">
        <w:r w:rsidRPr="00902166">
          <w:rPr>
            <w:rStyle w:val="Hyperlink"/>
            <w:color w:val="000000" w:themeColor="text1"/>
          </w:rPr>
          <w:t>https://doi.org/10.1111/0022-1082.0010</w:t>
        </w:r>
      </w:hyperlink>
    </w:p>
    <w:p w14:paraId="4A322A8B" w14:textId="77777777" w:rsidR="001C05AC" w:rsidRPr="00917B10" w:rsidRDefault="001C05AC" w:rsidP="001C05AC">
      <w:pPr>
        <w:jc w:val="both"/>
        <w:rPr>
          <w:b/>
          <w:color w:val="FF0000"/>
        </w:rPr>
      </w:pPr>
    </w:p>
    <w:p w14:paraId="0196ED6B" w14:textId="77777777" w:rsidR="001C05AC" w:rsidRPr="00917B10" w:rsidRDefault="001C05AC" w:rsidP="001C05AC">
      <w:pPr>
        <w:jc w:val="both"/>
        <w:rPr>
          <w:color w:val="000000" w:themeColor="text1"/>
        </w:rPr>
      </w:pPr>
      <w:bookmarkStart w:id="5" w:name="_Hlk120882686"/>
      <w:r w:rsidRPr="00917B10">
        <w:rPr>
          <w:color w:val="000000" w:themeColor="text1"/>
        </w:rPr>
        <w:t xml:space="preserve">Malhotra S, Zhu P, Reus TH (2022) The Diagnostic Value and Anchoring Effect of References in Acquisition Premium Decisions: The Influence of Overconfident and Powerful CEOs. Brit J </w:t>
      </w:r>
      <w:proofErr w:type="spellStart"/>
      <w:r w:rsidRPr="00917B10">
        <w:rPr>
          <w:color w:val="000000" w:themeColor="text1"/>
        </w:rPr>
        <w:t>Manag</w:t>
      </w:r>
      <w:proofErr w:type="spellEnd"/>
      <w:r w:rsidRPr="00917B10">
        <w:rPr>
          <w:color w:val="000000" w:themeColor="text1"/>
        </w:rPr>
        <w:t xml:space="preserve"> </w:t>
      </w:r>
      <w:hyperlink r:id="rId64" w:history="1">
        <w:r w:rsidRPr="00917B10">
          <w:rPr>
            <w:rStyle w:val="Hyperlink"/>
            <w:color w:val="000000" w:themeColor="text1"/>
          </w:rPr>
          <w:t>https://doi.org/10.1111/1467-8551.12691</w:t>
        </w:r>
      </w:hyperlink>
    </w:p>
    <w:bookmarkEnd w:id="5"/>
    <w:p w14:paraId="161EC9F6" w14:textId="77777777" w:rsidR="001C05AC" w:rsidRPr="00917B10" w:rsidRDefault="001C05AC" w:rsidP="001C05AC">
      <w:pPr>
        <w:jc w:val="both"/>
        <w:rPr>
          <w:b/>
          <w:color w:val="FF0000"/>
        </w:rPr>
      </w:pPr>
    </w:p>
    <w:p w14:paraId="36369CAA" w14:textId="77777777" w:rsidR="001C05AC" w:rsidRPr="00A96DBF" w:rsidRDefault="001C05AC" w:rsidP="001C05AC">
      <w:pPr>
        <w:jc w:val="both"/>
        <w:rPr>
          <w:color w:val="000000" w:themeColor="text1"/>
        </w:rPr>
      </w:pPr>
      <w:proofErr w:type="spellStart"/>
      <w:r w:rsidRPr="00A96DBF">
        <w:rPr>
          <w:color w:val="000000" w:themeColor="text1"/>
        </w:rPr>
        <w:t>Malmendier</w:t>
      </w:r>
      <w:proofErr w:type="spellEnd"/>
      <w:r w:rsidRPr="00A96DBF">
        <w:rPr>
          <w:color w:val="000000" w:themeColor="text1"/>
        </w:rPr>
        <w:t xml:space="preserve"> U, Tate G (2004) Who makes acquisitions? A test of the overconfidence hypothesis. </w:t>
      </w:r>
      <w:r w:rsidRPr="00A96DBF">
        <w:rPr>
          <w:iCs/>
          <w:color w:val="000000" w:themeColor="text1"/>
        </w:rPr>
        <w:t>NBER Working Paper</w:t>
      </w:r>
    </w:p>
    <w:p w14:paraId="6824F0DF" w14:textId="77777777" w:rsidR="001C05AC" w:rsidRPr="00A96DBF" w:rsidRDefault="001C05AC" w:rsidP="001C05AC">
      <w:pPr>
        <w:jc w:val="both"/>
        <w:rPr>
          <w:b/>
          <w:color w:val="000000" w:themeColor="text1"/>
        </w:rPr>
      </w:pPr>
    </w:p>
    <w:p w14:paraId="6C398BB4" w14:textId="77777777" w:rsidR="001C05AC" w:rsidRPr="00A96DBF" w:rsidRDefault="001C05AC" w:rsidP="001C05AC">
      <w:pPr>
        <w:jc w:val="both"/>
        <w:rPr>
          <w:color w:val="000000" w:themeColor="text1"/>
        </w:rPr>
      </w:pPr>
      <w:proofErr w:type="spellStart"/>
      <w:r w:rsidRPr="00A96DBF">
        <w:rPr>
          <w:color w:val="000000" w:themeColor="text1"/>
          <w:lang w:val="en-US"/>
        </w:rPr>
        <w:t>Malmendier</w:t>
      </w:r>
      <w:proofErr w:type="spellEnd"/>
      <w:r w:rsidRPr="00A96DBF">
        <w:rPr>
          <w:color w:val="000000" w:themeColor="text1"/>
          <w:lang w:val="en-US"/>
        </w:rPr>
        <w:t xml:space="preserve"> U, Tate G (2005) CEO overconfidence and corporate investment, J </w:t>
      </w:r>
      <w:proofErr w:type="spellStart"/>
      <w:r w:rsidRPr="00A96DBF">
        <w:rPr>
          <w:color w:val="000000" w:themeColor="text1"/>
          <w:lang w:val="en-US"/>
        </w:rPr>
        <w:t>Financ</w:t>
      </w:r>
      <w:proofErr w:type="spellEnd"/>
      <w:r w:rsidRPr="00A96DBF">
        <w:rPr>
          <w:color w:val="000000" w:themeColor="text1"/>
          <w:lang w:val="en-US"/>
        </w:rPr>
        <w:t>, 60(6): 2661-2700</w:t>
      </w:r>
      <w:r w:rsidRPr="00A96DBF">
        <w:rPr>
          <w:color w:val="000000" w:themeColor="text1"/>
        </w:rPr>
        <w:t xml:space="preserve"> </w:t>
      </w:r>
      <w:hyperlink r:id="rId65" w:history="1">
        <w:r w:rsidRPr="00A96DBF">
          <w:rPr>
            <w:rStyle w:val="Hyperlink"/>
            <w:color w:val="000000" w:themeColor="text1"/>
          </w:rPr>
          <w:t>https://doi.org/10.1111/j.1540-6261.2005.00813.x</w:t>
        </w:r>
      </w:hyperlink>
    </w:p>
    <w:p w14:paraId="76B1596B" w14:textId="77777777" w:rsidR="001C05AC" w:rsidRPr="00917B10" w:rsidRDefault="001C05AC" w:rsidP="001C05AC">
      <w:pPr>
        <w:jc w:val="both"/>
        <w:rPr>
          <w:b/>
          <w:color w:val="FF0000"/>
        </w:rPr>
      </w:pPr>
    </w:p>
    <w:p w14:paraId="0CC066C5" w14:textId="77777777" w:rsidR="001C05AC" w:rsidRPr="00917B10" w:rsidRDefault="001C05AC" w:rsidP="001C05AC">
      <w:pPr>
        <w:jc w:val="both"/>
        <w:rPr>
          <w:color w:val="000000" w:themeColor="text1"/>
        </w:rPr>
      </w:pPr>
      <w:proofErr w:type="spellStart"/>
      <w:r w:rsidRPr="00917B10">
        <w:rPr>
          <w:color w:val="000000" w:themeColor="text1"/>
        </w:rPr>
        <w:t>Malmendier</w:t>
      </w:r>
      <w:proofErr w:type="spellEnd"/>
      <w:r w:rsidRPr="00917B10">
        <w:rPr>
          <w:color w:val="000000" w:themeColor="text1"/>
        </w:rPr>
        <w:t xml:space="preserve"> U, Tate G (2008) Who makes acquisitions? CEO overconfidence and the market's reaction. </w:t>
      </w:r>
      <w:r w:rsidRPr="00917B10">
        <w:rPr>
          <w:iCs/>
          <w:color w:val="000000" w:themeColor="text1"/>
        </w:rPr>
        <w:t xml:space="preserve">J </w:t>
      </w:r>
      <w:proofErr w:type="spellStart"/>
      <w:r w:rsidRPr="00917B10">
        <w:rPr>
          <w:iCs/>
          <w:color w:val="000000" w:themeColor="text1"/>
        </w:rPr>
        <w:t>Financ</w:t>
      </w:r>
      <w:proofErr w:type="spellEnd"/>
      <w:r w:rsidRPr="00917B10">
        <w:rPr>
          <w:iCs/>
          <w:color w:val="000000" w:themeColor="text1"/>
        </w:rPr>
        <w:t xml:space="preserve"> Econ</w:t>
      </w:r>
      <w:r w:rsidRPr="00917B10">
        <w:rPr>
          <w:color w:val="000000" w:themeColor="text1"/>
        </w:rPr>
        <w:t xml:space="preserve">, </w:t>
      </w:r>
      <w:r w:rsidRPr="00917B10">
        <w:rPr>
          <w:iCs/>
          <w:color w:val="000000" w:themeColor="text1"/>
        </w:rPr>
        <w:t>89</w:t>
      </w:r>
      <w:r w:rsidRPr="00917B10">
        <w:rPr>
          <w:color w:val="000000" w:themeColor="text1"/>
        </w:rPr>
        <w:t xml:space="preserve">(1): 20-43 </w:t>
      </w:r>
      <w:hyperlink r:id="rId66" w:history="1">
        <w:r w:rsidRPr="00917B10">
          <w:rPr>
            <w:rStyle w:val="Hyperlink"/>
            <w:color w:val="000000" w:themeColor="text1"/>
          </w:rPr>
          <w:t>https://doi.org/10.1016/j.jfineco.2007.07.002</w:t>
        </w:r>
      </w:hyperlink>
    </w:p>
    <w:p w14:paraId="4C3341A6" w14:textId="77777777" w:rsidR="001C05AC" w:rsidRPr="00917B10" w:rsidRDefault="001C05AC" w:rsidP="001C05AC">
      <w:pPr>
        <w:jc w:val="both"/>
        <w:rPr>
          <w:b/>
          <w:color w:val="FF0000"/>
        </w:rPr>
      </w:pPr>
    </w:p>
    <w:p w14:paraId="656A4BFA" w14:textId="77777777" w:rsidR="001C05AC" w:rsidRPr="00902166" w:rsidRDefault="001C05AC" w:rsidP="001C05AC">
      <w:pPr>
        <w:jc w:val="both"/>
        <w:rPr>
          <w:color w:val="000000" w:themeColor="text1"/>
        </w:rPr>
      </w:pPr>
      <w:r w:rsidRPr="00902166">
        <w:rPr>
          <w:color w:val="000000" w:themeColor="text1"/>
        </w:rPr>
        <w:lastRenderedPageBreak/>
        <w:t xml:space="preserve">March JG, Shapira Z (1987) Managerial perspectives on risk and risk taking. </w:t>
      </w:r>
      <w:proofErr w:type="spellStart"/>
      <w:r w:rsidRPr="00902166">
        <w:rPr>
          <w:iCs/>
          <w:color w:val="000000" w:themeColor="text1"/>
        </w:rPr>
        <w:t>Manag</w:t>
      </w:r>
      <w:proofErr w:type="spellEnd"/>
      <w:r w:rsidRPr="00902166">
        <w:rPr>
          <w:iCs/>
          <w:color w:val="000000" w:themeColor="text1"/>
        </w:rPr>
        <w:t xml:space="preserve"> Sci</w:t>
      </w:r>
      <w:r w:rsidRPr="00902166">
        <w:rPr>
          <w:color w:val="000000" w:themeColor="text1"/>
        </w:rPr>
        <w:t xml:space="preserve">, </w:t>
      </w:r>
      <w:r w:rsidRPr="00902166">
        <w:rPr>
          <w:iCs/>
          <w:color w:val="000000" w:themeColor="text1"/>
        </w:rPr>
        <w:t>33</w:t>
      </w:r>
      <w:r w:rsidRPr="00902166">
        <w:rPr>
          <w:color w:val="000000" w:themeColor="text1"/>
        </w:rPr>
        <w:t xml:space="preserve">(11): 1404-1418 </w:t>
      </w:r>
      <w:hyperlink r:id="rId67" w:history="1">
        <w:r w:rsidRPr="00902166">
          <w:rPr>
            <w:rStyle w:val="Hyperlink"/>
            <w:color w:val="000000" w:themeColor="text1"/>
          </w:rPr>
          <w:t>https://doi.org/10.1287/mnsc.33.11.1404</w:t>
        </w:r>
      </w:hyperlink>
    </w:p>
    <w:p w14:paraId="39F1AB62" w14:textId="77777777" w:rsidR="001C05AC" w:rsidRPr="00917B10" w:rsidRDefault="001C05AC" w:rsidP="001C05AC">
      <w:pPr>
        <w:jc w:val="both"/>
        <w:rPr>
          <w:color w:val="FF0000"/>
        </w:rPr>
      </w:pPr>
    </w:p>
    <w:p w14:paraId="0748A838" w14:textId="77777777" w:rsidR="001C05AC" w:rsidRPr="00902166" w:rsidRDefault="001C05AC" w:rsidP="001C05AC">
      <w:pPr>
        <w:jc w:val="both"/>
        <w:rPr>
          <w:color w:val="000000" w:themeColor="text1"/>
        </w:rPr>
      </w:pPr>
      <w:r w:rsidRPr="00902166">
        <w:rPr>
          <w:color w:val="000000" w:themeColor="text1"/>
        </w:rPr>
        <w:t xml:space="preserve">Megginson WL, Morgan A, Nail L (2004) The determinants of positive long-term performance in strategic mergers: Corporate focus and cash. </w:t>
      </w:r>
      <w:r w:rsidRPr="00902166">
        <w:rPr>
          <w:iCs/>
          <w:color w:val="000000" w:themeColor="text1"/>
        </w:rPr>
        <w:t xml:space="preserve">J Bank </w:t>
      </w:r>
      <w:proofErr w:type="spellStart"/>
      <w:r w:rsidRPr="00902166">
        <w:rPr>
          <w:iCs/>
          <w:color w:val="000000" w:themeColor="text1"/>
        </w:rPr>
        <w:t>Financ</w:t>
      </w:r>
      <w:proofErr w:type="spellEnd"/>
      <w:r w:rsidRPr="00902166">
        <w:rPr>
          <w:color w:val="000000" w:themeColor="text1"/>
        </w:rPr>
        <w:t xml:space="preserve">, </w:t>
      </w:r>
      <w:r w:rsidRPr="00902166">
        <w:rPr>
          <w:iCs/>
          <w:color w:val="000000" w:themeColor="text1"/>
        </w:rPr>
        <w:t>28</w:t>
      </w:r>
      <w:r w:rsidRPr="00902166">
        <w:rPr>
          <w:color w:val="000000" w:themeColor="text1"/>
        </w:rPr>
        <w:t xml:space="preserve">(3): 523-552 </w:t>
      </w:r>
      <w:hyperlink r:id="rId68" w:history="1">
        <w:r w:rsidRPr="00902166">
          <w:rPr>
            <w:rStyle w:val="Hyperlink"/>
            <w:color w:val="000000" w:themeColor="text1"/>
          </w:rPr>
          <w:t>https://doi.org/10.1016/S0378-4266(02)00412-0</w:t>
        </w:r>
      </w:hyperlink>
    </w:p>
    <w:p w14:paraId="096A291D" w14:textId="77777777" w:rsidR="001C05AC" w:rsidRPr="00917B10" w:rsidRDefault="001C05AC" w:rsidP="001C05AC">
      <w:pPr>
        <w:jc w:val="both"/>
        <w:rPr>
          <w:color w:val="FF0000"/>
        </w:rPr>
      </w:pPr>
    </w:p>
    <w:p w14:paraId="48B7FCED" w14:textId="77777777" w:rsidR="001C05AC" w:rsidRPr="00902166" w:rsidRDefault="001C05AC" w:rsidP="001C05AC">
      <w:pPr>
        <w:jc w:val="both"/>
        <w:rPr>
          <w:rStyle w:val="Hyperlink"/>
          <w:color w:val="000000" w:themeColor="text1"/>
        </w:rPr>
      </w:pPr>
      <w:r w:rsidRPr="00902166">
        <w:rPr>
          <w:color w:val="000000" w:themeColor="text1"/>
        </w:rPr>
        <w:t xml:space="preserve">Milliken FJ, Martins LL (1996) Searching for common threads: Understanding the multiple effects of diversity in organizational groups. </w:t>
      </w:r>
      <w:proofErr w:type="spellStart"/>
      <w:r w:rsidRPr="00902166">
        <w:rPr>
          <w:iCs/>
          <w:color w:val="000000" w:themeColor="text1"/>
        </w:rPr>
        <w:t>Acad</w:t>
      </w:r>
      <w:proofErr w:type="spellEnd"/>
      <w:r w:rsidRPr="00902166">
        <w:rPr>
          <w:iCs/>
          <w:color w:val="000000" w:themeColor="text1"/>
        </w:rPr>
        <w:t xml:space="preserve"> </w:t>
      </w:r>
      <w:proofErr w:type="spellStart"/>
      <w:r w:rsidRPr="00902166">
        <w:rPr>
          <w:iCs/>
          <w:color w:val="000000" w:themeColor="text1"/>
        </w:rPr>
        <w:t>Manag</w:t>
      </w:r>
      <w:proofErr w:type="spellEnd"/>
      <w:r w:rsidRPr="00902166">
        <w:rPr>
          <w:iCs/>
          <w:color w:val="000000" w:themeColor="text1"/>
        </w:rPr>
        <w:t xml:space="preserve"> Review</w:t>
      </w:r>
      <w:r w:rsidRPr="00902166">
        <w:rPr>
          <w:color w:val="000000" w:themeColor="text1"/>
        </w:rPr>
        <w:t xml:space="preserve">, </w:t>
      </w:r>
      <w:r w:rsidRPr="00902166">
        <w:rPr>
          <w:iCs/>
          <w:color w:val="000000" w:themeColor="text1"/>
        </w:rPr>
        <w:t>21</w:t>
      </w:r>
      <w:r w:rsidRPr="00902166">
        <w:rPr>
          <w:color w:val="000000" w:themeColor="text1"/>
        </w:rPr>
        <w:t xml:space="preserve">(2): 402-433 </w:t>
      </w:r>
      <w:hyperlink r:id="rId69" w:history="1">
        <w:r w:rsidRPr="00902166">
          <w:rPr>
            <w:rStyle w:val="Hyperlink"/>
            <w:color w:val="000000" w:themeColor="text1"/>
          </w:rPr>
          <w:t>https://doi.org/10.5465/amr.1996.9605060217</w:t>
        </w:r>
      </w:hyperlink>
    </w:p>
    <w:p w14:paraId="556EDD33" w14:textId="77777777" w:rsidR="001C05AC" w:rsidRDefault="001C05AC" w:rsidP="001C05AC">
      <w:pPr>
        <w:jc w:val="both"/>
        <w:rPr>
          <w:color w:val="FF0000"/>
        </w:rPr>
      </w:pPr>
    </w:p>
    <w:p w14:paraId="1928C3D9" w14:textId="77777777" w:rsidR="001C05AC" w:rsidRPr="00917B10" w:rsidRDefault="001C05AC" w:rsidP="001C05AC">
      <w:r w:rsidRPr="00917B10">
        <w:t>Mitchell</w:t>
      </w:r>
      <w:r>
        <w:t xml:space="preserve"> </w:t>
      </w:r>
      <w:r w:rsidRPr="00917B10">
        <w:t>ML, Stafford E (2000) Managerial decisions and long</w:t>
      </w:r>
      <w:r w:rsidRPr="00917B10">
        <w:rPr>
          <w:rFonts w:ascii="Cambria Math" w:hAnsi="Cambria Math" w:cs="Cambria Math"/>
        </w:rPr>
        <w:t>‐</w:t>
      </w:r>
      <w:r w:rsidRPr="00917B10">
        <w:t xml:space="preserve">term stock price performance. </w:t>
      </w:r>
      <w:r w:rsidRPr="00917B10">
        <w:rPr>
          <w:iCs/>
        </w:rPr>
        <w:t>The J Bus</w:t>
      </w:r>
      <w:r w:rsidRPr="00917B10">
        <w:t xml:space="preserve">, </w:t>
      </w:r>
      <w:r w:rsidRPr="00917B10">
        <w:rPr>
          <w:iCs/>
        </w:rPr>
        <w:t>7</w:t>
      </w:r>
      <w:r w:rsidRPr="00917B10">
        <w:rPr>
          <w:i/>
          <w:iCs/>
        </w:rPr>
        <w:t>3</w:t>
      </w:r>
      <w:r w:rsidRPr="00917B10">
        <w:t>(3)</w:t>
      </w:r>
      <w:r>
        <w:t xml:space="preserve">: </w:t>
      </w:r>
      <w:r w:rsidRPr="00917B10">
        <w:t>287-329.</w:t>
      </w:r>
      <w:r>
        <w:t xml:space="preserve"> </w:t>
      </w:r>
      <w:r w:rsidRPr="00917B10">
        <w:t>https://doi.org/10.1086/209645</w:t>
      </w:r>
    </w:p>
    <w:p w14:paraId="4BEE18E6" w14:textId="77777777" w:rsidR="001C05AC" w:rsidRDefault="001C05AC" w:rsidP="001C05AC">
      <w:pPr>
        <w:jc w:val="both"/>
        <w:rPr>
          <w:color w:val="FF0000"/>
        </w:rPr>
      </w:pPr>
      <w:r w:rsidRPr="00917B10">
        <w:rPr>
          <w:color w:val="FF0000"/>
        </w:rPr>
        <w:t xml:space="preserve"> </w:t>
      </w:r>
    </w:p>
    <w:p w14:paraId="083E0AD2" w14:textId="77777777" w:rsidR="001C05AC" w:rsidRPr="00C70499" w:rsidRDefault="001C05AC" w:rsidP="001C05AC">
      <w:pPr>
        <w:jc w:val="both"/>
      </w:pPr>
      <w:r w:rsidRPr="00C70499">
        <w:t xml:space="preserve">Mitra S, </w:t>
      </w:r>
      <w:proofErr w:type="spellStart"/>
      <w:r w:rsidRPr="00C70499">
        <w:t>Jaggi</w:t>
      </w:r>
      <w:proofErr w:type="spellEnd"/>
      <w:r w:rsidRPr="00C70499">
        <w:t xml:space="preserve"> B, Al-</w:t>
      </w:r>
      <w:proofErr w:type="spellStart"/>
      <w:r w:rsidRPr="00C70499">
        <w:t>Hayale</w:t>
      </w:r>
      <w:proofErr w:type="spellEnd"/>
      <w:r w:rsidRPr="00C70499">
        <w:t xml:space="preserve"> T (2019)</w:t>
      </w:r>
      <w:r>
        <w:t xml:space="preserve"> </w:t>
      </w:r>
      <w:r w:rsidRPr="00C70499">
        <w:t xml:space="preserve">Managerial overconfidence, ability, firm-governance and audit fees. </w:t>
      </w:r>
      <w:r w:rsidRPr="00C70499">
        <w:rPr>
          <w:iCs/>
        </w:rPr>
        <w:t>Rev Quant</w:t>
      </w:r>
      <w:r>
        <w:rPr>
          <w:iCs/>
        </w:rPr>
        <w:t xml:space="preserve"> </w:t>
      </w:r>
      <w:proofErr w:type="spellStart"/>
      <w:r w:rsidRPr="00C70499">
        <w:rPr>
          <w:iCs/>
        </w:rPr>
        <w:t>Financ</w:t>
      </w:r>
      <w:proofErr w:type="spellEnd"/>
      <w:r w:rsidRPr="00C70499">
        <w:rPr>
          <w:iCs/>
        </w:rPr>
        <w:t xml:space="preserve"> Account</w:t>
      </w:r>
      <w:r w:rsidRPr="00C70499">
        <w:t xml:space="preserve">, </w:t>
      </w:r>
      <w:r w:rsidRPr="00C70499">
        <w:rPr>
          <w:iCs/>
        </w:rPr>
        <w:t>52</w:t>
      </w:r>
      <w:r w:rsidRPr="00C70499">
        <w:t>(3), 841-870</w:t>
      </w:r>
      <w:r>
        <w:t xml:space="preserve"> </w:t>
      </w:r>
      <w:r w:rsidRPr="00C70499">
        <w:t>https://doi.org/10.1007/s11156-018-0728-3</w:t>
      </w:r>
    </w:p>
    <w:p w14:paraId="4F31D6E8" w14:textId="77777777" w:rsidR="001C05AC" w:rsidRPr="00902166" w:rsidRDefault="001C05AC" w:rsidP="001C05AC">
      <w:pPr>
        <w:jc w:val="both"/>
        <w:rPr>
          <w:color w:val="000000" w:themeColor="text1"/>
        </w:rPr>
      </w:pPr>
      <w:r w:rsidRPr="00902166">
        <w:rPr>
          <w:color w:val="000000" w:themeColor="text1"/>
        </w:rPr>
        <w:t xml:space="preserve">Moeller SB, </w:t>
      </w:r>
      <w:proofErr w:type="spellStart"/>
      <w:r w:rsidRPr="00902166">
        <w:rPr>
          <w:color w:val="000000" w:themeColor="text1"/>
        </w:rPr>
        <w:t>Schlingemann</w:t>
      </w:r>
      <w:proofErr w:type="spellEnd"/>
      <w:r w:rsidRPr="00902166">
        <w:rPr>
          <w:color w:val="000000" w:themeColor="text1"/>
        </w:rPr>
        <w:t xml:space="preserve"> FP, </w:t>
      </w:r>
      <w:proofErr w:type="spellStart"/>
      <w:r w:rsidRPr="00902166">
        <w:rPr>
          <w:color w:val="000000" w:themeColor="text1"/>
        </w:rPr>
        <w:t>Stulz</w:t>
      </w:r>
      <w:proofErr w:type="spellEnd"/>
      <w:r w:rsidRPr="00902166">
        <w:rPr>
          <w:color w:val="000000" w:themeColor="text1"/>
        </w:rPr>
        <w:t xml:space="preserve"> RM (2004) Firm size and the gains from acquisitions.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73</w:t>
      </w:r>
      <w:r w:rsidRPr="00902166">
        <w:rPr>
          <w:color w:val="000000" w:themeColor="text1"/>
        </w:rPr>
        <w:t xml:space="preserve">(2): 201-228 </w:t>
      </w:r>
      <w:hyperlink r:id="rId70" w:tgtFrame="_blank" w:tooltip="Persistent link using digital object identifier" w:history="1">
        <w:r w:rsidRPr="00902166">
          <w:rPr>
            <w:rStyle w:val="Hyperlink"/>
            <w:color w:val="000000" w:themeColor="text1"/>
          </w:rPr>
          <w:t>https://doi.org/10.1016/j.jfineco.2003.07.002</w:t>
        </w:r>
      </w:hyperlink>
    </w:p>
    <w:p w14:paraId="460E5A19" w14:textId="77777777" w:rsidR="001C05AC" w:rsidRPr="00917B10" w:rsidRDefault="001C05AC" w:rsidP="001C05AC">
      <w:pPr>
        <w:jc w:val="both"/>
        <w:rPr>
          <w:color w:val="FF0000"/>
        </w:rPr>
      </w:pPr>
    </w:p>
    <w:p w14:paraId="2FA3466D" w14:textId="77777777" w:rsidR="001C05AC" w:rsidRPr="00A96DBF" w:rsidRDefault="001C05AC" w:rsidP="001C05AC">
      <w:pPr>
        <w:jc w:val="both"/>
        <w:rPr>
          <w:color w:val="000000" w:themeColor="text1"/>
        </w:rPr>
      </w:pPr>
      <w:proofErr w:type="spellStart"/>
      <w:r w:rsidRPr="00A96DBF">
        <w:rPr>
          <w:color w:val="000000" w:themeColor="text1"/>
          <w:lang w:val="en-US"/>
        </w:rPr>
        <w:t>Morck</w:t>
      </w:r>
      <w:proofErr w:type="spellEnd"/>
      <w:r w:rsidRPr="00A96DBF">
        <w:rPr>
          <w:color w:val="000000" w:themeColor="text1"/>
          <w:lang w:val="en-US"/>
        </w:rPr>
        <w:t xml:space="preserve"> R, Shleifer A, </w:t>
      </w:r>
      <w:proofErr w:type="spellStart"/>
      <w:r w:rsidRPr="00A96DBF">
        <w:rPr>
          <w:color w:val="000000" w:themeColor="text1"/>
          <w:lang w:val="en-US"/>
        </w:rPr>
        <w:t>Vishny</w:t>
      </w:r>
      <w:proofErr w:type="spellEnd"/>
      <w:r w:rsidRPr="00A96DBF">
        <w:rPr>
          <w:color w:val="000000" w:themeColor="text1"/>
          <w:lang w:val="en-US"/>
        </w:rPr>
        <w:t xml:space="preserve"> R (1990) Do managerial objectives drive bad acquisitions? J </w:t>
      </w:r>
      <w:proofErr w:type="spellStart"/>
      <w:r w:rsidRPr="00A96DBF">
        <w:rPr>
          <w:color w:val="000000" w:themeColor="text1"/>
          <w:lang w:val="en-US"/>
        </w:rPr>
        <w:t>Financ</w:t>
      </w:r>
      <w:proofErr w:type="spellEnd"/>
      <w:r w:rsidRPr="00A96DBF">
        <w:rPr>
          <w:color w:val="000000" w:themeColor="text1"/>
          <w:lang w:val="en-US"/>
        </w:rPr>
        <w:t xml:space="preserve">, 45(1): 31-48 </w:t>
      </w:r>
      <w:hyperlink r:id="rId71" w:history="1">
        <w:r w:rsidRPr="00A96DBF">
          <w:rPr>
            <w:rStyle w:val="Hyperlink"/>
            <w:color w:val="000000" w:themeColor="text1"/>
          </w:rPr>
          <w:t>https://doi.org/10.1111/j.1540-6261.1990.tb05079.x</w:t>
        </w:r>
      </w:hyperlink>
    </w:p>
    <w:p w14:paraId="25D1992B" w14:textId="77777777" w:rsidR="001C05AC" w:rsidRPr="00917B10" w:rsidRDefault="001C05AC" w:rsidP="001C05AC">
      <w:pPr>
        <w:jc w:val="both"/>
        <w:rPr>
          <w:color w:val="FF0000"/>
        </w:rPr>
      </w:pPr>
    </w:p>
    <w:p w14:paraId="74EDCABA" w14:textId="77777777" w:rsidR="001C05AC" w:rsidRPr="00A96DBF" w:rsidRDefault="001C05AC" w:rsidP="001C05AC">
      <w:pPr>
        <w:jc w:val="both"/>
        <w:rPr>
          <w:color w:val="000000" w:themeColor="text1"/>
        </w:rPr>
      </w:pPr>
      <w:proofErr w:type="spellStart"/>
      <w:r w:rsidRPr="00A96DBF">
        <w:rPr>
          <w:color w:val="000000" w:themeColor="text1"/>
        </w:rPr>
        <w:t>Niederle</w:t>
      </w:r>
      <w:proofErr w:type="spellEnd"/>
      <w:r w:rsidRPr="00A96DBF">
        <w:rPr>
          <w:color w:val="000000" w:themeColor="text1"/>
        </w:rPr>
        <w:t xml:space="preserve"> M, </w:t>
      </w:r>
      <w:proofErr w:type="spellStart"/>
      <w:r w:rsidRPr="00A96DBF">
        <w:rPr>
          <w:color w:val="000000" w:themeColor="text1"/>
        </w:rPr>
        <w:t>Vesterlund</w:t>
      </w:r>
      <w:proofErr w:type="spellEnd"/>
      <w:r w:rsidRPr="00A96DBF">
        <w:rPr>
          <w:color w:val="000000" w:themeColor="text1"/>
        </w:rPr>
        <w:t xml:space="preserve"> L (2007) Do women shy away from competition? Do men compete too much? Q J Econ, 122(3): 1067-1101 </w:t>
      </w:r>
      <w:hyperlink r:id="rId72" w:history="1">
        <w:r w:rsidRPr="00A96DBF">
          <w:rPr>
            <w:rStyle w:val="Hyperlink"/>
            <w:color w:val="000000" w:themeColor="text1"/>
          </w:rPr>
          <w:t>https://doi.org/10.1162/qjec.122.3.1067</w:t>
        </w:r>
      </w:hyperlink>
    </w:p>
    <w:p w14:paraId="6187460B" w14:textId="77777777" w:rsidR="001C05AC" w:rsidRPr="00917B10" w:rsidRDefault="001C05AC" w:rsidP="001C05AC">
      <w:pPr>
        <w:jc w:val="both"/>
        <w:rPr>
          <w:color w:val="FF0000"/>
        </w:rPr>
      </w:pPr>
    </w:p>
    <w:p w14:paraId="1D96F33B" w14:textId="77777777" w:rsidR="001C05AC" w:rsidRDefault="001C05AC" w:rsidP="001C05AC">
      <w:pPr>
        <w:jc w:val="both"/>
        <w:rPr>
          <w:rStyle w:val="Hyperlink"/>
          <w:color w:val="000000" w:themeColor="text1"/>
        </w:rPr>
      </w:pPr>
      <w:proofErr w:type="spellStart"/>
      <w:r w:rsidRPr="00917B10">
        <w:rPr>
          <w:color w:val="000000" w:themeColor="text1"/>
        </w:rPr>
        <w:t>Odean</w:t>
      </w:r>
      <w:proofErr w:type="spellEnd"/>
      <w:r w:rsidRPr="00917B10">
        <w:rPr>
          <w:color w:val="000000" w:themeColor="text1"/>
        </w:rPr>
        <w:t xml:space="preserve"> T (1998) Volume, volatility, price, and profit when all traders are above average. </w:t>
      </w:r>
      <w:r w:rsidRPr="00917B10">
        <w:rPr>
          <w:iCs/>
          <w:color w:val="000000" w:themeColor="text1"/>
        </w:rPr>
        <w:t xml:space="preserve">J </w:t>
      </w:r>
      <w:proofErr w:type="spellStart"/>
      <w:r w:rsidRPr="00917B10">
        <w:rPr>
          <w:iCs/>
          <w:color w:val="000000" w:themeColor="text1"/>
        </w:rPr>
        <w:t>Financ</w:t>
      </w:r>
      <w:proofErr w:type="spellEnd"/>
      <w:r w:rsidRPr="00917B10">
        <w:rPr>
          <w:color w:val="000000" w:themeColor="text1"/>
        </w:rPr>
        <w:t xml:space="preserve">, </w:t>
      </w:r>
      <w:r w:rsidRPr="00917B10">
        <w:rPr>
          <w:iCs/>
          <w:color w:val="000000" w:themeColor="text1"/>
        </w:rPr>
        <w:t>53</w:t>
      </w:r>
      <w:r w:rsidRPr="00917B10">
        <w:rPr>
          <w:color w:val="000000" w:themeColor="text1"/>
        </w:rPr>
        <w:t xml:space="preserve">(6): 1887-1934 </w:t>
      </w:r>
      <w:hyperlink r:id="rId73" w:history="1">
        <w:r w:rsidRPr="00917B10">
          <w:rPr>
            <w:rStyle w:val="Hyperlink"/>
            <w:color w:val="000000" w:themeColor="text1"/>
          </w:rPr>
          <w:t>https://doi.org/10.1111/0022-1082.00078</w:t>
        </w:r>
      </w:hyperlink>
    </w:p>
    <w:p w14:paraId="42FDF31A" w14:textId="77777777" w:rsidR="001C05AC" w:rsidRDefault="001C05AC" w:rsidP="001C05AC">
      <w:pPr>
        <w:jc w:val="both"/>
        <w:rPr>
          <w:color w:val="000000" w:themeColor="text1"/>
        </w:rPr>
      </w:pPr>
    </w:p>
    <w:p w14:paraId="23641007" w14:textId="77777777" w:rsidR="001C05AC" w:rsidRPr="00C70499" w:rsidRDefault="001C05AC" w:rsidP="001C05AC">
      <w:pPr>
        <w:jc w:val="both"/>
      </w:pPr>
      <w:r w:rsidRPr="00C70499">
        <w:t>Pan A, Liu W,</w:t>
      </w:r>
      <w:r>
        <w:t xml:space="preserve"> </w:t>
      </w:r>
      <w:r w:rsidRPr="00C70499">
        <w:t xml:space="preserve">Wang X (2019) Managerial overconfidence, debt capacity and merger &amp; acquisition premium. </w:t>
      </w:r>
      <w:r w:rsidRPr="00C70499">
        <w:rPr>
          <w:iCs/>
        </w:rPr>
        <w:t>Nankai Bus Rev Int</w:t>
      </w:r>
      <w:r>
        <w:t xml:space="preserve"> </w:t>
      </w:r>
      <w:hyperlink r:id="rId74" w:tooltip="DOI: https://doi.org/10.1108/NBRI-04-2019-0016" w:history="1">
        <w:r w:rsidRPr="00C70499">
          <w:rPr>
            <w:rStyle w:val="Hyperlink"/>
            <w:color w:val="000000" w:themeColor="text1"/>
          </w:rPr>
          <w:t>https://doi.org/10.1108/NBRI-04-2019-0016</w:t>
        </w:r>
      </w:hyperlink>
    </w:p>
    <w:p w14:paraId="50C79F61" w14:textId="77777777" w:rsidR="001C05AC" w:rsidRPr="00917B10" w:rsidRDefault="001C05AC" w:rsidP="001C05AC">
      <w:pPr>
        <w:jc w:val="both"/>
        <w:rPr>
          <w:color w:val="000000" w:themeColor="text1"/>
        </w:rPr>
      </w:pPr>
    </w:p>
    <w:p w14:paraId="153A26FB" w14:textId="77777777" w:rsidR="001C05AC" w:rsidRPr="00A96DBF" w:rsidRDefault="001C05AC" w:rsidP="001C05AC">
      <w:pPr>
        <w:jc w:val="both"/>
        <w:rPr>
          <w:color w:val="000000" w:themeColor="text1"/>
        </w:rPr>
      </w:pPr>
      <w:proofErr w:type="spellStart"/>
      <w:r w:rsidRPr="00A96DBF">
        <w:rPr>
          <w:rFonts w:eastAsiaTheme="minorHAnsi"/>
          <w:color w:val="000000" w:themeColor="text1"/>
          <w:lang w:val="en-US"/>
        </w:rPr>
        <w:t>Parola</w:t>
      </w:r>
      <w:proofErr w:type="spellEnd"/>
      <w:r w:rsidRPr="00A96DBF">
        <w:rPr>
          <w:rFonts w:eastAsiaTheme="minorHAnsi"/>
          <w:color w:val="000000" w:themeColor="text1"/>
          <w:lang w:val="en-US"/>
        </w:rPr>
        <w:t xml:space="preserve"> HR, Ellis KM, Golden P (2015) Performance effects of top management team gender diversity during the merger and acquisition process, </w:t>
      </w:r>
      <w:proofErr w:type="spellStart"/>
      <w:r w:rsidRPr="00A96DBF">
        <w:rPr>
          <w:rFonts w:eastAsiaTheme="minorHAnsi"/>
          <w:color w:val="000000" w:themeColor="text1"/>
          <w:lang w:val="en-US"/>
        </w:rPr>
        <w:t>Manag</w:t>
      </w:r>
      <w:proofErr w:type="spellEnd"/>
      <w:r w:rsidRPr="00A96DBF">
        <w:rPr>
          <w:rFonts w:eastAsiaTheme="minorHAnsi"/>
          <w:color w:val="000000" w:themeColor="text1"/>
          <w:lang w:val="en-US"/>
        </w:rPr>
        <w:t xml:space="preserve"> Decision, 53(1): 57-74 </w:t>
      </w:r>
      <w:hyperlink r:id="rId75" w:tooltip="DOI: https://doi.org/10.1108/MD-03-2014-0141" w:history="1">
        <w:r w:rsidRPr="00A96DBF">
          <w:rPr>
            <w:rStyle w:val="Hyperlink"/>
            <w:color w:val="000000" w:themeColor="text1"/>
          </w:rPr>
          <w:t>https://doi.org/10.1108/MD-03-2014-0141</w:t>
        </w:r>
      </w:hyperlink>
    </w:p>
    <w:p w14:paraId="72F61D62" w14:textId="77777777" w:rsidR="001C05AC" w:rsidRPr="00917B10" w:rsidRDefault="001C05AC" w:rsidP="001C05AC">
      <w:pPr>
        <w:jc w:val="both"/>
        <w:rPr>
          <w:b/>
          <w:color w:val="FF0000"/>
        </w:rPr>
      </w:pPr>
    </w:p>
    <w:p w14:paraId="66D22D43" w14:textId="77777777" w:rsidR="001C05AC" w:rsidRPr="00A96DBF" w:rsidRDefault="001C05AC" w:rsidP="001C05AC">
      <w:pPr>
        <w:jc w:val="both"/>
        <w:rPr>
          <w:color w:val="000000" w:themeColor="text1"/>
        </w:rPr>
      </w:pPr>
      <w:proofErr w:type="spellStart"/>
      <w:r w:rsidRPr="00A96DBF">
        <w:rPr>
          <w:color w:val="000000" w:themeColor="text1"/>
        </w:rPr>
        <w:t>Ravenscraft</w:t>
      </w:r>
      <w:proofErr w:type="spellEnd"/>
      <w:r w:rsidRPr="00A96DBF">
        <w:rPr>
          <w:color w:val="000000" w:themeColor="text1"/>
        </w:rPr>
        <w:t xml:space="preserve"> DJ, Scherer FM (1987) Mergers, Sell-offs and economic efficiency</w:t>
      </w:r>
      <w:r>
        <w:rPr>
          <w:color w:val="000000" w:themeColor="text1"/>
        </w:rPr>
        <w:t>.</w:t>
      </w:r>
      <w:r w:rsidRPr="00A96DBF">
        <w:rPr>
          <w:color w:val="000000" w:themeColor="text1"/>
        </w:rPr>
        <w:t xml:space="preserve"> Washington, DC: The Brookings Institution.</w:t>
      </w:r>
    </w:p>
    <w:p w14:paraId="281F5C80" w14:textId="77777777" w:rsidR="001C05AC" w:rsidRPr="00917B10" w:rsidRDefault="001C05AC" w:rsidP="001C05AC">
      <w:pPr>
        <w:jc w:val="both"/>
        <w:rPr>
          <w:color w:val="FF0000"/>
        </w:rPr>
      </w:pPr>
      <w:r w:rsidRPr="00917B10">
        <w:rPr>
          <w:color w:val="FF0000"/>
        </w:rPr>
        <w:t xml:space="preserve"> </w:t>
      </w:r>
    </w:p>
    <w:p w14:paraId="562C6953" w14:textId="77777777" w:rsidR="001C05AC" w:rsidRPr="00902166" w:rsidRDefault="001C05AC" w:rsidP="001C05AC">
      <w:pPr>
        <w:jc w:val="both"/>
        <w:rPr>
          <w:color w:val="000000" w:themeColor="text1"/>
        </w:rPr>
      </w:pPr>
      <w:r w:rsidRPr="00902166">
        <w:rPr>
          <w:color w:val="000000" w:themeColor="text1"/>
        </w:rPr>
        <w:t xml:space="preserve">Rau PR, Vermaelen T (1998) Glamour, value and the post-acquisition performance of acquiring firms. </w:t>
      </w:r>
      <w:r w:rsidRPr="00902166">
        <w:rPr>
          <w:iCs/>
          <w:color w:val="000000" w:themeColor="text1"/>
        </w:rPr>
        <w:t xml:space="preserve">J </w:t>
      </w:r>
      <w:proofErr w:type="spellStart"/>
      <w:r w:rsidRPr="00902166">
        <w:rPr>
          <w:iCs/>
          <w:color w:val="000000" w:themeColor="text1"/>
        </w:rPr>
        <w:t>Financ</w:t>
      </w:r>
      <w:proofErr w:type="spellEnd"/>
      <w:r w:rsidRPr="00902166">
        <w:rPr>
          <w:iCs/>
          <w:color w:val="000000" w:themeColor="text1"/>
        </w:rPr>
        <w:t xml:space="preserve"> Econ</w:t>
      </w:r>
      <w:r w:rsidRPr="00902166">
        <w:rPr>
          <w:color w:val="000000" w:themeColor="text1"/>
        </w:rPr>
        <w:t xml:space="preserve">, </w:t>
      </w:r>
      <w:r w:rsidRPr="00902166">
        <w:rPr>
          <w:iCs/>
          <w:color w:val="000000" w:themeColor="text1"/>
        </w:rPr>
        <w:t>49</w:t>
      </w:r>
      <w:r w:rsidRPr="00902166">
        <w:rPr>
          <w:color w:val="000000" w:themeColor="text1"/>
        </w:rPr>
        <w:t xml:space="preserve">(2): 223-253 </w:t>
      </w:r>
      <w:hyperlink r:id="rId76" w:tgtFrame="_blank" w:tooltip="Persistent link using digital object identifier" w:history="1">
        <w:r w:rsidRPr="00902166">
          <w:rPr>
            <w:rStyle w:val="Hyperlink"/>
            <w:color w:val="000000" w:themeColor="text1"/>
          </w:rPr>
          <w:t>https://doi.org/10.1016/S0304-405X(98)00023-3</w:t>
        </w:r>
      </w:hyperlink>
    </w:p>
    <w:p w14:paraId="00D1724B" w14:textId="77777777" w:rsidR="001C05AC" w:rsidRPr="00917B10" w:rsidRDefault="001C05AC" w:rsidP="001C05AC">
      <w:pPr>
        <w:jc w:val="both"/>
        <w:rPr>
          <w:color w:val="FF0000"/>
        </w:rPr>
      </w:pPr>
    </w:p>
    <w:p w14:paraId="7E1A5240" w14:textId="77777777" w:rsidR="001C05AC" w:rsidRDefault="001C05AC" w:rsidP="001C05AC">
      <w:pPr>
        <w:jc w:val="both"/>
        <w:rPr>
          <w:rFonts w:eastAsiaTheme="minorHAnsi"/>
          <w:color w:val="000000" w:themeColor="text1"/>
          <w:lang w:val="en-US"/>
        </w:rPr>
      </w:pPr>
      <w:proofErr w:type="spellStart"/>
      <w:r w:rsidRPr="00A96DBF">
        <w:rPr>
          <w:rFonts w:eastAsiaTheme="minorHAnsi"/>
          <w:color w:val="000000" w:themeColor="text1"/>
          <w:lang w:val="en-US"/>
        </w:rPr>
        <w:t>Ravaonorohanta</w:t>
      </w:r>
      <w:proofErr w:type="spellEnd"/>
      <w:r w:rsidRPr="00A96DBF">
        <w:rPr>
          <w:rFonts w:eastAsiaTheme="minorHAnsi"/>
          <w:color w:val="000000" w:themeColor="text1"/>
          <w:lang w:val="en-US"/>
        </w:rPr>
        <w:t xml:space="preserve"> N (2020) Gender-diverse boards get better performance on mergers and acquisitions [Special issue]. Corp Ownership Control, 17(4): 222-233</w:t>
      </w:r>
    </w:p>
    <w:p w14:paraId="52D26B7E" w14:textId="77777777" w:rsidR="001C05AC" w:rsidRPr="00A96DBF" w:rsidRDefault="001C05AC" w:rsidP="001C05AC">
      <w:pPr>
        <w:jc w:val="both"/>
        <w:rPr>
          <w:color w:val="000000" w:themeColor="text1"/>
        </w:rPr>
      </w:pPr>
      <w:r w:rsidRPr="00A96DBF">
        <w:rPr>
          <w:rStyle w:val="markedcontent"/>
          <w:color w:val="000000" w:themeColor="text1"/>
        </w:rPr>
        <w:t>DOI: 10.22495/cocv17i4siart1</w:t>
      </w:r>
    </w:p>
    <w:p w14:paraId="6D72AB18" w14:textId="77777777" w:rsidR="001C05AC" w:rsidRPr="00917B10" w:rsidRDefault="001C05AC" w:rsidP="001C05AC">
      <w:pPr>
        <w:jc w:val="both"/>
        <w:rPr>
          <w:b/>
          <w:color w:val="FF0000"/>
        </w:rPr>
      </w:pPr>
    </w:p>
    <w:p w14:paraId="631AAE41" w14:textId="77777777" w:rsidR="001C05AC" w:rsidRPr="00917B10" w:rsidRDefault="001C05AC" w:rsidP="001C05AC">
      <w:pPr>
        <w:jc w:val="both"/>
        <w:rPr>
          <w:color w:val="FF0000"/>
        </w:rPr>
      </w:pPr>
      <w:r w:rsidRPr="00902166">
        <w:rPr>
          <w:color w:val="000000" w:themeColor="text1"/>
        </w:rPr>
        <w:lastRenderedPageBreak/>
        <w:t xml:space="preserve">Rosenbaum PR, Rubin DB (1983) The central role of the propensity score in observational studies for causal effects. </w:t>
      </w:r>
      <w:proofErr w:type="spellStart"/>
      <w:r w:rsidRPr="00902166">
        <w:rPr>
          <w:iCs/>
          <w:color w:val="000000" w:themeColor="text1"/>
        </w:rPr>
        <w:t>Biometrika</w:t>
      </w:r>
      <w:proofErr w:type="spellEnd"/>
      <w:r w:rsidRPr="00902166">
        <w:rPr>
          <w:color w:val="000000" w:themeColor="text1"/>
        </w:rPr>
        <w:t xml:space="preserve">, </w:t>
      </w:r>
      <w:r w:rsidRPr="00902166">
        <w:rPr>
          <w:iCs/>
          <w:color w:val="000000" w:themeColor="text1"/>
        </w:rPr>
        <w:t>70</w:t>
      </w:r>
      <w:r w:rsidRPr="00902166">
        <w:rPr>
          <w:color w:val="000000" w:themeColor="text1"/>
        </w:rPr>
        <w:t xml:space="preserve">(1): 41-55 </w:t>
      </w:r>
      <w:hyperlink r:id="rId77" w:history="1">
        <w:r w:rsidRPr="00902166">
          <w:rPr>
            <w:rStyle w:val="Hyperlink"/>
            <w:color w:val="000000" w:themeColor="text1"/>
          </w:rPr>
          <w:t>https://doi.org/10.1093/biomet/70.1.41</w:t>
        </w:r>
      </w:hyperlink>
    </w:p>
    <w:p w14:paraId="119BDB3E" w14:textId="77777777" w:rsidR="001C05AC" w:rsidRPr="00917B10" w:rsidRDefault="001C05AC" w:rsidP="001C05AC">
      <w:pPr>
        <w:jc w:val="both"/>
        <w:rPr>
          <w:b/>
          <w:color w:val="FF0000"/>
        </w:rPr>
      </w:pPr>
    </w:p>
    <w:p w14:paraId="23369505" w14:textId="77777777" w:rsidR="001C05AC" w:rsidRPr="00A96DBF" w:rsidRDefault="001C05AC" w:rsidP="001C05AC">
      <w:pPr>
        <w:jc w:val="both"/>
        <w:rPr>
          <w:color w:val="000000" w:themeColor="text1"/>
        </w:rPr>
      </w:pPr>
      <w:r w:rsidRPr="00A96DBF">
        <w:rPr>
          <w:color w:val="000000" w:themeColor="text1"/>
        </w:rPr>
        <w:t xml:space="preserve">Roll R (1986) The hubris hypothesis of corporate takeovers. </w:t>
      </w:r>
      <w:r w:rsidRPr="00A96DBF">
        <w:rPr>
          <w:iCs/>
          <w:color w:val="000000" w:themeColor="text1"/>
        </w:rPr>
        <w:t>J Bus</w:t>
      </w:r>
      <w:r w:rsidRPr="00A96DBF">
        <w:rPr>
          <w:color w:val="000000" w:themeColor="text1"/>
        </w:rPr>
        <w:t xml:space="preserve">, 69(2): 197-216 https://www.jstor.org/stable/2353017 </w:t>
      </w:r>
    </w:p>
    <w:p w14:paraId="7FFF9CD5" w14:textId="77777777" w:rsidR="001C05AC" w:rsidRPr="00917B10" w:rsidRDefault="001C05AC" w:rsidP="001C05AC">
      <w:pPr>
        <w:jc w:val="both"/>
        <w:rPr>
          <w:color w:val="FF0000"/>
        </w:rPr>
      </w:pPr>
    </w:p>
    <w:p w14:paraId="0C30842E" w14:textId="77777777" w:rsidR="001C05AC" w:rsidRPr="00917B10" w:rsidRDefault="001C05AC" w:rsidP="001C05AC">
      <w:pPr>
        <w:jc w:val="both"/>
        <w:rPr>
          <w:color w:val="000000" w:themeColor="text1"/>
        </w:rPr>
      </w:pPr>
      <w:r w:rsidRPr="00917B10">
        <w:rPr>
          <w:color w:val="000000" w:themeColor="text1"/>
        </w:rPr>
        <w:t>Seth A, Song KP, Pettit R (2000) Synergy, managerialism or hubris? An empirical examination of motives for foreign acquisitions of US firms</w:t>
      </w:r>
      <w:r>
        <w:rPr>
          <w:color w:val="000000" w:themeColor="text1"/>
        </w:rPr>
        <w:t>.</w:t>
      </w:r>
      <w:r w:rsidRPr="00917B10">
        <w:rPr>
          <w:color w:val="000000" w:themeColor="text1"/>
        </w:rPr>
        <w:t xml:space="preserve"> J Int Bus Stud, 31(3): 387-405 https://doi.org/10.1057/palgrave.jibs.8490913</w:t>
      </w:r>
    </w:p>
    <w:p w14:paraId="3C4B824C" w14:textId="77777777" w:rsidR="001C05AC" w:rsidRDefault="001C05AC" w:rsidP="001C05AC">
      <w:pPr>
        <w:jc w:val="both"/>
        <w:rPr>
          <w:b/>
          <w:color w:val="FF0000"/>
        </w:rPr>
      </w:pPr>
    </w:p>
    <w:p w14:paraId="37D2702E" w14:textId="77777777" w:rsidR="001C05AC" w:rsidRPr="00C70499" w:rsidRDefault="001C05AC" w:rsidP="001C05AC">
      <w:pPr>
        <w:jc w:val="both"/>
      </w:pPr>
      <w:r>
        <w:t xml:space="preserve">Tang CH, Lee YH, Lee MC, Huang YL (2020) CEO characteristics enhancing the impact of CEO overconfidence on firm value after mergers and acquisitions—a case study in China. </w:t>
      </w:r>
      <w:r w:rsidRPr="00383795">
        <w:rPr>
          <w:iCs/>
        </w:rPr>
        <w:t xml:space="preserve">Rev Pac Bas </w:t>
      </w:r>
      <w:proofErr w:type="spellStart"/>
      <w:r w:rsidRPr="00383795">
        <w:rPr>
          <w:iCs/>
        </w:rPr>
        <w:t>Finan</w:t>
      </w:r>
      <w:r>
        <w:rPr>
          <w:iCs/>
        </w:rPr>
        <w:t>c</w:t>
      </w:r>
      <w:proofErr w:type="spellEnd"/>
      <w:r w:rsidRPr="00383795">
        <w:rPr>
          <w:iCs/>
        </w:rPr>
        <w:t xml:space="preserve"> Mark Pol</w:t>
      </w:r>
      <w:r w:rsidRPr="00383795">
        <w:t>,</w:t>
      </w:r>
      <w:r>
        <w:t xml:space="preserve"> </w:t>
      </w:r>
      <w:r w:rsidRPr="00383795">
        <w:rPr>
          <w:iCs/>
        </w:rPr>
        <w:t>23</w:t>
      </w:r>
      <w:r>
        <w:t xml:space="preserve">(01): 2050003 </w:t>
      </w:r>
      <w:hyperlink r:id="rId78" w:history="1">
        <w:r w:rsidRPr="00C70499">
          <w:rPr>
            <w:rStyle w:val="Hyperlink"/>
            <w:color w:val="000000" w:themeColor="text1"/>
          </w:rPr>
          <w:t>https://doi.org/10.1142/S0219091520500034</w:t>
        </w:r>
      </w:hyperlink>
    </w:p>
    <w:p w14:paraId="1F2674FF" w14:textId="77777777" w:rsidR="001C05AC" w:rsidRPr="00917B10" w:rsidRDefault="001C05AC" w:rsidP="001C05AC">
      <w:pPr>
        <w:jc w:val="both"/>
        <w:rPr>
          <w:b/>
          <w:color w:val="FF0000"/>
        </w:rPr>
      </w:pPr>
    </w:p>
    <w:p w14:paraId="10656C92" w14:textId="77777777" w:rsidR="0081596F" w:rsidRDefault="001C05AC" w:rsidP="001C05AC">
      <w:pPr>
        <w:autoSpaceDE w:val="0"/>
        <w:autoSpaceDN w:val="0"/>
        <w:adjustRightInd w:val="0"/>
        <w:jc w:val="both"/>
        <w:rPr>
          <w:color w:val="000000" w:themeColor="text1"/>
          <w:lang w:val="en-US"/>
        </w:rPr>
        <w:sectPr w:rsidR="0081596F" w:rsidSect="00944FF4">
          <w:headerReference w:type="default" r:id="rId79"/>
          <w:footerReference w:type="even" r:id="rId80"/>
          <w:footerReference w:type="default" r:id="rId81"/>
          <w:pgSz w:w="11900" w:h="16840"/>
          <w:pgMar w:top="1440" w:right="1440" w:bottom="1440" w:left="1440" w:header="720" w:footer="720" w:gutter="0"/>
          <w:cols w:space="720"/>
          <w:docGrid w:linePitch="360"/>
        </w:sectPr>
      </w:pPr>
      <w:r w:rsidRPr="00902166">
        <w:rPr>
          <w:color w:val="000000" w:themeColor="text1"/>
          <w:lang w:val="en-US"/>
        </w:rPr>
        <w:t>Weinstein ND, Klein WM (2002) Resistance of personal risk perceptions to debiasing interventions, in T. Gilovich, D. Griffin and D. Kahneman, (eds.), Heuristics and Biases: The Psychology of Intuitive Judgment. Cambridge: Cambridge University Press</w:t>
      </w:r>
    </w:p>
    <w:p w14:paraId="49082261" w14:textId="77777777" w:rsidR="0081596F" w:rsidRPr="0081596F" w:rsidRDefault="0081596F" w:rsidP="0081596F">
      <w:r w:rsidRPr="0081596F">
        <w:lastRenderedPageBreak/>
        <w:t>Table 1 Descriptive statistics</w:t>
      </w:r>
    </w:p>
    <w:tbl>
      <w:tblPr>
        <w:tblStyle w:val="TableGrid11"/>
        <w:tblW w:w="104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228"/>
        <w:gridCol w:w="1094"/>
        <w:gridCol w:w="1094"/>
        <w:gridCol w:w="961"/>
        <w:gridCol w:w="672"/>
        <w:gridCol w:w="739"/>
        <w:gridCol w:w="827"/>
        <w:gridCol w:w="1240"/>
        <w:gridCol w:w="1294"/>
      </w:tblGrid>
      <w:tr w:rsidR="0081596F" w:rsidRPr="0081596F" w14:paraId="4F0550AF" w14:textId="77777777" w:rsidTr="0081596F">
        <w:tc>
          <w:tcPr>
            <w:tcW w:w="1327" w:type="dxa"/>
            <w:tcBorders>
              <w:top w:val="single" w:sz="4" w:space="0" w:color="auto"/>
              <w:left w:val="nil"/>
              <w:bottom w:val="single" w:sz="4" w:space="0" w:color="auto"/>
              <w:right w:val="nil"/>
            </w:tcBorders>
            <w:hideMark/>
          </w:tcPr>
          <w:p w14:paraId="581BC073" w14:textId="77777777" w:rsidR="0081596F" w:rsidRPr="0081596F" w:rsidRDefault="0081596F" w:rsidP="0081596F">
            <w:pPr>
              <w:rPr>
                <w:rFonts w:eastAsia="Calibri"/>
                <w:sz w:val="20"/>
                <w:szCs w:val="20"/>
              </w:rPr>
            </w:pPr>
            <w:r w:rsidRPr="0081596F">
              <w:rPr>
                <w:rFonts w:eastAsia="Calibri"/>
                <w:sz w:val="20"/>
                <w:szCs w:val="20"/>
              </w:rPr>
              <w:t>Panel A</w:t>
            </w:r>
          </w:p>
        </w:tc>
        <w:tc>
          <w:tcPr>
            <w:tcW w:w="1228" w:type="dxa"/>
            <w:tcBorders>
              <w:top w:val="single" w:sz="4" w:space="0" w:color="auto"/>
              <w:left w:val="nil"/>
              <w:bottom w:val="single" w:sz="4" w:space="0" w:color="auto"/>
              <w:right w:val="nil"/>
            </w:tcBorders>
          </w:tcPr>
          <w:p w14:paraId="3BB2D41E"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568062A8"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1655A61E" w14:textId="77777777" w:rsidR="0081596F" w:rsidRPr="0081596F" w:rsidRDefault="0081596F" w:rsidP="0081596F">
            <w:pPr>
              <w:rPr>
                <w:rFonts w:eastAsia="Calibri"/>
                <w:sz w:val="20"/>
                <w:szCs w:val="20"/>
              </w:rPr>
            </w:pPr>
          </w:p>
        </w:tc>
        <w:tc>
          <w:tcPr>
            <w:tcW w:w="961" w:type="dxa"/>
            <w:tcBorders>
              <w:top w:val="single" w:sz="4" w:space="0" w:color="auto"/>
              <w:left w:val="nil"/>
              <w:bottom w:val="single" w:sz="4" w:space="0" w:color="auto"/>
              <w:right w:val="nil"/>
            </w:tcBorders>
          </w:tcPr>
          <w:p w14:paraId="6ED293A1" w14:textId="77777777" w:rsidR="0081596F" w:rsidRPr="0081596F" w:rsidRDefault="0081596F" w:rsidP="0081596F">
            <w:pPr>
              <w:rPr>
                <w:rFonts w:eastAsia="Calibri"/>
                <w:sz w:val="20"/>
                <w:szCs w:val="20"/>
              </w:rPr>
            </w:pPr>
          </w:p>
        </w:tc>
        <w:tc>
          <w:tcPr>
            <w:tcW w:w="672" w:type="dxa"/>
            <w:tcBorders>
              <w:top w:val="single" w:sz="4" w:space="0" w:color="auto"/>
              <w:left w:val="nil"/>
              <w:bottom w:val="single" w:sz="4" w:space="0" w:color="auto"/>
              <w:right w:val="nil"/>
            </w:tcBorders>
          </w:tcPr>
          <w:p w14:paraId="1F767350" w14:textId="77777777" w:rsidR="0081596F" w:rsidRPr="0081596F" w:rsidRDefault="0081596F" w:rsidP="0081596F">
            <w:pPr>
              <w:rPr>
                <w:rFonts w:eastAsia="Calibri"/>
                <w:sz w:val="20"/>
                <w:szCs w:val="20"/>
              </w:rPr>
            </w:pPr>
          </w:p>
        </w:tc>
        <w:tc>
          <w:tcPr>
            <w:tcW w:w="739" w:type="dxa"/>
            <w:tcBorders>
              <w:top w:val="single" w:sz="4" w:space="0" w:color="auto"/>
              <w:left w:val="nil"/>
              <w:bottom w:val="single" w:sz="4" w:space="0" w:color="auto"/>
              <w:right w:val="nil"/>
            </w:tcBorders>
          </w:tcPr>
          <w:p w14:paraId="1E32863A" w14:textId="77777777" w:rsidR="0081596F" w:rsidRPr="0081596F" w:rsidRDefault="0081596F" w:rsidP="0081596F">
            <w:pPr>
              <w:rPr>
                <w:rFonts w:eastAsia="Calibri"/>
                <w:sz w:val="20"/>
                <w:szCs w:val="20"/>
              </w:rPr>
            </w:pPr>
          </w:p>
        </w:tc>
        <w:tc>
          <w:tcPr>
            <w:tcW w:w="827" w:type="dxa"/>
            <w:tcBorders>
              <w:top w:val="single" w:sz="4" w:space="0" w:color="auto"/>
              <w:left w:val="nil"/>
              <w:bottom w:val="single" w:sz="4" w:space="0" w:color="auto"/>
              <w:right w:val="nil"/>
            </w:tcBorders>
          </w:tcPr>
          <w:p w14:paraId="13542176"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1D945CCC"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5FB8C909" w14:textId="77777777" w:rsidR="0081596F" w:rsidRPr="0081596F" w:rsidRDefault="0081596F" w:rsidP="0081596F">
            <w:pPr>
              <w:rPr>
                <w:rFonts w:eastAsia="Calibri"/>
                <w:sz w:val="20"/>
                <w:szCs w:val="20"/>
              </w:rPr>
            </w:pPr>
          </w:p>
        </w:tc>
      </w:tr>
      <w:tr w:rsidR="0081596F" w:rsidRPr="0081596F" w14:paraId="330B04C7" w14:textId="77777777" w:rsidTr="0081596F">
        <w:tc>
          <w:tcPr>
            <w:tcW w:w="1327" w:type="dxa"/>
            <w:tcBorders>
              <w:top w:val="single" w:sz="4" w:space="0" w:color="auto"/>
              <w:left w:val="nil"/>
              <w:bottom w:val="single" w:sz="4" w:space="0" w:color="auto"/>
              <w:right w:val="nil"/>
            </w:tcBorders>
            <w:hideMark/>
          </w:tcPr>
          <w:p w14:paraId="19F5316D" w14:textId="77777777" w:rsidR="0081596F" w:rsidRPr="0081596F" w:rsidRDefault="0081596F" w:rsidP="0081596F">
            <w:pPr>
              <w:rPr>
                <w:rFonts w:eastAsia="Calibri"/>
                <w:sz w:val="20"/>
                <w:szCs w:val="20"/>
              </w:rPr>
            </w:pPr>
            <w:r w:rsidRPr="0081596F">
              <w:rPr>
                <w:rFonts w:eastAsia="Calibri"/>
                <w:sz w:val="20"/>
                <w:szCs w:val="20"/>
              </w:rPr>
              <w:t>Type of acquisition</w:t>
            </w:r>
          </w:p>
        </w:tc>
        <w:tc>
          <w:tcPr>
            <w:tcW w:w="1228" w:type="dxa"/>
            <w:tcBorders>
              <w:top w:val="single" w:sz="4" w:space="0" w:color="auto"/>
              <w:left w:val="nil"/>
              <w:bottom w:val="single" w:sz="4" w:space="0" w:color="auto"/>
              <w:right w:val="nil"/>
            </w:tcBorders>
            <w:hideMark/>
          </w:tcPr>
          <w:p w14:paraId="6E75F2FE" w14:textId="77777777" w:rsidR="0081596F" w:rsidRPr="0081596F" w:rsidRDefault="0081596F" w:rsidP="0081596F">
            <w:pPr>
              <w:jc w:val="center"/>
              <w:rPr>
                <w:rFonts w:eastAsia="Calibri"/>
                <w:sz w:val="20"/>
                <w:szCs w:val="20"/>
              </w:rPr>
            </w:pPr>
            <w:r w:rsidRPr="0081596F">
              <w:rPr>
                <w:rFonts w:eastAsia="Calibri"/>
                <w:sz w:val="20"/>
                <w:szCs w:val="20"/>
              </w:rPr>
              <w:t>Number of Acquisitions</w:t>
            </w:r>
          </w:p>
        </w:tc>
        <w:tc>
          <w:tcPr>
            <w:tcW w:w="1094" w:type="dxa"/>
            <w:tcBorders>
              <w:top w:val="single" w:sz="4" w:space="0" w:color="auto"/>
              <w:left w:val="nil"/>
              <w:bottom w:val="single" w:sz="4" w:space="0" w:color="auto"/>
              <w:right w:val="nil"/>
            </w:tcBorders>
            <w:hideMark/>
          </w:tcPr>
          <w:p w14:paraId="3DF7F6A8" w14:textId="77777777" w:rsidR="0081596F" w:rsidRPr="0081596F" w:rsidRDefault="0081596F" w:rsidP="0081596F">
            <w:pPr>
              <w:jc w:val="center"/>
              <w:rPr>
                <w:rFonts w:eastAsia="Calibri"/>
                <w:sz w:val="20"/>
                <w:szCs w:val="20"/>
              </w:rPr>
            </w:pPr>
            <w:r w:rsidRPr="0081596F">
              <w:rPr>
                <w:rFonts w:eastAsia="Calibri"/>
                <w:color w:val="000000"/>
                <w:sz w:val="20"/>
                <w:szCs w:val="20"/>
              </w:rPr>
              <w:t>Mean transaction value (£ million)</w:t>
            </w:r>
          </w:p>
        </w:tc>
        <w:tc>
          <w:tcPr>
            <w:tcW w:w="1094" w:type="dxa"/>
            <w:tcBorders>
              <w:top w:val="single" w:sz="4" w:space="0" w:color="auto"/>
              <w:left w:val="nil"/>
              <w:bottom w:val="single" w:sz="4" w:space="0" w:color="auto"/>
              <w:right w:val="nil"/>
            </w:tcBorders>
            <w:hideMark/>
          </w:tcPr>
          <w:p w14:paraId="6CBE5296" w14:textId="77777777" w:rsidR="0081596F" w:rsidRPr="0081596F" w:rsidRDefault="0081596F" w:rsidP="0081596F">
            <w:pPr>
              <w:jc w:val="center"/>
              <w:rPr>
                <w:rFonts w:eastAsia="Calibri"/>
                <w:sz w:val="20"/>
                <w:szCs w:val="20"/>
              </w:rPr>
            </w:pPr>
            <w:r w:rsidRPr="0081596F">
              <w:rPr>
                <w:rFonts w:eastAsia="Calibri"/>
                <w:color w:val="000000"/>
                <w:sz w:val="20"/>
                <w:szCs w:val="20"/>
              </w:rPr>
              <w:t>Median transaction value (£ million)</w:t>
            </w:r>
          </w:p>
        </w:tc>
        <w:tc>
          <w:tcPr>
            <w:tcW w:w="961" w:type="dxa"/>
            <w:tcBorders>
              <w:top w:val="single" w:sz="4" w:space="0" w:color="auto"/>
              <w:left w:val="nil"/>
              <w:bottom w:val="single" w:sz="4" w:space="0" w:color="auto"/>
              <w:right w:val="nil"/>
            </w:tcBorders>
            <w:hideMark/>
          </w:tcPr>
          <w:p w14:paraId="5C73303D" w14:textId="77777777" w:rsidR="0081596F" w:rsidRPr="0081596F" w:rsidRDefault="0081596F" w:rsidP="0081596F">
            <w:pPr>
              <w:jc w:val="center"/>
              <w:rPr>
                <w:rFonts w:eastAsia="Calibri"/>
                <w:sz w:val="20"/>
                <w:szCs w:val="20"/>
              </w:rPr>
            </w:pPr>
            <w:r w:rsidRPr="0081596F">
              <w:rPr>
                <w:rFonts w:eastAsia="Calibri"/>
                <w:color w:val="000000"/>
                <w:sz w:val="20"/>
                <w:szCs w:val="20"/>
              </w:rPr>
              <w:t>Cash</w:t>
            </w:r>
          </w:p>
        </w:tc>
        <w:tc>
          <w:tcPr>
            <w:tcW w:w="672" w:type="dxa"/>
            <w:tcBorders>
              <w:top w:val="single" w:sz="4" w:space="0" w:color="auto"/>
              <w:left w:val="nil"/>
              <w:bottom w:val="single" w:sz="4" w:space="0" w:color="auto"/>
              <w:right w:val="nil"/>
            </w:tcBorders>
            <w:hideMark/>
          </w:tcPr>
          <w:p w14:paraId="4A0E75CB" w14:textId="77777777" w:rsidR="0081596F" w:rsidRPr="0081596F" w:rsidRDefault="0081596F" w:rsidP="0081596F">
            <w:pPr>
              <w:jc w:val="center"/>
              <w:rPr>
                <w:rFonts w:eastAsia="Calibri"/>
                <w:sz w:val="20"/>
                <w:szCs w:val="20"/>
              </w:rPr>
            </w:pPr>
            <w:r w:rsidRPr="0081596F">
              <w:rPr>
                <w:rFonts w:eastAsia="Calibri"/>
                <w:color w:val="000000"/>
                <w:sz w:val="20"/>
                <w:szCs w:val="20"/>
              </w:rPr>
              <w:t>Stock</w:t>
            </w:r>
          </w:p>
        </w:tc>
        <w:tc>
          <w:tcPr>
            <w:tcW w:w="739" w:type="dxa"/>
            <w:tcBorders>
              <w:top w:val="single" w:sz="4" w:space="0" w:color="auto"/>
              <w:left w:val="nil"/>
              <w:bottom w:val="single" w:sz="4" w:space="0" w:color="auto"/>
              <w:right w:val="nil"/>
            </w:tcBorders>
            <w:hideMark/>
          </w:tcPr>
          <w:p w14:paraId="27C9BA39" w14:textId="77777777" w:rsidR="0081596F" w:rsidRPr="0081596F" w:rsidRDefault="0081596F" w:rsidP="0081596F">
            <w:pPr>
              <w:jc w:val="center"/>
              <w:rPr>
                <w:rFonts w:eastAsia="Calibri"/>
                <w:sz w:val="20"/>
                <w:szCs w:val="20"/>
              </w:rPr>
            </w:pPr>
            <w:r w:rsidRPr="0081596F">
              <w:rPr>
                <w:rFonts w:eastAsia="Calibri"/>
                <w:color w:val="000000"/>
                <w:sz w:val="20"/>
                <w:szCs w:val="20"/>
              </w:rPr>
              <w:t>Mixed</w:t>
            </w:r>
          </w:p>
        </w:tc>
        <w:tc>
          <w:tcPr>
            <w:tcW w:w="827" w:type="dxa"/>
            <w:tcBorders>
              <w:top w:val="single" w:sz="4" w:space="0" w:color="auto"/>
              <w:left w:val="nil"/>
              <w:bottom w:val="single" w:sz="4" w:space="0" w:color="auto"/>
              <w:right w:val="nil"/>
            </w:tcBorders>
            <w:hideMark/>
          </w:tcPr>
          <w:p w14:paraId="00F9EF82" w14:textId="77777777" w:rsidR="0081596F" w:rsidRPr="0081596F" w:rsidRDefault="0081596F" w:rsidP="0081596F">
            <w:pPr>
              <w:jc w:val="center"/>
              <w:rPr>
                <w:rFonts w:eastAsia="Calibri"/>
                <w:sz w:val="20"/>
                <w:szCs w:val="20"/>
              </w:rPr>
            </w:pPr>
            <w:r w:rsidRPr="0081596F">
              <w:rPr>
                <w:rFonts w:eastAsia="Calibri"/>
                <w:color w:val="000000"/>
                <w:sz w:val="20"/>
                <w:szCs w:val="20"/>
              </w:rPr>
              <w:t>Related</w:t>
            </w:r>
          </w:p>
        </w:tc>
        <w:tc>
          <w:tcPr>
            <w:tcW w:w="1267" w:type="dxa"/>
            <w:tcBorders>
              <w:top w:val="single" w:sz="4" w:space="0" w:color="auto"/>
              <w:left w:val="nil"/>
              <w:bottom w:val="single" w:sz="4" w:space="0" w:color="auto"/>
              <w:right w:val="nil"/>
            </w:tcBorders>
            <w:hideMark/>
          </w:tcPr>
          <w:p w14:paraId="0F65F6B1" w14:textId="77777777" w:rsidR="0081596F" w:rsidRPr="0081596F" w:rsidRDefault="0081596F" w:rsidP="0081596F">
            <w:pPr>
              <w:jc w:val="center"/>
              <w:rPr>
                <w:rFonts w:eastAsia="Calibri"/>
                <w:sz w:val="20"/>
                <w:szCs w:val="20"/>
              </w:rPr>
            </w:pPr>
            <w:r w:rsidRPr="0081596F">
              <w:rPr>
                <w:rFonts w:eastAsia="Calibri"/>
                <w:color w:val="000000"/>
                <w:sz w:val="20"/>
                <w:szCs w:val="20"/>
              </w:rPr>
              <w:t>Diversifying</w:t>
            </w:r>
          </w:p>
        </w:tc>
        <w:tc>
          <w:tcPr>
            <w:tcW w:w="1267" w:type="dxa"/>
            <w:tcBorders>
              <w:top w:val="single" w:sz="4" w:space="0" w:color="auto"/>
              <w:left w:val="nil"/>
              <w:bottom w:val="single" w:sz="4" w:space="0" w:color="auto"/>
              <w:right w:val="nil"/>
            </w:tcBorders>
            <w:hideMark/>
          </w:tcPr>
          <w:p w14:paraId="55B59B13"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Deal size/ bidder’s market capitalization</w:t>
            </w:r>
          </w:p>
        </w:tc>
      </w:tr>
      <w:tr w:rsidR="0081596F" w:rsidRPr="0081596F" w14:paraId="6F92FE50" w14:textId="77777777" w:rsidTr="0081596F">
        <w:tc>
          <w:tcPr>
            <w:tcW w:w="1327" w:type="dxa"/>
            <w:tcBorders>
              <w:top w:val="single" w:sz="4" w:space="0" w:color="auto"/>
              <w:left w:val="nil"/>
              <w:bottom w:val="nil"/>
              <w:right w:val="nil"/>
            </w:tcBorders>
          </w:tcPr>
          <w:p w14:paraId="48C3126B" w14:textId="77777777" w:rsidR="0081596F" w:rsidRPr="0081596F" w:rsidRDefault="0081596F" w:rsidP="0081596F">
            <w:pPr>
              <w:rPr>
                <w:rFonts w:eastAsia="Calibri"/>
                <w:sz w:val="20"/>
                <w:szCs w:val="20"/>
              </w:rPr>
            </w:pPr>
          </w:p>
        </w:tc>
        <w:tc>
          <w:tcPr>
            <w:tcW w:w="1228" w:type="dxa"/>
            <w:tcBorders>
              <w:top w:val="single" w:sz="4" w:space="0" w:color="auto"/>
              <w:left w:val="nil"/>
              <w:bottom w:val="nil"/>
              <w:right w:val="nil"/>
            </w:tcBorders>
            <w:hideMark/>
          </w:tcPr>
          <w:p w14:paraId="7EA681B0"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1094" w:type="dxa"/>
            <w:tcBorders>
              <w:top w:val="single" w:sz="4" w:space="0" w:color="auto"/>
              <w:left w:val="nil"/>
              <w:bottom w:val="nil"/>
              <w:right w:val="nil"/>
            </w:tcBorders>
          </w:tcPr>
          <w:p w14:paraId="54CA2F94" w14:textId="77777777" w:rsidR="0081596F" w:rsidRPr="0081596F" w:rsidRDefault="0081596F" w:rsidP="0081596F">
            <w:pPr>
              <w:jc w:val="center"/>
              <w:rPr>
                <w:rFonts w:eastAsia="Calibri"/>
                <w:sz w:val="20"/>
                <w:szCs w:val="20"/>
              </w:rPr>
            </w:pPr>
          </w:p>
        </w:tc>
        <w:tc>
          <w:tcPr>
            <w:tcW w:w="1094" w:type="dxa"/>
            <w:tcBorders>
              <w:top w:val="single" w:sz="4" w:space="0" w:color="auto"/>
              <w:left w:val="nil"/>
              <w:bottom w:val="nil"/>
              <w:right w:val="nil"/>
            </w:tcBorders>
          </w:tcPr>
          <w:p w14:paraId="6B90174E" w14:textId="77777777" w:rsidR="0081596F" w:rsidRPr="0081596F" w:rsidRDefault="0081596F" w:rsidP="0081596F">
            <w:pPr>
              <w:jc w:val="center"/>
              <w:rPr>
                <w:rFonts w:eastAsia="Calibri"/>
                <w:sz w:val="20"/>
                <w:szCs w:val="20"/>
              </w:rPr>
            </w:pPr>
          </w:p>
        </w:tc>
        <w:tc>
          <w:tcPr>
            <w:tcW w:w="961" w:type="dxa"/>
            <w:tcBorders>
              <w:top w:val="single" w:sz="4" w:space="0" w:color="auto"/>
              <w:left w:val="nil"/>
              <w:bottom w:val="nil"/>
              <w:right w:val="nil"/>
            </w:tcBorders>
            <w:hideMark/>
          </w:tcPr>
          <w:p w14:paraId="11DB03AD"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672" w:type="dxa"/>
            <w:tcBorders>
              <w:top w:val="single" w:sz="4" w:space="0" w:color="auto"/>
              <w:left w:val="nil"/>
              <w:bottom w:val="nil"/>
              <w:right w:val="nil"/>
            </w:tcBorders>
            <w:hideMark/>
          </w:tcPr>
          <w:p w14:paraId="1A28AC89"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739" w:type="dxa"/>
            <w:tcBorders>
              <w:top w:val="single" w:sz="4" w:space="0" w:color="auto"/>
              <w:left w:val="nil"/>
              <w:bottom w:val="nil"/>
              <w:right w:val="nil"/>
            </w:tcBorders>
            <w:hideMark/>
          </w:tcPr>
          <w:p w14:paraId="256FCF73"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827" w:type="dxa"/>
            <w:tcBorders>
              <w:top w:val="single" w:sz="4" w:space="0" w:color="auto"/>
              <w:left w:val="nil"/>
              <w:bottom w:val="nil"/>
              <w:right w:val="nil"/>
            </w:tcBorders>
            <w:hideMark/>
          </w:tcPr>
          <w:p w14:paraId="4D7633C9"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1267" w:type="dxa"/>
            <w:tcBorders>
              <w:top w:val="single" w:sz="4" w:space="0" w:color="auto"/>
              <w:left w:val="nil"/>
              <w:bottom w:val="nil"/>
              <w:right w:val="nil"/>
            </w:tcBorders>
            <w:hideMark/>
          </w:tcPr>
          <w:p w14:paraId="4AAD8B06" w14:textId="77777777" w:rsidR="0081596F" w:rsidRPr="0081596F" w:rsidRDefault="0081596F" w:rsidP="0081596F">
            <w:pPr>
              <w:jc w:val="center"/>
              <w:rPr>
                <w:rFonts w:eastAsia="Calibri"/>
                <w:sz w:val="20"/>
                <w:szCs w:val="20"/>
              </w:rPr>
            </w:pPr>
            <w:r w:rsidRPr="0081596F">
              <w:rPr>
                <w:rFonts w:eastAsia="Calibri"/>
                <w:color w:val="000000"/>
                <w:sz w:val="20"/>
                <w:szCs w:val="20"/>
              </w:rPr>
              <w:t>N</w:t>
            </w:r>
          </w:p>
        </w:tc>
        <w:tc>
          <w:tcPr>
            <w:tcW w:w="1267" w:type="dxa"/>
            <w:tcBorders>
              <w:top w:val="single" w:sz="4" w:space="0" w:color="auto"/>
              <w:left w:val="nil"/>
              <w:bottom w:val="nil"/>
              <w:right w:val="nil"/>
            </w:tcBorders>
            <w:hideMark/>
          </w:tcPr>
          <w:p w14:paraId="7EBB3952"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N</w:t>
            </w:r>
          </w:p>
        </w:tc>
      </w:tr>
      <w:tr w:rsidR="0081596F" w:rsidRPr="0081596F" w14:paraId="2027F07E" w14:textId="77777777" w:rsidTr="0081596F">
        <w:tc>
          <w:tcPr>
            <w:tcW w:w="1327" w:type="dxa"/>
            <w:hideMark/>
          </w:tcPr>
          <w:p w14:paraId="75334942" w14:textId="77777777" w:rsidR="0081596F" w:rsidRPr="0081596F" w:rsidRDefault="0081596F" w:rsidP="0081596F">
            <w:pPr>
              <w:tabs>
                <w:tab w:val="left" w:pos="590"/>
              </w:tabs>
              <w:rPr>
                <w:rFonts w:eastAsia="Calibri"/>
                <w:sz w:val="20"/>
                <w:szCs w:val="20"/>
              </w:rPr>
            </w:pPr>
            <w:r w:rsidRPr="0081596F">
              <w:rPr>
                <w:rFonts w:eastAsia="Calibri"/>
                <w:color w:val="000000"/>
                <w:sz w:val="20"/>
                <w:szCs w:val="20"/>
              </w:rPr>
              <w:t>All deals</w:t>
            </w:r>
          </w:p>
        </w:tc>
        <w:tc>
          <w:tcPr>
            <w:tcW w:w="1228" w:type="dxa"/>
            <w:hideMark/>
          </w:tcPr>
          <w:p w14:paraId="4B8E4F1A"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hideMark/>
          </w:tcPr>
          <w:p w14:paraId="2D7D8877" w14:textId="77777777" w:rsidR="0081596F" w:rsidRPr="0081596F" w:rsidRDefault="0081596F" w:rsidP="0081596F">
            <w:pPr>
              <w:jc w:val="center"/>
              <w:rPr>
                <w:rFonts w:eastAsia="Calibri"/>
                <w:sz w:val="20"/>
                <w:szCs w:val="20"/>
              </w:rPr>
            </w:pPr>
            <w:r w:rsidRPr="0081596F">
              <w:rPr>
                <w:rFonts w:eastAsia="Calibri"/>
                <w:color w:val="000000"/>
                <w:sz w:val="20"/>
                <w:szCs w:val="20"/>
              </w:rPr>
              <w:t>158.1</w:t>
            </w:r>
          </w:p>
        </w:tc>
        <w:tc>
          <w:tcPr>
            <w:tcW w:w="1094" w:type="dxa"/>
            <w:hideMark/>
          </w:tcPr>
          <w:p w14:paraId="43E905E9" w14:textId="77777777" w:rsidR="0081596F" w:rsidRPr="0081596F" w:rsidRDefault="0081596F" w:rsidP="0081596F">
            <w:pPr>
              <w:jc w:val="center"/>
              <w:rPr>
                <w:rFonts w:eastAsia="Calibri"/>
                <w:sz w:val="20"/>
                <w:szCs w:val="20"/>
              </w:rPr>
            </w:pPr>
            <w:r w:rsidRPr="0081596F">
              <w:rPr>
                <w:rFonts w:eastAsia="Calibri"/>
                <w:color w:val="000000"/>
                <w:sz w:val="20"/>
                <w:szCs w:val="20"/>
              </w:rPr>
              <w:t>38.5</w:t>
            </w:r>
          </w:p>
        </w:tc>
        <w:tc>
          <w:tcPr>
            <w:tcW w:w="961" w:type="dxa"/>
            <w:hideMark/>
          </w:tcPr>
          <w:p w14:paraId="5D949CD3" w14:textId="77777777" w:rsidR="0081596F" w:rsidRPr="0081596F" w:rsidRDefault="0081596F" w:rsidP="0081596F">
            <w:pPr>
              <w:jc w:val="center"/>
              <w:rPr>
                <w:rFonts w:eastAsia="Calibri"/>
                <w:sz w:val="20"/>
                <w:szCs w:val="20"/>
              </w:rPr>
            </w:pPr>
            <w:r w:rsidRPr="0081596F">
              <w:rPr>
                <w:rFonts w:eastAsia="Calibri"/>
                <w:color w:val="000000"/>
                <w:sz w:val="20"/>
                <w:szCs w:val="20"/>
              </w:rPr>
              <w:t>316</w:t>
            </w:r>
          </w:p>
        </w:tc>
        <w:tc>
          <w:tcPr>
            <w:tcW w:w="672" w:type="dxa"/>
            <w:hideMark/>
          </w:tcPr>
          <w:p w14:paraId="29513B0C" w14:textId="77777777" w:rsidR="0081596F" w:rsidRPr="0081596F" w:rsidRDefault="0081596F" w:rsidP="0081596F">
            <w:pPr>
              <w:jc w:val="center"/>
              <w:rPr>
                <w:rFonts w:eastAsia="Calibri"/>
                <w:sz w:val="20"/>
                <w:szCs w:val="20"/>
              </w:rPr>
            </w:pPr>
            <w:r w:rsidRPr="0081596F">
              <w:rPr>
                <w:rFonts w:eastAsia="Calibri"/>
                <w:color w:val="000000"/>
                <w:sz w:val="20"/>
                <w:szCs w:val="20"/>
              </w:rPr>
              <w:t>136</w:t>
            </w:r>
          </w:p>
        </w:tc>
        <w:tc>
          <w:tcPr>
            <w:tcW w:w="739" w:type="dxa"/>
            <w:hideMark/>
          </w:tcPr>
          <w:p w14:paraId="2C530085" w14:textId="77777777" w:rsidR="0081596F" w:rsidRPr="0081596F" w:rsidRDefault="0081596F" w:rsidP="0081596F">
            <w:pPr>
              <w:jc w:val="center"/>
              <w:rPr>
                <w:rFonts w:eastAsia="Calibri"/>
                <w:sz w:val="20"/>
                <w:szCs w:val="20"/>
              </w:rPr>
            </w:pPr>
            <w:r w:rsidRPr="0081596F">
              <w:rPr>
                <w:rFonts w:eastAsia="Calibri"/>
                <w:color w:val="000000"/>
                <w:sz w:val="20"/>
                <w:szCs w:val="20"/>
              </w:rPr>
              <w:t>293</w:t>
            </w:r>
          </w:p>
        </w:tc>
        <w:tc>
          <w:tcPr>
            <w:tcW w:w="827" w:type="dxa"/>
            <w:hideMark/>
          </w:tcPr>
          <w:p w14:paraId="0747BAE6" w14:textId="77777777" w:rsidR="0081596F" w:rsidRPr="0081596F" w:rsidRDefault="0081596F" w:rsidP="0081596F">
            <w:pPr>
              <w:jc w:val="center"/>
              <w:rPr>
                <w:rFonts w:eastAsia="Calibri"/>
                <w:sz w:val="20"/>
                <w:szCs w:val="20"/>
              </w:rPr>
            </w:pPr>
            <w:r w:rsidRPr="0081596F">
              <w:rPr>
                <w:rFonts w:eastAsia="Calibri"/>
                <w:color w:val="000000"/>
                <w:sz w:val="20"/>
                <w:szCs w:val="20"/>
              </w:rPr>
              <w:t>250</w:t>
            </w:r>
          </w:p>
        </w:tc>
        <w:tc>
          <w:tcPr>
            <w:tcW w:w="1267" w:type="dxa"/>
            <w:hideMark/>
          </w:tcPr>
          <w:p w14:paraId="65D9AF17" w14:textId="77777777" w:rsidR="0081596F" w:rsidRPr="0081596F" w:rsidRDefault="0081596F" w:rsidP="0081596F">
            <w:pPr>
              <w:jc w:val="center"/>
              <w:rPr>
                <w:rFonts w:eastAsia="Calibri"/>
                <w:sz w:val="20"/>
                <w:szCs w:val="20"/>
              </w:rPr>
            </w:pPr>
            <w:r w:rsidRPr="0081596F">
              <w:rPr>
                <w:rFonts w:eastAsia="Calibri"/>
                <w:color w:val="000000"/>
                <w:sz w:val="20"/>
                <w:szCs w:val="20"/>
              </w:rPr>
              <w:t>504</w:t>
            </w:r>
          </w:p>
        </w:tc>
        <w:tc>
          <w:tcPr>
            <w:tcW w:w="1267" w:type="dxa"/>
            <w:hideMark/>
          </w:tcPr>
          <w:p w14:paraId="6B1F05A1"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0.0624</w:t>
            </w:r>
          </w:p>
        </w:tc>
      </w:tr>
      <w:tr w:rsidR="0081596F" w:rsidRPr="0081596F" w14:paraId="5491C5C9" w14:textId="77777777" w:rsidTr="0081596F">
        <w:tc>
          <w:tcPr>
            <w:tcW w:w="1327" w:type="dxa"/>
            <w:hideMark/>
          </w:tcPr>
          <w:p w14:paraId="3741E71E" w14:textId="77777777" w:rsidR="0081596F" w:rsidRPr="0081596F" w:rsidRDefault="0081596F" w:rsidP="0081596F">
            <w:pPr>
              <w:rPr>
                <w:rFonts w:eastAsia="Calibri"/>
                <w:sz w:val="20"/>
                <w:szCs w:val="20"/>
              </w:rPr>
            </w:pPr>
            <w:r w:rsidRPr="0081596F">
              <w:rPr>
                <w:rFonts w:eastAsia="Calibri"/>
                <w:color w:val="000000"/>
                <w:sz w:val="20"/>
                <w:szCs w:val="20"/>
              </w:rPr>
              <w:t>Private</w:t>
            </w:r>
          </w:p>
        </w:tc>
        <w:tc>
          <w:tcPr>
            <w:tcW w:w="1228" w:type="dxa"/>
            <w:hideMark/>
          </w:tcPr>
          <w:p w14:paraId="764C3F77" w14:textId="77777777" w:rsidR="0081596F" w:rsidRPr="0081596F" w:rsidRDefault="0081596F" w:rsidP="0081596F">
            <w:pPr>
              <w:jc w:val="center"/>
              <w:rPr>
                <w:rFonts w:eastAsia="Calibri"/>
                <w:sz w:val="20"/>
                <w:szCs w:val="20"/>
              </w:rPr>
            </w:pPr>
            <w:r w:rsidRPr="0081596F">
              <w:rPr>
                <w:rFonts w:eastAsia="Calibri"/>
                <w:color w:val="000000"/>
                <w:sz w:val="20"/>
                <w:szCs w:val="20"/>
              </w:rPr>
              <w:t>744</w:t>
            </w:r>
          </w:p>
        </w:tc>
        <w:tc>
          <w:tcPr>
            <w:tcW w:w="1094" w:type="dxa"/>
            <w:hideMark/>
          </w:tcPr>
          <w:p w14:paraId="662BA2B4" w14:textId="77777777" w:rsidR="0081596F" w:rsidRPr="0081596F" w:rsidRDefault="0081596F" w:rsidP="0081596F">
            <w:pPr>
              <w:jc w:val="center"/>
              <w:rPr>
                <w:rFonts w:eastAsia="Calibri"/>
                <w:sz w:val="20"/>
                <w:szCs w:val="20"/>
              </w:rPr>
            </w:pPr>
            <w:r w:rsidRPr="0081596F">
              <w:rPr>
                <w:rFonts w:eastAsia="Calibri"/>
                <w:color w:val="000000"/>
                <w:sz w:val="20"/>
                <w:szCs w:val="20"/>
              </w:rPr>
              <w:t>156.8</w:t>
            </w:r>
          </w:p>
        </w:tc>
        <w:tc>
          <w:tcPr>
            <w:tcW w:w="1094" w:type="dxa"/>
            <w:hideMark/>
          </w:tcPr>
          <w:p w14:paraId="330DB194" w14:textId="77777777" w:rsidR="0081596F" w:rsidRPr="0081596F" w:rsidRDefault="0081596F" w:rsidP="0081596F">
            <w:pPr>
              <w:jc w:val="center"/>
              <w:rPr>
                <w:rFonts w:eastAsia="Calibri"/>
                <w:sz w:val="20"/>
                <w:szCs w:val="20"/>
              </w:rPr>
            </w:pPr>
            <w:r w:rsidRPr="0081596F">
              <w:rPr>
                <w:rFonts w:eastAsia="Calibri"/>
                <w:color w:val="000000"/>
                <w:sz w:val="20"/>
                <w:szCs w:val="20"/>
              </w:rPr>
              <w:t>38.3</w:t>
            </w:r>
          </w:p>
        </w:tc>
        <w:tc>
          <w:tcPr>
            <w:tcW w:w="961" w:type="dxa"/>
            <w:hideMark/>
          </w:tcPr>
          <w:p w14:paraId="2F623A9B" w14:textId="77777777" w:rsidR="0081596F" w:rsidRPr="0081596F" w:rsidRDefault="0081596F" w:rsidP="0081596F">
            <w:pPr>
              <w:jc w:val="center"/>
              <w:rPr>
                <w:rFonts w:eastAsia="Calibri"/>
                <w:sz w:val="20"/>
                <w:szCs w:val="20"/>
              </w:rPr>
            </w:pPr>
            <w:r w:rsidRPr="0081596F">
              <w:rPr>
                <w:rFonts w:eastAsia="Calibri"/>
                <w:color w:val="000000"/>
                <w:sz w:val="20"/>
                <w:szCs w:val="20"/>
              </w:rPr>
              <w:t>311</w:t>
            </w:r>
          </w:p>
        </w:tc>
        <w:tc>
          <w:tcPr>
            <w:tcW w:w="672" w:type="dxa"/>
            <w:hideMark/>
          </w:tcPr>
          <w:p w14:paraId="666F1CDB" w14:textId="77777777" w:rsidR="0081596F" w:rsidRPr="0081596F" w:rsidRDefault="0081596F" w:rsidP="0081596F">
            <w:pPr>
              <w:jc w:val="center"/>
              <w:rPr>
                <w:rFonts w:eastAsia="Calibri"/>
                <w:sz w:val="20"/>
                <w:szCs w:val="20"/>
              </w:rPr>
            </w:pPr>
            <w:r w:rsidRPr="0081596F">
              <w:rPr>
                <w:rFonts w:eastAsia="Calibri"/>
                <w:color w:val="000000"/>
                <w:sz w:val="20"/>
                <w:szCs w:val="20"/>
              </w:rPr>
              <w:t>136</w:t>
            </w:r>
          </w:p>
        </w:tc>
        <w:tc>
          <w:tcPr>
            <w:tcW w:w="739" w:type="dxa"/>
            <w:hideMark/>
          </w:tcPr>
          <w:p w14:paraId="4FB2E183" w14:textId="77777777" w:rsidR="0081596F" w:rsidRPr="0081596F" w:rsidRDefault="0081596F" w:rsidP="0081596F">
            <w:pPr>
              <w:jc w:val="center"/>
              <w:rPr>
                <w:rFonts w:eastAsia="Calibri"/>
                <w:sz w:val="20"/>
                <w:szCs w:val="20"/>
              </w:rPr>
            </w:pPr>
            <w:r w:rsidRPr="0081596F">
              <w:rPr>
                <w:rFonts w:eastAsia="Calibri"/>
                <w:color w:val="000000"/>
                <w:sz w:val="20"/>
                <w:szCs w:val="20"/>
              </w:rPr>
              <w:t>289</w:t>
            </w:r>
          </w:p>
        </w:tc>
        <w:tc>
          <w:tcPr>
            <w:tcW w:w="827" w:type="dxa"/>
            <w:hideMark/>
          </w:tcPr>
          <w:p w14:paraId="1C824445" w14:textId="77777777" w:rsidR="0081596F" w:rsidRPr="0081596F" w:rsidRDefault="0081596F" w:rsidP="0081596F">
            <w:pPr>
              <w:jc w:val="center"/>
              <w:rPr>
                <w:rFonts w:eastAsia="Calibri"/>
                <w:sz w:val="20"/>
                <w:szCs w:val="20"/>
              </w:rPr>
            </w:pPr>
            <w:r w:rsidRPr="0081596F">
              <w:rPr>
                <w:rFonts w:eastAsia="Calibri"/>
                <w:color w:val="000000"/>
                <w:sz w:val="20"/>
                <w:szCs w:val="20"/>
              </w:rPr>
              <w:t>247</w:t>
            </w:r>
          </w:p>
        </w:tc>
        <w:tc>
          <w:tcPr>
            <w:tcW w:w="1267" w:type="dxa"/>
            <w:hideMark/>
          </w:tcPr>
          <w:p w14:paraId="4C81D133" w14:textId="77777777" w:rsidR="0081596F" w:rsidRPr="0081596F" w:rsidRDefault="0081596F" w:rsidP="0081596F">
            <w:pPr>
              <w:jc w:val="center"/>
              <w:rPr>
                <w:rFonts w:eastAsia="Calibri"/>
                <w:sz w:val="20"/>
                <w:szCs w:val="20"/>
              </w:rPr>
            </w:pPr>
            <w:r w:rsidRPr="0081596F">
              <w:rPr>
                <w:rFonts w:eastAsia="Calibri"/>
                <w:color w:val="000000"/>
                <w:sz w:val="20"/>
                <w:szCs w:val="20"/>
              </w:rPr>
              <w:t>497</w:t>
            </w:r>
          </w:p>
        </w:tc>
        <w:tc>
          <w:tcPr>
            <w:tcW w:w="1267" w:type="dxa"/>
            <w:hideMark/>
          </w:tcPr>
          <w:p w14:paraId="2B436BF8"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0.0625</w:t>
            </w:r>
          </w:p>
        </w:tc>
      </w:tr>
      <w:tr w:rsidR="0081596F" w:rsidRPr="0081596F" w14:paraId="32467042" w14:textId="77777777" w:rsidTr="0081596F">
        <w:tc>
          <w:tcPr>
            <w:tcW w:w="1327" w:type="dxa"/>
            <w:hideMark/>
          </w:tcPr>
          <w:p w14:paraId="775D8ECD" w14:textId="77777777" w:rsidR="0081596F" w:rsidRPr="0081596F" w:rsidRDefault="0081596F" w:rsidP="0081596F">
            <w:pPr>
              <w:rPr>
                <w:rFonts w:eastAsia="Calibri"/>
                <w:sz w:val="20"/>
                <w:szCs w:val="20"/>
              </w:rPr>
            </w:pPr>
            <w:r w:rsidRPr="0081596F">
              <w:rPr>
                <w:rFonts w:eastAsia="Calibri"/>
                <w:color w:val="000000"/>
                <w:sz w:val="20"/>
                <w:szCs w:val="20"/>
              </w:rPr>
              <w:t>Public</w:t>
            </w:r>
          </w:p>
        </w:tc>
        <w:tc>
          <w:tcPr>
            <w:tcW w:w="1228" w:type="dxa"/>
            <w:hideMark/>
          </w:tcPr>
          <w:p w14:paraId="5B3C460F" w14:textId="77777777" w:rsidR="0081596F" w:rsidRPr="0081596F" w:rsidRDefault="0081596F" w:rsidP="0081596F">
            <w:pPr>
              <w:jc w:val="center"/>
              <w:rPr>
                <w:rFonts w:eastAsia="Calibri"/>
                <w:sz w:val="20"/>
                <w:szCs w:val="20"/>
              </w:rPr>
            </w:pPr>
            <w:r w:rsidRPr="0081596F">
              <w:rPr>
                <w:rFonts w:eastAsia="Calibri"/>
                <w:color w:val="000000"/>
                <w:sz w:val="20"/>
                <w:szCs w:val="20"/>
              </w:rPr>
              <w:t>10</w:t>
            </w:r>
          </w:p>
        </w:tc>
        <w:tc>
          <w:tcPr>
            <w:tcW w:w="1094" w:type="dxa"/>
            <w:hideMark/>
          </w:tcPr>
          <w:p w14:paraId="32588365" w14:textId="77777777" w:rsidR="0081596F" w:rsidRPr="0081596F" w:rsidRDefault="0081596F" w:rsidP="0081596F">
            <w:pPr>
              <w:jc w:val="center"/>
              <w:rPr>
                <w:rFonts w:eastAsia="Calibri"/>
                <w:sz w:val="20"/>
                <w:szCs w:val="20"/>
              </w:rPr>
            </w:pPr>
            <w:r w:rsidRPr="0081596F">
              <w:rPr>
                <w:rFonts w:eastAsia="Calibri"/>
                <w:color w:val="000000"/>
                <w:sz w:val="20"/>
                <w:szCs w:val="20"/>
              </w:rPr>
              <w:t>253.4</w:t>
            </w:r>
          </w:p>
        </w:tc>
        <w:tc>
          <w:tcPr>
            <w:tcW w:w="1094" w:type="dxa"/>
            <w:hideMark/>
          </w:tcPr>
          <w:p w14:paraId="08B57A49" w14:textId="77777777" w:rsidR="0081596F" w:rsidRPr="0081596F" w:rsidRDefault="0081596F" w:rsidP="0081596F">
            <w:pPr>
              <w:jc w:val="center"/>
              <w:rPr>
                <w:rFonts w:eastAsia="Calibri"/>
                <w:sz w:val="20"/>
                <w:szCs w:val="20"/>
              </w:rPr>
            </w:pPr>
            <w:r w:rsidRPr="0081596F">
              <w:rPr>
                <w:rFonts w:eastAsia="Calibri"/>
                <w:color w:val="000000"/>
                <w:sz w:val="20"/>
                <w:szCs w:val="20"/>
              </w:rPr>
              <w:t>41.7</w:t>
            </w:r>
          </w:p>
        </w:tc>
        <w:tc>
          <w:tcPr>
            <w:tcW w:w="961" w:type="dxa"/>
            <w:hideMark/>
          </w:tcPr>
          <w:p w14:paraId="3520E5A9" w14:textId="77777777" w:rsidR="0081596F" w:rsidRPr="0081596F" w:rsidRDefault="0081596F" w:rsidP="0081596F">
            <w:pPr>
              <w:jc w:val="center"/>
              <w:rPr>
                <w:rFonts w:eastAsia="Calibri"/>
                <w:sz w:val="20"/>
                <w:szCs w:val="20"/>
              </w:rPr>
            </w:pPr>
            <w:r w:rsidRPr="0081596F">
              <w:rPr>
                <w:rFonts w:eastAsia="Calibri"/>
                <w:color w:val="000000"/>
                <w:sz w:val="20"/>
                <w:szCs w:val="20"/>
              </w:rPr>
              <w:t>5</w:t>
            </w:r>
          </w:p>
        </w:tc>
        <w:tc>
          <w:tcPr>
            <w:tcW w:w="672" w:type="dxa"/>
            <w:hideMark/>
          </w:tcPr>
          <w:p w14:paraId="4A176580" w14:textId="77777777" w:rsidR="0081596F" w:rsidRPr="0081596F" w:rsidRDefault="0081596F" w:rsidP="0081596F">
            <w:pPr>
              <w:jc w:val="center"/>
              <w:rPr>
                <w:rFonts w:eastAsia="Calibri"/>
                <w:sz w:val="20"/>
                <w:szCs w:val="20"/>
              </w:rPr>
            </w:pPr>
            <w:r w:rsidRPr="0081596F">
              <w:rPr>
                <w:rFonts w:eastAsia="Calibri"/>
                <w:color w:val="000000"/>
                <w:sz w:val="20"/>
                <w:szCs w:val="20"/>
              </w:rPr>
              <w:t>0</w:t>
            </w:r>
          </w:p>
        </w:tc>
        <w:tc>
          <w:tcPr>
            <w:tcW w:w="739" w:type="dxa"/>
            <w:hideMark/>
          </w:tcPr>
          <w:p w14:paraId="7E9DC8EC" w14:textId="77777777" w:rsidR="0081596F" w:rsidRPr="0081596F" w:rsidRDefault="0081596F" w:rsidP="0081596F">
            <w:pPr>
              <w:jc w:val="center"/>
              <w:rPr>
                <w:rFonts w:eastAsia="Calibri"/>
                <w:sz w:val="20"/>
                <w:szCs w:val="20"/>
              </w:rPr>
            </w:pPr>
            <w:r w:rsidRPr="0081596F">
              <w:rPr>
                <w:rFonts w:eastAsia="Calibri"/>
                <w:color w:val="000000"/>
                <w:sz w:val="20"/>
                <w:szCs w:val="20"/>
              </w:rPr>
              <w:t>4</w:t>
            </w:r>
          </w:p>
        </w:tc>
        <w:tc>
          <w:tcPr>
            <w:tcW w:w="827" w:type="dxa"/>
            <w:hideMark/>
          </w:tcPr>
          <w:p w14:paraId="0631F562" w14:textId="77777777" w:rsidR="0081596F" w:rsidRPr="0081596F" w:rsidRDefault="0081596F" w:rsidP="0081596F">
            <w:pPr>
              <w:jc w:val="center"/>
              <w:rPr>
                <w:rFonts w:eastAsia="Calibri"/>
                <w:sz w:val="20"/>
                <w:szCs w:val="20"/>
              </w:rPr>
            </w:pPr>
            <w:r w:rsidRPr="0081596F">
              <w:rPr>
                <w:rFonts w:eastAsia="Calibri"/>
                <w:color w:val="000000"/>
                <w:sz w:val="20"/>
                <w:szCs w:val="20"/>
              </w:rPr>
              <w:t>3</w:t>
            </w:r>
          </w:p>
        </w:tc>
        <w:tc>
          <w:tcPr>
            <w:tcW w:w="1267" w:type="dxa"/>
            <w:hideMark/>
          </w:tcPr>
          <w:p w14:paraId="459F5697" w14:textId="77777777" w:rsidR="0081596F" w:rsidRPr="0081596F" w:rsidRDefault="0081596F" w:rsidP="0081596F">
            <w:pPr>
              <w:jc w:val="center"/>
              <w:rPr>
                <w:rFonts w:eastAsia="Calibri"/>
                <w:sz w:val="20"/>
                <w:szCs w:val="20"/>
              </w:rPr>
            </w:pPr>
            <w:r w:rsidRPr="0081596F">
              <w:rPr>
                <w:rFonts w:eastAsia="Calibri"/>
                <w:color w:val="000000"/>
                <w:sz w:val="20"/>
                <w:szCs w:val="20"/>
              </w:rPr>
              <w:t>7</w:t>
            </w:r>
          </w:p>
        </w:tc>
        <w:tc>
          <w:tcPr>
            <w:tcW w:w="1267" w:type="dxa"/>
            <w:hideMark/>
          </w:tcPr>
          <w:p w14:paraId="0CC9BC38"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0.0503</w:t>
            </w:r>
          </w:p>
        </w:tc>
      </w:tr>
      <w:tr w:rsidR="0081596F" w:rsidRPr="0081596F" w14:paraId="6282F15E" w14:textId="77777777" w:rsidTr="0081596F">
        <w:tc>
          <w:tcPr>
            <w:tcW w:w="1327" w:type="dxa"/>
            <w:hideMark/>
          </w:tcPr>
          <w:p w14:paraId="534D6B7E" w14:textId="77777777" w:rsidR="0081596F" w:rsidRPr="0081596F" w:rsidRDefault="0081596F" w:rsidP="0081596F">
            <w:pPr>
              <w:rPr>
                <w:rFonts w:eastAsia="Calibri"/>
                <w:sz w:val="20"/>
                <w:szCs w:val="20"/>
              </w:rPr>
            </w:pPr>
            <w:r w:rsidRPr="0081596F">
              <w:rPr>
                <w:rFonts w:eastAsia="Calibri"/>
                <w:color w:val="000000"/>
                <w:sz w:val="20"/>
                <w:szCs w:val="20"/>
              </w:rPr>
              <w:t xml:space="preserve">Single </w:t>
            </w:r>
          </w:p>
        </w:tc>
        <w:tc>
          <w:tcPr>
            <w:tcW w:w="1228" w:type="dxa"/>
            <w:hideMark/>
          </w:tcPr>
          <w:p w14:paraId="5C21A09B" w14:textId="77777777" w:rsidR="0081596F" w:rsidRPr="0081596F" w:rsidRDefault="0081596F" w:rsidP="0081596F">
            <w:pPr>
              <w:jc w:val="center"/>
              <w:rPr>
                <w:rFonts w:eastAsia="Calibri"/>
                <w:sz w:val="20"/>
                <w:szCs w:val="20"/>
              </w:rPr>
            </w:pPr>
            <w:r w:rsidRPr="0081596F">
              <w:rPr>
                <w:rFonts w:eastAsia="Calibri"/>
                <w:color w:val="000000"/>
                <w:sz w:val="20"/>
                <w:szCs w:val="20"/>
              </w:rPr>
              <w:t>331</w:t>
            </w:r>
          </w:p>
        </w:tc>
        <w:tc>
          <w:tcPr>
            <w:tcW w:w="1094" w:type="dxa"/>
            <w:hideMark/>
          </w:tcPr>
          <w:p w14:paraId="111B405D" w14:textId="77777777" w:rsidR="0081596F" w:rsidRPr="0081596F" w:rsidRDefault="0081596F" w:rsidP="0081596F">
            <w:pPr>
              <w:jc w:val="center"/>
              <w:rPr>
                <w:rFonts w:eastAsia="Calibri"/>
                <w:sz w:val="20"/>
                <w:szCs w:val="20"/>
              </w:rPr>
            </w:pPr>
            <w:r w:rsidRPr="0081596F">
              <w:rPr>
                <w:rFonts w:eastAsia="Calibri"/>
                <w:color w:val="000000"/>
                <w:sz w:val="20"/>
                <w:szCs w:val="20"/>
              </w:rPr>
              <w:t>226.5</w:t>
            </w:r>
          </w:p>
        </w:tc>
        <w:tc>
          <w:tcPr>
            <w:tcW w:w="1094" w:type="dxa"/>
            <w:hideMark/>
          </w:tcPr>
          <w:p w14:paraId="5D80F265" w14:textId="77777777" w:rsidR="0081596F" w:rsidRPr="0081596F" w:rsidRDefault="0081596F" w:rsidP="0081596F">
            <w:pPr>
              <w:jc w:val="center"/>
              <w:rPr>
                <w:rFonts w:eastAsia="Calibri"/>
                <w:sz w:val="20"/>
                <w:szCs w:val="20"/>
              </w:rPr>
            </w:pPr>
            <w:r w:rsidRPr="0081596F">
              <w:rPr>
                <w:rFonts w:eastAsia="Calibri"/>
                <w:color w:val="000000"/>
                <w:sz w:val="20"/>
                <w:szCs w:val="20"/>
              </w:rPr>
              <w:t>59.4</w:t>
            </w:r>
          </w:p>
        </w:tc>
        <w:tc>
          <w:tcPr>
            <w:tcW w:w="961" w:type="dxa"/>
            <w:hideMark/>
          </w:tcPr>
          <w:p w14:paraId="36DFF8E4" w14:textId="77777777" w:rsidR="0081596F" w:rsidRPr="0081596F" w:rsidRDefault="0081596F" w:rsidP="0081596F">
            <w:pPr>
              <w:jc w:val="center"/>
              <w:rPr>
                <w:rFonts w:eastAsia="Calibri"/>
                <w:sz w:val="20"/>
                <w:szCs w:val="20"/>
              </w:rPr>
            </w:pPr>
            <w:r w:rsidRPr="0081596F">
              <w:rPr>
                <w:rFonts w:eastAsia="Calibri"/>
                <w:color w:val="000000"/>
                <w:sz w:val="20"/>
                <w:szCs w:val="20"/>
              </w:rPr>
              <w:t>116</w:t>
            </w:r>
          </w:p>
        </w:tc>
        <w:tc>
          <w:tcPr>
            <w:tcW w:w="672" w:type="dxa"/>
            <w:hideMark/>
          </w:tcPr>
          <w:p w14:paraId="495C0165" w14:textId="77777777" w:rsidR="0081596F" w:rsidRPr="0081596F" w:rsidRDefault="0081596F" w:rsidP="0081596F">
            <w:pPr>
              <w:jc w:val="center"/>
              <w:rPr>
                <w:rFonts w:eastAsia="Calibri"/>
                <w:sz w:val="20"/>
                <w:szCs w:val="20"/>
              </w:rPr>
            </w:pPr>
            <w:r w:rsidRPr="0081596F">
              <w:rPr>
                <w:rFonts w:eastAsia="Calibri"/>
                <w:color w:val="000000"/>
                <w:sz w:val="20"/>
                <w:szCs w:val="20"/>
              </w:rPr>
              <w:t>70</w:t>
            </w:r>
          </w:p>
        </w:tc>
        <w:tc>
          <w:tcPr>
            <w:tcW w:w="739" w:type="dxa"/>
            <w:hideMark/>
          </w:tcPr>
          <w:p w14:paraId="69AE4CDE" w14:textId="77777777" w:rsidR="0081596F" w:rsidRPr="0081596F" w:rsidRDefault="0081596F" w:rsidP="0081596F">
            <w:pPr>
              <w:jc w:val="center"/>
              <w:rPr>
                <w:rFonts w:eastAsia="Calibri"/>
                <w:sz w:val="20"/>
                <w:szCs w:val="20"/>
              </w:rPr>
            </w:pPr>
            <w:r w:rsidRPr="0081596F">
              <w:rPr>
                <w:rFonts w:eastAsia="Calibri"/>
                <w:color w:val="000000"/>
                <w:sz w:val="20"/>
                <w:szCs w:val="20"/>
              </w:rPr>
              <w:t>145</w:t>
            </w:r>
          </w:p>
        </w:tc>
        <w:tc>
          <w:tcPr>
            <w:tcW w:w="827" w:type="dxa"/>
            <w:hideMark/>
          </w:tcPr>
          <w:p w14:paraId="5EC7BDEF" w14:textId="77777777" w:rsidR="0081596F" w:rsidRPr="0081596F" w:rsidRDefault="0081596F" w:rsidP="0081596F">
            <w:pPr>
              <w:jc w:val="center"/>
              <w:rPr>
                <w:rFonts w:eastAsia="Calibri"/>
                <w:sz w:val="20"/>
                <w:szCs w:val="20"/>
              </w:rPr>
            </w:pPr>
            <w:r w:rsidRPr="0081596F">
              <w:rPr>
                <w:rFonts w:eastAsia="Calibri"/>
                <w:color w:val="000000"/>
                <w:sz w:val="20"/>
                <w:szCs w:val="20"/>
              </w:rPr>
              <w:t>133</w:t>
            </w:r>
          </w:p>
        </w:tc>
        <w:tc>
          <w:tcPr>
            <w:tcW w:w="1267" w:type="dxa"/>
            <w:hideMark/>
          </w:tcPr>
          <w:p w14:paraId="2FCE5922" w14:textId="77777777" w:rsidR="0081596F" w:rsidRPr="0081596F" w:rsidRDefault="0081596F" w:rsidP="0081596F">
            <w:pPr>
              <w:jc w:val="center"/>
              <w:rPr>
                <w:rFonts w:eastAsia="Calibri"/>
                <w:sz w:val="20"/>
                <w:szCs w:val="20"/>
              </w:rPr>
            </w:pPr>
            <w:r w:rsidRPr="0081596F">
              <w:rPr>
                <w:rFonts w:eastAsia="Calibri"/>
                <w:color w:val="000000"/>
                <w:sz w:val="20"/>
                <w:szCs w:val="20"/>
              </w:rPr>
              <w:t>198</w:t>
            </w:r>
          </w:p>
        </w:tc>
        <w:tc>
          <w:tcPr>
            <w:tcW w:w="1267" w:type="dxa"/>
            <w:hideMark/>
          </w:tcPr>
          <w:p w14:paraId="1A3E48FE" w14:textId="77777777" w:rsidR="0081596F" w:rsidRPr="0081596F" w:rsidRDefault="0081596F" w:rsidP="0081596F">
            <w:pPr>
              <w:rPr>
                <w:rFonts w:eastAsia="Calibri"/>
                <w:color w:val="000000"/>
                <w:sz w:val="20"/>
                <w:szCs w:val="20"/>
              </w:rPr>
            </w:pPr>
            <w:r w:rsidRPr="0081596F">
              <w:rPr>
                <w:rFonts w:eastAsia="Calibri"/>
                <w:color w:val="000000"/>
                <w:sz w:val="20"/>
                <w:szCs w:val="20"/>
              </w:rPr>
              <w:t xml:space="preserve">     0.0640</w:t>
            </w:r>
          </w:p>
        </w:tc>
      </w:tr>
      <w:tr w:rsidR="0081596F" w:rsidRPr="0081596F" w14:paraId="46BC6911" w14:textId="77777777" w:rsidTr="0081596F">
        <w:tc>
          <w:tcPr>
            <w:tcW w:w="1327" w:type="dxa"/>
            <w:hideMark/>
          </w:tcPr>
          <w:p w14:paraId="54728CB9" w14:textId="77777777" w:rsidR="0081596F" w:rsidRPr="0081596F" w:rsidRDefault="0081596F" w:rsidP="0081596F">
            <w:pPr>
              <w:tabs>
                <w:tab w:val="left" w:pos="496"/>
              </w:tabs>
              <w:rPr>
                <w:rFonts w:eastAsia="Calibri"/>
                <w:sz w:val="20"/>
                <w:szCs w:val="20"/>
              </w:rPr>
            </w:pPr>
            <w:r w:rsidRPr="0081596F">
              <w:rPr>
                <w:rFonts w:eastAsia="Calibri"/>
                <w:color w:val="000000"/>
                <w:sz w:val="20"/>
                <w:szCs w:val="20"/>
              </w:rPr>
              <w:t>Multiple</w:t>
            </w:r>
          </w:p>
        </w:tc>
        <w:tc>
          <w:tcPr>
            <w:tcW w:w="1228" w:type="dxa"/>
            <w:hideMark/>
          </w:tcPr>
          <w:p w14:paraId="498D6C6C" w14:textId="77777777" w:rsidR="0081596F" w:rsidRPr="0081596F" w:rsidRDefault="0081596F" w:rsidP="0081596F">
            <w:pPr>
              <w:jc w:val="center"/>
              <w:rPr>
                <w:rFonts w:eastAsia="Calibri"/>
                <w:sz w:val="20"/>
                <w:szCs w:val="20"/>
              </w:rPr>
            </w:pPr>
            <w:r w:rsidRPr="0081596F">
              <w:rPr>
                <w:rFonts w:eastAsia="Calibri"/>
                <w:color w:val="000000"/>
                <w:sz w:val="20"/>
                <w:szCs w:val="20"/>
              </w:rPr>
              <w:t>423</w:t>
            </w:r>
          </w:p>
        </w:tc>
        <w:tc>
          <w:tcPr>
            <w:tcW w:w="1094" w:type="dxa"/>
            <w:hideMark/>
          </w:tcPr>
          <w:p w14:paraId="5185558F" w14:textId="77777777" w:rsidR="0081596F" w:rsidRPr="0081596F" w:rsidRDefault="0081596F" w:rsidP="0081596F">
            <w:pPr>
              <w:jc w:val="center"/>
              <w:rPr>
                <w:rFonts w:eastAsia="Calibri"/>
                <w:sz w:val="20"/>
                <w:szCs w:val="20"/>
              </w:rPr>
            </w:pPr>
            <w:r w:rsidRPr="0081596F">
              <w:rPr>
                <w:rFonts w:eastAsia="Calibri"/>
                <w:color w:val="000000"/>
                <w:sz w:val="20"/>
                <w:szCs w:val="20"/>
              </w:rPr>
              <w:t>111.8</w:t>
            </w:r>
          </w:p>
        </w:tc>
        <w:tc>
          <w:tcPr>
            <w:tcW w:w="1094" w:type="dxa"/>
            <w:hideMark/>
          </w:tcPr>
          <w:p w14:paraId="03301F20" w14:textId="77777777" w:rsidR="0081596F" w:rsidRPr="0081596F" w:rsidRDefault="0081596F" w:rsidP="0081596F">
            <w:pPr>
              <w:jc w:val="center"/>
              <w:rPr>
                <w:rFonts w:eastAsia="Calibri"/>
                <w:sz w:val="20"/>
                <w:szCs w:val="20"/>
              </w:rPr>
            </w:pPr>
            <w:r w:rsidRPr="0081596F">
              <w:rPr>
                <w:rFonts w:eastAsia="Calibri"/>
                <w:color w:val="000000"/>
                <w:sz w:val="20"/>
                <w:szCs w:val="20"/>
              </w:rPr>
              <w:t>31.7</w:t>
            </w:r>
          </w:p>
        </w:tc>
        <w:tc>
          <w:tcPr>
            <w:tcW w:w="961" w:type="dxa"/>
            <w:hideMark/>
          </w:tcPr>
          <w:p w14:paraId="6826CFBC" w14:textId="77777777" w:rsidR="0081596F" w:rsidRPr="0081596F" w:rsidRDefault="0081596F" w:rsidP="0081596F">
            <w:pPr>
              <w:jc w:val="center"/>
              <w:rPr>
                <w:rFonts w:eastAsia="Calibri"/>
                <w:sz w:val="20"/>
                <w:szCs w:val="20"/>
              </w:rPr>
            </w:pPr>
            <w:r w:rsidRPr="0081596F">
              <w:rPr>
                <w:rFonts w:eastAsia="Calibri"/>
                <w:color w:val="000000"/>
                <w:sz w:val="20"/>
                <w:szCs w:val="20"/>
              </w:rPr>
              <w:t>200</w:t>
            </w:r>
          </w:p>
        </w:tc>
        <w:tc>
          <w:tcPr>
            <w:tcW w:w="672" w:type="dxa"/>
            <w:hideMark/>
          </w:tcPr>
          <w:p w14:paraId="33FC5995" w14:textId="77777777" w:rsidR="0081596F" w:rsidRPr="0081596F" w:rsidRDefault="0081596F" w:rsidP="0081596F">
            <w:pPr>
              <w:jc w:val="center"/>
              <w:rPr>
                <w:rFonts w:eastAsia="Calibri"/>
                <w:sz w:val="20"/>
                <w:szCs w:val="20"/>
              </w:rPr>
            </w:pPr>
            <w:r w:rsidRPr="0081596F">
              <w:rPr>
                <w:rFonts w:eastAsia="Calibri"/>
                <w:color w:val="000000"/>
                <w:sz w:val="20"/>
                <w:szCs w:val="20"/>
              </w:rPr>
              <w:t>66</w:t>
            </w:r>
          </w:p>
        </w:tc>
        <w:tc>
          <w:tcPr>
            <w:tcW w:w="739" w:type="dxa"/>
            <w:hideMark/>
          </w:tcPr>
          <w:p w14:paraId="73058464" w14:textId="77777777" w:rsidR="0081596F" w:rsidRPr="0081596F" w:rsidRDefault="0081596F" w:rsidP="0081596F">
            <w:pPr>
              <w:jc w:val="center"/>
              <w:rPr>
                <w:rFonts w:eastAsia="Calibri"/>
                <w:sz w:val="20"/>
                <w:szCs w:val="20"/>
              </w:rPr>
            </w:pPr>
            <w:r w:rsidRPr="0081596F">
              <w:rPr>
                <w:rFonts w:eastAsia="Calibri"/>
                <w:color w:val="000000"/>
                <w:sz w:val="20"/>
                <w:szCs w:val="20"/>
              </w:rPr>
              <w:t>148</w:t>
            </w:r>
          </w:p>
        </w:tc>
        <w:tc>
          <w:tcPr>
            <w:tcW w:w="827" w:type="dxa"/>
            <w:hideMark/>
          </w:tcPr>
          <w:p w14:paraId="35B4D34F" w14:textId="77777777" w:rsidR="0081596F" w:rsidRPr="0081596F" w:rsidRDefault="0081596F" w:rsidP="0081596F">
            <w:pPr>
              <w:jc w:val="center"/>
              <w:rPr>
                <w:rFonts w:eastAsia="Calibri"/>
                <w:sz w:val="20"/>
                <w:szCs w:val="20"/>
              </w:rPr>
            </w:pPr>
            <w:r w:rsidRPr="0081596F">
              <w:rPr>
                <w:rFonts w:eastAsia="Calibri"/>
                <w:color w:val="000000"/>
                <w:sz w:val="20"/>
                <w:szCs w:val="20"/>
              </w:rPr>
              <w:t>117</w:t>
            </w:r>
          </w:p>
        </w:tc>
        <w:tc>
          <w:tcPr>
            <w:tcW w:w="1267" w:type="dxa"/>
            <w:hideMark/>
          </w:tcPr>
          <w:p w14:paraId="751B5596" w14:textId="77777777" w:rsidR="0081596F" w:rsidRPr="0081596F" w:rsidRDefault="0081596F" w:rsidP="0081596F">
            <w:pPr>
              <w:jc w:val="center"/>
              <w:rPr>
                <w:rFonts w:eastAsia="Calibri"/>
                <w:sz w:val="20"/>
                <w:szCs w:val="20"/>
              </w:rPr>
            </w:pPr>
            <w:r w:rsidRPr="0081596F">
              <w:rPr>
                <w:rFonts w:eastAsia="Calibri"/>
                <w:color w:val="000000"/>
                <w:sz w:val="20"/>
                <w:szCs w:val="20"/>
              </w:rPr>
              <w:t>306</w:t>
            </w:r>
          </w:p>
        </w:tc>
        <w:tc>
          <w:tcPr>
            <w:tcW w:w="1267" w:type="dxa"/>
            <w:hideMark/>
          </w:tcPr>
          <w:p w14:paraId="34AF5E2B"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0.0468</w:t>
            </w:r>
          </w:p>
        </w:tc>
      </w:tr>
      <w:tr w:rsidR="0081596F" w:rsidRPr="0081596F" w14:paraId="352DC79D" w14:textId="77777777" w:rsidTr="0081596F">
        <w:tc>
          <w:tcPr>
            <w:tcW w:w="1327" w:type="dxa"/>
            <w:tcBorders>
              <w:top w:val="nil"/>
              <w:left w:val="nil"/>
              <w:bottom w:val="single" w:sz="4" w:space="0" w:color="auto"/>
              <w:right w:val="nil"/>
            </w:tcBorders>
            <w:hideMark/>
          </w:tcPr>
          <w:p w14:paraId="45179C06" w14:textId="77777777" w:rsidR="0081596F" w:rsidRPr="0081596F" w:rsidRDefault="0081596F" w:rsidP="0081596F">
            <w:pPr>
              <w:tabs>
                <w:tab w:val="left" w:pos="496"/>
              </w:tabs>
              <w:rPr>
                <w:rFonts w:eastAsia="Calibri"/>
                <w:color w:val="000000"/>
                <w:sz w:val="20"/>
                <w:szCs w:val="20"/>
              </w:rPr>
            </w:pPr>
            <w:r w:rsidRPr="0081596F">
              <w:rPr>
                <w:rFonts w:eastAsia="Calibri"/>
                <w:color w:val="000000"/>
                <w:sz w:val="20"/>
                <w:szCs w:val="20"/>
              </w:rPr>
              <w:t>Deal value &gt; 20 million</w:t>
            </w:r>
          </w:p>
        </w:tc>
        <w:tc>
          <w:tcPr>
            <w:tcW w:w="1228" w:type="dxa"/>
            <w:tcBorders>
              <w:top w:val="nil"/>
              <w:left w:val="nil"/>
              <w:bottom w:val="single" w:sz="4" w:space="0" w:color="auto"/>
              <w:right w:val="nil"/>
            </w:tcBorders>
            <w:hideMark/>
          </w:tcPr>
          <w:p w14:paraId="35C96CC5"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497</w:t>
            </w:r>
          </w:p>
        </w:tc>
        <w:tc>
          <w:tcPr>
            <w:tcW w:w="1094" w:type="dxa"/>
            <w:tcBorders>
              <w:top w:val="nil"/>
              <w:left w:val="nil"/>
              <w:bottom w:val="single" w:sz="4" w:space="0" w:color="auto"/>
              <w:right w:val="nil"/>
            </w:tcBorders>
            <w:hideMark/>
          </w:tcPr>
          <w:p w14:paraId="0B5E8C33"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234.89</w:t>
            </w:r>
          </w:p>
        </w:tc>
        <w:tc>
          <w:tcPr>
            <w:tcW w:w="1094" w:type="dxa"/>
            <w:tcBorders>
              <w:top w:val="nil"/>
              <w:left w:val="nil"/>
              <w:bottom w:val="single" w:sz="4" w:space="0" w:color="auto"/>
              <w:right w:val="nil"/>
            </w:tcBorders>
            <w:hideMark/>
          </w:tcPr>
          <w:p w14:paraId="453530B5"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79.8</w:t>
            </w:r>
          </w:p>
        </w:tc>
        <w:tc>
          <w:tcPr>
            <w:tcW w:w="961" w:type="dxa"/>
            <w:tcBorders>
              <w:top w:val="nil"/>
              <w:left w:val="nil"/>
              <w:bottom w:val="single" w:sz="4" w:space="0" w:color="auto"/>
              <w:right w:val="nil"/>
            </w:tcBorders>
            <w:hideMark/>
          </w:tcPr>
          <w:p w14:paraId="249A61BA"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213</w:t>
            </w:r>
          </w:p>
        </w:tc>
        <w:tc>
          <w:tcPr>
            <w:tcW w:w="672" w:type="dxa"/>
            <w:tcBorders>
              <w:top w:val="nil"/>
              <w:left w:val="nil"/>
              <w:bottom w:val="single" w:sz="4" w:space="0" w:color="auto"/>
              <w:right w:val="nil"/>
            </w:tcBorders>
            <w:hideMark/>
          </w:tcPr>
          <w:p w14:paraId="51A3EB78"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90</w:t>
            </w:r>
          </w:p>
        </w:tc>
        <w:tc>
          <w:tcPr>
            <w:tcW w:w="739" w:type="dxa"/>
            <w:tcBorders>
              <w:top w:val="nil"/>
              <w:left w:val="nil"/>
              <w:bottom w:val="single" w:sz="4" w:space="0" w:color="auto"/>
              <w:right w:val="nil"/>
            </w:tcBorders>
            <w:hideMark/>
          </w:tcPr>
          <w:p w14:paraId="188D3EB3"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186</w:t>
            </w:r>
          </w:p>
        </w:tc>
        <w:tc>
          <w:tcPr>
            <w:tcW w:w="827" w:type="dxa"/>
            <w:tcBorders>
              <w:top w:val="nil"/>
              <w:left w:val="nil"/>
              <w:bottom w:val="single" w:sz="4" w:space="0" w:color="auto"/>
              <w:right w:val="nil"/>
            </w:tcBorders>
            <w:hideMark/>
          </w:tcPr>
          <w:p w14:paraId="7DAB2646"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153</w:t>
            </w:r>
          </w:p>
        </w:tc>
        <w:tc>
          <w:tcPr>
            <w:tcW w:w="1267" w:type="dxa"/>
            <w:tcBorders>
              <w:top w:val="nil"/>
              <w:left w:val="nil"/>
              <w:bottom w:val="single" w:sz="4" w:space="0" w:color="auto"/>
              <w:right w:val="nil"/>
            </w:tcBorders>
            <w:hideMark/>
          </w:tcPr>
          <w:p w14:paraId="29E8560C"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344</w:t>
            </w:r>
          </w:p>
        </w:tc>
        <w:tc>
          <w:tcPr>
            <w:tcW w:w="1267" w:type="dxa"/>
            <w:tcBorders>
              <w:top w:val="nil"/>
              <w:left w:val="nil"/>
              <w:bottom w:val="single" w:sz="4" w:space="0" w:color="auto"/>
              <w:right w:val="nil"/>
            </w:tcBorders>
            <w:hideMark/>
          </w:tcPr>
          <w:p w14:paraId="5139E5B2" w14:textId="77777777" w:rsidR="0081596F" w:rsidRPr="0081596F" w:rsidRDefault="0081596F" w:rsidP="0081596F">
            <w:pPr>
              <w:jc w:val="center"/>
              <w:rPr>
                <w:rFonts w:eastAsia="Calibri"/>
                <w:color w:val="000000"/>
                <w:sz w:val="20"/>
                <w:szCs w:val="20"/>
              </w:rPr>
            </w:pPr>
            <w:r w:rsidRPr="0081596F">
              <w:rPr>
                <w:rFonts w:eastAsia="Calibri"/>
                <w:color w:val="000000"/>
                <w:sz w:val="20"/>
                <w:szCs w:val="20"/>
              </w:rPr>
              <w:t>0.0883</w:t>
            </w:r>
          </w:p>
        </w:tc>
      </w:tr>
      <w:tr w:rsidR="0081596F" w:rsidRPr="0081596F" w14:paraId="7274E3A4" w14:textId="77777777" w:rsidTr="0081596F">
        <w:tc>
          <w:tcPr>
            <w:tcW w:w="1327" w:type="dxa"/>
            <w:tcBorders>
              <w:top w:val="single" w:sz="4" w:space="0" w:color="auto"/>
              <w:left w:val="nil"/>
              <w:bottom w:val="single" w:sz="4" w:space="0" w:color="auto"/>
              <w:right w:val="nil"/>
            </w:tcBorders>
            <w:hideMark/>
          </w:tcPr>
          <w:p w14:paraId="384FA5BB" w14:textId="77777777" w:rsidR="0081596F" w:rsidRPr="0081596F" w:rsidRDefault="0081596F" w:rsidP="0081596F">
            <w:pPr>
              <w:rPr>
                <w:rFonts w:eastAsia="Calibri"/>
                <w:sz w:val="20"/>
                <w:szCs w:val="20"/>
              </w:rPr>
            </w:pPr>
            <w:r w:rsidRPr="0081596F">
              <w:rPr>
                <w:rFonts w:eastAsia="Calibri"/>
                <w:color w:val="000000"/>
                <w:sz w:val="20"/>
                <w:szCs w:val="20"/>
              </w:rPr>
              <w:t>Panel B</w:t>
            </w:r>
          </w:p>
        </w:tc>
        <w:tc>
          <w:tcPr>
            <w:tcW w:w="1228" w:type="dxa"/>
            <w:tcBorders>
              <w:top w:val="single" w:sz="4" w:space="0" w:color="auto"/>
              <w:left w:val="nil"/>
              <w:bottom w:val="single" w:sz="4" w:space="0" w:color="auto"/>
              <w:right w:val="nil"/>
            </w:tcBorders>
          </w:tcPr>
          <w:p w14:paraId="6295CCA6"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27D8F4B7"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4930E659" w14:textId="77777777" w:rsidR="0081596F" w:rsidRPr="0081596F" w:rsidRDefault="0081596F" w:rsidP="0081596F">
            <w:pPr>
              <w:rPr>
                <w:rFonts w:eastAsia="Calibri"/>
                <w:sz w:val="20"/>
                <w:szCs w:val="20"/>
              </w:rPr>
            </w:pPr>
          </w:p>
        </w:tc>
        <w:tc>
          <w:tcPr>
            <w:tcW w:w="961" w:type="dxa"/>
            <w:tcBorders>
              <w:top w:val="single" w:sz="4" w:space="0" w:color="auto"/>
              <w:left w:val="nil"/>
              <w:bottom w:val="single" w:sz="4" w:space="0" w:color="auto"/>
              <w:right w:val="nil"/>
            </w:tcBorders>
          </w:tcPr>
          <w:p w14:paraId="7401C450" w14:textId="77777777" w:rsidR="0081596F" w:rsidRPr="0081596F" w:rsidRDefault="0081596F" w:rsidP="0081596F">
            <w:pPr>
              <w:rPr>
                <w:rFonts w:eastAsia="Calibri"/>
                <w:sz w:val="20"/>
                <w:szCs w:val="20"/>
              </w:rPr>
            </w:pPr>
          </w:p>
        </w:tc>
        <w:tc>
          <w:tcPr>
            <w:tcW w:w="672" w:type="dxa"/>
            <w:tcBorders>
              <w:top w:val="single" w:sz="4" w:space="0" w:color="auto"/>
              <w:left w:val="nil"/>
              <w:bottom w:val="single" w:sz="4" w:space="0" w:color="auto"/>
              <w:right w:val="nil"/>
            </w:tcBorders>
          </w:tcPr>
          <w:p w14:paraId="02D5250E" w14:textId="77777777" w:rsidR="0081596F" w:rsidRPr="0081596F" w:rsidRDefault="0081596F" w:rsidP="0081596F">
            <w:pPr>
              <w:rPr>
                <w:rFonts w:eastAsia="Calibri"/>
                <w:sz w:val="20"/>
                <w:szCs w:val="20"/>
              </w:rPr>
            </w:pPr>
          </w:p>
        </w:tc>
        <w:tc>
          <w:tcPr>
            <w:tcW w:w="739" w:type="dxa"/>
            <w:tcBorders>
              <w:top w:val="single" w:sz="4" w:space="0" w:color="auto"/>
              <w:left w:val="nil"/>
              <w:bottom w:val="single" w:sz="4" w:space="0" w:color="auto"/>
              <w:right w:val="nil"/>
            </w:tcBorders>
          </w:tcPr>
          <w:p w14:paraId="45FB4474" w14:textId="77777777" w:rsidR="0081596F" w:rsidRPr="0081596F" w:rsidRDefault="0081596F" w:rsidP="0081596F">
            <w:pPr>
              <w:rPr>
                <w:rFonts w:eastAsia="Calibri"/>
                <w:sz w:val="20"/>
                <w:szCs w:val="20"/>
              </w:rPr>
            </w:pPr>
          </w:p>
        </w:tc>
        <w:tc>
          <w:tcPr>
            <w:tcW w:w="827" w:type="dxa"/>
            <w:tcBorders>
              <w:top w:val="single" w:sz="4" w:space="0" w:color="auto"/>
              <w:left w:val="nil"/>
              <w:bottom w:val="single" w:sz="4" w:space="0" w:color="auto"/>
              <w:right w:val="nil"/>
            </w:tcBorders>
          </w:tcPr>
          <w:p w14:paraId="537E0316"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244957E2"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2CBD3A5E" w14:textId="77777777" w:rsidR="0081596F" w:rsidRPr="0081596F" w:rsidRDefault="0081596F" w:rsidP="0081596F">
            <w:pPr>
              <w:rPr>
                <w:rFonts w:eastAsia="Calibri"/>
                <w:sz w:val="20"/>
                <w:szCs w:val="20"/>
              </w:rPr>
            </w:pPr>
          </w:p>
        </w:tc>
      </w:tr>
      <w:tr w:rsidR="0081596F" w:rsidRPr="0081596F" w14:paraId="52A8FAE6" w14:textId="77777777" w:rsidTr="0081596F">
        <w:tc>
          <w:tcPr>
            <w:tcW w:w="1327" w:type="dxa"/>
            <w:tcBorders>
              <w:top w:val="single" w:sz="4" w:space="0" w:color="auto"/>
              <w:left w:val="nil"/>
              <w:bottom w:val="single" w:sz="4" w:space="0" w:color="auto"/>
              <w:right w:val="nil"/>
            </w:tcBorders>
          </w:tcPr>
          <w:p w14:paraId="094DECF6" w14:textId="77777777" w:rsidR="0081596F" w:rsidRPr="0081596F" w:rsidRDefault="0081596F" w:rsidP="0081596F">
            <w:pPr>
              <w:rPr>
                <w:rFonts w:eastAsia="Calibri"/>
                <w:color w:val="000000"/>
                <w:sz w:val="20"/>
                <w:szCs w:val="20"/>
              </w:rPr>
            </w:pPr>
          </w:p>
        </w:tc>
        <w:tc>
          <w:tcPr>
            <w:tcW w:w="1228" w:type="dxa"/>
            <w:tcBorders>
              <w:top w:val="single" w:sz="4" w:space="0" w:color="auto"/>
              <w:left w:val="nil"/>
              <w:bottom w:val="single" w:sz="4" w:space="0" w:color="auto"/>
              <w:right w:val="nil"/>
            </w:tcBorders>
          </w:tcPr>
          <w:p w14:paraId="0D885FE1"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43D2EB4B" w14:textId="77777777" w:rsidR="0081596F" w:rsidRPr="0081596F" w:rsidRDefault="0081596F" w:rsidP="0081596F">
            <w:pPr>
              <w:rPr>
                <w:rFonts w:eastAsia="Calibri"/>
                <w:sz w:val="20"/>
                <w:szCs w:val="20"/>
              </w:rPr>
            </w:pPr>
          </w:p>
        </w:tc>
        <w:tc>
          <w:tcPr>
            <w:tcW w:w="1094" w:type="dxa"/>
            <w:tcBorders>
              <w:top w:val="single" w:sz="4" w:space="0" w:color="auto"/>
              <w:left w:val="nil"/>
              <w:bottom w:val="single" w:sz="4" w:space="0" w:color="auto"/>
              <w:right w:val="nil"/>
            </w:tcBorders>
          </w:tcPr>
          <w:p w14:paraId="0D996AB3" w14:textId="77777777" w:rsidR="0081596F" w:rsidRPr="0081596F" w:rsidRDefault="0081596F" w:rsidP="0081596F">
            <w:pPr>
              <w:rPr>
                <w:rFonts w:eastAsia="Calibri"/>
                <w:sz w:val="20"/>
                <w:szCs w:val="20"/>
              </w:rPr>
            </w:pPr>
          </w:p>
        </w:tc>
        <w:tc>
          <w:tcPr>
            <w:tcW w:w="961" w:type="dxa"/>
            <w:tcBorders>
              <w:top w:val="single" w:sz="4" w:space="0" w:color="auto"/>
              <w:left w:val="nil"/>
              <w:bottom w:val="single" w:sz="4" w:space="0" w:color="auto"/>
              <w:right w:val="nil"/>
            </w:tcBorders>
          </w:tcPr>
          <w:p w14:paraId="519F0F52" w14:textId="77777777" w:rsidR="0081596F" w:rsidRPr="0081596F" w:rsidRDefault="0081596F" w:rsidP="0081596F">
            <w:pPr>
              <w:rPr>
                <w:rFonts w:eastAsia="Calibri"/>
                <w:sz w:val="20"/>
                <w:szCs w:val="20"/>
              </w:rPr>
            </w:pPr>
          </w:p>
        </w:tc>
        <w:tc>
          <w:tcPr>
            <w:tcW w:w="672" w:type="dxa"/>
            <w:tcBorders>
              <w:top w:val="single" w:sz="4" w:space="0" w:color="auto"/>
              <w:left w:val="nil"/>
              <w:bottom w:val="single" w:sz="4" w:space="0" w:color="auto"/>
              <w:right w:val="nil"/>
            </w:tcBorders>
          </w:tcPr>
          <w:p w14:paraId="5E1BA2C4" w14:textId="77777777" w:rsidR="0081596F" w:rsidRPr="0081596F" w:rsidRDefault="0081596F" w:rsidP="0081596F">
            <w:pPr>
              <w:rPr>
                <w:rFonts w:eastAsia="Calibri"/>
                <w:sz w:val="20"/>
                <w:szCs w:val="20"/>
              </w:rPr>
            </w:pPr>
          </w:p>
        </w:tc>
        <w:tc>
          <w:tcPr>
            <w:tcW w:w="739" w:type="dxa"/>
            <w:tcBorders>
              <w:top w:val="single" w:sz="4" w:space="0" w:color="auto"/>
              <w:left w:val="nil"/>
              <w:bottom w:val="single" w:sz="4" w:space="0" w:color="auto"/>
              <w:right w:val="nil"/>
            </w:tcBorders>
          </w:tcPr>
          <w:p w14:paraId="65401B35" w14:textId="77777777" w:rsidR="0081596F" w:rsidRPr="0081596F" w:rsidRDefault="0081596F" w:rsidP="0081596F">
            <w:pPr>
              <w:rPr>
                <w:rFonts w:eastAsia="Calibri"/>
                <w:sz w:val="20"/>
                <w:szCs w:val="20"/>
              </w:rPr>
            </w:pPr>
          </w:p>
        </w:tc>
        <w:tc>
          <w:tcPr>
            <w:tcW w:w="827" w:type="dxa"/>
            <w:tcBorders>
              <w:top w:val="single" w:sz="4" w:space="0" w:color="auto"/>
              <w:left w:val="nil"/>
              <w:bottom w:val="single" w:sz="4" w:space="0" w:color="auto"/>
              <w:right w:val="nil"/>
            </w:tcBorders>
          </w:tcPr>
          <w:p w14:paraId="6760B092"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0362B599"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7CDD58EA" w14:textId="77777777" w:rsidR="0081596F" w:rsidRPr="0081596F" w:rsidRDefault="0081596F" w:rsidP="0081596F">
            <w:pPr>
              <w:rPr>
                <w:rFonts w:eastAsia="Calibri"/>
                <w:sz w:val="20"/>
                <w:szCs w:val="20"/>
              </w:rPr>
            </w:pPr>
          </w:p>
        </w:tc>
      </w:tr>
      <w:tr w:rsidR="0081596F" w:rsidRPr="0081596F" w14:paraId="5E4878D5" w14:textId="77777777" w:rsidTr="0081596F">
        <w:tc>
          <w:tcPr>
            <w:tcW w:w="1327" w:type="dxa"/>
            <w:tcBorders>
              <w:top w:val="single" w:sz="4" w:space="0" w:color="auto"/>
              <w:left w:val="nil"/>
              <w:bottom w:val="single" w:sz="4" w:space="0" w:color="auto"/>
              <w:right w:val="nil"/>
            </w:tcBorders>
          </w:tcPr>
          <w:p w14:paraId="37AE26FE" w14:textId="77777777" w:rsidR="0081596F" w:rsidRPr="0081596F" w:rsidRDefault="0081596F" w:rsidP="0081596F">
            <w:pPr>
              <w:rPr>
                <w:rFonts w:eastAsia="Calibri"/>
                <w:sz w:val="20"/>
                <w:szCs w:val="20"/>
              </w:rPr>
            </w:pPr>
          </w:p>
        </w:tc>
        <w:tc>
          <w:tcPr>
            <w:tcW w:w="1228" w:type="dxa"/>
            <w:tcBorders>
              <w:top w:val="single" w:sz="4" w:space="0" w:color="auto"/>
              <w:left w:val="nil"/>
              <w:bottom w:val="single" w:sz="4" w:space="0" w:color="auto"/>
              <w:right w:val="nil"/>
            </w:tcBorders>
            <w:hideMark/>
          </w:tcPr>
          <w:p w14:paraId="2F1AA528" w14:textId="77777777" w:rsidR="0081596F" w:rsidRPr="0081596F" w:rsidRDefault="0081596F" w:rsidP="0081596F">
            <w:pPr>
              <w:jc w:val="center"/>
              <w:rPr>
                <w:rFonts w:eastAsia="Calibri"/>
                <w:sz w:val="20"/>
                <w:szCs w:val="20"/>
              </w:rPr>
            </w:pPr>
            <w:r w:rsidRPr="0081596F">
              <w:rPr>
                <w:rFonts w:eastAsia="Calibri"/>
                <w:color w:val="000000"/>
                <w:sz w:val="20"/>
                <w:szCs w:val="20"/>
              </w:rPr>
              <w:t>Number of Acquisitions</w:t>
            </w:r>
          </w:p>
        </w:tc>
        <w:tc>
          <w:tcPr>
            <w:tcW w:w="1094" w:type="dxa"/>
            <w:tcBorders>
              <w:top w:val="single" w:sz="4" w:space="0" w:color="auto"/>
              <w:left w:val="nil"/>
              <w:bottom w:val="single" w:sz="4" w:space="0" w:color="auto"/>
              <w:right w:val="nil"/>
            </w:tcBorders>
            <w:hideMark/>
          </w:tcPr>
          <w:p w14:paraId="2C3EC2EE" w14:textId="77777777" w:rsidR="0081596F" w:rsidRPr="0081596F" w:rsidRDefault="0081596F" w:rsidP="0081596F">
            <w:pPr>
              <w:jc w:val="center"/>
              <w:rPr>
                <w:rFonts w:eastAsia="Calibri"/>
                <w:sz w:val="20"/>
                <w:szCs w:val="20"/>
              </w:rPr>
            </w:pPr>
            <w:r w:rsidRPr="0081596F">
              <w:rPr>
                <w:rFonts w:eastAsia="Calibri"/>
                <w:color w:val="000000"/>
                <w:sz w:val="20"/>
                <w:szCs w:val="20"/>
              </w:rPr>
              <w:t>Mean</w:t>
            </w:r>
          </w:p>
        </w:tc>
        <w:tc>
          <w:tcPr>
            <w:tcW w:w="1094" w:type="dxa"/>
            <w:tcBorders>
              <w:top w:val="single" w:sz="4" w:space="0" w:color="auto"/>
              <w:left w:val="nil"/>
              <w:bottom w:val="single" w:sz="4" w:space="0" w:color="auto"/>
              <w:right w:val="nil"/>
            </w:tcBorders>
            <w:hideMark/>
          </w:tcPr>
          <w:p w14:paraId="7EC8DE4D" w14:textId="77777777" w:rsidR="0081596F" w:rsidRPr="0081596F" w:rsidRDefault="0081596F" w:rsidP="0081596F">
            <w:pPr>
              <w:jc w:val="center"/>
              <w:rPr>
                <w:rFonts w:eastAsia="Calibri"/>
                <w:sz w:val="20"/>
                <w:szCs w:val="20"/>
              </w:rPr>
            </w:pPr>
            <w:r w:rsidRPr="0081596F">
              <w:rPr>
                <w:rFonts w:eastAsia="Calibri"/>
                <w:color w:val="000000"/>
                <w:sz w:val="20"/>
                <w:szCs w:val="20"/>
              </w:rPr>
              <w:t>Median</w:t>
            </w:r>
          </w:p>
        </w:tc>
        <w:tc>
          <w:tcPr>
            <w:tcW w:w="961" w:type="dxa"/>
            <w:tcBorders>
              <w:top w:val="single" w:sz="4" w:space="0" w:color="auto"/>
              <w:left w:val="nil"/>
              <w:bottom w:val="single" w:sz="4" w:space="0" w:color="auto"/>
              <w:right w:val="nil"/>
            </w:tcBorders>
            <w:hideMark/>
          </w:tcPr>
          <w:p w14:paraId="7B0538DD" w14:textId="77777777" w:rsidR="0081596F" w:rsidRPr="0081596F" w:rsidRDefault="0081596F" w:rsidP="0081596F">
            <w:pPr>
              <w:jc w:val="center"/>
              <w:rPr>
                <w:rFonts w:eastAsia="Calibri"/>
                <w:sz w:val="20"/>
                <w:szCs w:val="20"/>
              </w:rPr>
            </w:pPr>
            <w:r w:rsidRPr="0081596F">
              <w:rPr>
                <w:rFonts w:eastAsia="Calibri"/>
                <w:color w:val="000000"/>
                <w:sz w:val="20"/>
                <w:szCs w:val="20"/>
              </w:rPr>
              <w:t>Standard deviation</w:t>
            </w:r>
          </w:p>
        </w:tc>
        <w:tc>
          <w:tcPr>
            <w:tcW w:w="672" w:type="dxa"/>
            <w:tcBorders>
              <w:top w:val="single" w:sz="4" w:space="0" w:color="auto"/>
              <w:left w:val="nil"/>
              <w:bottom w:val="single" w:sz="4" w:space="0" w:color="auto"/>
              <w:right w:val="nil"/>
            </w:tcBorders>
            <w:hideMark/>
          </w:tcPr>
          <w:p w14:paraId="12637119" w14:textId="77777777" w:rsidR="0081596F" w:rsidRPr="0081596F" w:rsidRDefault="0081596F" w:rsidP="0081596F">
            <w:pPr>
              <w:jc w:val="center"/>
              <w:rPr>
                <w:rFonts w:eastAsia="Calibri"/>
                <w:sz w:val="20"/>
                <w:szCs w:val="20"/>
              </w:rPr>
            </w:pPr>
            <w:r w:rsidRPr="0081596F">
              <w:rPr>
                <w:rFonts w:eastAsia="Calibri"/>
                <w:color w:val="000000"/>
                <w:sz w:val="20"/>
                <w:szCs w:val="20"/>
              </w:rPr>
              <w:t>Max</w:t>
            </w:r>
          </w:p>
        </w:tc>
        <w:tc>
          <w:tcPr>
            <w:tcW w:w="739" w:type="dxa"/>
            <w:tcBorders>
              <w:top w:val="single" w:sz="4" w:space="0" w:color="auto"/>
              <w:left w:val="nil"/>
              <w:bottom w:val="single" w:sz="4" w:space="0" w:color="auto"/>
              <w:right w:val="nil"/>
            </w:tcBorders>
            <w:hideMark/>
          </w:tcPr>
          <w:p w14:paraId="0BF67479" w14:textId="77777777" w:rsidR="0081596F" w:rsidRPr="0081596F" w:rsidRDefault="0081596F" w:rsidP="0081596F">
            <w:pPr>
              <w:jc w:val="center"/>
              <w:rPr>
                <w:rFonts w:eastAsia="Calibri"/>
                <w:sz w:val="20"/>
                <w:szCs w:val="20"/>
              </w:rPr>
            </w:pPr>
            <w:r w:rsidRPr="0081596F">
              <w:rPr>
                <w:rFonts w:eastAsia="Calibri"/>
                <w:color w:val="000000"/>
                <w:sz w:val="20"/>
                <w:szCs w:val="20"/>
              </w:rPr>
              <w:t>Min</w:t>
            </w:r>
          </w:p>
        </w:tc>
        <w:tc>
          <w:tcPr>
            <w:tcW w:w="827" w:type="dxa"/>
            <w:tcBorders>
              <w:top w:val="single" w:sz="4" w:space="0" w:color="auto"/>
              <w:left w:val="nil"/>
              <w:bottom w:val="single" w:sz="4" w:space="0" w:color="auto"/>
              <w:right w:val="nil"/>
            </w:tcBorders>
          </w:tcPr>
          <w:p w14:paraId="08DEF5C4"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6C870F55" w14:textId="77777777" w:rsidR="0081596F" w:rsidRPr="0081596F" w:rsidRDefault="0081596F" w:rsidP="0081596F">
            <w:pPr>
              <w:rPr>
                <w:rFonts w:eastAsia="Calibri"/>
                <w:sz w:val="20"/>
                <w:szCs w:val="20"/>
              </w:rPr>
            </w:pPr>
          </w:p>
        </w:tc>
        <w:tc>
          <w:tcPr>
            <w:tcW w:w="1267" w:type="dxa"/>
            <w:tcBorders>
              <w:top w:val="single" w:sz="4" w:space="0" w:color="auto"/>
              <w:left w:val="nil"/>
              <w:bottom w:val="single" w:sz="4" w:space="0" w:color="auto"/>
              <w:right w:val="nil"/>
            </w:tcBorders>
          </w:tcPr>
          <w:p w14:paraId="14641363" w14:textId="77777777" w:rsidR="0081596F" w:rsidRPr="0081596F" w:rsidRDefault="0081596F" w:rsidP="0081596F">
            <w:pPr>
              <w:rPr>
                <w:rFonts w:eastAsia="Calibri"/>
                <w:sz w:val="20"/>
                <w:szCs w:val="20"/>
              </w:rPr>
            </w:pPr>
          </w:p>
        </w:tc>
      </w:tr>
      <w:tr w:rsidR="0081596F" w:rsidRPr="0081596F" w14:paraId="4EC5FA37" w14:textId="77777777" w:rsidTr="0081596F">
        <w:tc>
          <w:tcPr>
            <w:tcW w:w="1327" w:type="dxa"/>
            <w:tcBorders>
              <w:top w:val="single" w:sz="4" w:space="0" w:color="auto"/>
              <w:left w:val="nil"/>
              <w:bottom w:val="nil"/>
              <w:right w:val="nil"/>
            </w:tcBorders>
            <w:hideMark/>
          </w:tcPr>
          <w:p w14:paraId="1D50623E" w14:textId="77777777" w:rsidR="0081596F" w:rsidRPr="0081596F" w:rsidRDefault="0081596F" w:rsidP="0081596F">
            <w:pPr>
              <w:rPr>
                <w:rFonts w:eastAsia="Calibri"/>
                <w:sz w:val="20"/>
                <w:szCs w:val="20"/>
              </w:rPr>
            </w:pPr>
            <w:r w:rsidRPr="0081596F">
              <w:rPr>
                <w:rFonts w:eastAsia="Calibri"/>
                <w:color w:val="000000"/>
                <w:sz w:val="20"/>
                <w:szCs w:val="20"/>
              </w:rPr>
              <w:t>Fraction of male directors</w:t>
            </w:r>
          </w:p>
        </w:tc>
        <w:tc>
          <w:tcPr>
            <w:tcW w:w="1228" w:type="dxa"/>
            <w:tcBorders>
              <w:top w:val="single" w:sz="4" w:space="0" w:color="auto"/>
              <w:left w:val="nil"/>
              <w:bottom w:val="nil"/>
              <w:right w:val="nil"/>
            </w:tcBorders>
            <w:hideMark/>
          </w:tcPr>
          <w:p w14:paraId="2FD5965A"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tcBorders>
              <w:top w:val="single" w:sz="4" w:space="0" w:color="auto"/>
              <w:left w:val="nil"/>
              <w:bottom w:val="nil"/>
              <w:right w:val="nil"/>
            </w:tcBorders>
            <w:hideMark/>
          </w:tcPr>
          <w:p w14:paraId="2FF5CC85" w14:textId="77777777" w:rsidR="0081596F" w:rsidRPr="0081596F" w:rsidRDefault="0081596F" w:rsidP="0081596F">
            <w:pPr>
              <w:jc w:val="center"/>
              <w:rPr>
                <w:rFonts w:eastAsia="Calibri"/>
                <w:sz w:val="20"/>
                <w:szCs w:val="20"/>
              </w:rPr>
            </w:pPr>
            <w:r w:rsidRPr="0081596F">
              <w:rPr>
                <w:rFonts w:eastAsia="Calibri"/>
                <w:color w:val="000000"/>
                <w:sz w:val="20"/>
                <w:szCs w:val="20"/>
              </w:rPr>
              <w:t>0.78</w:t>
            </w:r>
          </w:p>
        </w:tc>
        <w:tc>
          <w:tcPr>
            <w:tcW w:w="1094" w:type="dxa"/>
            <w:tcBorders>
              <w:top w:val="single" w:sz="4" w:space="0" w:color="auto"/>
              <w:left w:val="nil"/>
              <w:bottom w:val="nil"/>
              <w:right w:val="nil"/>
            </w:tcBorders>
            <w:hideMark/>
          </w:tcPr>
          <w:p w14:paraId="03B3CB49" w14:textId="77777777" w:rsidR="0081596F" w:rsidRPr="0081596F" w:rsidRDefault="0081596F" w:rsidP="0081596F">
            <w:pPr>
              <w:jc w:val="center"/>
              <w:rPr>
                <w:rFonts w:eastAsia="Calibri"/>
                <w:sz w:val="20"/>
                <w:szCs w:val="20"/>
              </w:rPr>
            </w:pPr>
            <w:r w:rsidRPr="0081596F">
              <w:rPr>
                <w:rFonts w:eastAsia="Calibri"/>
                <w:color w:val="000000"/>
                <w:sz w:val="20"/>
                <w:szCs w:val="20"/>
              </w:rPr>
              <w:t>0.72</w:t>
            </w:r>
          </w:p>
        </w:tc>
        <w:tc>
          <w:tcPr>
            <w:tcW w:w="961" w:type="dxa"/>
            <w:tcBorders>
              <w:top w:val="single" w:sz="4" w:space="0" w:color="auto"/>
              <w:left w:val="nil"/>
              <w:bottom w:val="nil"/>
              <w:right w:val="nil"/>
            </w:tcBorders>
            <w:hideMark/>
          </w:tcPr>
          <w:p w14:paraId="238A4F24" w14:textId="77777777" w:rsidR="0081596F" w:rsidRPr="0081596F" w:rsidRDefault="0081596F" w:rsidP="0081596F">
            <w:pPr>
              <w:jc w:val="center"/>
              <w:rPr>
                <w:rFonts w:eastAsia="Calibri"/>
                <w:sz w:val="20"/>
                <w:szCs w:val="20"/>
              </w:rPr>
            </w:pPr>
            <w:r w:rsidRPr="0081596F">
              <w:rPr>
                <w:rFonts w:eastAsia="Calibri"/>
                <w:color w:val="000000"/>
                <w:sz w:val="20"/>
                <w:szCs w:val="20"/>
              </w:rPr>
              <w:t>0.05</w:t>
            </w:r>
          </w:p>
        </w:tc>
        <w:tc>
          <w:tcPr>
            <w:tcW w:w="672" w:type="dxa"/>
            <w:tcBorders>
              <w:top w:val="single" w:sz="4" w:space="0" w:color="auto"/>
              <w:left w:val="nil"/>
              <w:bottom w:val="nil"/>
              <w:right w:val="nil"/>
            </w:tcBorders>
            <w:hideMark/>
          </w:tcPr>
          <w:p w14:paraId="0C0AE495" w14:textId="77777777" w:rsidR="0081596F" w:rsidRPr="0081596F" w:rsidRDefault="0081596F" w:rsidP="0081596F">
            <w:pPr>
              <w:jc w:val="center"/>
              <w:rPr>
                <w:rFonts w:eastAsia="Calibri"/>
                <w:sz w:val="20"/>
                <w:szCs w:val="20"/>
              </w:rPr>
            </w:pPr>
            <w:r w:rsidRPr="0081596F">
              <w:rPr>
                <w:rFonts w:eastAsia="Calibri"/>
                <w:color w:val="000000"/>
                <w:sz w:val="20"/>
                <w:szCs w:val="20"/>
              </w:rPr>
              <w:t>1</w:t>
            </w:r>
          </w:p>
        </w:tc>
        <w:tc>
          <w:tcPr>
            <w:tcW w:w="739" w:type="dxa"/>
            <w:tcBorders>
              <w:top w:val="single" w:sz="4" w:space="0" w:color="auto"/>
              <w:left w:val="nil"/>
              <w:bottom w:val="nil"/>
              <w:right w:val="nil"/>
            </w:tcBorders>
            <w:hideMark/>
          </w:tcPr>
          <w:p w14:paraId="18EFED11" w14:textId="77777777" w:rsidR="0081596F" w:rsidRPr="0081596F" w:rsidRDefault="0081596F" w:rsidP="0081596F">
            <w:pPr>
              <w:jc w:val="center"/>
              <w:rPr>
                <w:rFonts w:eastAsia="Calibri"/>
                <w:sz w:val="20"/>
                <w:szCs w:val="20"/>
              </w:rPr>
            </w:pPr>
            <w:r w:rsidRPr="0081596F">
              <w:rPr>
                <w:rFonts w:eastAsia="Calibri"/>
                <w:color w:val="000000"/>
                <w:sz w:val="20"/>
                <w:szCs w:val="20"/>
              </w:rPr>
              <w:t>0.62</w:t>
            </w:r>
          </w:p>
        </w:tc>
        <w:tc>
          <w:tcPr>
            <w:tcW w:w="827" w:type="dxa"/>
            <w:tcBorders>
              <w:top w:val="single" w:sz="4" w:space="0" w:color="auto"/>
              <w:left w:val="nil"/>
              <w:bottom w:val="nil"/>
              <w:right w:val="nil"/>
            </w:tcBorders>
          </w:tcPr>
          <w:p w14:paraId="47665CD9" w14:textId="77777777" w:rsidR="0081596F" w:rsidRPr="0081596F" w:rsidRDefault="0081596F" w:rsidP="0081596F">
            <w:pPr>
              <w:rPr>
                <w:rFonts w:eastAsia="Calibri"/>
                <w:sz w:val="20"/>
                <w:szCs w:val="20"/>
              </w:rPr>
            </w:pPr>
          </w:p>
        </w:tc>
        <w:tc>
          <w:tcPr>
            <w:tcW w:w="1267" w:type="dxa"/>
            <w:tcBorders>
              <w:top w:val="single" w:sz="4" w:space="0" w:color="auto"/>
              <w:left w:val="nil"/>
              <w:bottom w:val="nil"/>
              <w:right w:val="nil"/>
            </w:tcBorders>
          </w:tcPr>
          <w:p w14:paraId="3D04C919" w14:textId="77777777" w:rsidR="0081596F" w:rsidRPr="0081596F" w:rsidRDefault="0081596F" w:rsidP="0081596F">
            <w:pPr>
              <w:rPr>
                <w:rFonts w:eastAsia="Calibri"/>
                <w:sz w:val="20"/>
                <w:szCs w:val="20"/>
              </w:rPr>
            </w:pPr>
          </w:p>
        </w:tc>
        <w:tc>
          <w:tcPr>
            <w:tcW w:w="1267" w:type="dxa"/>
            <w:tcBorders>
              <w:top w:val="single" w:sz="4" w:space="0" w:color="auto"/>
              <w:left w:val="nil"/>
              <w:bottom w:val="nil"/>
              <w:right w:val="nil"/>
            </w:tcBorders>
          </w:tcPr>
          <w:p w14:paraId="7BA39CDE" w14:textId="77777777" w:rsidR="0081596F" w:rsidRPr="0081596F" w:rsidRDefault="0081596F" w:rsidP="0081596F">
            <w:pPr>
              <w:rPr>
                <w:rFonts w:eastAsia="Calibri"/>
                <w:sz w:val="20"/>
                <w:szCs w:val="20"/>
              </w:rPr>
            </w:pPr>
          </w:p>
        </w:tc>
      </w:tr>
      <w:tr w:rsidR="0081596F" w:rsidRPr="0081596F" w14:paraId="5FAD3C85" w14:textId="77777777" w:rsidTr="0081596F">
        <w:tc>
          <w:tcPr>
            <w:tcW w:w="1327" w:type="dxa"/>
            <w:hideMark/>
          </w:tcPr>
          <w:p w14:paraId="1C1CFCB4" w14:textId="77777777" w:rsidR="0081596F" w:rsidRPr="0081596F" w:rsidRDefault="0081596F" w:rsidP="0081596F">
            <w:pPr>
              <w:rPr>
                <w:rFonts w:eastAsia="Calibri"/>
                <w:sz w:val="20"/>
                <w:szCs w:val="20"/>
              </w:rPr>
            </w:pPr>
            <w:r w:rsidRPr="0081596F">
              <w:rPr>
                <w:rFonts w:eastAsia="Calibri"/>
                <w:color w:val="000000"/>
                <w:sz w:val="20"/>
                <w:szCs w:val="20"/>
              </w:rPr>
              <w:t>CEO duality</w:t>
            </w:r>
          </w:p>
        </w:tc>
        <w:tc>
          <w:tcPr>
            <w:tcW w:w="1228" w:type="dxa"/>
            <w:hideMark/>
          </w:tcPr>
          <w:p w14:paraId="1F174E60"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hideMark/>
          </w:tcPr>
          <w:p w14:paraId="5C266934" w14:textId="77777777" w:rsidR="0081596F" w:rsidRPr="0081596F" w:rsidRDefault="0081596F" w:rsidP="0081596F">
            <w:pPr>
              <w:jc w:val="center"/>
              <w:rPr>
                <w:rFonts w:eastAsia="Calibri"/>
                <w:sz w:val="20"/>
                <w:szCs w:val="20"/>
              </w:rPr>
            </w:pPr>
            <w:r w:rsidRPr="0081596F">
              <w:rPr>
                <w:rFonts w:eastAsia="Calibri"/>
                <w:color w:val="000000"/>
                <w:sz w:val="20"/>
                <w:szCs w:val="20"/>
              </w:rPr>
              <w:t>0.24</w:t>
            </w:r>
          </w:p>
        </w:tc>
        <w:tc>
          <w:tcPr>
            <w:tcW w:w="1094" w:type="dxa"/>
            <w:hideMark/>
          </w:tcPr>
          <w:p w14:paraId="489ECFCC" w14:textId="77777777" w:rsidR="0081596F" w:rsidRPr="0081596F" w:rsidRDefault="0081596F" w:rsidP="0081596F">
            <w:pPr>
              <w:jc w:val="center"/>
              <w:rPr>
                <w:rFonts w:eastAsia="Calibri"/>
                <w:sz w:val="20"/>
                <w:szCs w:val="20"/>
              </w:rPr>
            </w:pPr>
            <w:r w:rsidRPr="0081596F">
              <w:rPr>
                <w:rFonts w:eastAsia="Calibri"/>
                <w:color w:val="000000"/>
                <w:sz w:val="20"/>
                <w:szCs w:val="20"/>
              </w:rPr>
              <w:t>0</w:t>
            </w:r>
          </w:p>
        </w:tc>
        <w:tc>
          <w:tcPr>
            <w:tcW w:w="961" w:type="dxa"/>
            <w:hideMark/>
          </w:tcPr>
          <w:p w14:paraId="0F96B222" w14:textId="77777777" w:rsidR="0081596F" w:rsidRPr="0081596F" w:rsidRDefault="0081596F" w:rsidP="0081596F">
            <w:pPr>
              <w:jc w:val="center"/>
              <w:rPr>
                <w:rFonts w:eastAsia="Calibri"/>
                <w:sz w:val="20"/>
                <w:szCs w:val="20"/>
              </w:rPr>
            </w:pPr>
            <w:r w:rsidRPr="0081596F">
              <w:rPr>
                <w:rFonts w:eastAsia="Calibri"/>
                <w:color w:val="000000"/>
                <w:sz w:val="20"/>
                <w:szCs w:val="20"/>
              </w:rPr>
              <w:t>0.062</w:t>
            </w:r>
          </w:p>
        </w:tc>
        <w:tc>
          <w:tcPr>
            <w:tcW w:w="672" w:type="dxa"/>
            <w:hideMark/>
          </w:tcPr>
          <w:p w14:paraId="233C80D8" w14:textId="77777777" w:rsidR="0081596F" w:rsidRPr="0081596F" w:rsidRDefault="0081596F" w:rsidP="0081596F">
            <w:pPr>
              <w:jc w:val="center"/>
              <w:rPr>
                <w:rFonts w:eastAsia="Calibri"/>
                <w:sz w:val="20"/>
                <w:szCs w:val="20"/>
              </w:rPr>
            </w:pPr>
            <w:r w:rsidRPr="0081596F">
              <w:rPr>
                <w:rFonts w:eastAsia="Calibri"/>
                <w:color w:val="000000"/>
                <w:sz w:val="20"/>
                <w:szCs w:val="20"/>
              </w:rPr>
              <w:t>1</w:t>
            </w:r>
          </w:p>
        </w:tc>
        <w:tc>
          <w:tcPr>
            <w:tcW w:w="739" w:type="dxa"/>
            <w:hideMark/>
          </w:tcPr>
          <w:p w14:paraId="6327A4AD" w14:textId="77777777" w:rsidR="0081596F" w:rsidRPr="0081596F" w:rsidRDefault="0081596F" w:rsidP="0081596F">
            <w:pPr>
              <w:jc w:val="center"/>
              <w:rPr>
                <w:rFonts w:eastAsia="Calibri"/>
                <w:sz w:val="20"/>
                <w:szCs w:val="20"/>
              </w:rPr>
            </w:pPr>
            <w:r w:rsidRPr="0081596F">
              <w:rPr>
                <w:rFonts w:eastAsia="Calibri"/>
                <w:color w:val="000000"/>
                <w:sz w:val="20"/>
                <w:szCs w:val="20"/>
              </w:rPr>
              <w:t>0</w:t>
            </w:r>
          </w:p>
        </w:tc>
        <w:tc>
          <w:tcPr>
            <w:tcW w:w="827" w:type="dxa"/>
          </w:tcPr>
          <w:p w14:paraId="02E56242" w14:textId="77777777" w:rsidR="0081596F" w:rsidRPr="0081596F" w:rsidRDefault="0081596F" w:rsidP="0081596F">
            <w:pPr>
              <w:rPr>
                <w:rFonts w:eastAsia="Calibri"/>
                <w:sz w:val="20"/>
                <w:szCs w:val="20"/>
              </w:rPr>
            </w:pPr>
          </w:p>
        </w:tc>
        <w:tc>
          <w:tcPr>
            <w:tcW w:w="1267" w:type="dxa"/>
          </w:tcPr>
          <w:p w14:paraId="34F7368C" w14:textId="77777777" w:rsidR="0081596F" w:rsidRPr="0081596F" w:rsidRDefault="0081596F" w:rsidP="0081596F">
            <w:pPr>
              <w:rPr>
                <w:rFonts w:eastAsia="Calibri"/>
                <w:sz w:val="20"/>
                <w:szCs w:val="20"/>
              </w:rPr>
            </w:pPr>
          </w:p>
        </w:tc>
        <w:tc>
          <w:tcPr>
            <w:tcW w:w="1267" w:type="dxa"/>
          </w:tcPr>
          <w:p w14:paraId="0AF47806" w14:textId="77777777" w:rsidR="0081596F" w:rsidRPr="0081596F" w:rsidRDefault="0081596F" w:rsidP="0081596F">
            <w:pPr>
              <w:rPr>
                <w:rFonts w:eastAsia="Calibri"/>
                <w:sz w:val="20"/>
                <w:szCs w:val="20"/>
              </w:rPr>
            </w:pPr>
          </w:p>
        </w:tc>
      </w:tr>
      <w:tr w:rsidR="0081596F" w:rsidRPr="0081596F" w14:paraId="33CD8A8B" w14:textId="77777777" w:rsidTr="0081596F">
        <w:tc>
          <w:tcPr>
            <w:tcW w:w="1327" w:type="dxa"/>
            <w:hideMark/>
          </w:tcPr>
          <w:p w14:paraId="13F798F4" w14:textId="77777777" w:rsidR="0081596F" w:rsidRPr="0081596F" w:rsidRDefault="0081596F" w:rsidP="0081596F">
            <w:pPr>
              <w:rPr>
                <w:rFonts w:eastAsia="Calibri"/>
                <w:sz w:val="20"/>
                <w:szCs w:val="20"/>
              </w:rPr>
            </w:pPr>
            <w:r w:rsidRPr="0081596F">
              <w:rPr>
                <w:rFonts w:eastAsia="Calibri"/>
                <w:color w:val="000000"/>
                <w:sz w:val="20"/>
                <w:szCs w:val="20"/>
              </w:rPr>
              <w:t>Board Size</w:t>
            </w:r>
          </w:p>
        </w:tc>
        <w:tc>
          <w:tcPr>
            <w:tcW w:w="1228" w:type="dxa"/>
            <w:hideMark/>
          </w:tcPr>
          <w:p w14:paraId="1CB38BEE"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hideMark/>
          </w:tcPr>
          <w:p w14:paraId="2F0BE149" w14:textId="77777777" w:rsidR="0081596F" w:rsidRPr="0081596F" w:rsidRDefault="0081596F" w:rsidP="0081596F">
            <w:pPr>
              <w:jc w:val="center"/>
              <w:rPr>
                <w:rFonts w:eastAsia="Calibri"/>
                <w:sz w:val="20"/>
                <w:szCs w:val="20"/>
              </w:rPr>
            </w:pPr>
            <w:r w:rsidRPr="0081596F">
              <w:rPr>
                <w:rFonts w:eastAsia="Calibri"/>
                <w:color w:val="000000"/>
                <w:sz w:val="20"/>
                <w:szCs w:val="20"/>
              </w:rPr>
              <w:t>9.2</w:t>
            </w:r>
          </w:p>
        </w:tc>
        <w:tc>
          <w:tcPr>
            <w:tcW w:w="1094" w:type="dxa"/>
            <w:hideMark/>
          </w:tcPr>
          <w:p w14:paraId="75CE6D5B" w14:textId="77777777" w:rsidR="0081596F" w:rsidRPr="0081596F" w:rsidRDefault="0081596F" w:rsidP="0081596F">
            <w:pPr>
              <w:jc w:val="center"/>
              <w:rPr>
                <w:rFonts w:eastAsia="Calibri"/>
                <w:sz w:val="20"/>
                <w:szCs w:val="20"/>
              </w:rPr>
            </w:pPr>
            <w:r w:rsidRPr="0081596F">
              <w:rPr>
                <w:rFonts w:eastAsia="Calibri"/>
                <w:color w:val="000000"/>
                <w:sz w:val="20"/>
                <w:szCs w:val="20"/>
              </w:rPr>
              <w:t>9</w:t>
            </w:r>
          </w:p>
        </w:tc>
        <w:tc>
          <w:tcPr>
            <w:tcW w:w="961" w:type="dxa"/>
            <w:hideMark/>
          </w:tcPr>
          <w:p w14:paraId="0B4632F9" w14:textId="77777777" w:rsidR="0081596F" w:rsidRPr="0081596F" w:rsidRDefault="0081596F" w:rsidP="0081596F">
            <w:pPr>
              <w:jc w:val="center"/>
              <w:rPr>
                <w:rFonts w:eastAsia="Calibri"/>
                <w:sz w:val="20"/>
                <w:szCs w:val="20"/>
              </w:rPr>
            </w:pPr>
            <w:r w:rsidRPr="0081596F">
              <w:rPr>
                <w:rFonts w:eastAsia="Calibri"/>
                <w:color w:val="000000"/>
                <w:sz w:val="20"/>
                <w:szCs w:val="20"/>
              </w:rPr>
              <w:t>0.045</w:t>
            </w:r>
          </w:p>
        </w:tc>
        <w:tc>
          <w:tcPr>
            <w:tcW w:w="672" w:type="dxa"/>
            <w:hideMark/>
          </w:tcPr>
          <w:p w14:paraId="1F1E3820" w14:textId="77777777" w:rsidR="0081596F" w:rsidRPr="0081596F" w:rsidRDefault="0081596F" w:rsidP="0081596F">
            <w:pPr>
              <w:jc w:val="center"/>
              <w:rPr>
                <w:rFonts w:eastAsia="Calibri"/>
                <w:sz w:val="20"/>
                <w:szCs w:val="20"/>
              </w:rPr>
            </w:pPr>
            <w:r w:rsidRPr="0081596F">
              <w:rPr>
                <w:rFonts w:eastAsia="Calibri"/>
                <w:color w:val="000000"/>
                <w:sz w:val="20"/>
                <w:szCs w:val="20"/>
              </w:rPr>
              <w:t>15</w:t>
            </w:r>
          </w:p>
        </w:tc>
        <w:tc>
          <w:tcPr>
            <w:tcW w:w="739" w:type="dxa"/>
            <w:hideMark/>
          </w:tcPr>
          <w:p w14:paraId="655BE9E8" w14:textId="77777777" w:rsidR="0081596F" w:rsidRPr="0081596F" w:rsidRDefault="0081596F" w:rsidP="0081596F">
            <w:pPr>
              <w:jc w:val="center"/>
              <w:rPr>
                <w:rFonts w:eastAsia="Calibri"/>
                <w:sz w:val="20"/>
                <w:szCs w:val="20"/>
              </w:rPr>
            </w:pPr>
            <w:r w:rsidRPr="0081596F">
              <w:rPr>
                <w:rFonts w:eastAsia="Calibri"/>
                <w:color w:val="000000"/>
                <w:sz w:val="20"/>
                <w:szCs w:val="20"/>
              </w:rPr>
              <w:t>6</w:t>
            </w:r>
          </w:p>
        </w:tc>
        <w:tc>
          <w:tcPr>
            <w:tcW w:w="827" w:type="dxa"/>
          </w:tcPr>
          <w:p w14:paraId="122951A9" w14:textId="77777777" w:rsidR="0081596F" w:rsidRPr="0081596F" w:rsidRDefault="0081596F" w:rsidP="0081596F">
            <w:pPr>
              <w:rPr>
                <w:rFonts w:eastAsia="Calibri"/>
                <w:sz w:val="20"/>
                <w:szCs w:val="20"/>
              </w:rPr>
            </w:pPr>
          </w:p>
        </w:tc>
        <w:tc>
          <w:tcPr>
            <w:tcW w:w="1267" w:type="dxa"/>
          </w:tcPr>
          <w:p w14:paraId="562E74D8" w14:textId="77777777" w:rsidR="0081596F" w:rsidRPr="0081596F" w:rsidRDefault="0081596F" w:rsidP="0081596F">
            <w:pPr>
              <w:rPr>
                <w:rFonts w:eastAsia="Calibri"/>
                <w:sz w:val="20"/>
                <w:szCs w:val="20"/>
              </w:rPr>
            </w:pPr>
          </w:p>
        </w:tc>
        <w:tc>
          <w:tcPr>
            <w:tcW w:w="1267" w:type="dxa"/>
          </w:tcPr>
          <w:p w14:paraId="4F456200" w14:textId="77777777" w:rsidR="0081596F" w:rsidRPr="0081596F" w:rsidRDefault="0081596F" w:rsidP="0081596F">
            <w:pPr>
              <w:rPr>
                <w:rFonts w:eastAsia="Calibri"/>
                <w:sz w:val="20"/>
                <w:szCs w:val="20"/>
              </w:rPr>
            </w:pPr>
          </w:p>
        </w:tc>
      </w:tr>
      <w:tr w:rsidR="0081596F" w:rsidRPr="0081596F" w14:paraId="4CB11834" w14:textId="77777777" w:rsidTr="0081596F">
        <w:tc>
          <w:tcPr>
            <w:tcW w:w="1327" w:type="dxa"/>
            <w:hideMark/>
          </w:tcPr>
          <w:p w14:paraId="6F48C997" w14:textId="77777777" w:rsidR="0081596F" w:rsidRPr="0081596F" w:rsidRDefault="0081596F" w:rsidP="0081596F">
            <w:pPr>
              <w:rPr>
                <w:rFonts w:eastAsia="Calibri"/>
                <w:sz w:val="20"/>
                <w:szCs w:val="20"/>
              </w:rPr>
            </w:pPr>
            <w:r w:rsidRPr="0081596F">
              <w:rPr>
                <w:rFonts w:eastAsia="Calibri"/>
                <w:color w:val="000000"/>
                <w:sz w:val="20"/>
                <w:szCs w:val="20"/>
              </w:rPr>
              <w:t>Board Independence</w:t>
            </w:r>
          </w:p>
        </w:tc>
        <w:tc>
          <w:tcPr>
            <w:tcW w:w="1228" w:type="dxa"/>
            <w:hideMark/>
          </w:tcPr>
          <w:p w14:paraId="566A908D"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hideMark/>
          </w:tcPr>
          <w:p w14:paraId="5138643D" w14:textId="77777777" w:rsidR="0081596F" w:rsidRPr="0081596F" w:rsidRDefault="0081596F" w:rsidP="0081596F">
            <w:pPr>
              <w:jc w:val="center"/>
              <w:rPr>
                <w:rFonts w:eastAsia="Calibri"/>
                <w:sz w:val="20"/>
                <w:szCs w:val="20"/>
              </w:rPr>
            </w:pPr>
            <w:r w:rsidRPr="0081596F">
              <w:rPr>
                <w:rFonts w:eastAsia="Calibri"/>
                <w:color w:val="000000"/>
                <w:sz w:val="20"/>
                <w:szCs w:val="20"/>
              </w:rPr>
              <w:t>5.31</w:t>
            </w:r>
          </w:p>
        </w:tc>
        <w:tc>
          <w:tcPr>
            <w:tcW w:w="1094" w:type="dxa"/>
            <w:hideMark/>
          </w:tcPr>
          <w:p w14:paraId="7B6A4B07" w14:textId="77777777" w:rsidR="0081596F" w:rsidRPr="0081596F" w:rsidRDefault="0081596F" w:rsidP="0081596F">
            <w:pPr>
              <w:jc w:val="center"/>
              <w:rPr>
                <w:rFonts w:eastAsia="Calibri"/>
                <w:sz w:val="20"/>
                <w:szCs w:val="20"/>
              </w:rPr>
            </w:pPr>
            <w:r w:rsidRPr="0081596F">
              <w:rPr>
                <w:rFonts w:eastAsia="Calibri"/>
                <w:color w:val="000000"/>
                <w:sz w:val="20"/>
                <w:szCs w:val="20"/>
              </w:rPr>
              <w:t>5</w:t>
            </w:r>
          </w:p>
        </w:tc>
        <w:tc>
          <w:tcPr>
            <w:tcW w:w="961" w:type="dxa"/>
            <w:hideMark/>
          </w:tcPr>
          <w:p w14:paraId="37CD47B3" w14:textId="77777777" w:rsidR="0081596F" w:rsidRPr="0081596F" w:rsidRDefault="0081596F" w:rsidP="0081596F">
            <w:pPr>
              <w:jc w:val="center"/>
              <w:rPr>
                <w:rFonts w:eastAsia="Calibri"/>
                <w:sz w:val="20"/>
                <w:szCs w:val="20"/>
              </w:rPr>
            </w:pPr>
            <w:r w:rsidRPr="0081596F">
              <w:rPr>
                <w:rFonts w:eastAsia="Calibri"/>
                <w:color w:val="000000"/>
                <w:sz w:val="20"/>
                <w:szCs w:val="20"/>
              </w:rPr>
              <w:t>0.11</w:t>
            </w:r>
          </w:p>
        </w:tc>
        <w:tc>
          <w:tcPr>
            <w:tcW w:w="672" w:type="dxa"/>
            <w:hideMark/>
          </w:tcPr>
          <w:p w14:paraId="5944771E" w14:textId="77777777" w:rsidR="0081596F" w:rsidRPr="0081596F" w:rsidRDefault="0081596F" w:rsidP="0081596F">
            <w:pPr>
              <w:jc w:val="center"/>
              <w:rPr>
                <w:rFonts w:eastAsia="Calibri"/>
                <w:sz w:val="20"/>
                <w:szCs w:val="20"/>
              </w:rPr>
            </w:pPr>
            <w:r w:rsidRPr="0081596F">
              <w:rPr>
                <w:rFonts w:eastAsia="Calibri"/>
                <w:color w:val="000000"/>
                <w:sz w:val="20"/>
                <w:szCs w:val="20"/>
              </w:rPr>
              <w:t>24</w:t>
            </w:r>
          </w:p>
        </w:tc>
        <w:tc>
          <w:tcPr>
            <w:tcW w:w="739" w:type="dxa"/>
            <w:hideMark/>
          </w:tcPr>
          <w:p w14:paraId="329A929D" w14:textId="77777777" w:rsidR="0081596F" w:rsidRPr="0081596F" w:rsidRDefault="0081596F" w:rsidP="0081596F">
            <w:pPr>
              <w:jc w:val="center"/>
              <w:rPr>
                <w:rFonts w:eastAsia="Calibri"/>
                <w:sz w:val="20"/>
                <w:szCs w:val="20"/>
              </w:rPr>
            </w:pPr>
            <w:r w:rsidRPr="0081596F">
              <w:rPr>
                <w:rFonts w:eastAsia="Calibri"/>
                <w:color w:val="000000"/>
                <w:sz w:val="20"/>
                <w:szCs w:val="20"/>
              </w:rPr>
              <w:t>2</w:t>
            </w:r>
          </w:p>
        </w:tc>
        <w:tc>
          <w:tcPr>
            <w:tcW w:w="827" w:type="dxa"/>
          </w:tcPr>
          <w:p w14:paraId="6EF76D45" w14:textId="77777777" w:rsidR="0081596F" w:rsidRPr="0081596F" w:rsidRDefault="0081596F" w:rsidP="0081596F">
            <w:pPr>
              <w:rPr>
                <w:rFonts w:eastAsia="Calibri"/>
                <w:sz w:val="20"/>
                <w:szCs w:val="20"/>
              </w:rPr>
            </w:pPr>
          </w:p>
        </w:tc>
        <w:tc>
          <w:tcPr>
            <w:tcW w:w="1267" w:type="dxa"/>
          </w:tcPr>
          <w:p w14:paraId="2527E0E9" w14:textId="77777777" w:rsidR="0081596F" w:rsidRPr="0081596F" w:rsidRDefault="0081596F" w:rsidP="0081596F">
            <w:pPr>
              <w:rPr>
                <w:rFonts w:eastAsia="Calibri"/>
                <w:sz w:val="20"/>
                <w:szCs w:val="20"/>
              </w:rPr>
            </w:pPr>
          </w:p>
        </w:tc>
        <w:tc>
          <w:tcPr>
            <w:tcW w:w="1267" w:type="dxa"/>
          </w:tcPr>
          <w:p w14:paraId="05EC1367" w14:textId="77777777" w:rsidR="0081596F" w:rsidRPr="0081596F" w:rsidRDefault="0081596F" w:rsidP="0081596F">
            <w:pPr>
              <w:rPr>
                <w:rFonts w:eastAsia="Calibri"/>
                <w:sz w:val="20"/>
                <w:szCs w:val="20"/>
              </w:rPr>
            </w:pPr>
          </w:p>
        </w:tc>
      </w:tr>
      <w:tr w:rsidR="0081596F" w:rsidRPr="0081596F" w14:paraId="0A2E2C90" w14:textId="77777777" w:rsidTr="0081596F">
        <w:tc>
          <w:tcPr>
            <w:tcW w:w="1327" w:type="dxa"/>
            <w:hideMark/>
          </w:tcPr>
          <w:p w14:paraId="40FA6F2A" w14:textId="77777777" w:rsidR="0081596F" w:rsidRPr="0081596F" w:rsidRDefault="0081596F" w:rsidP="0081596F">
            <w:pPr>
              <w:rPr>
                <w:rFonts w:eastAsia="Calibri"/>
                <w:sz w:val="20"/>
                <w:szCs w:val="20"/>
              </w:rPr>
            </w:pPr>
            <w:r w:rsidRPr="0081596F">
              <w:rPr>
                <w:rFonts w:eastAsia="Calibri"/>
                <w:color w:val="000000"/>
                <w:sz w:val="20"/>
                <w:szCs w:val="20"/>
              </w:rPr>
              <w:t>Tobin's Q</w:t>
            </w:r>
          </w:p>
        </w:tc>
        <w:tc>
          <w:tcPr>
            <w:tcW w:w="1228" w:type="dxa"/>
            <w:hideMark/>
          </w:tcPr>
          <w:p w14:paraId="628763CA"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hideMark/>
          </w:tcPr>
          <w:p w14:paraId="7F0C2BCC" w14:textId="77777777" w:rsidR="0081596F" w:rsidRPr="0081596F" w:rsidRDefault="0081596F" w:rsidP="0081596F">
            <w:pPr>
              <w:jc w:val="center"/>
              <w:rPr>
                <w:rFonts w:eastAsia="Calibri"/>
                <w:sz w:val="20"/>
                <w:szCs w:val="20"/>
              </w:rPr>
            </w:pPr>
            <w:r w:rsidRPr="0081596F">
              <w:rPr>
                <w:rFonts w:eastAsia="Calibri"/>
                <w:color w:val="000000"/>
                <w:sz w:val="20"/>
                <w:szCs w:val="20"/>
              </w:rPr>
              <w:t>0.65</w:t>
            </w:r>
          </w:p>
        </w:tc>
        <w:tc>
          <w:tcPr>
            <w:tcW w:w="1094" w:type="dxa"/>
            <w:hideMark/>
          </w:tcPr>
          <w:p w14:paraId="10F93523" w14:textId="77777777" w:rsidR="0081596F" w:rsidRPr="0081596F" w:rsidRDefault="0081596F" w:rsidP="0081596F">
            <w:pPr>
              <w:jc w:val="center"/>
              <w:rPr>
                <w:rFonts w:eastAsia="Calibri"/>
                <w:sz w:val="20"/>
                <w:szCs w:val="20"/>
              </w:rPr>
            </w:pPr>
            <w:r w:rsidRPr="0081596F">
              <w:rPr>
                <w:rFonts w:eastAsia="Calibri"/>
                <w:color w:val="000000"/>
                <w:sz w:val="20"/>
                <w:szCs w:val="20"/>
              </w:rPr>
              <w:t>0.68</w:t>
            </w:r>
          </w:p>
        </w:tc>
        <w:tc>
          <w:tcPr>
            <w:tcW w:w="961" w:type="dxa"/>
            <w:hideMark/>
          </w:tcPr>
          <w:p w14:paraId="4378354A" w14:textId="77777777" w:rsidR="0081596F" w:rsidRPr="0081596F" w:rsidRDefault="0081596F" w:rsidP="0081596F">
            <w:pPr>
              <w:jc w:val="center"/>
              <w:rPr>
                <w:rFonts w:eastAsia="Calibri"/>
                <w:sz w:val="20"/>
                <w:szCs w:val="20"/>
              </w:rPr>
            </w:pPr>
            <w:r w:rsidRPr="0081596F">
              <w:rPr>
                <w:rFonts w:eastAsia="Calibri"/>
                <w:color w:val="000000"/>
                <w:sz w:val="20"/>
                <w:szCs w:val="20"/>
              </w:rPr>
              <w:t>0.07</w:t>
            </w:r>
          </w:p>
        </w:tc>
        <w:tc>
          <w:tcPr>
            <w:tcW w:w="672" w:type="dxa"/>
            <w:hideMark/>
          </w:tcPr>
          <w:p w14:paraId="75A12CD9" w14:textId="77777777" w:rsidR="0081596F" w:rsidRPr="0081596F" w:rsidRDefault="0081596F" w:rsidP="0081596F">
            <w:pPr>
              <w:jc w:val="center"/>
              <w:rPr>
                <w:rFonts w:eastAsia="Calibri"/>
                <w:sz w:val="20"/>
                <w:szCs w:val="20"/>
              </w:rPr>
            </w:pPr>
            <w:r w:rsidRPr="0081596F">
              <w:rPr>
                <w:rFonts w:eastAsia="Calibri"/>
                <w:color w:val="000000"/>
                <w:sz w:val="20"/>
                <w:szCs w:val="20"/>
              </w:rPr>
              <w:t>0.87</w:t>
            </w:r>
          </w:p>
        </w:tc>
        <w:tc>
          <w:tcPr>
            <w:tcW w:w="739" w:type="dxa"/>
            <w:hideMark/>
          </w:tcPr>
          <w:p w14:paraId="43428049" w14:textId="77777777" w:rsidR="0081596F" w:rsidRPr="0081596F" w:rsidRDefault="0081596F" w:rsidP="0081596F">
            <w:pPr>
              <w:jc w:val="center"/>
              <w:rPr>
                <w:rFonts w:eastAsia="Calibri"/>
                <w:sz w:val="20"/>
                <w:szCs w:val="20"/>
              </w:rPr>
            </w:pPr>
            <w:r w:rsidRPr="0081596F">
              <w:rPr>
                <w:rFonts w:eastAsia="Calibri"/>
                <w:color w:val="000000"/>
                <w:sz w:val="20"/>
                <w:szCs w:val="20"/>
              </w:rPr>
              <w:t>0.21</w:t>
            </w:r>
          </w:p>
        </w:tc>
        <w:tc>
          <w:tcPr>
            <w:tcW w:w="827" w:type="dxa"/>
          </w:tcPr>
          <w:p w14:paraId="6940494F" w14:textId="77777777" w:rsidR="0081596F" w:rsidRPr="0081596F" w:rsidRDefault="0081596F" w:rsidP="0081596F">
            <w:pPr>
              <w:rPr>
                <w:rFonts w:eastAsia="Calibri"/>
                <w:sz w:val="20"/>
                <w:szCs w:val="20"/>
              </w:rPr>
            </w:pPr>
          </w:p>
        </w:tc>
        <w:tc>
          <w:tcPr>
            <w:tcW w:w="1267" w:type="dxa"/>
          </w:tcPr>
          <w:p w14:paraId="62493EE7" w14:textId="77777777" w:rsidR="0081596F" w:rsidRPr="0081596F" w:rsidRDefault="0081596F" w:rsidP="0081596F">
            <w:pPr>
              <w:rPr>
                <w:rFonts w:eastAsia="Calibri"/>
                <w:sz w:val="20"/>
                <w:szCs w:val="20"/>
              </w:rPr>
            </w:pPr>
          </w:p>
        </w:tc>
        <w:tc>
          <w:tcPr>
            <w:tcW w:w="1267" w:type="dxa"/>
          </w:tcPr>
          <w:p w14:paraId="2EFF10A4" w14:textId="77777777" w:rsidR="0081596F" w:rsidRPr="0081596F" w:rsidRDefault="0081596F" w:rsidP="0081596F">
            <w:pPr>
              <w:rPr>
                <w:rFonts w:eastAsia="Calibri"/>
                <w:sz w:val="20"/>
                <w:szCs w:val="20"/>
              </w:rPr>
            </w:pPr>
          </w:p>
        </w:tc>
      </w:tr>
      <w:tr w:rsidR="0081596F" w:rsidRPr="0081596F" w14:paraId="059AE95B" w14:textId="77777777" w:rsidTr="0081596F">
        <w:tc>
          <w:tcPr>
            <w:tcW w:w="1327" w:type="dxa"/>
            <w:tcBorders>
              <w:top w:val="nil"/>
              <w:left w:val="nil"/>
              <w:bottom w:val="single" w:sz="4" w:space="0" w:color="auto"/>
              <w:right w:val="nil"/>
            </w:tcBorders>
            <w:hideMark/>
          </w:tcPr>
          <w:p w14:paraId="287040A5" w14:textId="77777777" w:rsidR="0081596F" w:rsidRPr="0081596F" w:rsidRDefault="0081596F" w:rsidP="0081596F">
            <w:pPr>
              <w:rPr>
                <w:rFonts w:eastAsia="Calibri"/>
                <w:sz w:val="20"/>
                <w:szCs w:val="20"/>
              </w:rPr>
            </w:pPr>
            <w:r w:rsidRPr="0081596F">
              <w:rPr>
                <w:rFonts w:eastAsia="Calibri"/>
                <w:color w:val="000000"/>
                <w:sz w:val="20"/>
                <w:szCs w:val="20"/>
              </w:rPr>
              <w:t>Leverage</w:t>
            </w:r>
          </w:p>
        </w:tc>
        <w:tc>
          <w:tcPr>
            <w:tcW w:w="1228" w:type="dxa"/>
            <w:tcBorders>
              <w:top w:val="nil"/>
              <w:left w:val="nil"/>
              <w:bottom w:val="single" w:sz="4" w:space="0" w:color="auto"/>
              <w:right w:val="nil"/>
            </w:tcBorders>
            <w:hideMark/>
          </w:tcPr>
          <w:p w14:paraId="756CB37C" w14:textId="77777777" w:rsidR="0081596F" w:rsidRPr="0081596F" w:rsidRDefault="0081596F" w:rsidP="0081596F">
            <w:pPr>
              <w:jc w:val="center"/>
              <w:rPr>
                <w:rFonts w:eastAsia="Calibri"/>
                <w:sz w:val="20"/>
                <w:szCs w:val="20"/>
              </w:rPr>
            </w:pPr>
            <w:r w:rsidRPr="0081596F">
              <w:rPr>
                <w:rFonts w:eastAsia="Calibri"/>
                <w:color w:val="000000"/>
                <w:sz w:val="20"/>
                <w:szCs w:val="20"/>
              </w:rPr>
              <w:t>754</w:t>
            </w:r>
          </w:p>
        </w:tc>
        <w:tc>
          <w:tcPr>
            <w:tcW w:w="1094" w:type="dxa"/>
            <w:tcBorders>
              <w:top w:val="nil"/>
              <w:left w:val="nil"/>
              <w:bottom w:val="single" w:sz="4" w:space="0" w:color="auto"/>
              <w:right w:val="nil"/>
            </w:tcBorders>
            <w:hideMark/>
          </w:tcPr>
          <w:p w14:paraId="662E8911" w14:textId="77777777" w:rsidR="0081596F" w:rsidRPr="0081596F" w:rsidRDefault="0081596F" w:rsidP="0081596F">
            <w:pPr>
              <w:jc w:val="center"/>
              <w:rPr>
                <w:rFonts w:eastAsia="Calibri"/>
                <w:sz w:val="20"/>
                <w:szCs w:val="20"/>
              </w:rPr>
            </w:pPr>
            <w:r w:rsidRPr="0081596F">
              <w:rPr>
                <w:rFonts w:eastAsia="Calibri"/>
                <w:color w:val="000000"/>
                <w:sz w:val="20"/>
                <w:szCs w:val="20"/>
              </w:rPr>
              <w:t>22.1</w:t>
            </w:r>
          </w:p>
        </w:tc>
        <w:tc>
          <w:tcPr>
            <w:tcW w:w="1094" w:type="dxa"/>
            <w:tcBorders>
              <w:top w:val="nil"/>
              <w:left w:val="nil"/>
              <w:bottom w:val="single" w:sz="4" w:space="0" w:color="auto"/>
              <w:right w:val="nil"/>
            </w:tcBorders>
            <w:hideMark/>
          </w:tcPr>
          <w:p w14:paraId="224D361B" w14:textId="77777777" w:rsidR="0081596F" w:rsidRPr="0081596F" w:rsidRDefault="0081596F" w:rsidP="0081596F">
            <w:pPr>
              <w:jc w:val="center"/>
              <w:rPr>
                <w:rFonts w:eastAsia="Calibri"/>
                <w:sz w:val="20"/>
                <w:szCs w:val="20"/>
              </w:rPr>
            </w:pPr>
            <w:r w:rsidRPr="0081596F">
              <w:rPr>
                <w:rFonts w:eastAsia="Calibri"/>
                <w:color w:val="000000"/>
                <w:sz w:val="20"/>
                <w:szCs w:val="20"/>
              </w:rPr>
              <w:t>35.3</w:t>
            </w:r>
          </w:p>
        </w:tc>
        <w:tc>
          <w:tcPr>
            <w:tcW w:w="961" w:type="dxa"/>
            <w:tcBorders>
              <w:top w:val="nil"/>
              <w:left w:val="nil"/>
              <w:bottom w:val="single" w:sz="4" w:space="0" w:color="auto"/>
              <w:right w:val="nil"/>
            </w:tcBorders>
            <w:hideMark/>
          </w:tcPr>
          <w:p w14:paraId="072176FD" w14:textId="77777777" w:rsidR="0081596F" w:rsidRPr="0081596F" w:rsidRDefault="0081596F" w:rsidP="0081596F">
            <w:pPr>
              <w:jc w:val="center"/>
              <w:rPr>
                <w:rFonts w:eastAsia="Calibri"/>
                <w:sz w:val="20"/>
                <w:szCs w:val="20"/>
              </w:rPr>
            </w:pPr>
            <w:r w:rsidRPr="0081596F">
              <w:rPr>
                <w:rFonts w:eastAsia="Calibri"/>
                <w:color w:val="000000"/>
                <w:sz w:val="20"/>
                <w:szCs w:val="20"/>
              </w:rPr>
              <w:t>0.3</w:t>
            </w:r>
          </w:p>
        </w:tc>
        <w:tc>
          <w:tcPr>
            <w:tcW w:w="672" w:type="dxa"/>
            <w:tcBorders>
              <w:top w:val="nil"/>
              <w:left w:val="nil"/>
              <w:bottom w:val="single" w:sz="4" w:space="0" w:color="auto"/>
              <w:right w:val="nil"/>
            </w:tcBorders>
            <w:hideMark/>
          </w:tcPr>
          <w:p w14:paraId="29DE7ED6" w14:textId="77777777" w:rsidR="0081596F" w:rsidRPr="0081596F" w:rsidRDefault="0081596F" w:rsidP="0081596F">
            <w:pPr>
              <w:jc w:val="center"/>
              <w:rPr>
                <w:rFonts w:eastAsia="Calibri"/>
                <w:sz w:val="20"/>
                <w:szCs w:val="20"/>
              </w:rPr>
            </w:pPr>
            <w:r w:rsidRPr="0081596F">
              <w:rPr>
                <w:rFonts w:eastAsia="Calibri"/>
                <w:color w:val="000000"/>
                <w:sz w:val="20"/>
                <w:szCs w:val="20"/>
              </w:rPr>
              <w:t>83.7</w:t>
            </w:r>
          </w:p>
        </w:tc>
        <w:tc>
          <w:tcPr>
            <w:tcW w:w="739" w:type="dxa"/>
            <w:tcBorders>
              <w:top w:val="nil"/>
              <w:left w:val="nil"/>
              <w:bottom w:val="single" w:sz="4" w:space="0" w:color="auto"/>
              <w:right w:val="nil"/>
            </w:tcBorders>
            <w:hideMark/>
          </w:tcPr>
          <w:p w14:paraId="57B490B0" w14:textId="77777777" w:rsidR="0081596F" w:rsidRPr="0081596F" w:rsidRDefault="0081596F" w:rsidP="0081596F">
            <w:pPr>
              <w:jc w:val="center"/>
              <w:rPr>
                <w:rFonts w:eastAsia="Calibri"/>
                <w:sz w:val="20"/>
                <w:szCs w:val="20"/>
              </w:rPr>
            </w:pPr>
            <w:r w:rsidRPr="0081596F">
              <w:rPr>
                <w:rFonts w:eastAsia="Calibri"/>
                <w:color w:val="000000"/>
                <w:sz w:val="20"/>
                <w:szCs w:val="20"/>
              </w:rPr>
              <w:t>0</w:t>
            </w:r>
          </w:p>
        </w:tc>
        <w:tc>
          <w:tcPr>
            <w:tcW w:w="827" w:type="dxa"/>
            <w:tcBorders>
              <w:top w:val="nil"/>
              <w:left w:val="nil"/>
              <w:bottom w:val="single" w:sz="4" w:space="0" w:color="auto"/>
              <w:right w:val="nil"/>
            </w:tcBorders>
          </w:tcPr>
          <w:p w14:paraId="451F8B93" w14:textId="77777777" w:rsidR="0081596F" w:rsidRPr="0081596F" w:rsidRDefault="0081596F" w:rsidP="0081596F">
            <w:pPr>
              <w:rPr>
                <w:rFonts w:eastAsia="Calibri"/>
                <w:sz w:val="20"/>
                <w:szCs w:val="20"/>
              </w:rPr>
            </w:pPr>
          </w:p>
        </w:tc>
        <w:tc>
          <w:tcPr>
            <w:tcW w:w="1267" w:type="dxa"/>
            <w:tcBorders>
              <w:top w:val="nil"/>
              <w:left w:val="nil"/>
              <w:bottom w:val="single" w:sz="4" w:space="0" w:color="auto"/>
              <w:right w:val="nil"/>
            </w:tcBorders>
          </w:tcPr>
          <w:p w14:paraId="663A65DC" w14:textId="77777777" w:rsidR="0081596F" w:rsidRPr="0081596F" w:rsidRDefault="0081596F" w:rsidP="0081596F">
            <w:pPr>
              <w:rPr>
                <w:rFonts w:eastAsia="Calibri"/>
                <w:sz w:val="20"/>
                <w:szCs w:val="20"/>
              </w:rPr>
            </w:pPr>
          </w:p>
        </w:tc>
        <w:tc>
          <w:tcPr>
            <w:tcW w:w="1267" w:type="dxa"/>
            <w:tcBorders>
              <w:top w:val="nil"/>
              <w:left w:val="nil"/>
              <w:bottom w:val="single" w:sz="4" w:space="0" w:color="auto"/>
              <w:right w:val="nil"/>
            </w:tcBorders>
          </w:tcPr>
          <w:p w14:paraId="6962927E" w14:textId="77777777" w:rsidR="0081596F" w:rsidRPr="0081596F" w:rsidRDefault="0081596F" w:rsidP="0081596F">
            <w:pPr>
              <w:rPr>
                <w:rFonts w:eastAsia="Calibri"/>
                <w:sz w:val="20"/>
                <w:szCs w:val="20"/>
              </w:rPr>
            </w:pPr>
          </w:p>
        </w:tc>
      </w:tr>
    </w:tbl>
    <w:p w14:paraId="22F70C05" w14:textId="77777777" w:rsidR="0081596F" w:rsidRPr="0081596F" w:rsidRDefault="0081596F" w:rsidP="0081596F">
      <w:pPr>
        <w:ind w:right="-194"/>
        <w:jc w:val="both"/>
        <w:rPr>
          <w:sz w:val="20"/>
          <w:szCs w:val="20"/>
        </w:rPr>
      </w:pPr>
      <w:r w:rsidRPr="0081596F">
        <w:rPr>
          <w:sz w:val="20"/>
          <w:szCs w:val="20"/>
        </w:rPr>
        <w:t xml:space="preserve"> Notes: Panel A of the table shows the distribution of deals in terms of private and public deals and between single  </w:t>
      </w:r>
    </w:p>
    <w:p w14:paraId="7A94EBFD" w14:textId="77777777" w:rsidR="0081596F" w:rsidRPr="0081596F" w:rsidRDefault="0081596F" w:rsidP="0081596F">
      <w:pPr>
        <w:jc w:val="both"/>
        <w:rPr>
          <w:sz w:val="20"/>
          <w:szCs w:val="20"/>
        </w:rPr>
      </w:pPr>
      <w:r w:rsidRPr="0081596F">
        <w:rPr>
          <w:sz w:val="20"/>
          <w:szCs w:val="20"/>
        </w:rPr>
        <w:t xml:space="preserve"> and multiple deals. Panel B shows the summary statistics of other independent and control variables.</w:t>
      </w:r>
    </w:p>
    <w:p w14:paraId="3E2E3063" w14:textId="77777777" w:rsidR="0081596F" w:rsidRPr="0081596F" w:rsidRDefault="0081596F" w:rsidP="0081596F"/>
    <w:p w14:paraId="0D0319F7" w14:textId="77777777" w:rsidR="0081596F" w:rsidRPr="0081596F" w:rsidRDefault="0081596F" w:rsidP="0081596F"/>
    <w:p w14:paraId="4B07BD98" w14:textId="77777777" w:rsidR="0081596F" w:rsidRPr="0081596F" w:rsidRDefault="0081596F" w:rsidP="0081596F">
      <w:pPr>
        <w:jc w:val="center"/>
      </w:pPr>
    </w:p>
    <w:p w14:paraId="03015826" w14:textId="77777777" w:rsidR="0081596F" w:rsidRPr="0081596F" w:rsidRDefault="0081596F" w:rsidP="0081596F">
      <w:pPr>
        <w:jc w:val="center"/>
      </w:pPr>
    </w:p>
    <w:p w14:paraId="659F5ACE" w14:textId="77777777" w:rsidR="0081596F" w:rsidRPr="0081596F" w:rsidRDefault="0081596F" w:rsidP="0081596F">
      <w:pPr>
        <w:jc w:val="center"/>
      </w:pPr>
    </w:p>
    <w:p w14:paraId="2D6B891A" w14:textId="77777777" w:rsidR="0081596F" w:rsidRPr="0081596F" w:rsidRDefault="0081596F" w:rsidP="0081596F">
      <w:pPr>
        <w:jc w:val="center"/>
      </w:pPr>
    </w:p>
    <w:p w14:paraId="11776305" w14:textId="77777777" w:rsidR="0081596F" w:rsidRPr="0081596F" w:rsidRDefault="0081596F" w:rsidP="0081596F">
      <w:pPr>
        <w:sectPr w:rsidR="0081596F" w:rsidRPr="0081596F">
          <w:pgSz w:w="16840" w:h="11900" w:orient="landscape"/>
          <w:pgMar w:top="1440" w:right="1440" w:bottom="1440" w:left="1440" w:header="720" w:footer="720" w:gutter="0"/>
          <w:cols w:space="720"/>
        </w:sectPr>
      </w:pPr>
    </w:p>
    <w:p w14:paraId="2C1E6F9D" w14:textId="77777777" w:rsidR="0081596F" w:rsidRPr="0081596F" w:rsidRDefault="0081596F" w:rsidP="0081596F">
      <w:r w:rsidRPr="0081596F">
        <w:lastRenderedPageBreak/>
        <w:t>Table 2 M&amp;A deals by Year</w:t>
      </w:r>
    </w:p>
    <w:tbl>
      <w:tblPr>
        <w:tblStyle w:val="TableGrid2"/>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217"/>
        <w:gridCol w:w="299"/>
        <w:gridCol w:w="731"/>
        <w:gridCol w:w="416"/>
        <w:gridCol w:w="683"/>
        <w:gridCol w:w="428"/>
        <w:gridCol w:w="683"/>
        <w:gridCol w:w="494"/>
        <w:gridCol w:w="683"/>
        <w:gridCol w:w="516"/>
        <w:gridCol w:w="683"/>
        <w:gridCol w:w="516"/>
        <w:gridCol w:w="683"/>
        <w:gridCol w:w="516"/>
        <w:gridCol w:w="683"/>
        <w:gridCol w:w="428"/>
        <w:gridCol w:w="683"/>
        <w:gridCol w:w="516"/>
        <w:gridCol w:w="683"/>
        <w:gridCol w:w="516"/>
        <w:gridCol w:w="683"/>
        <w:gridCol w:w="516"/>
        <w:gridCol w:w="663"/>
        <w:gridCol w:w="38"/>
      </w:tblGrid>
      <w:tr w:rsidR="0081596F" w:rsidRPr="0081596F" w14:paraId="69E9FEF1" w14:textId="77777777" w:rsidTr="0081596F">
        <w:trPr>
          <w:gridAfter w:val="1"/>
          <w:wAfter w:w="74" w:type="dxa"/>
        </w:trPr>
        <w:tc>
          <w:tcPr>
            <w:tcW w:w="1294" w:type="dxa"/>
            <w:gridSpan w:val="2"/>
            <w:tcBorders>
              <w:top w:val="single" w:sz="4" w:space="0" w:color="auto"/>
              <w:left w:val="nil"/>
              <w:bottom w:val="single" w:sz="4" w:space="0" w:color="auto"/>
              <w:right w:val="nil"/>
            </w:tcBorders>
            <w:hideMark/>
          </w:tcPr>
          <w:p w14:paraId="26ACA7BD" w14:textId="77777777" w:rsidR="0081596F" w:rsidRPr="0081596F" w:rsidRDefault="0081596F" w:rsidP="0081596F">
            <w:pPr>
              <w:rPr>
                <w:sz w:val="20"/>
                <w:szCs w:val="20"/>
              </w:rPr>
            </w:pPr>
            <w:r w:rsidRPr="0081596F">
              <w:rPr>
                <w:color w:val="000000"/>
                <w:sz w:val="20"/>
                <w:szCs w:val="20"/>
              </w:rPr>
              <w:t>Year of completion</w:t>
            </w:r>
          </w:p>
        </w:tc>
        <w:tc>
          <w:tcPr>
            <w:tcW w:w="1069" w:type="dxa"/>
            <w:gridSpan w:val="2"/>
            <w:tcBorders>
              <w:top w:val="single" w:sz="4" w:space="0" w:color="auto"/>
              <w:left w:val="nil"/>
              <w:bottom w:val="single" w:sz="4" w:space="0" w:color="auto"/>
              <w:right w:val="nil"/>
            </w:tcBorders>
            <w:hideMark/>
          </w:tcPr>
          <w:p w14:paraId="48ABBEFF" w14:textId="77777777" w:rsidR="0081596F" w:rsidRPr="0081596F" w:rsidRDefault="0081596F" w:rsidP="0081596F">
            <w:pPr>
              <w:jc w:val="center"/>
              <w:rPr>
                <w:sz w:val="20"/>
                <w:szCs w:val="20"/>
              </w:rPr>
            </w:pPr>
            <w:r w:rsidRPr="0081596F">
              <w:rPr>
                <w:color w:val="000000"/>
                <w:sz w:val="20"/>
                <w:szCs w:val="20"/>
              </w:rPr>
              <w:t>No. of acquirers</w:t>
            </w:r>
          </w:p>
        </w:tc>
        <w:tc>
          <w:tcPr>
            <w:tcW w:w="5062" w:type="dxa"/>
            <w:gridSpan w:val="9"/>
            <w:tcBorders>
              <w:top w:val="single" w:sz="4" w:space="0" w:color="auto"/>
              <w:left w:val="nil"/>
              <w:bottom w:val="single" w:sz="4" w:space="0" w:color="auto"/>
              <w:right w:val="nil"/>
            </w:tcBorders>
            <w:hideMark/>
          </w:tcPr>
          <w:p w14:paraId="7FCB2575" w14:textId="77777777" w:rsidR="0081596F" w:rsidRPr="0081596F" w:rsidRDefault="0081596F" w:rsidP="0081596F">
            <w:pPr>
              <w:jc w:val="center"/>
              <w:rPr>
                <w:sz w:val="20"/>
                <w:szCs w:val="20"/>
              </w:rPr>
            </w:pPr>
            <w:r w:rsidRPr="0081596F">
              <w:rPr>
                <w:color w:val="000000"/>
                <w:sz w:val="20"/>
                <w:szCs w:val="20"/>
              </w:rPr>
              <w:t>Single (S)</w:t>
            </w:r>
          </w:p>
        </w:tc>
        <w:tc>
          <w:tcPr>
            <w:tcW w:w="6535" w:type="dxa"/>
            <w:gridSpan w:val="11"/>
            <w:tcBorders>
              <w:top w:val="single" w:sz="4" w:space="0" w:color="auto"/>
              <w:left w:val="nil"/>
              <w:bottom w:val="single" w:sz="4" w:space="0" w:color="auto"/>
              <w:right w:val="nil"/>
            </w:tcBorders>
            <w:hideMark/>
          </w:tcPr>
          <w:p w14:paraId="2F68FE21" w14:textId="77777777" w:rsidR="0081596F" w:rsidRPr="0081596F" w:rsidRDefault="0081596F" w:rsidP="0081596F">
            <w:pPr>
              <w:jc w:val="center"/>
              <w:rPr>
                <w:sz w:val="20"/>
                <w:szCs w:val="20"/>
              </w:rPr>
            </w:pPr>
            <w:r w:rsidRPr="0081596F">
              <w:rPr>
                <w:color w:val="000000"/>
                <w:sz w:val="20"/>
                <w:szCs w:val="20"/>
              </w:rPr>
              <w:t>Multiple (M)</w:t>
            </w:r>
          </w:p>
        </w:tc>
      </w:tr>
      <w:tr w:rsidR="0081596F" w:rsidRPr="0081596F" w14:paraId="6FBE5982" w14:textId="77777777" w:rsidTr="0081596F">
        <w:trPr>
          <w:gridAfter w:val="1"/>
          <w:wAfter w:w="74" w:type="dxa"/>
        </w:trPr>
        <w:tc>
          <w:tcPr>
            <w:tcW w:w="1077" w:type="dxa"/>
            <w:tcBorders>
              <w:top w:val="single" w:sz="4" w:space="0" w:color="auto"/>
              <w:left w:val="nil"/>
              <w:bottom w:val="nil"/>
              <w:right w:val="nil"/>
            </w:tcBorders>
          </w:tcPr>
          <w:p w14:paraId="50E66447" w14:textId="77777777" w:rsidR="0081596F" w:rsidRPr="0081596F" w:rsidRDefault="0081596F" w:rsidP="0081596F">
            <w:pPr>
              <w:spacing w:before="100" w:beforeAutospacing="1" w:after="100" w:afterAutospacing="1"/>
              <w:rPr>
                <w:sz w:val="20"/>
                <w:szCs w:val="20"/>
              </w:rPr>
            </w:pPr>
          </w:p>
        </w:tc>
        <w:tc>
          <w:tcPr>
            <w:tcW w:w="517" w:type="dxa"/>
            <w:gridSpan w:val="2"/>
            <w:tcBorders>
              <w:top w:val="single" w:sz="4" w:space="0" w:color="auto"/>
              <w:left w:val="nil"/>
              <w:bottom w:val="nil"/>
              <w:right w:val="nil"/>
            </w:tcBorders>
            <w:hideMark/>
          </w:tcPr>
          <w:p w14:paraId="31A1D3E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S</w:t>
            </w:r>
          </w:p>
        </w:tc>
        <w:tc>
          <w:tcPr>
            <w:tcW w:w="769" w:type="dxa"/>
            <w:tcBorders>
              <w:top w:val="single" w:sz="4" w:space="0" w:color="auto"/>
              <w:left w:val="nil"/>
              <w:bottom w:val="nil"/>
              <w:right w:val="nil"/>
            </w:tcBorders>
            <w:hideMark/>
          </w:tcPr>
          <w:p w14:paraId="284A41A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M</w:t>
            </w:r>
          </w:p>
        </w:tc>
        <w:tc>
          <w:tcPr>
            <w:tcW w:w="414" w:type="dxa"/>
            <w:tcBorders>
              <w:top w:val="single" w:sz="4" w:space="0" w:color="auto"/>
              <w:left w:val="nil"/>
              <w:bottom w:val="nil"/>
              <w:right w:val="nil"/>
            </w:tcBorders>
            <w:hideMark/>
          </w:tcPr>
          <w:p w14:paraId="43C527C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C</w:t>
            </w:r>
          </w:p>
        </w:tc>
        <w:tc>
          <w:tcPr>
            <w:tcW w:w="677" w:type="dxa"/>
            <w:tcBorders>
              <w:top w:val="single" w:sz="4" w:space="0" w:color="auto"/>
              <w:left w:val="nil"/>
              <w:bottom w:val="nil"/>
              <w:right w:val="nil"/>
            </w:tcBorders>
          </w:tcPr>
          <w:p w14:paraId="7D9449D8" w14:textId="77777777" w:rsidR="0081596F" w:rsidRPr="0081596F" w:rsidRDefault="0081596F" w:rsidP="0081596F">
            <w:pPr>
              <w:spacing w:before="100" w:beforeAutospacing="1" w:after="100" w:afterAutospacing="1"/>
              <w:jc w:val="center"/>
              <w:rPr>
                <w:sz w:val="20"/>
                <w:szCs w:val="20"/>
              </w:rPr>
            </w:pPr>
          </w:p>
        </w:tc>
        <w:tc>
          <w:tcPr>
            <w:tcW w:w="425" w:type="dxa"/>
            <w:tcBorders>
              <w:top w:val="single" w:sz="4" w:space="0" w:color="auto"/>
              <w:left w:val="nil"/>
              <w:bottom w:val="nil"/>
              <w:right w:val="nil"/>
            </w:tcBorders>
            <w:hideMark/>
          </w:tcPr>
          <w:p w14:paraId="3CE1DF07" w14:textId="77777777" w:rsidR="0081596F" w:rsidRPr="0081596F" w:rsidRDefault="0081596F" w:rsidP="0081596F">
            <w:pPr>
              <w:spacing w:before="100" w:beforeAutospacing="1" w:after="100" w:afterAutospacing="1"/>
              <w:jc w:val="center"/>
              <w:rPr>
                <w:sz w:val="20"/>
                <w:szCs w:val="20"/>
              </w:rPr>
            </w:pPr>
            <w:proofErr w:type="spellStart"/>
            <w:r w:rsidRPr="0081596F">
              <w:rPr>
                <w:color w:val="000000"/>
                <w:sz w:val="20"/>
                <w:szCs w:val="20"/>
              </w:rPr>
              <w:t>Sk</w:t>
            </w:r>
            <w:proofErr w:type="spellEnd"/>
          </w:p>
        </w:tc>
        <w:tc>
          <w:tcPr>
            <w:tcW w:w="677" w:type="dxa"/>
            <w:tcBorders>
              <w:top w:val="single" w:sz="4" w:space="0" w:color="auto"/>
              <w:left w:val="nil"/>
              <w:bottom w:val="nil"/>
              <w:right w:val="nil"/>
            </w:tcBorders>
          </w:tcPr>
          <w:p w14:paraId="4035D740" w14:textId="77777777" w:rsidR="0081596F" w:rsidRPr="0081596F" w:rsidRDefault="0081596F" w:rsidP="0081596F">
            <w:pPr>
              <w:spacing w:before="100" w:beforeAutospacing="1" w:after="100" w:afterAutospacing="1"/>
              <w:jc w:val="center"/>
              <w:rPr>
                <w:sz w:val="20"/>
                <w:szCs w:val="20"/>
              </w:rPr>
            </w:pPr>
          </w:p>
        </w:tc>
        <w:tc>
          <w:tcPr>
            <w:tcW w:w="491" w:type="dxa"/>
            <w:tcBorders>
              <w:top w:val="single" w:sz="4" w:space="0" w:color="auto"/>
              <w:left w:val="nil"/>
              <w:bottom w:val="nil"/>
              <w:right w:val="nil"/>
            </w:tcBorders>
            <w:hideMark/>
          </w:tcPr>
          <w:p w14:paraId="6C8F859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Mx</w:t>
            </w:r>
          </w:p>
        </w:tc>
        <w:tc>
          <w:tcPr>
            <w:tcW w:w="677" w:type="dxa"/>
            <w:tcBorders>
              <w:top w:val="single" w:sz="4" w:space="0" w:color="auto"/>
              <w:left w:val="nil"/>
              <w:bottom w:val="nil"/>
              <w:right w:val="nil"/>
            </w:tcBorders>
          </w:tcPr>
          <w:p w14:paraId="59040B47"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0B31898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R</w:t>
            </w:r>
          </w:p>
        </w:tc>
        <w:tc>
          <w:tcPr>
            <w:tcW w:w="677" w:type="dxa"/>
            <w:tcBorders>
              <w:top w:val="single" w:sz="4" w:space="0" w:color="auto"/>
              <w:left w:val="nil"/>
              <w:bottom w:val="nil"/>
              <w:right w:val="nil"/>
            </w:tcBorders>
          </w:tcPr>
          <w:p w14:paraId="06758E48"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66E0274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D</w:t>
            </w:r>
          </w:p>
        </w:tc>
        <w:tc>
          <w:tcPr>
            <w:tcW w:w="677" w:type="dxa"/>
            <w:tcBorders>
              <w:top w:val="single" w:sz="4" w:space="0" w:color="auto"/>
              <w:left w:val="nil"/>
              <w:bottom w:val="nil"/>
              <w:right w:val="nil"/>
            </w:tcBorders>
          </w:tcPr>
          <w:p w14:paraId="404F1DA4"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3630F06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C</w:t>
            </w:r>
          </w:p>
        </w:tc>
        <w:tc>
          <w:tcPr>
            <w:tcW w:w="677" w:type="dxa"/>
            <w:tcBorders>
              <w:top w:val="single" w:sz="4" w:space="0" w:color="auto"/>
              <w:left w:val="nil"/>
              <w:bottom w:val="nil"/>
              <w:right w:val="nil"/>
            </w:tcBorders>
          </w:tcPr>
          <w:p w14:paraId="0E8442E4" w14:textId="77777777" w:rsidR="0081596F" w:rsidRPr="0081596F" w:rsidRDefault="0081596F" w:rsidP="0081596F">
            <w:pPr>
              <w:spacing w:before="100" w:beforeAutospacing="1" w:after="100" w:afterAutospacing="1"/>
              <w:jc w:val="center"/>
              <w:rPr>
                <w:sz w:val="20"/>
                <w:szCs w:val="20"/>
              </w:rPr>
            </w:pPr>
          </w:p>
        </w:tc>
        <w:tc>
          <w:tcPr>
            <w:tcW w:w="425" w:type="dxa"/>
            <w:tcBorders>
              <w:top w:val="single" w:sz="4" w:space="0" w:color="auto"/>
              <w:left w:val="nil"/>
              <w:bottom w:val="nil"/>
              <w:right w:val="nil"/>
            </w:tcBorders>
            <w:hideMark/>
          </w:tcPr>
          <w:p w14:paraId="0306EEA3" w14:textId="77777777" w:rsidR="0081596F" w:rsidRPr="0081596F" w:rsidRDefault="0081596F" w:rsidP="0081596F">
            <w:pPr>
              <w:spacing w:before="100" w:beforeAutospacing="1" w:after="100" w:afterAutospacing="1"/>
              <w:jc w:val="center"/>
              <w:rPr>
                <w:sz w:val="20"/>
                <w:szCs w:val="20"/>
              </w:rPr>
            </w:pPr>
            <w:proofErr w:type="spellStart"/>
            <w:r w:rsidRPr="0081596F">
              <w:rPr>
                <w:color w:val="000000"/>
                <w:sz w:val="20"/>
                <w:szCs w:val="20"/>
              </w:rPr>
              <w:t>Sk</w:t>
            </w:r>
            <w:proofErr w:type="spellEnd"/>
          </w:p>
        </w:tc>
        <w:tc>
          <w:tcPr>
            <w:tcW w:w="677" w:type="dxa"/>
            <w:tcBorders>
              <w:top w:val="single" w:sz="4" w:space="0" w:color="auto"/>
              <w:left w:val="nil"/>
              <w:bottom w:val="nil"/>
              <w:right w:val="nil"/>
            </w:tcBorders>
          </w:tcPr>
          <w:p w14:paraId="3BFD9378"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0A0F3B8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Mx</w:t>
            </w:r>
          </w:p>
        </w:tc>
        <w:tc>
          <w:tcPr>
            <w:tcW w:w="677" w:type="dxa"/>
            <w:tcBorders>
              <w:top w:val="single" w:sz="4" w:space="0" w:color="auto"/>
              <w:left w:val="nil"/>
              <w:bottom w:val="nil"/>
              <w:right w:val="nil"/>
            </w:tcBorders>
          </w:tcPr>
          <w:p w14:paraId="056BD88E"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155F74A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R</w:t>
            </w:r>
          </w:p>
        </w:tc>
        <w:tc>
          <w:tcPr>
            <w:tcW w:w="677" w:type="dxa"/>
            <w:tcBorders>
              <w:top w:val="single" w:sz="4" w:space="0" w:color="auto"/>
              <w:left w:val="nil"/>
              <w:bottom w:val="nil"/>
              <w:right w:val="nil"/>
            </w:tcBorders>
          </w:tcPr>
          <w:p w14:paraId="0A0A5BC6" w14:textId="77777777" w:rsidR="0081596F" w:rsidRPr="0081596F" w:rsidRDefault="0081596F" w:rsidP="0081596F">
            <w:pPr>
              <w:spacing w:before="100" w:beforeAutospacing="1" w:after="100" w:afterAutospacing="1"/>
              <w:jc w:val="center"/>
              <w:rPr>
                <w:sz w:val="20"/>
                <w:szCs w:val="20"/>
              </w:rPr>
            </w:pPr>
          </w:p>
        </w:tc>
        <w:tc>
          <w:tcPr>
            <w:tcW w:w="512" w:type="dxa"/>
            <w:tcBorders>
              <w:top w:val="single" w:sz="4" w:space="0" w:color="auto"/>
              <w:left w:val="nil"/>
              <w:bottom w:val="nil"/>
              <w:right w:val="nil"/>
            </w:tcBorders>
            <w:hideMark/>
          </w:tcPr>
          <w:p w14:paraId="4A6F642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D</w:t>
            </w:r>
          </w:p>
        </w:tc>
        <w:tc>
          <w:tcPr>
            <w:tcW w:w="677" w:type="dxa"/>
            <w:tcBorders>
              <w:top w:val="single" w:sz="4" w:space="0" w:color="auto"/>
              <w:left w:val="nil"/>
              <w:bottom w:val="nil"/>
              <w:right w:val="nil"/>
            </w:tcBorders>
          </w:tcPr>
          <w:p w14:paraId="2E618F2C" w14:textId="77777777" w:rsidR="0081596F" w:rsidRPr="0081596F" w:rsidRDefault="0081596F" w:rsidP="0081596F">
            <w:pPr>
              <w:spacing w:before="100" w:beforeAutospacing="1" w:after="100" w:afterAutospacing="1"/>
              <w:jc w:val="center"/>
              <w:rPr>
                <w:sz w:val="20"/>
                <w:szCs w:val="20"/>
              </w:rPr>
            </w:pPr>
          </w:p>
        </w:tc>
      </w:tr>
      <w:tr w:rsidR="0081596F" w:rsidRPr="0081596F" w14:paraId="7FDBCDF5" w14:textId="77777777" w:rsidTr="0081596F">
        <w:tc>
          <w:tcPr>
            <w:tcW w:w="1077" w:type="dxa"/>
          </w:tcPr>
          <w:p w14:paraId="747CB7D9" w14:textId="77777777" w:rsidR="0081596F" w:rsidRPr="0081596F" w:rsidRDefault="0081596F" w:rsidP="0081596F">
            <w:pPr>
              <w:spacing w:before="100" w:beforeAutospacing="1" w:after="100" w:afterAutospacing="1"/>
              <w:rPr>
                <w:sz w:val="20"/>
                <w:szCs w:val="20"/>
              </w:rPr>
            </w:pPr>
          </w:p>
        </w:tc>
        <w:tc>
          <w:tcPr>
            <w:tcW w:w="517" w:type="dxa"/>
            <w:gridSpan w:val="2"/>
          </w:tcPr>
          <w:p w14:paraId="6FA60820" w14:textId="77777777" w:rsidR="0081596F" w:rsidRPr="0081596F" w:rsidRDefault="0081596F" w:rsidP="0081596F">
            <w:pPr>
              <w:spacing w:before="100" w:beforeAutospacing="1" w:after="100" w:afterAutospacing="1"/>
              <w:jc w:val="center"/>
              <w:rPr>
                <w:sz w:val="20"/>
                <w:szCs w:val="20"/>
              </w:rPr>
            </w:pPr>
          </w:p>
        </w:tc>
        <w:tc>
          <w:tcPr>
            <w:tcW w:w="769" w:type="dxa"/>
          </w:tcPr>
          <w:p w14:paraId="4F929D0C" w14:textId="77777777" w:rsidR="0081596F" w:rsidRPr="0081596F" w:rsidRDefault="0081596F" w:rsidP="0081596F">
            <w:pPr>
              <w:spacing w:before="100" w:beforeAutospacing="1" w:after="100" w:afterAutospacing="1"/>
              <w:jc w:val="center"/>
              <w:rPr>
                <w:sz w:val="20"/>
                <w:szCs w:val="20"/>
              </w:rPr>
            </w:pPr>
          </w:p>
        </w:tc>
        <w:tc>
          <w:tcPr>
            <w:tcW w:w="414" w:type="dxa"/>
            <w:hideMark/>
          </w:tcPr>
          <w:p w14:paraId="469FC51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7A58636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425" w:type="dxa"/>
            <w:hideMark/>
          </w:tcPr>
          <w:p w14:paraId="2BEB8AF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063FFAE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491" w:type="dxa"/>
            <w:hideMark/>
          </w:tcPr>
          <w:p w14:paraId="5F8863F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0E6F55C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603B118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551C5E8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3C625B5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2458238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6458C27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3C29652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425" w:type="dxa"/>
            <w:hideMark/>
          </w:tcPr>
          <w:p w14:paraId="1B1AC17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6C7DD25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31FA5B9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6C97CA7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163F8D6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677" w:type="dxa"/>
            <w:hideMark/>
          </w:tcPr>
          <w:p w14:paraId="1F1F7AD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c>
          <w:tcPr>
            <w:tcW w:w="512" w:type="dxa"/>
            <w:hideMark/>
          </w:tcPr>
          <w:p w14:paraId="15B7365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N</w:t>
            </w:r>
          </w:p>
        </w:tc>
        <w:tc>
          <w:tcPr>
            <w:tcW w:w="751" w:type="dxa"/>
            <w:gridSpan w:val="2"/>
            <w:hideMark/>
          </w:tcPr>
          <w:p w14:paraId="30AD352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w:t>
            </w:r>
          </w:p>
        </w:tc>
      </w:tr>
      <w:tr w:rsidR="0081596F" w:rsidRPr="0081596F" w14:paraId="7555A3A2" w14:textId="77777777" w:rsidTr="0081596F">
        <w:tc>
          <w:tcPr>
            <w:tcW w:w="1077" w:type="dxa"/>
            <w:hideMark/>
          </w:tcPr>
          <w:p w14:paraId="2E793F31" w14:textId="77777777" w:rsidR="0081596F" w:rsidRPr="0081596F" w:rsidRDefault="0081596F" w:rsidP="0081596F">
            <w:pPr>
              <w:spacing w:before="100" w:beforeAutospacing="1" w:after="100" w:afterAutospacing="1"/>
              <w:rPr>
                <w:color w:val="000000"/>
                <w:sz w:val="20"/>
                <w:szCs w:val="20"/>
              </w:rPr>
            </w:pPr>
            <w:r w:rsidRPr="0081596F">
              <w:rPr>
                <w:color w:val="000000"/>
                <w:sz w:val="20"/>
                <w:szCs w:val="20"/>
              </w:rPr>
              <w:t>2018</w:t>
            </w:r>
          </w:p>
        </w:tc>
        <w:tc>
          <w:tcPr>
            <w:tcW w:w="517" w:type="dxa"/>
            <w:gridSpan w:val="2"/>
            <w:hideMark/>
          </w:tcPr>
          <w:p w14:paraId="7C7A1922"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w:t>
            </w:r>
          </w:p>
        </w:tc>
        <w:tc>
          <w:tcPr>
            <w:tcW w:w="769" w:type="dxa"/>
            <w:hideMark/>
          </w:tcPr>
          <w:p w14:paraId="7323217D"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11</w:t>
            </w:r>
          </w:p>
        </w:tc>
        <w:tc>
          <w:tcPr>
            <w:tcW w:w="414" w:type="dxa"/>
            <w:hideMark/>
          </w:tcPr>
          <w:p w14:paraId="25C8A73B"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8</w:t>
            </w:r>
          </w:p>
        </w:tc>
        <w:tc>
          <w:tcPr>
            <w:tcW w:w="677" w:type="dxa"/>
            <w:hideMark/>
          </w:tcPr>
          <w:p w14:paraId="1DC44EC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9</w:t>
            </w:r>
          </w:p>
        </w:tc>
        <w:tc>
          <w:tcPr>
            <w:tcW w:w="425" w:type="dxa"/>
            <w:hideMark/>
          </w:tcPr>
          <w:p w14:paraId="0F0F5262"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677" w:type="dxa"/>
            <w:hideMark/>
          </w:tcPr>
          <w:p w14:paraId="59D83984"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491" w:type="dxa"/>
            <w:hideMark/>
          </w:tcPr>
          <w:p w14:paraId="57235478"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0</w:t>
            </w:r>
          </w:p>
        </w:tc>
        <w:tc>
          <w:tcPr>
            <w:tcW w:w="677" w:type="dxa"/>
            <w:hideMark/>
          </w:tcPr>
          <w:p w14:paraId="016C5F6E"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0</w:t>
            </w:r>
          </w:p>
        </w:tc>
        <w:tc>
          <w:tcPr>
            <w:tcW w:w="512" w:type="dxa"/>
            <w:hideMark/>
          </w:tcPr>
          <w:p w14:paraId="3595BEA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677" w:type="dxa"/>
            <w:hideMark/>
          </w:tcPr>
          <w:p w14:paraId="4CBFCF48"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512" w:type="dxa"/>
            <w:hideMark/>
          </w:tcPr>
          <w:p w14:paraId="757FCE73"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w:t>
            </w:r>
          </w:p>
        </w:tc>
        <w:tc>
          <w:tcPr>
            <w:tcW w:w="677" w:type="dxa"/>
            <w:hideMark/>
          </w:tcPr>
          <w:p w14:paraId="4320150D"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512" w:type="dxa"/>
            <w:hideMark/>
          </w:tcPr>
          <w:p w14:paraId="40D4768E"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677" w:type="dxa"/>
            <w:hideMark/>
          </w:tcPr>
          <w:p w14:paraId="31D4EF7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425" w:type="dxa"/>
            <w:hideMark/>
          </w:tcPr>
          <w:p w14:paraId="50F385D1"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677" w:type="dxa"/>
            <w:hideMark/>
          </w:tcPr>
          <w:p w14:paraId="296177B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4</w:t>
            </w:r>
          </w:p>
        </w:tc>
        <w:tc>
          <w:tcPr>
            <w:tcW w:w="512" w:type="dxa"/>
            <w:hideMark/>
          </w:tcPr>
          <w:p w14:paraId="1B3BA58B"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677" w:type="dxa"/>
            <w:hideMark/>
          </w:tcPr>
          <w:p w14:paraId="5A4A801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512" w:type="dxa"/>
            <w:hideMark/>
          </w:tcPr>
          <w:p w14:paraId="7720CDD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677" w:type="dxa"/>
            <w:hideMark/>
          </w:tcPr>
          <w:p w14:paraId="4085A8FE"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4</w:t>
            </w:r>
          </w:p>
        </w:tc>
        <w:tc>
          <w:tcPr>
            <w:tcW w:w="512" w:type="dxa"/>
            <w:hideMark/>
          </w:tcPr>
          <w:p w14:paraId="62B0E3B9"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w:t>
            </w:r>
          </w:p>
        </w:tc>
        <w:tc>
          <w:tcPr>
            <w:tcW w:w="751" w:type="dxa"/>
            <w:gridSpan w:val="2"/>
            <w:hideMark/>
          </w:tcPr>
          <w:p w14:paraId="371D2D0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r>
      <w:tr w:rsidR="0081596F" w:rsidRPr="0081596F" w14:paraId="7E91927D" w14:textId="77777777" w:rsidTr="0081596F">
        <w:tc>
          <w:tcPr>
            <w:tcW w:w="1077" w:type="dxa"/>
            <w:hideMark/>
          </w:tcPr>
          <w:p w14:paraId="7173773C" w14:textId="77777777" w:rsidR="0081596F" w:rsidRPr="0081596F" w:rsidRDefault="0081596F" w:rsidP="0081596F">
            <w:pPr>
              <w:spacing w:before="100" w:beforeAutospacing="1" w:after="100" w:afterAutospacing="1"/>
              <w:rPr>
                <w:sz w:val="20"/>
                <w:szCs w:val="20"/>
              </w:rPr>
            </w:pPr>
            <w:r w:rsidRPr="0081596F">
              <w:rPr>
                <w:color w:val="000000"/>
                <w:sz w:val="20"/>
                <w:szCs w:val="20"/>
              </w:rPr>
              <w:t>2017</w:t>
            </w:r>
          </w:p>
        </w:tc>
        <w:tc>
          <w:tcPr>
            <w:tcW w:w="517" w:type="dxa"/>
            <w:gridSpan w:val="2"/>
            <w:hideMark/>
          </w:tcPr>
          <w:p w14:paraId="75B21C8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769" w:type="dxa"/>
            <w:hideMark/>
          </w:tcPr>
          <w:p w14:paraId="4CFD37E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414" w:type="dxa"/>
            <w:hideMark/>
          </w:tcPr>
          <w:p w14:paraId="2955FF5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6332954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425" w:type="dxa"/>
            <w:hideMark/>
          </w:tcPr>
          <w:p w14:paraId="2696E19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677" w:type="dxa"/>
            <w:hideMark/>
          </w:tcPr>
          <w:p w14:paraId="0558912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91" w:type="dxa"/>
            <w:hideMark/>
          </w:tcPr>
          <w:p w14:paraId="31C478D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595C2EB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4077EF5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542537B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32D83FC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677" w:type="dxa"/>
            <w:hideMark/>
          </w:tcPr>
          <w:p w14:paraId="2D13814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605314F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6E5782C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25" w:type="dxa"/>
            <w:hideMark/>
          </w:tcPr>
          <w:p w14:paraId="2E41A1C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26E7344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512" w:type="dxa"/>
            <w:hideMark/>
          </w:tcPr>
          <w:p w14:paraId="0ECCF5A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67F92FE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5DAEC29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146D3F9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3E2CE73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751" w:type="dxa"/>
            <w:gridSpan w:val="2"/>
            <w:hideMark/>
          </w:tcPr>
          <w:p w14:paraId="5BAFB3C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r>
      <w:tr w:rsidR="0081596F" w:rsidRPr="0081596F" w14:paraId="18261A1A" w14:textId="77777777" w:rsidTr="0081596F">
        <w:tc>
          <w:tcPr>
            <w:tcW w:w="1077" w:type="dxa"/>
            <w:hideMark/>
          </w:tcPr>
          <w:p w14:paraId="31ADCF81" w14:textId="77777777" w:rsidR="0081596F" w:rsidRPr="0081596F" w:rsidRDefault="0081596F" w:rsidP="0081596F">
            <w:pPr>
              <w:spacing w:before="100" w:beforeAutospacing="1" w:after="100" w:afterAutospacing="1"/>
              <w:rPr>
                <w:color w:val="000000"/>
                <w:sz w:val="20"/>
                <w:szCs w:val="20"/>
              </w:rPr>
            </w:pPr>
            <w:r w:rsidRPr="0081596F">
              <w:rPr>
                <w:color w:val="000000"/>
                <w:sz w:val="20"/>
                <w:szCs w:val="20"/>
              </w:rPr>
              <w:t>2016</w:t>
            </w:r>
          </w:p>
        </w:tc>
        <w:tc>
          <w:tcPr>
            <w:tcW w:w="517" w:type="dxa"/>
            <w:gridSpan w:val="2"/>
            <w:hideMark/>
          </w:tcPr>
          <w:p w14:paraId="73FE58B5"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16</w:t>
            </w:r>
          </w:p>
        </w:tc>
        <w:tc>
          <w:tcPr>
            <w:tcW w:w="769" w:type="dxa"/>
            <w:hideMark/>
          </w:tcPr>
          <w:p w14:paraId="7F9E1794"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22</w:t>
            </w:r>
          </w:p>
        </w:tc>
        <w:tc>
          <w:tcPr>
            <w:tcW w:w="414" w:type="dxa"/>
            <w:hideMark/>
          </w:tcPr>
          <w:p w14:paraId="6EFB8478"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w:t>
            </w:r>
          </w:p>
        </w:tc>
        <w:tc>
          <w:tcPr>
            <w:tcW w:w="677" w:type="dxa"/>
            <w:hideMark/>
          </w:tcPr>
          <w:p w14:paraId="4215EB9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w:t>
            </w:r>
          </w:p>
        </w:tc>
        <w:tc>
          <w:tcPr>
            <w:tcW w:w="425" w:type="dxa"/>
            <w:hideMark/>
          </w:tcPr>
          <w:p w14:paraId="5DFC3E19"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677" w:type="dxa"/>
            <w:hideMark/>
          </w:tcPr>
          <w:p w14:paraId="30E7260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8</w:t>
            </w:r>
          </w:p>
        </w:tc>
        <w:tc>
          <w:tcPr>
            <w:tcW w:w="491" w:type="dxa"/>
            <w:hideMark/>
          </w:tcPr>
          <w:p w14:paraId="2EAB291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677" w:type="dxa"/>
            <w:hideMark/>
          </w:tcPr>
          <w:p w14:paraId="77555BC8"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4</w:t>
            </w:r>
          </w:p>
        </w:tc>
        <w:tc>
          <w:tcPr>
            <w:tcW w:w="512" w:type="dxa"/>
            <w:hideMark/>
          </w:tcPr>
          <w:p w14:paraId="20AEF979"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9</w:t>
            </w:r>
          </w:p>
        </w:tc>
        <w:tc>
          <w:tcPr>
            <w:tcW w:w="677" w:type="dxa"/>
            <w:hideMark/>
          </w:tcPr>
          <w:p w14:paraId="73A56D7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8</w:t>
            </w:r>
          </w:p>
        </w:tc>
        <w:tc>
          <w:tcPr>
            <w:tcW w:w="512" w:type="dxa"/>
            <w:hideMark/>
          </w:tcPr>
          <w:p w14:paraId="2C669979"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677" w:type="dxa"/>
            <w:hideMark/>
          </w:tcPr>
          <w:p w14:paraId="771A8601"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512" w:type="dxa"/>
            <w:hideMark/>
          </w:tcPr>
          <w:p w14:paraId="4F93C66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17</w:t>
            </w:r>
          </w:p>
        </w:tc>
        <w:tc>
          <w:tcPr>
            <w:tcW w:w="677" w:type="dxa"/>
            <w:hideMark/>
          </w:tcPr>
          <w:p w14:paraId="732F48F0"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8</w:t>
            </w:r>
          </w:p>
        </w:tc>
        <w:tc>
          <w:tcPr>
            <w:tcW w:w="425" w:type="dxa"/>
            <w:hideMark/>
          </w:tcPr>
          <w:p w14:paraId="780E1220"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w:t>
            </w:r>
          </w:p>
        </w:tc>
        <w:tc>
          <w:tcPr>
            <w:tcW w:w="677" w:type="dxa"/>
            <w:hideMark/>
          </w:tcPr>
          <w:p w14:paraId="4EDA480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512" w:type="dxa"/>
            <w:hideMark/>
          </w:tcPr>
          <w:p w14:paraId="270A8F8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677" w:type="dxa"/>
            <w:hideMark/>
          </w:tcPr>
          <w:p w14:paraId="5B323850"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w:t>
            </w:r>
          </w:p>
        </w:tc>
        <w:tc>
          <w:tcPr>
            <w:tcW w:w="512" w:type="dxa"/>
            <w:hideMark/>
          </w:tcPr>
          <w:p w14:paraId="30A74D53"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w:t>
            </w:r>
          </w:p>
        </w:tc>
        <w:tc>
          <w:tcPr>
            <w:tcW w:w="677" w:type="dxa"/>
            <w:hideMark/>
          </w:tcPr>
          <w:p w14:paraId="1D4E3116"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c>
          <w:tcPr>
            <w:tcW w:w="512" w:type="dxa"/>
            <w:hideMark/>
          </w:tcPr>
          <w:p w14:paraId="5BBDDADA"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16</w:t>
            </w:r>
          </w:p>
        </w:tc>
        <w:tc>
          <w:tcPr>
            <w:tcW w:w="751" w:type="dxa"/>
            <w:gridSpan w:val="2"/>
            <w:hideMark/>
          </w:tcPr>
          <w:p w14:paraId="1D81D070"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5</w:t>
            </w:r>
          </w:p>
        </w:tc>
      </w:tr>
      <w:tr w:rsidR="0081596F" w:rsidRPr="0081596F" w14:paraId="0471E4E4" w14:textId="77777777" w:rsidTr="0081596F">
        <w:tc>
          <w:tcPr>
            <w:tcW w:w="1077" w:type="dxa"/>
            <w:hideMark/>
          </w:tcPr>
          <w:p w14:paraId="08C420E1" w14:textId="77777777" w:rsidR="0081596F" w:rsidRPr="0081596F" w:rsidRDefault="0081596F" w:rsidP="0081596F">
            <w:pPr>
              <w:spacing w:before="100" w:beforeAutospacing="1" w:after="100" w:afterAutospacing="1"/>
              <w:rPr>
                <w:sz w:val="20"/>
                <w:szCs w:val="20"/>
              </w:rPr>
            </w:pPr>
            <w:r w:rsidRPr="0081596F">
              <w:rPr>
                <w:color w:val="000000"/>
                <w:sz w:val="20"/>
                <w:szCs w:val="20"/>
              </w:rPr>
              <w:t>2015</w:t>
            </w:r>
          </w:p>
        </w:tc>
        <w:tc>
          <w:tcPr>
            <w:tcW w:w="517" w:type="dxa"/>
            <w:gridSpan w:val="2"/>
            <w:hideMark/>
          </w:tcPr>
          <w:p w14:paraId="672E0B8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769" w:type="dxa"/>
            <w:hideMark/>
          </w:tcPr>
          <w:p w14:paraId="6C7C8E2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49</w:t>
            </w:r>
          </w:p>
        </w:tc>
        <w:tc>
          <w:tcPr>
            <w:tcW w:w="414" w:type="dxa"/>
            <w:hideMark/>
          </w:tcPr>
          <w:p w14:paraId="01659DA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325CAC9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2854D4F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597A3BF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491" w:type="dxa"/>
            <w:hideMark/>
          </w:tcPr>
          <w:p w14:paraId="415A5D9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677" w:type="dxa"/>
            <w:hideMark/>
          </w:tcPr>
          <w:p w14:paraId="42C51B2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1EAFBB4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677" w:type="dxa"/>
            <w:hideMark/>
          </w:tcPr>
          <w:p w14:paraId="56B156C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6C5B206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7EF60E6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4092F48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34</w:t>
            </w:r>
          </w:p>
        </w:tc>
        <w:tc>
          <w:tcPr>
            <w:tcW w:w="677" w:type="dxa"/>
            <w:hideMark/>
          </w:tcPr>
          <w:p w14:paraId="60BCF0E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16</w:t>
            </w:r>
          </w:p>
        </w:tc>
        <w:tc>
          <w:tcPr>
            <w:tcW w:w="425" w:type="dxa"/>
            <w:hideMark/>
          </w:tcPr>
          <w:p w14:paraId="4B71ED4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6CA7F10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01D6F45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2E6849B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512" w:type="dxa"/>
            <w:hideMark/>
          </w:tcPr>
          <w:p w14:paraId="71E05CA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474F507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48CF420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41</w:t>
            </w:r>
          </w:p>
        </w:tc>
        <w:tc>
          <w:tcPr>
            <w:tcW w:w="751" w:type="dxa"/>
            <w:gridSpan w:val="2"/>
            <w:hideMark/>
          </w:tcPr>
          <w:p w14:paraId="5225852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r>
      <w:tr w:rsidR="0081596F" w:rsidRPr="0081596F" w14:paraId="07A19944" w14:textId="77777777" w:rsidTr="0081596F">
        <w:tc>
          <w:tcPr>
            <w:tcW w:w="1077" w:type="dxa"/>
            <w:hideMark/>
          </w:tcPr>
          <w:p w14:paraId="2066A964" w14:textId="77777777" w:rsidR="0081596F" w:rsidRPr="0081596F" w:rsidRDefault="0081596F" w:rsidP="0081596F">
            <w:pPr>
              <w:spacing w:before="100" w:beforeAutospacing="1" w:after="100" w:afterAutospacing="1"/>
              <w:rPr>
                <w:sz w:val="20"/>
                <w:szCs w:val="20"/>
              </w:rPr>
            </w:pPr>
            <w:r w:rsidRPr="0081596F">
              <w:rPr>
                <w:color w:val="000000"/>
                <w:sz w:val="20"/>
                <w:szCs w:val="20"/>
              </w:rPr>
              <w:t>2014</w:t>
            </w:r>
          </w:p>
        </w:tc>
        <w:tc>
          <w:tcPr>
            <w:tcW w:w="517" w:type="dxa"/>
            <w:gridSpan w:val="2"/>
            <w:hideMark/>
          </w:tcPr>
          <w:p w14:paraId="1D7D1B6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19</w:t>
            </w:r>
          </w:p>
        </w:tc>
        <w:tc>
          <w:tcPr>
            <w:tcW w:w="769" w:type="dxa"/>
            <w:hideMark/>
          </w:tcPr>
          <w:p w14:paraId="6390E92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32</w:t>
            </w:r>
          </w:p>
        </w:tc>
        <w:tc>
          <w:tcPr>
            <w:tcW w:w="414" w:type="dxa"/>
            <w:hideMark/>
          </w:tcPr>
          <w:p w14:paraId="494C5EF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11E5257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425" w:type="dxa"/>
            <w:hideMark/>
          </w:tcPr>
          <w:p w14:paraId="1EDB355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5A9A7F7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491" w:type="dxa"/>
            <w:hideMark/>
          </w:tcPr>
          <w:p w14:paraId="74197DF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1101E58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10CFA83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0974171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45A6F5D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3133330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143A0E5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677" w:type="dxa"/>
            <w:hideMark/>
          </w:tcPr>
          <w:p w14:paraId="1244847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425" w:type="dxa"/>
            <w:hideMark/>
          </w:tcPr>
          <w:p w14:paraId="699B45F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04D7E20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69081E4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677" w:type="dxa"/>
            <w:hideMark/>
          </w:tcPr>
          <w:p w14:paraId="777F93C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512" w:type="dxa"/>
            <w:hideMark/>
          </w:tcPr>
          <w:p w14:paraId="7454A29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6DEE535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6B0044B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23</w:t>
            </w:r>
          </w:p>
        </w:tc>
        <w:tc>
          <w:tcPr>
            <w:tcW w:w="751" w:type="dxa"/>
            <w:gridSpan w:val="2"/>
            <w:hideMark/>
          </w:tcPr>
          <w:p w14:paraId="0459E48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r>
      <w:tr w:rsidR="0081596F" w:rsidRPr="0081596F" w14:paraId="754873EA" w14:textId="77777777" w:rsidTr="0081596F">
        <w:tc>
          <w:tcPr>
            <w:tcW w:w="1077" w:type="dxa"/>
            <w:hideMark/>
          </w:tcPr>
          <w:p w14:paraId="5D818757" w14:textId="77777777" w:rsidR="0081596F" w:rsidRPr="0081596F" w:rsidRDefault="0081596F" w:rsidP="0081596F">
            <w:pPr>
              <w:spacing w:before="100" w:beforeAutospacing="1" w:after="100" w:afterAutospacing="1"/>
              <w:rPr>
                <w:sz w:val="20"/>
                <w:szCs w:val="20"/>
              </w:rPr>
            </w:pPr>
            <w:r w:rsidRPr="0081596F">
              <w:rPr>
                <w:color w:val="000000"/>
                <w:sz w:val="20"/>
                <w:szCs w:val="20"/>
              </w:rPr>
              <w:t>2013</w:t>
            </w:r>
          </w:p>
        </w:tc>
        <w:tc>
          <w:tcPr>
            <w:tcW w:w="517" w:type="dxa"/>
            <w:gridSpan w:val="2"/>
            <w:hideMark/>
          </w:tcPr>
          <w:p w14:paraId="4D31F2F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769" w:type="dxa"/>
            <w:hideMark/>
          </w:tcPr>
          <w:p w14:paraId="1041D55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36</w:t>
            </w:r>
          </w:p>
        </w:tc>
        <w:tc>
          <w:tcPr>
            <w:tcW w:w="414" w:type="dxa"/>
            <w:hideMark/>
          </w:tcPr>
          <w:p w14:paraId="48A1BFD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0048BFF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425" w:type="dxa"/>
            <w:hideMark/>
          </w:tcPr>
          <w:p w14:paraId="01FA51E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7B251AE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491" w:type="dxa"/>
            <w:hideMark/>
          </w:tcPr>
          <w:p w14:paraId="5987090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2C71E67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28A2974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00916B6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65D269F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54382C3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0A05B04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17</w:t>
            </w:r>
          </w:p>
        </w:tc>
        <w:tc>
          <w:tcPr>
            <w:tcW w:w="677" w:type="dxa"/>
            <w:hideMark/>
          </w:tcPr>
          <w:p w14:paraId="174822E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425" w:type="dxa"/>
            <w:hideMark/>
          </w:tcPr>
          <w:p w14:paraId="4570D27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1446D61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7C8F959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677" w:type="dxa"/>
            <w:hideMark/>
          </w:tcPr>
          <w:p w14:paraId="2B6B3B1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512" w:type="dxa"/>
            <w:hideMark/>
          </w:tcPr>
          <w:p w14:paraId="4BC5DA6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0058C2D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6836892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30</w:t>
            </w:r>
          </w:p>
        </w:tc>
        <w:tc>
          <w:tcPr>
            <w:tcW w:w="751" w:type="dxa"/>
            <w:gridSpan w:val="2"/>
            <w:hideMark/>
          </w:tcPr>
          <w:p w14:paraId="0F38134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r>
      <w:tr w:rsidR="0081596F" w:rsidRPr="0081596F" w14:paraId="1C3E888D" w14:textId="77777777" w:rsidTr="0081596F">
        <w:tc>
          <w:tcPr>
            <w:tcW w:w="1077" w:type="dxa"/>
            <w:hideMark/>
          </w:tcPr>
          <w:p w14:paraId="7793D223" w14:textId="77777777" w:rsidR="0081596F" w:rsidRPr="0081596F" w:rsidRDefault="0081596F" w:rsidP="0081596F">
            <w:pPr>
              <w:spacing w:before="100" w:beforeAutospacing="1" w:after="100" w:afterAutospacing="1"/>
              <w:rPr>
                <w:sz w:val="20"/>
                <w:szCs w:val="20"/>
              </w:rPr>
            </w:pPr>
            <w:r w:rsidRPr="0081596F">
              <w:rPr>
                <w:color w:val="000000"/>
                <w:sz w:val="20"/>
                <w:szCs w:val="20"/>
              </w:rPr>
              <w:t>2012</w:t>
            </w:r>
          </w:p>
        </w:tc>
        <w:tc>
          <w:tcPr>
            <w:tcW w:w="517" w:type="dxa"/>
            <w:gridSpan w:val="2"/>
            <w:hideMark/>
          </w:tcPr>
          <w:p w14:paraId="7CF18BE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16</w:t>
            </w:r>
          </w:p>
        </w:tc>
        <w:tc>
          <w:tcPr>
            <w:tcW w:w="769" w:type="dxa"/>
            <w:hideMark/>
          </w:tcPr>
          <w:p w14:paraId="59916BF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41</w:t>
            </w:r>
          </w:p>
        </w:tc>
        <w:tc>
          <w:tcPr>
            <w:tcW w:w="414" w:type="dxa"/>
            <w:hideMark/>
          </w:tcPr>
          <w:p w14:paraId="3AE6F7F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49C3521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425" w:type="dxa"/>
            <w:hideMark/>
          </w:tcPr>
          <w:p w14:paraId="6530046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677" w:type="dxa"/>
            <w:hideMark/>
          </w:tcPr>
          <w:p w14:paraId="7E25E66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91" w:type="dxa"/>
            <w:hideMark/>
          </w:tcPr>
          <w:p w14:paraId="0F0477A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396EF5B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70D65D1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6ABDA70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08BE6F0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0CB5EFB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512" w:type="dxa"/>
            <w:hideMark/>
          </w:tcPr>
          <w:p w14:paraId="3ABA956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27</w:t>
            </w:r>
          </w:p>
        </w:tc>
        <w:tc>
          <w:tcPr>
            <w:tcW w:w="677" w:type="dxa"/>
            <w:hideMark/>
          </w:tcPr>
          <w:p w14:paraId="23025A4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425" w:type="dxa"/>
            <w:hideMark/>
          </w:tcPr>
          <w:p w14:paraId="2C4EF33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6BD499F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562423B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437A6B0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4A6A00E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677" w:type="dxa"/>
            <w:hideMark/>
          </w:tcPr>
          <w:p w14:paraId="5FB191A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3A2EB26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29</w:t>
            </w:r>
          </w:p>
        </w:tc>
        <w:tc>
          <w:tcPr>
            <w:tcW w:w="751" w:type="dxa"/>
            <w:gridSpan w:val="2"/>
            <w:hideMark/>
          </w:tcPr>
          <w:p w14:paraId="2C7EEC5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r>
      <w:tr w:rsidR="0081596F" w:rsidRPr="0081596F" w14:paraId="648D9710" w14:textId="77777777" w:rsidTr="0081596F">
        <w:tc>
          <w:tcPr>
            <w:tcW w:w="1077" w:type="dxa"/>
            <w:hideMark/>
          </w:tcPr>
          <w:p w14:paraId="260937C1" w14:textId="77777777" w:rsidR="0081596F" w:rsidRPr="0081596F" w:rsidRDefault="0081596F" w:rsidP="0081596F">
            <w:pPr>
              <w:spacing w:before="100" w:beforeAutospacing="1" w:after="100" w:afterAutospacing="1"/>
              <w:rPr>
                <w:sz w:val="20"/>
                <w:szCs w:val="20"/>
              </w:rPr>
            </w:pPr>
            <w:r w:rsidRPr="0081596F">
              <w:rPr>
                <w:color w:val="000000"/>
                <w:sz w:val="20"/>
                <w:szCs w:val="20"/>
              </w:rPr>
              <w:t>2011</w:t>
            </w:r>
          </w:p>
        </w:tc>
        <w:tc>
          <w:tcPr>
            <w:tcW w:w="517" w:type="dxa"/>
            <w:gridSpan w:val="2"/>
            <w:hideMark/>
          </w:tcPr>
          <w:p w14:paraId="4AACB93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18</w:t>
            </w:r>
          </w:p>
        </w:tc>
        <w:tc>
          <w:tcPr>
            <w:tcW w:w="769" w:type="dxa"/>
            <w:hideMark/>
          </w:tcPr>
          <w:p w14:paraId="5F4B0FA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40</w:t>
            </w:r>
          </w:p>
        </w:tc>
        <w:tc>
          <w:tcPr>
            <w:tcW w:w="414" w:type="dxa"/>
            <w:hideMark/>
          </w:tcPr>
          <w:p w14:paraId="5DA395B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67B35B7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425" w:type="dxa"/>
            <w:hideMark/>
          </w:tcPr>
          <w:p w14:paraId="66C95AE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55B0DB8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491" w:type="dxa"/>
            <w:hideMark/>
          </w:tcPr>
          <w:p w14:paraId="7CE2D02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2458BA5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512" w:type="dxa"/>
            <w:hideMark/>
          </w:tcPr>
          <w:p w14:paraId="7AF188C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1F1906B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1E23A52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58846B2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6B0F1BF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19</w:t>
            </w:r>
          </w:p>
        </w:tc>
        <w:tc>
          <w:tcPr>
            <w:tcW w:w="677" w:type="dxa"/>
            <w:hideMark/>
          </w:tcPr>
          <w:p w14:paraId="3DB0D56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425" w:type="dxa"/>
            <w:hideMark/>
          </w:tcPr>
          <w:p w14:paraId="43F7C83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13C943E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512" w:type="dxa"/>
            <w:hideMark/>
          </w:tcPr>
          <w:p w14:paraId="2B3F68F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677" w:type="dxa"/>
            <w:hideMark/>
          </w:tcPr>
          <w:p w14:paraId="3AAA6FF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512" w:type="dxa"/>
            <w:hideMark/>
          </w:tcPr>
          <w:p w14:paraId="3797602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455196A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660E867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29</w:t>
            </w:r>
          </w:p>
        </w:tc>
        <w:tc>
          <w:tcPr>
            <w:tcW w:w="751" w:type="dxa"/>
            <w:gridSpan w:val="2"/>
            <w:hideMark/>
          </w:tcPr>
          <w:p w14:paraId="5649B40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r>
      <w:tr w:rsidR="0081596F" w:rsidRPr="0081596F" w14:paraId="3A5606F3" w14:textId="77777777" w:rsidTr="0081596F">
        <w:tc>
          <w:tcPr>
            <w:tcW w:w="1077" w:type="dxa"/>
            <w:hideMark/>
          </w:tcPr>
          <w:p w14:paraId="26E92512" w14:textId="77777777" w:rsidR="0081596F" w:rsidRPr="0081596F" w:rsidRDefault="0081596F" w:rsidP="0081596F">
            <w:pPr>
              <w:spacing w:before="100" w:beforeAutospacing="1" w:after="100" w:afterAutospacing="1"/>
              <w:rPr>
                <w:sz w:val="20"/>
                <w:szCs w:val="20"/>
              </w:rPr>
            </w:pPr>
            <w:r w:rsidRPr="0081596F">
              <w:rPr>
                <w:color w:val="000000"/>
                <w:sz w:val="20"/>
                <w:szCs w:val="20"/>
              </w:rPr>
              <w:t>2010</w:t>
            </w:r>
          </w:p>
        </w:tc>
        <w:tc>
          <w:tcPr>
            <w:tcW w:w="517" w:type="dxa"/>
            <w:gridSpan w:val="2"/>
            <w:hideMark/>
          </w:tcPr>
          <w:p w14:paraId="593FD85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769" w:type="dxa"/>
            <w:hideMark/>
          </w:tcPr>
          <w:p w14:paraId="015C43C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30</w:t>
            </w:r>
          </w:p>
        </w:tc>
        <w:tc>
          <w:tcPr>
            <w:tcW w:w="414" w:type="dxa"/>
            <w:hideMark/>
          </w:tcPr>
          <w:p w14:paraId="4BA1C50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1811325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66C4A51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20FD743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491" w:type="dxa"/>
            <w:hideMark/>
          </w:tcPr>
          <w:p w14:paraId="366113B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453D246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512" w:type="dxa"/>
            <w:hideMark/>
          </w:tcPr>
          <w:p w14:paraId="55A93DC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58B30ED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684E613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21F483E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3C73FCB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677" w:type="dxa"/>
            <w:hideMark/>
          </w:tcPr>
          <w:p w14:paraId="48B3F31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425" w:type="dxa"/>
            <w:hideMark/>
          </w:tcPr>
          <w:p w14:paraId="3A81B30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1CBE5FE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4E70D4A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677" w:type="dxa"/>
            <w:hideMark/>
          </w:tcPr>
          <w:p w14:paraId="599B51C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512" w:type="dxa"/>
            <w:hideMark/>
          </w:tcPr>
          <w:p w14:paraId="369C245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677" w:type="dxa"/>
            <w:hideMark/>
          </w:tcPr>
          <w:p w14:paraId="1F2B058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508009C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20</w:t>
            </w:r>
          </w:p>
        </w:tc>
        <w:tc>
          <w:tcPr>
            <w:tcW w:w="751" w:type="dxa"/>
            <w:gridSpan w:val="2"/>
            <w:hideMark/>
          </w:tcPr>
          <w:p w14:paraId="5B03C2D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r>
      <w:tr w:rsidR="0081596F" w:rsidRPr="0081596F" w14:paraId="7DDF87AD" w14:textId="77777777" w:rsidTr="0081596F">
        <w:tc>
          <w:tcPr>
            <w:tcW w:w="1077" w:type="dxa"/>
            <w:hideMark/>
          </w:tcPr>
          <w:p w14:paraId="11555A24" w14:textId="77777777" w:rsidR="0081596F" w:rsidRPr="0081596F" w:rsidRDefault="0081596F" w:rsidP="0081596F">
            <w:pPr>
              <w:spacing w:before="100" w:beforeAutospacing="1" w:after="100" w:afterAutospacing="1"/>
              <w:rPr>
                <w:sz w:val="20"/>
                <w:szCs w:val="20"/>
              </w:rPr>
            </w:pPr>
            <w:r w:rsidRPr="0081596F">
              <w:rPr>
                <w:color w:val="000000"/>
                <w:sz w:val="20"/>
                <w:szCs w:val="20"/>
              </w:rPr>
              <w:t>2009</w:t>
            </w:r>
          </w:p>
        </w:tc>
        <w:tc>
          <w:tcPr>
            <w:tcW w:w="517" w:type="dxa"/>
            <w:gridSpan w:val="2"/>
            <w:hideMark/>
          </w:tcPr>
          <w:p w14:paraId="126FE3F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769" w:type="dxa"/>
            <w:hideMark/>
          </w:tcPr>
          <w:p w14:paraId="6988EF6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22</w:t>
            </w:r>
          </w:p>
        </w:tc>
        <w:tc>
          <w:tcPr>
            <w:tcW w:w="414" w:type="dxa"/>
            <w:hideMark/>
          </w:tcPr>
          <w:p w14:paraId="4555A54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01B3551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25" w:type="dxa"/>
            <w:hideMark/>
          </w:tcPr>
          <w:p w14:paraId="57D500B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21895BC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491" w:type="dxa"/>
            <w:hideMark/>
          </w:tcPr>
          <w:p w14:paraId="2D91BB7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4AD2124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781441A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3C267F6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2BF34C7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2FC86EB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512" w:type="dxa"/>
            <w:hideMark/>
          </w:tcPr>
          <w:p w14:paraId="374BDF8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74CC479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5BE25E9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16549E4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4747E8B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2CB6E0A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7ED49D3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3DA106B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658ADD4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751" w:type="dxa"/>
            <w:gridSpan w:val="2"/>
            <w:hideMark/>
          </w:tcPr>
          <w:p w14:paraId="1B57442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r>
      <w:tr w:rsidR="0081596F" w:rsidRPr="0081596F" w14:paraId="297E7461" w14:textId="77777777" w:rsidTr="0081596F">
        <w:tc>
          <w:tcPr>
            <w:tcW w:w="1077" w:type="dxa"/>
            <w:hideMark/>
          </w:tcPr>
          <w:p w14:paraId="0364F86E" w14:textId="77777777" w:rsidR="0081596F" w:rsidRPr="0081596F" w:rsidRDefault="0081596F" w:rsidP="0081596F">
            <w:pPr>
              <w:spacing w:before="100" w:beforeAutospacing="1" w:after="100" w:afterAutospacing="1"/>
              <w:rPr>
                <w:sz w:val="20"/>
                <w:szCs w:val="20"/>
              </w:rPr>
            </w:pPr>
            <w:r w:rsidRPr="0081596F">
              <w:rPr>
                <w:color w:val="000000"/>
                <w:sz w:val="20"/>
                <w:szCs w:val="20"/>
              </w:rPr>
              <w:t>2008</w:t>
            </w:r>
          </w:p>
        </w:tc>
        <w:tc>
          <w:tcPr>
            <w:tcW w:w="517" w:type="dxa"/>
            <w:gridSpan w:val="2"/>
            <w:hideMark/>
          </w:tcPr>
          <w:p w14:paraId="539B3BB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26</w:t>
            </w:r>
          </w:p>
        </w:tc>
        <w:tc>
          <w:tcPr>
            <w:tcW w:w="769" w:type="dxa"/>
            <w:hideMark/>
          </w:tcPr>
          <w:p w14:paraId="054FF98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40</w:t>
            </w:r>
          </w:p>
        </w:tc>
        <w:tc>
          <w:tcPr>
            <w:tcW w:w="414" w:type="dxa"/>
            <w:hideMark/>
          </w:tcPr>
          <w:p w14:paraId="6824CCD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66D4412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425" w:type="dxa"/>
            <w:hideMark/>
          </w:tcPr>
          <w:p w14:paraId="77D4739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2C62924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491" w:type="dxa"/>
            <w:hideMark/>
          </w:tcPr>
          <w:p w14:paraId="5C92EA3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0B30F95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70D9FD2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75D2BC9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309A598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2C6A6EE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0A2E923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37ABA46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25" w:type="dxa"/>
            <w:hideMark/>
          </w:tcPr>
          <w:p w14:paraId="4ECE5F7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5E30B7C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0E07814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677" w:type="dxa"/>
            <w:hideMark/>
          </w:tcPr>
          <w:p w14:paraId="50F7197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512" w:type="dxa"/>
            <w:hideMark/>
          </w:tcPr>
          <w:p w14:paraId="3297FB0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0B86733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512" w:type="dxa"/>
            <w:hideMark/>
          </w:tcPr>
          <w:p w14:paraId="3FFE005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29</w:t>
            </w:r>
          </w:p>
        </w:tc>
        <w:tc>
          <w:tcPr>
            <w:tcW w:w="751" w:type="dxa"/>
            <w:gridSpan w:val="2"/>
            <w:hideMark/>
          </w:tcPr>
          <w:p w14:paraId="0E608FE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r>
      <w:tr w:rsidR="0081596F" w:rsidRPr="0081596F" w14:paraId="290D7EA6" w14:textId="77777777" w:rsidTr="0081596F">
        <w:tc>
          <w:tcPr>
            <w:tcW w:w="1077" w:type="dxa"/>
            <w:hideMark/>
          </w:tcPr>
          <w:p w14:paraId="73437BAF" w14:textId="77777777" w:rsidR="0081596F" w:rsidRPr="0081596F" w:rsidRDefault="0081596F" w:rsidP="0081596F">
            <w:pPr>
              <w:spacing w:before="100" w:beforeAutospacing="1" w:after="100" w:afterAutospacing="1"/>
              <w:rPr>
                <w:sz w:val="20"/>
                <w:szCs w:val="20"/>
              </w:rPr>
            </w:pPr>
            <w:r w:rsidRPr="0081596F">
              <w:rPr>
                <w:color w:val="000000"/>
                <w:sz w:val="20"/>
                <w:szCs w:val="20"/>
              </w:rPr>
              <w:t>2007</w:t>
            </w:r>
          </w:p>
        </w:tc>
        <w:tc>
          <w:tcPr>
            <w:tcW w:w="517" w:type="dxa"/>
            <w:gridSpan w:val="2"/>
            <w:hideMark/>
          </w:tcPr>
          <w:p w14:paraId="7EECEF9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37</w:t>
            </w:r>
          </w:p>
        </w:tc>
        <w:tc>
          <w:tcPr>
            <w:tcW w:w="769" w:type="dxa"/>
            <w:hideMark/>
          </w:tcPr>
          <w:p w14:paraId="62B0805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34</w:t>
            </w:r>
          </w:p>
        </w:tc>
        <w:tc>
          <w:tcPr>
            <w:tcW w:w="414" w:type="dxa"/>
            <w:hideMark/>
          </w:tcPr>
          <w:p w14:paraId="28389FF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677" w:type="dxa"/>
            <w:hideMark/>
          </w:tcPr>
          <w:p w14:paraId="1F5E759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425" w:type="dxa"/>
            <w:hideMark/>
          </w:tcPr>
          <w:p w14:paraId="05D2030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64CB60A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491" w:type="dxa"/>
            <w:hideMark/>
          </w:tcPr>
          <w:p w14:paraId="69481EE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18</w:t>
            </w:r>
          </w:p>
        </w:tc>
        <w:tc>
          <w:tcPr>
            <w:tcW w:w="677" w:type="dxa"/>
            <w:hideMark/>
          </w:tcPr>
          <w:p w14:paraId="0ED6E9F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512" w:type="dxa"/>
            <w:hideMark/>
          </w:tcPr>
          <w:p w14:paraId="65D9DB2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21</w:t>
            </w:r>
          </w:p>
        </w:tc>
        <w:tc>
          <w:tcPr>
            <w:tcW w:w="677" w:type="dxa"/>
            <w:hideMark/>
          </w:tcPr>
          <w:p w14:paraId="71BA4D9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18</w:t>
            </w:r>
          </w:p>
        </w:tc>
        <w:tc>
          <w:tcPr>
            <w:tcW w:w="512" w:type="dxa"/>
            <w:hideMark/>
          </w:tcPr>
          <w:p w14:paraId="1340CBC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16</w:t>
            </w:r>
          </w:p>
        </w:tc>
        <w:tc>
          <w:tcPr>
            <w:tcW w:w="677" w:type="dxa"/>
            <w:hideMark/>
          </w:tcPr>
          <w:p w14:paraId="37D5F38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512" w:type="dxa"/>
            <w:hideMark/>
          </w:tcPr>
          <w:p w14:paraId="25ED176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677" w:type="dxa"/>
            <w:hideMark/>
          </w:tcPr>
          <w:p w14:paraId="13A89B1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425" w:type="dxa"/>
            <w:hideMark/>
          </w:tcPr>
          <w:p w14:paraId="4651DFA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4DFDC28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1B1CFCC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677" w:type="dxa"/>
            <w:hideMark/>
          </w:tcPr>
          <w:p w14:paraId="421B280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512" w:type="dxa"/>
            <w:hideMark/>
          </w:tcPr>
          <w:p w14:paraId="26DC63E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677" w:type="dxa"/>
            <w:hideMark/>
          </w:tcPr>
          <w:p w14:paraId="6FF22F7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39140D8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24</w:t>
            </w:r>
          </w:p>
        </w:tc>
        <w:tc>
          <w:tcPr>
            <w:tcW w:w="751" w:type="dxa"/>
            <w:gridSpan w:val="2"/>
            <w:hideMark/>
          </w:tcPr>
          <w:p w14:paraId="51579C2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r>
      <w:tr w:rsidR="0081596F" w:rsidRPr="0081596F" w14:paraId="7D1C24E3" w14:textId="77777777" w:rsidTr="0081596F">
        <w:tc>
          <w:tcPr>
            <w:tcW w:w="1077" w:type="dxa"/>
            <w:hideMark/>
          </w:tcPr>
          <w:p w14:paraId="05C065EC" w14:textId="77777777" w:rsidR="0081596F" w:rsidRPr="0081596F" w:rsidRDefault="0081596F" w:rsidP="0081596F">
            <w:pPr>
              <w:spacing w:before="100" w:beforeAutospacing="1" w:after="100" w:afterAutospacing="1"/>
              <w:rPr>
                <w:sz w:val="20"/>
                <w:szCs w:val="20"/>
              </w:rPr>
            </w:pPr>
            <w:r w:rsidRPr="0081596F">
              <w:rPr>
                <w:color w:val="000000"/>
                <w:sz w:val="20"/>
                <w:szCs w:val="20"/>
              </w:rPr>
              <w:t>2006</w:t>
            </w:r>
          </w:p>
        </w:tc>
        <w:tc>
          <w:tcPr>
            <w:tcW w:w="517" w:type="dxa"/>
            <w:gridSpan w:val="2"/>
            <w:hideMark/>
          </w:tcPr>
          <w:p w14:paraId="4112CA6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25</w:t>
            </w:r>
          </w:p>
        </w:tc>
        <w:tc>
          <w:tcPr>
            <w:tcW w:w="769" w:type="dxa"/>
            <w:hideMark/>
          </w:tcPr>
          <w:p w14:paraId="08EAB53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27</w:t>
            </w:r>
          </w:p>
        </w:tc>
        <w:tc>
          <w:tcPr>
            <w:tcW w:w="414" w:type="dxa"/>
            <w:hideMark/>
          </w:tcPr>
          <w:p w14:paraId="2F35FD5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45455CC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425" w:type="dxa"/>
            <w:hideMark/>
          </w:tcPr>
          <w:p w14:paraId="11044A0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6C97E5C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491" w:type="dxa"/>
            <w:hideMark/>
          </w:tcPr>
          <w:p w14:paraId="1A57B05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18</w:t>
            </w:r>
          </w:p>
        </w:tc>
        <w:tc>
          <w:tcPr>
            <w:tcW w:w="677" w:type="dxa"/>
            <w:hideMark/>
          </w:tcPr>
          <w:p w14:paraId="3115669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512" w:type="dxa"/>
            <w:hideMark/>
          </w:tcPr>
          <w:p w14:paraId="1D0E101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3F8C1CA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7D33BB0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677" w:type="dxa"/>
            <w:hideMark/>
          </w:tcPr>
          <w:p w14:paraId="449C157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32F0B9D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58175D9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136EC2A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1B2D3A4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3120D06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677" w:type="dxa"/>
            <w:hideMark/>
          </w:tcPr>
          <w:p w14:paraId="52E8559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512" w:type="dxa"/>
            <w:hideMark/>
          </w:tcPr>
          <w:p w14:paraId="3627541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14</w:t>
            </w:r>
          </w:p>
        </w:tc>
        <w:tc>
          <w:tcPr>
            <w:tcW w:w="677" w:type="dxa"/>
            <w:hideMark/>
          </w:tcPr>
          <w:p w14:paraId="1DD2144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512" w:type="dxa"/>
            <w:hideMark/>
          </w:tcPr>
          <w:p w14:paraId="1F61CA4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13</w:t>
            </w:r>
          </w:p>
        </w:tc>
        <w:tc>
          <w:tcPr>
            <w:tcW w:w="751" w:type="dxa"/>
            <w:gridSpan w:val="2"/>
            <w:hideMark/>
          </w:tcPr>
          <w:p w14:paraId="0599ECC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r>
      <w:tr w:rsidR="0081596F" w:rsidRPr="0081596F" w14:paraId="7FB0D126" w14:textId="77777777" w:rsidTr="0081596F">
        <w:tc>
          <w:tcPr>
            <w:tcW w:w="1077" w:type="dxa"/>
            <w:hideMark/>
          </w:tcPr>
          <w:p w14:paraId="3BC01FF0" w14:textId="77777777" w:rsidR="0081596F" w:rsidRPr="0081596F" w:rsidRDefault="0081596F" w:rsidP="0081596F">
            <w:pPr>
              <w:spacing w:before="100" w:beforeAutospacing="1" w:after="100" w:afterAutospacing="1"/>
              <w:rPr>
                <w:sz w:val="20"/>
                <w:szCs w:val="20"/>
              </w:rPr>
            </w:pPr>
            <w:r w:rsidRPr="0081596F">
              <w:rPr>
                <w:color w:val="000000"/>
                <w:sz w:val="20"/>
                <w:szCs w:val="20"/>
              </w:rPr>
              <w:t>2005</w:t>
            </w:r>
          </w:p>
        </w:tc>
        <w:tc>
          <w:tcPr>
            <w:tcW w:w="517" w:type="dxa"/>
            <w:gridSpan w:val="2"/>
            <w:hideMark/>
          </w:tcPr>
          <w:p w14:paraId="5495FD3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21</w:t>
            </w:r>
          </w:p>
        </w:tc>
        <w:tc>
          <w:tcPr>
            <w:tcW w:w="769" w:type="dxa"/>
            <w:hideMark/>
          </w:tcPr>
          <w:p w14:paraId="1921498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31</w:t>
            </w:r>
          </w:p>
        </w:tc>
        <w:tc>
          <w:tcPr>
            <w:tcW w:w="414" w:type="dxa"/>
            <w:hideMark/>
          </w:tcPr>
          <w:p w14:paraId="2D0EB29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27E6DA1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5E49B93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4D542FE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491" w:type="dxa"/>
            <w:hideMark/>
          </w:tcPr>
          <w:p w14:paraId="31BF7DF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677" w:type="dxa"/>
            <w:hideMark/>
          </w:tcPr>
          <w:p w14:paraId="1A50A25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512" w:type="dxa"/>
            <w:hideMark/>
          </w:tcPr>
          <w:p w14:paraId="2271624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72D4739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5B6274D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15</w:t>
            </w:r>
          </w:p>
        </w:tc>
        <w:tc>
          <w:tcPr>
            <w:tcW w:w="677" w:type="dxa"/>
            <w:hideMark/>
          </w:tcPr>
          <w:p w14:paraId="6B293CF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512" w:type="dxa"/>
            <w:hideMark/>
          </w:tcPr>
          <w:p w14:paraId="28158A6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5D6C739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249BCC6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07FCCBF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512" w:type="dxa"/>
            <w:hideMark/>
          </w:tcPr>
          <w:p w14:paraId="08292F4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17</w:t>
            </w:r>
          </w:p>
        </w:tc>
        <w:tc>
          <w:tcPr>
            <w:tcW w:w="677" w:type="dxa"/>
            <w:hideMark/>
          </w:tcPr>
          <w:p w14:paraId="2F067B6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17</w:t>
            </w:r>
          </w:p>
        </w:tc>
        <w:tc>
          <w:tcPr>
            <w:tcW w:w="512" w:type="dxa"/>
            <w:hideMark/>
          </w:tcPr>
          <w:p w14:paraId="26B8C70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19B8429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512" w:type="dxa"/>
            <w:hideMark/>
          </w:tcPr>
          <w:p w14:paraId="4CE0708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23</w:t>
            </w:r>
          </w:p>
        </w:tc>
        <w:tc>
          <w:tcPr>
            <w:tcW w:w="751" w:type="dxa"/>
            <w:gridSpan w:val="2"/>
            <w:hideMark/>
          </w:tcPr>
          <w:p w14:paraId="5949CFA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r>
      <w:tr w:rsidR="0081596F" w:rsidRPr="0081596F" w14:paraId="3730173C" w14:textId="77777777" w:rsidTr="0081596F">
        <w:tc>
          <w:tcPr>
            <w:tcW w:w="1077" w:type="dxa"/>
            <w:hideMark/>
          </w:tcPr>
          <w:p w14:paraId="3D548C93" w14:textId="77777777" w:rsidR="0081596F" w:rsidRPr="0081596F" w:rsidRDefault="0081596F" w:rsidP="0081596F">
            <w:pPr>
              <w:spacing w:before="100" w:beforeAutospacing="1" w:after="100" w:afterAutospacing="1"/>
              <w:rPr>
                <w:sz w:val="20"/>
                <w:szCs w:val="20"/>
              </w:rPr>
            </w:pPr>
            <w:r w:rsidRPr="0081596F">
              <w:rPr>
                <w:color w:val="000000"/>
                <w:sz w:val="20"/>
                <w:szCs w:val="20"/>
              </w:rPr>
              <w:t>2004</w:t>
            </w:r>
          </w:p>
        </w:tc>
        <w:tc>
          <w:tcPr>
            <w:tcW w:w="517" w:type="dxa"/>
            <w:gridSpan w:val="2"/>
            <w:hideMark/>
          </w:tcPr>
          <w:p w14:paraId="6FA1C14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19</w:t>
            </w:r>
          </w:p>
        </w:tc>
        <w:tc>
          <w:tcPr>
            <w:tcW w:w="769" w:type="dxa"/>
            <w:hideMark/>
          </w:tcPr>
          <w:p w14:paraId="2B80FE3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22</w:t>
            </w:r>
          </w:p>
        </w:tc>
        <w:tc>
          <w:tcPr>
            <w:tcW w:w="414" w:type="dxa"/>
            <w:hideMark/>
          </w:tcPr>
          <w:p w14:paraId="0EA53EA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677" w:type="dxa"/>
            <w:hideMark/>
          </w:tcPr>
          <w:p w14:paraId="746148C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425" w:type="dxa"/>
            <w:hideMark/>
          </w:tcPr>
          <w:p w14:paraId="53312E3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20C7CC6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491" w:type="dxa"/>
            <w:hideMark/>
          </w:tcPr>
          <w:p w14:paraId="2BFA4B8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12</w:t>
            </w:r>
          </w:p>
        </w:tc>
        <w:tc>
          <w:tcPr>
            <w:tcW w:w="677" w:type="dxa"/>
            <w:hideMark/>
          </w:tcPr>
          <w:p w14:paraId="3C2FB93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512" w:type="dxa"/>
            <w:hideMark/>
          </w:tcPr>
          <w:p w14:paraId="0DE1E1B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2D9C84F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512" w:type="dxa"/>
            <w:hideMark/>
          </w:tcPr>
          <w:p w14:paraId="68A6CC8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677" w:type="dxa"/>
            <w:hideMark/>
          </w:tcPr>
          <w:p w14:paraId="62004E9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40D4265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25CF9A8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425" w:type="dxa"/>
            <w:hideMark/>
          </w:tcPr>
          <w:p w14:paraId="28679BA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677" w:type="dxa"/>
            <w:hideMark/>
          </w:tcPr>
          <w:p w14:paraId="29CB76D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512" w:type="dxa"/>
            <w:hideMark/>
          </w:tcPr>
          <w:p w14:paraId="7D9AE4C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677" w:type="dxa"/>
            <w:hideMark/>
          </w:tcPr>
          <w:p w14:paraId="3A479BD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512" w:type="dxa"/>
            <w:hideMark/>
          </w:tcPr>
          <w:p w14:paraId="6832FA3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06B72CF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4</w:t>
            </w:r>
          </w:p>
        </w:tc>
        <w:tc>
          <w:tcPr>
            <w:tcW w:w="512" w:type="dxa"/>
            <w:hideMark/>
          </w:tcPr>
          <w:p w14:paraId="3C45A12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17</w:t>
            </w:r>
          </w:p>
        </w:tc>
        <w:tc>
          <w:tcPr>
            <w:tcW w:w="751" w:type="dxa"/>
            <w:gridSpan w:val="2"/>
            <w:hideMark/>
          </w:tcPr>
          <w:p w14:paraId="56452F3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r>
      <w:tr w:rsidR="0081596F" w:rsidRPr="0081596F" w14:paraId="1F173C03" w14:textId="77777777" w:rsidTr="0081596F">
        <w:tc>
          <w:tcPr>
            <w:tcW w:w="1077" w:type="dxa"/>
            <w:hideMark/>
          </w:tcPr>
          <w:p w14:paraId="4AF8279F" w14:textId="77777777" w:rsidR="0081596F" w:rsidRPr="0081596F" w:rsidRDefault="0081596F" w:rsidP="0081596F">
            <w:pPr>
              <w:spacing w:before="100" w:beforeAutospacing="1" w:after="100" w:afterAutospacing="1"/>
              <w:rPr>
                <w:sz w:val="20"/>
                <w:szCs w:val="20"/>
              </w:rPr>
            </w:pPr>
            <w:r w:rsidRPr="0081596F">
              <w:rPr>
                <w:color w:val="000000"/>
                <w:sz w:val="20"/>
                <w:szCs w:val="20"/>
              </w:rPr>
              <w:t>2003</w:t>
            </w:r>
          </w:p>
        </w:tc>
        <w:tc>
          <w:tcPr>
            <w:tcW w:w="517" w:type="dxa"/>
            <w:gridSpan w:val="2"/>
            <w:hideMark/>
          </w:tcPr>
          <w:p w14:paraId="2D14DBE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769" w:type="dxa"/>
            <w:hideMark/>
          </w:tcPr>
          <w:p w14:paraId="1444D7E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11</w:t>
            </w:r>
          </w:p>
        </w:tc>
        <w:tc>
          <w:tcPr>
            <w:tcW w:w="414" w:type="dxa"/>
            <w:hideMark/>
          </w:tcPr>
          <w:p w14:paraId="301C82F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677" w:type="dxa"/>
            <w:hideMark/>
          </w:tcPr>
          <w:p w14:paraId="50D98F8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425" w:type="dxa"/>
            <w:hideMark/>
          </w:tcPr>
          <w:p w14:paraId="45641EA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2CF9137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491" w:type="dxa"/>
            <w:hideMark/>
          </w:tcPr>
          <w:p w14:paraId="6A6C561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677" w:type="dxa"/>
            <w:hideMark/>
          </w:tcPr>
          <w:p w14:paraId="592F30A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512" w:type="dxa"/>
            <w:hideMark/>
          </w:tcPr>
          <w:p w14:paraId="026A6C6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47CCACC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512" w:type="dxa"/>
            <w:hideMark/>
          </w:tcPr>
          <w:p w14:paraId="120D9C4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677" w:type="dxa"/>
            <w:hideMark/>
          </w:tcPr>
          <w:p w14:paraId="2F31009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05EFC46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5A4E2AF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425" w:type="dxa"/>
            <w:hideMark/>
          </w:tcPr>
          <w:p w14:paraId="03D3ECA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677" w:type="dxa"/>
            <w:hideMark/>
          </w:tcPr>
          <w:p w14:paraId="742A73B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1BA73F4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677" w:type="dxa"/>
            <w:hideMark/>
          </w:tcPr>
          <w:p w14:paraId="7A32649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512" w:type="dxa"/>
            <w:hideMark/>
          </w:tcPr>
          <w:p w14:paraId="7A492B9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64198E0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c>
          <w:tcPr>
            <w:tcW w:w="512" w:type="dxa"/>
            <w:hideMark/>
          </w:tcPr>
          <w:p w14:paraId="436A847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8</w:t>
            </w:r>
          </w:p>
        </w:tc>
        <w:tc>
          <w:tcPr>
            <w:tcW w:w="751" w:type="dxa"/>
            <w:gridSpan w:val="2"/>
            <w:hideMark/>
          </w:tcPr>
          <w:p w14:paraId="6868FF4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2</w:t>
            </w:r>
          </w:p>
        </w:tc>
      </w:tr>
      <w:tr w:rsidR="0081596F" w:rsidRPr="0081596F" w14:paraId="37BD875F" w14:textId="77777777" w:rsidTr="0081596F">
        <w:tc>
          <w:tcPr>
            <w:tcW w:w="1077" w:type="dxa"/>
            <w:hideMark/>
          </w:tcPr>
          <w:p w14:paraId="59660F69" w14:textId="77777777" w:rsidR="0081596F" w:rsidRPr="0081596F" w:rsidRDefault="0081596F" w:rsidP="0081596F">
            <w:pPr>
              <w:spacing w:before="100" w:beforeAutospacing="1" w:after="100" w:afterAutospacing="1"/>
              <w:rPr>
                <w:sz w:val="20"/>
                <w:szCs w:val="20"/>
              </w:rPr>
            </w:pPr>
            <w:r w:rsidRPr="0081596F">
              <w:rPr>
                <w:color w:val="000000"/>
                <w:sz w:val="20"/>
                <w:szCs w:val="20"/>
              </w:rPr>
              <w:t>2002</w:t>
            </w:r>
          </w:p>
        </w:tc>
        <w:tc>
          <w:tcPr>
            <w:tcW w:w="517" w:type="dxa"/>
            <w:gridSpan w:val="2"/>
            <w:hideMark/>
          </w:tcPr>
          <w:p w14:paraId="3B6A248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10</w:t>
            </w:r>
          </w:p>
        </w:tc>
        <w:tc>
          <w:tcPr>
            <w:tcW w:w="769" w:type="dxa"/>
            <w:hideMark/>
          </w:tcPr>
          <w:p w14:paraId="72094DA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6</w:t>
            </w:r>
          </w:p>
        </w:tc>
        <w:tc>
          <w:tcPr>
            <w:tcW w:w="414" w:type="dxa"/>
            <w:hideMark/>
          </w:tcPr>
          <w:p w14:paraId="69F3DE7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677" w:type="dxa"/>
            <w:hideMark/>
          </w:tcPr>
          <w:p w14:paraId="4BAB933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425" w:type="dxa"/>
            <w:hideMark/>
          </w:tcPr>
          <w:p w14:paraId="103B801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55ADEDC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491" w:type="dxa"/>
            <w:hideMark/>
          </w:tcPr>
          <w:p w14:paraId="0C8731E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3992192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34DBA36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691906D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512" w:type="dxa"/>
            <w:hideMark/>
          </w:tcPr>
          <w:p w14:paraId="0027CD6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9</w:t>
            </w:r>
          </w:p>
        </w:tc>
        <w:tc>
          <w:tcPr>
            <w:tcW w:w="677" w:type="dxa"/>
            <w:hideMark/>
          </w:tcPr>
          <w:p w14:paraId="11FEDE5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7</w:t>
            </w:r>
          </w:p>
        </w:tc>
        <w:tc>
          <w:tcPr>
            <w:tcW w:w="512" w:type="dxa"/>
            <w:hideMark/>
          </w:tcPr>
          <w:p w14:paraId="79A3F90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229693A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425" w:type="dxa"/>
            <w:hideMark/>
          </w:tcPr>
          <w:p w14:paraId="05ABBD4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677" w:type="dxa"/>
            <w:hideMark/>
          </w:tcPr>
          <w:p w14:paraId="2889CC9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0</w:t>
            </w:r>
          </w:p>
        </w:tc>
        <w:tc>
          <w:tcPr>
            <w:tcW w:w="512" w:type="dxa"/>
            <w:hideMark/>
          </w:tcPr>
          <w:p w14:paraId="497AE81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677" w:type="dxa"/>
            <w:hideMark/>
          </w:tcPr>
          <w:p w14:paraId="0B25AFE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3</w:t>
            </w:r>
          </w:p>
        </w:tc>
        <w:tc>
          <w:tcPr>
            <w:tcW w:w="512" w:type="dxa"/>
            <w:hideMark/>
          </w:tcPr>
          <w:p w14:paraId="3FD97DE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677" w:type="dxa"/>
            <w:hideMark/>
          </w:tcPr>
          <w:p w14:paraId="15BF794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c>
          <w:tcPr>
            <w:tcW w:w="512" w:type="dxa"/>
            <w:hideMark/>
          </w:tcPr>
          <w:p w14:paraId="6D9C96B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5</w:t>
            </w:r>
          </w:p>
        </w:tc>
        <w:tc>
          <w:tcPr>
            <w:tcW w:w="751" w:type="dxa"/>
            <w:gridSpan w:val="2"/>
            <w:hideMark/>
          </w:tcPr>
          <w:p w14:paraId="2B50043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rPr>
              <w:t>1</w:t>
            </w:r>
          </w:p>
        </w:tc>
      </w:tr>
      <w:tr w:rsidR="0081596F" w:rsidRPr="0081596F" w14:paraId="42108ABC" w14:textId="77777777" w:rsidTr="0081596F">
        <w:tc>
          <w:tcPr>
            <w:tcW w:w="1077" w:type="dxa"/>
            <w:tcBorders>
              <w:top w:val="nil"/>
              <w:left w:val="nil"/>
              <w:bottom w:val="single" w:sz="4" w:space="0" w:color="auto"/>
              <w:right w:val="nil"/>
            </w:tcBorders>
            <w:hideMark/>
          </w:tcPr>
          <w:p w14:paraId="7CFF0A7F" w14:textId="77777777" w:rsidR="0081596F" w:rsidRPr="0081596F" w:rsidRDefault="0081596F" w:rsidP="0081596F">
            <w:pPr>
              <w:spacing w:before="100" w:beforeAutospacing="1" w:after="100" w:afterAutospacing="1"/>
              <w:rPr>
                <w:color w:val="000000"/>
                <w:sz w:val="20"/>
                <w:szCs w:val="20"/>
              </w:rPr>
            </w:pPr>
            <w:r w:rsidRPr="0081596F">
              <w:rPr>
                <w:color w:val="000000"/>
                <w:sz w:val="20"/>
                <w:szCs w:val="20"/>
              </w:rPr>
              <w:t>Totals</w:t>
            </w:r>
          </w:p>
        </w:tc>
        <w:tc>
          <w:tcPr>
            <w:tcW w:w="517" w:type="dxa"/>
            <w:gridSpan w:val="2"/>
            <w:tcBorders>
              <w:top w:val="nil"/>
              <w:left w:val="nil"/>
              <w:bottom w:val="single" w:sz="4" w:space="0" w:color="auto"/>
              <w:right w:val="nil"/>
            </w:tcBorders>
            <w:hideMark/>
          </w:tcPr>
          <w:p w14:paraId="5F4292C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280</w:t>
            </w:r>
          </w:p>
        </w:tc>
        <w:tc>
          <w:tcPr>
            <w:tcW w:w="769" w:type="dxa"/>
            <w:tcBorders>
              <w:top w:val="nil"/>
              <w:left w:val="nil"/>
              <w:bottom w:val="single" w:sz="4" w:space="0" w:color="auto"/>
              <w:right w:val="nil"/>
            </w:tcBorders>
            <w:hideMark/>
          </w:tcPr>
          <w:p w14:paraId="180705F7"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464</w:t>
            </w:r>
          </w:p>
        </w:tc>
        <w:tc>
          <w:tcPr>
            <w:tcW w:w="414" w:type="dxa"/>
            <w:tcBorders>
              <w:top w:val="nil"/>
              <w:left w:val="nil"/>
              <w:bottom w:val="single" w:sz="4" w:space="0" w:color="auto"/>
              <w:right w:val="nil"/>
            </w:tcBorders>
            <w:hideMark/>
          </w:tcPr>
          <w:p w14:paraId="607C8462" w14:textId="77777777" w:rsidR="0081596F" w:rsidRPr="0081596F" w:rsidRDefault="0081596F" w:rsidP="0081596F">
            <w:pPr>
              <w:spacing w:before="100" w:beforeAutospacing="1" w:after="100" w:afterAutospacing="1"/>
              <w:rPr>
                <w:color w:val="000000"/>
                <w:sz w:val="20"/>
                <w:szCs w:val="20"/>
              </w:rPr>
            </w:pPr>
            <w:r w:rsidRPr="0081596F">
              <w:rPr>
                <w:color w:val="000000"/>
                <w:sz w:val="20"/>
                <w:szCs w:val="20"/>
              </w:rPr>
              <w:t>93</w:t>
            </w:r>
          </w:p>
        </w:tc>
        <w:tc>
          <w:tcPr>
            <w:tcW w:w="677" w:type="dxa"/>
            <w:tcBorders>
              <w:top w:val="nil"/>
              <w:left w:val="nil"/>
              <w:bottom w:val="single" w:sz="4" w:space="0" w:color="auto"/>
              <w:right w:val="nil"/>
            </w:tcBorders>
            <w:hideMark/>
          </w:tcPr>
          <w:p w14:paraId="23EF9186"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425" w:type="dxa"/>
            <w:tcBorders>
              <w:top w:val="nil"/>
              <w:left w:val="nil"/>
              <w:bottom w:val="single" w:sz="4" w:space="0" w:color="auto"/>
              <w:right w:val="nil"/>
            </w:tcBorders>
            <w:hideMark/>
          </w:tcPr>
          <w:p w14:paraId="38AE8710"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60</w:t>
            </w:r>
          </w:p>
        </w:tc>
        <w:tc>
          <w:tcPr>
            <w:tcW w:w="677" w:type="dxa"/>
            <w:tcBorders>
              <w:top w:val="nil"/>
              <w:left w:val="nil"/>
              <w:bottom w:val="single" w:sz="4" w:space="0" w:color="auto"/>
              <w:right w:val="nil"/>
            </w:tcBorders>
            <w:hideMark/>
          </w:tcPr>
          <w:p w14:paraId="1A80524C"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491" w:type="dxa"/>
            <w:tcBorders>
              <w:top w:val="nil"/>
              <w:left w:val="nil"/>
              <w:bottom w:val="single" w:sz="4" w:space="0" w:color="auto"/>
              <w:right w:val="nil"/>
            </w:tcBorders>
            <w:hideMark/>
          </w:tcPr>
          <w:p w14:paraId="47E1ED26"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99</w:t>
            </w:r>
          </w:p>
        </w:tc>
        <w:tc>
          <w:tcPr>
            <w:tcW w:w="677" w:type="dxa"/>
            <w:tcBorders>
              <w:top w:val="nil"/>
              <w:left w:val="nil"/>
              <w:bottom w:val="single" w:sz="4" w:space="0" w:color="auto"/>
              <w:right w:val="nil"/>
            </w:tcBorders>
            <w:hideMark/>
          </w:tcPr>
          <w:p w14:paraId="4153A5D8"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410E1D8B"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114</w:t>
            </w:r>
          </w:p>
        </w:tc>
        <w:tc>
          <w:tcPr>
            <w:tcW w:w="677" w:type="dxa"/>
            <w:tcBorders>
              <w:top w:val="nil"/>
              <w:left w:val="nil"/>
              <w:bottom w:val="single" w:sz="4" w:space="0" w:color="auto"/>
              <w:right w:val="nil"/>
            </w:tcBorders>
            <w:hideMark/>
          </w:tcPr>
          <w:p w14:paraId="559041AD"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1A345E12"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101</w:t>
            </w:r>
          </w:p>
        </w:tc>
        <w:tc>
          <w:tcPr>
            <w:tcW w:w="677" w:type="dxa"/>
            <w:tcBorders>
              <w:top w:val="nil"/>
              <w:left w:val="nil"/>
              <w:bottom w:val="single" w:sz="4" w:space="0" w:color="auto"/>
              <w:right w:val="nil"/>
            </w:tcBorders>
            <w:hideMark/>
          </w:tcPr>
          <w:p w14:paraId="6609924F"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183EBC44"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215</w:t>
            </w:r>
          </w:p>
        </w:tc>
        <w:tc>
          <w:tcPr>
            <w:tcW w:w="677" w:type="dxa"/>
            <w:tcBorders>
              <w:top w:val="nil"/>
              <w:left w:val="nil"/>
              <w:bottom w:val="single" w:sz="4" w:space="0" w:color="auto"/>
              <w:right w:val="nil"/>
            </w:tcBorders>
            <w:hideMark/>
          </w:tcPr>
          <w:p w14:paraId="39C92ED5"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425" w:type="dxa"/>
            <w:tcBorders>
              <w:top w:val="nil"/>
              <w:left w:val="nil"/>
              <w:bottom w:val="single" w:sz="4" w:space="0" w:color="auto"/>
              <w:right w:val="nil"/>
            </w:tcBorders>
            <w:hideMark/>
          </w:tcPr>
          <w:p w14:paraId="761668B5"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76</w:t>
            </w:r>
          </w:p>
        </w:tc>
        <w:tc>
          <w:tcPr>
            <w:tcW w:w="677" w:type="dxa"/>
            <w:tcBorders>
              <w:top w:val="nil"/>
              <w:left w:val="nil"/>
              <w:bottom w:val="single" w:sz="4" w:space="0" w:color="auto"/>
              <w:right w:val="nil"/>
            </w:tcBorders>
            <w:hideMark/>
          </w:tcPr>
          <w:p w14:paraId="54BBE4F5"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474B78EC"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160</w:t>
            </w:r>
          </w:p>
        </w:tc>
        <w:tc>
          <w:tcPr>
            <w:tcW w:w="677" w:type="dxa"/>
            <w:tcBorders>
              <w:top w:val="nil"/>
              <w:left w:val="nil"/>
              <w:bottom w:val="single" w:sz="4" w:space="0" w:color="auto"/>
              <w:right w:val="nil"/>
            </w:tcBorders>
            <w:hideMark/>
          </w:tcPr>
          <w:p w14:paraId="356AE17B"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60590D2A" w14:textId="77777777" w:rsidR="0081596F" w:rsidRPr="0081596F" w:rsidRDefault="0081596F" w:rsidP="0081596F">
            <w:pPr>
              <w:spacing w:before="100" w:beforeAutospacing="1" w:after="100" w:afterAutospacing="1"/>
              <w:rPr>
                <w:color w:val="000000"/>
                <w:sz w:val="20"/>
                <w:szCs w:val="20"/>
              </w:rPr>
            </w:pPr>
            <w:r w:rsidRPr="0081596F">
              <w:rPr>
                <w:color w:val="000000"/>
                <w:sz w:val="20"/>
                <w:szCs w:val="20"/>
              </w:rPr>
              <w:t>129</w:t>
            </w:r>
          </w:p>
        </w:tc>
        <w:tc>
          <w:tcPr>
            <w:tcW w:w="677" w:type="dxa"/>
            <w:tcBorders>
              <w:top w:val="nil"/>
              <w:left w:val="nil"/>
              <w:bottom w:val="single" w:sz="4" w:space="0" w:color="auto"/>
              <w:right w:val="nil"/>
            </w:tcBorders>
            <w:hideMark/>
          </w:tcPr>
          <w:p w14:paraId="535AEA29"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c>
          <w:tcPr>
            <w:tcW w:w="512" w:type="dxa"/>
            <w:tcBorders>
              <w:top w:val="nil"/>
              <w:left w:val="nil"/>
              <w:bottom w:val="single" w:sz="4" w:space="0" w:color="auto"/>
              <w:right w:val="nil"/>
            </w:tcBorders>
            <w:hideMark/>
          </w:tcPr>
          <w:p w14:paraId="61D601EE"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335</w:t>
            </w:r>
          </w:p>
        </w:tc>
        <w:tc>
          <w:tcPr>
            <w:tcW w:w="751" w:type="dxa"/>
            <w:gridSpan w:val="2"/>
            <w:tcBorders>
              <w:top w:val="nil"/>
              <w:left w:val="nil"/>
              <w:bottom w:val="single" w:sz="4" w:space="0" w:color="auto"/>
              <w:right w:val="nil"/>
            </w:tcBorders>
            <w:hideMark/>
          </w:tcPr>
          <w:p w14:paraId="6A14FBE6" w14:textId="77777777" w:rsidR="0081596F" w:rsidRPr="0081596F" w:rsidRDefault="0081596F" w:rsidP="0081596F">
            <w:pPr>
              <w:spacing w:before="100" w:beforeAutospacing="1" w:after="100" w:afterAutospacing="1"/>
              <w:jc w:val="center"/>
              <w:rPr>
                <w:color w:val="000000"/>
                <w:sz w:val="20"/>
                <w:szCs w:val="20"/>
              </w:rPr>
            </w:pPr>
            <w:r w:rsidRPr="0081596F">
              <w:rPr>
                <w:color w:val="000000"/>
                <w:sz w:val="20"/>
                <w:szCs w:val="20"/>
              </w:rPr>
              <w:t>100%</w:t>
            </w:r>
          </w:p>
        </w:tc>
      </w:tr>
    </w:tbl>
    <w:p w14:paraId="0FA72285" w14:textId="77777777" w:rsidR="0081596F" w:rsidRPr="0081596F" w:rsidRDefault="0081596F" w:rsidP="0081596F">
      <w:pPr>
        <w:jc w:val="both"/>
        <w:rPr>
          <w:color w:val="FF0000"/>
          <w:sz w:val="20"/>
          <w:szCs w:val="20"/>
        </w:rPr>
      </w:pPr>
      <w:r w:rsidRPr="0081596F">
        <w:rPr>
          <w:sz w:val="20"/>
          <w:szCs w:val="20"/>
        </w:rPr>
        <w:t>Notes: This table presents the distribution of M&amp;A deals across different years and across single and multiple acquirers. The table also shows the yearly spread of the deals for the single (S) and multiple (M) acquirers in relation to payment method, cash (C), stock (</w:t>
      </w:r>
      <w:proofErr w:type="spellStart"/>
      <w:r w:rsidRPr="0081596F">
        <w:rPr>
          <w:sz w:val="20"/>
          <w:szCs w:val="20"/>
        </w:rPr>
        <w:t>Sk</w:t>
      </w:r>
      <w:proofErr w:type="spellEnd"/>
      <w:r w:rsidRPr="0081596F">
        <w:rPr>
          <w:sz w:val="20"/>
          <w:szCs w:val="20"/>
        </w:rPr>
        <w:t xml:space="preserve">) and mixed (Mx) and in terms of related (R) versus diversifying (D) acquisitions. </w:t>
      </w:r>
    </w:p>
    <w:p w14:paraId="19E40217" w14:textId="77777777" w:rsidR="0081596F" w:rsidRPr="0081596F" w:rsidRDefault="0081596F" w:rsidP="0081596F">
      <w:pPr>
        <w:jc w:val="center"/>
      </w:pPr>
    </w:p>
    <w:p w14:paraId="5B30E18E" w14:textId="77777777" w:rsidR="0081596F" w:rsidRPr="0081596F" w:rsidRDefault="0081596F" w:rsidP="0081596F">
      <w:pPr>
        <w:jc w:val="center"/>
      </w:pPr>
    </w:p>
    <w:p w14:paraId="7D49DD13" w14:textId="77777777" w:rsidR="0081596F" w:rsidRPr="0081596F" w:rsidRDefault="0081596F" w:rsidP="0081596F">
      <w:pPr>
        <w:jc w:val="center"/>
      </w:pPr>
    </w:p>
    <w:p w14:paraId="15B30F9A" w14:textId="77777777" w:rsidR="0081596F" w:rsidRPr="0081596F" w:rsidRDefault="0081596F" w:rsidP="0081596F">
      <w:pPr>
        <w:jc w:val="center"/>
      </w:pPr>
    </w:p>
    <w:p w14:paraId="116A376D" w14:textId="77777777" w:rsidR="0081596F" w:rsidRPr="0081596F" w:rsidRDefault="0081596F" w:rsidP="0081596F">
      <w:pPr>
        <w:jc w:val="center"/>
      </w:pPr>
    </w:p>
    <w:p w14:paraId="32DD1815" w14:textId="77777777" w:rsidR="0081596F" w:rsidRPr="0081596F" w:rsidRDefault="0081596F" w:rsidP="0081596F">
      <w:pPr>
        <w:jc w:val="center"/>
      </w:pPr>
    </w:p>
    <w:p w14:paraId="66F19C0B" w14:textId="77777777" w:rsidR="0081596F" w:rsidRPr="0081596F" w:rsidRDefault="0081596F" w:rsidP="0081596F">
      <w:pPr>
        <w:jc w:val="center"/>
      </w:pPr>
    </w:p>
    <w:p w14:paraId="5DFC3799" w14:textId="77777777" w:rsidR="0081596F" w:rsidRPr="0081596F" w:rsidRDefault="0081596F" w:rsidP="0081596F">
      <w:pPr>
        <w:jc w:val="center"/>
      </w:pPr>
    </w:p>
    <w:p w14:paraId="2FEDCE1C" w14:textId="77777777" w:rsidR="0081596F" w:rsidRPr="0081596F" w:rsidRDefault="0081596F" w:rsidP="0081596F">
      <w:pPr>
        <w:jc w:val="center"/>
      </w:pPr>
    </w:p>
    <w:p w14:paraId="5108E6BB" w14:textId="77777777" w:rsidR="0081596F" w:rsidRPr="0081596F" w:rsidRDefault="0081596F" w:rsidP="0081596F">
      <w:pPr>
        <w:jc w:val="center"/>
      </w:pPr>
    </w:p>
    <w:p w14:paraId="5D88769D" w14:textId="77777777" w:rsidR="0081596F" w:rsidRPr="0081596F" w:rsidRDefault="0081596F" w:rsidP="0081596F">
      <w:pPr>
        <w:jc w:val="center"/>
      </w:pPr>
    </w:p>
    <w:p w14:paraId="573B4757" w14:textId="77777777" w:rsidR="0081596F" w:rsidRPr="0081596F" w:rsidRDefault="0081596F" w:rsidP="0081596F">
      <w:pPr>
        <w:jc w:val="center"/>
      </w:pPr>
    </w:p>
    <w:p w14:paraId="182CBA70" w14:textId="77777777" w:rsidR="0081596F" w:rsidRPr="0081596F" w:rsidRDefault="0081596F" w:rsidP="0081596F">
      <w:r w:rsidRPr="0081596F">
        <w:t>Table 3 Variable definitions</w:t>
      </w:r>
    </w:p>
    <w:tbl>
      <w:tblPr>
        <w:tblStyle w:val="TableGrid2"/>
        <w:tblW w:w="13950" w:type="dxa"/>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687"/>
      </w:tblGrid>
      <w:tr w:rsidR="0081596F" w:rsidRPr="0081596F" w14:paraId="66FDD444" w14:textId="77777777" w:rsidTr="0081596F">
        <w:tc>
          <w:tcPr>
            <w:tcW w:w="2263" w:type="dxa"/>
            <w:tcBorders>
              <w:top w:val="single" w:sz="4" w:space="0" w:color="auto"/>
              <w:left w:val="nil"/>
              <w:bottom w:val="nil"/>
              <w:right w:val="nil"/>
            </w:tcBorders>
            <w:hideMark/>
          </w:tcPr>
          <w:p w14:paraId="06F90866"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Variable name</w:t>
            </w:r>
          </w:p>
        </w:tc>
        <w:tc>
          <w:tcPr>
            <w:tcW w:w="11687" w:type="dxa"/>
            <w:tcBorders>
              <w:top w:val="single" w:sz="4" w:space="0" w:color="auto"/>
              <w:left w:val="nil"/>
              <w:bottom w:val="nil"/>
              <w:right w:val="nil"/>
            </w:tcBorders>
            <w:hideMark/>
          </w:tcPr>
          <w:p w14:paraId="1AC3DCE4"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Definition</w:t>
            </w:r>
          </w:p>
        </w:tc>
      </w:tr>
      <w:tr w:rsidR="0081596F" w:rsidRPr="0081596F" w14:paraId="3C1ECA18" w14:textId="77777777" w:rsidTr="0081596F">
        <w:tc>
          <w:tcPr>
            <w:tcW w:w="2263" w:type="dxa"/>
            <w:tcBorders>
              <w:top w:val="nil"/>
              <w:left w:val="nil"/>
              <w:bottom w:val="single" w:sz="4" w:space="0" w:color="auto"/>
              <w:right w:val="nil"/>
            </w:tcBorders>
            <w:hideMark/>
          </w:tcPr>
          <w:p w14:paraId="32C532CF"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Dependent variable</w:t>
            </w:r>
          </w:p>
        </w:tc>
        <w:tc>
          <w:tcPr>
            <w:tcW w:w="11687" w:type="dxa"/>
            <w:tcBorders>
              <w:top w:val="nil"/>
              <w:left w:val="nil"/>
              <w:bottom w:val="single" w:sz="4" w:space="0" w:color="auto"/>
              <w:right w:val="nil"/>
            </w:tcBorders>
          </w:tcPr>
          <w:p w14:paraId="523AFD93" w14:textId="77777777" w:rsidR="0081596F" w:rsidRPr="0081596F" w:rsidRDefault="0081596F" w:rsidP="0081596F">
            <w:pPr>
              <w:spacing w:before="100" w:beforeAutospacing="1" w:after="100" w:afterAutospacing="1"/>
            </w:pPr>
          </w:p>
        </w:tc>
      </w:tr>
      <w:tr w:rsidR="0081596F" w:rsidRPr="0081596F" w14:paraId="2348FE68" w14:textId="77777777" w:rsidTr="0081596F">
        <w:tc>
          <w:tcPr>
            <w:tcW w:w="2263" w:type="dxa"/>
            <w:tcBorders>
              <w:top w:val="single" w:sz="4" w:space="0" w:color="auto"/>
              <w:left w:val="nil"/>
              <w:bottom w:val="nil"/>
              <w:right w:val="nil"/>
            </w:tcBorders>
            <w:hideMark/>
          </w:tcPr>
          <w:p w14:paraId="043BBE7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(-1, +1)</w:t>
            </w:r>
          </w:p>
        </w:tc>
        <w:tc>
          <w:tcPr>
            <w:tcW w:w="11687" w:type="dxa"/>
            <w:tcBorders>
              <w:top w:val="single" w:sz="4" w:space="0" w:color="auto"/>
              <w:left w:val="nil"/>
              <w:bottom w:val="nil"/>
              <w:right w:val="nil"/>
            </w:tcBorders>
            <w:hideMark/>
          </w:tcPr>
          <w:p w14:paraId="030649C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Cumulative Abnormal Returns of the acquiring firms in the 3 days window of the announcement of M&amp;A.</w:t>
            </w:r>
          </w:p>
        </w:tc>
      </w:tr>
      <w:tr w:rsidR="0081596F" w:rsidRPr="0081596F" w14:paraId="16A6204B" w14:textId="77777777" w:rsidTr="0081596F">
        <w:tc>
          <w:tcPr>
            <w:tcW w:w="2263" w:type="dxa"/>
            <w:tcBorders>
              <w:top w:val="nil"/>
              <w:left w:val="nil"/>
              <w:bottom w:val="nil"/>
              <w:right w:val="nil"/>
            </w:tcBorders>
            <w:hideMark/>
          </w:tcPr>
          <w:p w14:paraId="4254AE9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(-2, +2)</w:t>
            </w:r>
          </w:p>
        </w:tc>
        <w:tc>
          <w:tcPr>
            <w:tcW w:w="11687" w:type="dxa"/>
            <w:tcBorders>
              <w:top w:val="nil"/>
              <w:left w:val="nil"/>
              <w:bottom w:val="nil"/>
              <w:right w:val="nil"/>
            </w:tcBorders>
            <w:hideMark/>
          </w:tcPr>
          <w:p w14:paraId="45BA499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Cumulative Abnormal Returns of the acquiring firms in the 5 days window of the announcement of M&amp;A.</w:t>
            </w:r>
          </w:p>
        </w:tc>
      </w:tr>
      <w:tr w:rsidR="0081596F" w:rsidRPr="0081596F" w14:paraId="29909248" w14:textId="77777777" w:rsidTr="0081596F">
        <w:tc>
          <w:tcPr>
            <w:tcW w:w="2263" w:type="dxa"/>
            <w:tcBorders>
              <w:top w:val="nil"/>
              <w:left w:val="nil"/>
              <w:bottom w:val="nil"/>
              <w:right w:val="nil"/>
            </w:tcBorders>
            <w:hideMark/>
          </w:tcPr>
          <w:p w14:paraId="7E31891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 xml:space="preserve"> BHAR 12</w:t>
            </w:r>
          </w:p>
        </w:tc>
        <w:tc>
          <w:tcPr>
            <w:tcW w:w="11687" w:type="dxa"/>
            <w:tcBorders>
              <w:top w:val="nil"/>
              <w:left w:val="nil"/>
              <w:bottom w:val="nil"/>
              <w:right w:val="nil"/>
            </w:tcBorders>
            <w:hideMark/>
          </w:tcPr>
          <w:p w14:paraId="4D64A81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 months Buy and Hold Abnormal Returns following the date of merger completion.</w:t>
            </w:r>
          </w:p>
        </w:tc>
      </w:tr>
      <w:tr w:rsidR="0081596F" w:rsidRPr="0081596F" w14:paraId="158623D2" w14:textId="77777777" w:rsidTr="0081596F">
        <w:tc>
          <w:tcPr>
            <w:tcW w:w="2263" w:type="dxa"/>
            <w:tcBorders>
              <w:top w:val="nil"/>
              <w:left w:val="nil"/>
              <w:bottom w:val="single" w:sz="4" w:space="0" w:color="auto"/>
              <w:right w:val="nil"/>
            </w:tcBorders>
            <w:hideMark/>
          </w:tcPr>
          <w:p w14:paraId="2A48A28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BHAR 24</w:t>
            </w:r>
          </w:p>
        </w:tc>
        <w:tc>
          <w:tcPr>
            <w:tcW w:w="11687" w:type="dxa"/>
            <w:tcBorders>
              <w:top w:val="nil"/>
              <w:left w:val="nil"/>
              <w:bottom w:val="single" w:sz="4" w:space="0" w:color="auto"/>
              <w:right w:val="nil"/>
            </w:tcBorders>
            <w:hideMark/>
          </w:tcPr>
          <w:p w14:paraId="3F90151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 months Buy and Hold Abnormal Returns following the date of merger completion.</w:t>
            </w:r>
          </w:p>
        </w:tc>
      </w:tr>
      <w:tr w:rsidR="0081596F" w:rsidRPr="0081596F" w14:paraId="1FA05165" w14:textId="77777777" w:rsidTr="0081596F">
        <w:tc>
          <w:tcPr>
            <w:tcW w:w="2263" w:type="dxa"/>
            <w:tcBorders>
              <w:top w:val="single" w:sz="4" w:space="0" w:color="auto"/>
              <w:left w:val="nil"/>
              <w:bottom w:val="single" w:sz="4" w:space="0" w:color="auto"/>
              <w:right w:val="nil"/>
            </w:tcBorders>
            <w:hideMark/>
          </w:tcPr>
          <w:p w14:paraId="5618EA8E"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Independent variables</w:t>
            </w:r>
          </w:p>
        </w:tc>
        <w:tc>
          <w:tcPr>
            <w:tcW w:w="11687" w:type="dxa"/>
            <w:tcBorders>
              <w:top w:val="single" w:sz="4" w:space="0" w:color="auto"/>
              <w:left w:val="nil"/>
              <w:bottom w:val="single" w:sz="4" w:space="0" w:color="auto"/>
              <w:right w:val="nil"/>
            </w:tcBorders>
          </w:tcPr>
          <w:p w14:paraId="14EB3D6E" w14:textId="77777777" w:rsidR="0081596F" w:rsidRPr="0081596F" w:rsidRDefault="0081596F" w:rsidP="0081596F">
            <w:pPr>
              <w:spacing w:before="100" w:beforeAutospacing="1" w:after="100" w:afterAutospacing="1"/>
            </w:pPr>
          </w:p>
        </w:tc>
      </w:tr>
      <w:tr w:rsidR="0081596F" w:rsidRPr="0081596F" w14:paraId="27B102BB" w14:textId="77777777" w:rsidTr="0081596F">
        <w:tc>
          <w:tcPr>
            <w:tcW w:w="2263" w:type="dxa"/>
            <w:tcBorders>
              <w:top w:val="single" w:sz="4" w:space="0" w:color="auto"/>
              <w:left w:val="nil"/>
              <w:bottom w:val="nil"/>
              <w:right w:val="nil"/>
            </w:tcBorders>
            <w:hideMark/>
          </w:tcPr>
          <w:p w14:paraId="645F5E8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Fraction of male directors</w:t>
            </w:r>
          </w:p>
        </w:tc>
        <w:tc>
          <w:tcPr>
            <w:tcW w:w="11687" w:type="dxa"/>
            <w:tcBorders>
              <w:top w:val="single" w:sz="4" w:space="0" w:color="auto"/>
              <w:left w:val="nil"/>
              <w:bottom w:val="nil"/>
              <w:right w:val="nil"/>
            </w:tcBorders>
            <w:hideMark/>
          </w:tcPr>
          <w:p w14:paraId="39B9CB1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Number of male directors in the board divided by board size</w:t>
            </w:r>
          </w:p>
        </w:tc>
      </w:tr>
      <w:tr w:rsidR="0081596F" w:rsidRPr="0081596F" w14:paraId="0AE81CAB" w14:textId="77777777" w:rsidTr="0081596F">
        <w:tc>
          <w:tcPr>
            <w:tcW w:w="2263" w:type="dxa"/>
            <w:tcBorders>
              <w:top w:val="nil"/>
              <w:left w:val="nil"/>
              <w:bottom w:val="nil"/>
              <w:right w:val="nil"/>
            </w:tcBorders>
            <w:hideMark/>
          </w:tcPr>
          <w:p w14:paraId="4CC27D7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Multiple</w:t>
            </w:r>
          </w:p>
        </w:tc>
        <w:tc>
          <w:tcPr>
            <w:tcW w:w="11687" w:type="dxa"/>
            <w:tcBorders>
              <w:top w:val="nil"/>
              <w:left w:val="nil"/>
              <w:bottom w:val="nil"/>
              <w:right w:val="nil"/>
            </w:tcBorders>
            <w:hideMark/>
          </w:tcPr>
          <w:p w14:paraId="5C53837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 xml:space="preserve">Dummy variable that takes the of value of 1 if the firm has completed five or more acquisitions within three years of the first acquisition. </w:t>
            </w:r>
          </w:p>
        </w:tc>
      </w:tr>
      <w:tr w:rsidR="0081596F" w:rsidRPr="0081596F" w14:paraId="3A06EEAD" w14:textId="77777777" w:rsidTr="0081596F">
        <w:tc>
          <w:tcPr>
            <w:tcW w:w="2263" w:type="dxa"/>
            <w:tcBorders>
              <w:top w:val="nil"/>
              <w:left w:val="nil"/>
              <w:bottom w:val="nil"/>
              <w:right w:val="nil"/>
            </w:tcBorders>
            <w:hideMark/>
          </w:tcPr>
          <w:p w14:paraId="05A07FD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Cash</w:t>
            </w:r>
          </w:p>
        </w:tc>
        <w:tc>
          <w:tcPr>
            <w:tcW w:w="11687" w:type="dxa"/>
            <w:tcBorders>
              <w:top w:val="nil"/>
              <w:left w:val="nil"/>
              <w:bottom w:val="nil"/>
              <w:right w:val="nil"/>
            </w:tcBorders>
            <w:hideMark/>
          </w:tcPr>
          <w:p w14:paraId="795481D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Dummy variable that takes the value of 1 if cash is used as the method of payment and 0 otherwise.</w:t>
            </w:r>
          </w:p>
        </w:tc>
      </w:tr>
      <w:tr w:rsidR="0081596F" w:rsidRPr="0081596F" w14:paraId="5CD73A5E" w14:textId="77777777" w:rsidTr="0081596F">
        <w:tc>
          <w:tcPr>
            <w:tcW w:w="2263" w:type="dxa"/>
            <w:tcBorders>
              <w:top w:val="nil"/>
              <w:left w:val="nil"/>
              <w:bottom w:val="nil"/>
              <w:right w:val="nil"/>
            </w:tcBorders>
            <w:hideMark/>
          </w:tcPr>
          <w:p w14:paraId="36FF323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Stock</w:t>
            </w:r>
          </w:p>
        </w:tc>
        <w:tc>
          <w:tcPr>
            <w:tcW w:w="11687" w:type="dxa"/>
            <w:tcBorders>
              <w:top w:val="nil"/>
              <w:left w:val="nil"/>
              <w:bottom w:val="nil"/>
              <w:right w:val="nil"/>
            </w:tcBorders>
            <w:hideMark/>
          </w:tcPr>
          <w:p w14:paraId="77358FB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Dummy variable that takes the value of 1 if stock is used as the method of payment and 0 otherwise.</w:t>
            </w:r>
          </w:p>
        </w:tc>
      </w:tr>
      <w:tr w:rsidR="0081596F" w:rsidRPr="0081596F" w14:paraId="7E3236ED" w14:textId="77777777" w:rsidTr="0081596F">
        <w:tc>
          <w:tcPr>
            <w:tcW w:w="2263" w:type="dxa"/>
            <w:tcBorders>
              <w:top w:val="nil"/>
              <w:left w:val="nil"/>
              <w:bottom w:val="nil"/>
              <w:right w:val="nil"/>
            </w:tcBorders>
            <w:hideMark/>
          </w:tcPr>
          <w:p w14:paraId="47E70EB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Related</w:t>
            </w:r>
          </w:p>
        </w:tc>
        <w:tc>
          <w:tcPr>
            <w:tcW w:w="11687" w:type="dxa"/>
            <w:tcBorders>
              <w:top w:val="nil"/>
              <w:left w:val="nil"/>
              <w:bottom w:val="nil"/>
              <w:right w:val="nil"/>
            </w:tcBorders>
            <w:hideMark/>
          </w:tcPr>
          <w:p w14:paraId="062CC29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Dummy variables that takes the value of 1if the merger has taken place within the same industry and 0 otherwise.</w:t>
            </w:r>
          </w:p>
        </w:tc>
      </w:tr>
      <w:tr w:rsidR="0081596F" w:rsidRPr="0081596F" w14:paraId="3E92C610" w14:textId="77777777" w:rsidTr="0081596F">
        <w:tc>
          <w:tcPr>
            <w:tcW w:w="2263" w:type="dxa"/>
            <w:tcBorders>
              <w:top w:val="nil"/>
              <w:left w:val="nil"/>
              <w:bottom w:val="nil"/>
              <w:right w:val="nil"/>
            </w:tcBorders>
            <w:hideMark/>
          </w:tcPr>
          <w:p w14:paraId="67723003"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Control variables</w:t>
            </w:r>
          </w:p>
        </w:tc>
        <w:tc>
          <w:tcPr>
            <w:tcW w:w="11687" w:type="dxa"/>
            <w:tcBorders>
              <w:top w:val="nil"/>
              <w:left w:val="nil"/>
              <w:bottom w:val="nil"/>
              <w:right w:val="nil"/>
            </w:tcBorders>
          </w:tcPr>
          <w:p w14:paraId="22A8BE21" w14:textId="77777777" w:rsidR="0081596F" w:rsidRPr="0081596F" w:rsidRDefault="0081596F" w:rsidP="0081596F">
            <w:pPr>
              <w:spacing w:before="100" w:beforeAutospacing="1" w:after="100" w:afterAutospacing="1"/>
            </w:pPr>
          </w:p>
        </w:tc>
      </w:tr>
      <w:tr w:rsidR="0081596F" w:rsidRPr="0081596F" w14:paraId="1EE7C4E9" w14:textId="77777777" w:rsidTr="0081596F">
        <w:tc>
          <w:tcPr>
            <w:tcW w:w="2263" w:type="dxa"/>
            <w:tcBorders>
              <w:top w:val="nil"/>
              <w:left w:val="nil"/>
              <w:bottom w:val="nil"/>
              <w:right w:val="nil"/>
            </w:tcBorders>
            <w:hideMark/>
          </w:tcPr>
          <w:p w14:paraId="1FC537F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CEO duality</w:t>
            </w:r>
          </w:p>
        </w:tc>
        <w:tc>
          <w:tcPr>
            <w:tcW w:w="11687" w:type="dxa"/>
            <w:tcBorders>
              <w:top w:val="nil"/>
              <w:left w:val="nil"/>
              <w:bottom w:val="nil"/>
              <w:right w:val="nil"/>
            </w:tcBorders>
            <w:hideMark/>
          </w:tcPr>
          <w:p w14:paraId="6C01DF7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Dummy variable that takes the value of 1 if the CEO is also the Chairman of the firm and 0 otherwise.</w:t>
            </w:r>
          </w:p>
        </w:tc>
      </w:tr>
      <w:tr w:rsidR="0081596F" w:rsidRPr="0081596F" w14:paraId="78565796" w14:textId="77777777" w:rsidTr="0081596F">
        <w:tc>
          <w:tcPr>
            <w:tcW w:w="2263" w:type="dxa"/>
            <w:tcBorders>
              <w:top w:val="nil"/>
              <w:left w:val="nil"/>
              <w:bottom w:val="nil"/>
              <w:right w:val="nil"/>
            </w:tcBorders>
            <w:hideMark/>
          </w:tcPr>
          <w:p w14:paraId="3C79D3E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Board size</w:t>
            </w:r>
          </w:p>
        </w:tc>
        <w:tc>
          <w:tcPr>
            <w:tcW w:w="11687" w:type="dxa"/>
            <w:tcBorders>
              <w:top w:val="nil"/>
              <w:left w:val="nil"/>
              <w:bottom w:val="nil"/>
              <w:right w:val="nil"/>
            </w:tcBorders>
            <w:hideMark/>
          </w:tcPr>
          <w:p w14:paraId="28C3BDD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Number of total directors on the board.</w:t>
            </w:r>
          </w:p>
        </w:tc>
      </w:tr>
      <w:tr w:rsidR="0081596F" w:rsidRPr="0081596F" w14:paraId="4A1A8575" w14:textId="77777777" w:rsidTr="0081596F">
        <w:tc>
          <w:tcPr>
            <w:tcW w:w="2263" w:type="dxa"/>
            <w:tcBorders>
              <w:top w:val="nil"/>
              <w:left w:val="nil"/>
              <w:bottom w:val="nil"/>
              <w:right w:val="nil"/>
            </w:tcBorders>
            <w:hideMark/>
          </w:tcPr>
          <w:p w14:paraId="236B131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Board Independence</w:t>
            </w:r>
          </w:p>
        </w:tc>
        <w:tc>
          <w:tcPr>
            <w:tcW w:w="11687" w:type="dxa"/>
            <w:tcBorders>
              <w:top w:val="nil"/>
              <w:left w:val="nil"/>
              <w:bottom w:val="nil"/>
              <w:right w:val="nil"/>
            </w:tcBorders>
            <w:hideMark/>
          </w:tcPr>
          <w:p w14:paraId="5DC783D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Number of independent directors.</w:t>
            </w:r>
          </w:p>
        </w:tc>
      </w:tr>
      <w:tr w:rsidR="0081596F" w:rsidRPr="0081596F" w14:paraId="566E9D11" w14:textId="77777777" w:rsidTr="0081596F">
        <w:tc>
          <w:tcPr>
            <w:tcW w:w="2263" w:type="dxa"/>
            <w:tcBorders>
              <w:top w:val="nil"/>
              <w:left w:val="nil"/>
              <w:bottom w:val="nil"/>
              <w:right w:val="nil"/>
            </w:tcBorders>
            <w:hideMark/>
          </w:tcPr>
          <w:p w14:paraId="767EC0FA" w14:textId="77777777" w:rsidR="0081596F" w:rsidRPr="0081596F" w:rsidRDefault="0081596F" w:rsidP="0081596F">
            <w:pPr>
              <w:spacing w:before="100" w:beforeAutospacing="1" w:after="100" w:afterAutospacing="1"/>
            </w:pPr>
            <w:proofErr w:type="spellStart"/>
            <w:r w:rsidRPr="0081596F">
              <w:rPr>
                <w:rFonts w:eastAsia="Calibri"/>
                <w:color w:val="000000"/>
                <w:sz w:val="20"/>
                <w:szCs w:val="20"/>
                <w:lang w:val="en-US"/>
              </w:rPr>
              <w:t>TobinsQ</w:t>
            </w:r>
            <w:proofErr w:type="spellEnd"/>
          </w:p>
        </w:tc>
        <w:tc>
          <w:tcPr>
            <w:tcW w:w="11687" w:type="dxa"/>
            <w:tcBorders>
              <w:top w:val="nil"/>
              <w:left w:val="nil"/>
              <w:bottom w:val="nil"/>
              <w:right w:val="nil"/>
            </w:tcBorders>
            <w:hideMark/>
          </w:tcPr>
          <w:p w14:paraId="77BE311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A market-based measure which is measured as the book value of total assets minus the book value of common equity plus the market value of common equity divided by the book value of total assets.</w:t>
            </w:r>
          </w:p>
        </w:tc>
      </w:tr>
      <w:tr w:rsidR="0081596F" w:rsidRPr="0081596F" w14:paraId="4126987D" w14:textId="77777777" w:rsidTr="0081596F">
        <w:trPr>
          <w:trHeight w:val="85"/>
        </w:trPr>
        <w:tc>
          <w:tcPr>
            <w:tcW w:w="2263" w:type="dxa"/>
            <w:tcBorders>
              <w:top w:val="nil"/>
              <w:left w:val="nil"/>
              <w:bottom w:val="single" w:sz="4" w:space="0" w:color="auto"/>
              <w:right w:val="nil"/>
            </w:tcBorders>
            <w:hideMark/>
          </w:tcPr>
          <w:p w14:paraId="6C8C814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Leverage</w:t>
            </w:r>
          </w:p>
        </w:tc>
        <w:tc>
          <w:tcPr>
            <w:tcW w:w="11687" w:type="dxa"/>
            <w:tcBorders>
              <w:top w:val="nil"/>
              <w:left w:val="nil"/>
              <w:bottom w:val="single" w:sz="4" w:space="0" w:color="auto"/>
              <w:right w:val="nil"/>
            </w:tcBorders>
            <w:hideMark/>
          </w:tcPr>
          <w:p w14:paraId="65491E9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A ratio measuring total debt to total assets.</w:t>
            </w:r>
          </w:p>
        </w:tc>
      </w:tr>
    </w:tbl>
    <w:p w14:paraId="00B4B7E6" w14:textId="77777777" w:rsidR="0081596F" w:rsidRPr="0081596F" w:rsidRDefault="0081596F" w:rsidP="0081596F">
      <w:pPr>
        <w:jc w:val="center"/>
      </w:pPr>
    </w:p>
    <w:p w14:paraId="2FFFA6C8" w14:textId="77777777" w:rsidR="0081596F" w:rsidRPr="0081596F" w:rsidRDefault="0081596F" w:rsidP="0081596F">
      <w:pPr>
        <w:jc w:val="center"/>
      </w:pPr>
    </w:p>
    <w:p w14:paraId="7DAE1148" w14:textId="77777777" w:rsidR="0081596F" w:rsidRPr="0081596F" w:rsidRDefault="0081596F" w:rsidP="0081596F">
      <w:pPr>
        <w:jc w:val="center"/>
      </w:pPr>
    </w:p>
    <w:p w14:paraId="19D9FF91" w14:textId="77777777" w:rsidR="0081596F" w:rsidRPr="0081596F" w:rsidRDefault="0081596F" w:rsidP="0081596F">
      <w:pPr>
        <w:jc w:val="center"/>
      </w:pPr>
    </w:p>
    <w:p w14:paraId="5B2E180B" w14:textId="77777777" w:rsidR="0081596F" w:rsidRPr="0081596F" w:rsidRDefault="0081596F" w:rsidP="0081596F">
      <w:pPr>
        <w:jc w:val="center"/>
      </w:pPr>
    </w:p>
    <w:p w14:paraId="125D4AF2" w14:textId="77777777" w:rsidR="0081596F" w:rsidRPr="0081596F" w:rsidRDefault="0081596F" w:rsidP="0081596F">
      <w:pPr>
        <w:jc w:val="center"/>
      </w:pPr>
    </w:p>
    <w:p w14:paraId="2010DD70" w14:textId="77777777" w:rsidR="0081596F" w:rsidRPr="0081596F" w:rsidRDefault="0081596F" w:rsidP="0081596F">
      <w:pPr>
        <w:jc w:val="center"/>
      </w:pPr>
    </w:p>
    <w:p w14:paraId="420BDC04" w14:textId="77777777" w:rsidR="0081596F" w:rsidRPr="0081596F" w:rsidRDefault="0081596F" w:rsidP="0081596F">
      <w:pPr>
        <w:jc w:val="center"/>
      </w:pPr>
    </w:p>
    <w:p w14:paraId="5C04667C" w14:textId="77777777" w:rsidR="0081596F" w:rsidRPr="0081596F" w:rsidRDefault="0081596F" w:rsidP="0081596F">
      <w:pPr>
        <w:jc w:val="center"/>
      </w:pPr>
    </w:p>
    <w:p w14:paraId="2FDC8581" w14:textId="77777777" w:rsidR="0081596F" w:rsidRPr="0081596F" w:rsidRDefault="0081596F" w:rsidP="0081596F">
      <w:pPr>
        <w:jc w:val="center"/>
      </w:pPr>
    </w:p>
    <w:p w14:paraId="39FA7344" w14:textId="77777777" w:rsidR="0081596F" w:rsidRPr="0081596F" w:rsidRDefault="0081596F" w:rsidP="0081596F">
      <w:pPr>
        <w:jc w:val="center"/>
      </w:pPr>
    </w:p>
    <w:p w14:paraId="5824C388" w14:textId="77777777" w:rsidR="0081596F" w:rsidRPr="0081596F" w:rsidRDefault="0081596F" w:rsidP="0081596F">
      <w:pPr>
        <w:jc w:val="center"/>
      </w:pPr>
    </w:p>
    <w:p w14:paraId="156E0B5B" w14:textId="77777777" w:rsidR="0081596F" w:rsidRPr="0081596F" w:rsidRDefault="0081596F" w:rsidP="0081596F">
      <w:pPr>
        <w:jc w:val="center"/>
      </w:pPr>
    </w:p>
    <w:p w14:paraId="39B65875" w14:textId="77777777" w:rsidR="0081596F" w:rsidRPr="0081596F" w:rsidRDefault="0081596F" w:rsidP="0081596F">
      <w:pPr>
        <w:jc w:val="center"/>
      </w:pPr>
      <w:r w:rsidRPr="0081596F">
        <w:t>Table 4: Correlation matrix</w:t>
      </w:r>
    </w:p>
    <w:tbl>
      <w:tblPr>
        <w:tblStyle w:val="TableGrid2"/>
        <w:tblW w:w="142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927"/>
        <w:gridCol w:w="923"/>
        <w:gridCol w:w="918"/>
        <w:gridCol w:w="923"/>
        <w:gridCol w:w="923"/>
        <w:gridCol w:w="923"/>
        <w:gridCol w:w="918"/>
        <w:gridCol w:w="927"/>
        <w:gridCol w:w="918"/>
        <w:gridCol w:w="927"/>
        <w:gridCol w:w="194"/>
        <w:gridCol w:w="766"/>
        <w:gridCol w:w="110"/>
        <w:gridCol w:w="808"/>
        <w:gridCol w:w="923"/>
        <w:gridCol w:w="910"/>
      </w:tblGrid>
      <w:tr w:rsidR="0081596F" w:rsidRPr="0081596F" w14:paraId="259408D3" w14:textId="77777777" w:rsidTr="0081596F">
        <w:tc>
          <w:tcPr>
            <w:tcW w:w="1327" w:type="dxa"/>
            <w:tcBorders>
              <w:top w:val="single" w:sz="4" w:space="0" w:color="auto"/>
              <w:left w:val="nil"/>
              <w:bottom w:val="single" w:sz="4" w:space="0" w:color="auto"/>
              <w:right w:val="nil"/>
            </w:tcBorders>
            <w:vAlign w:val="bottom"/>
            <w:hideMark/>
          </w:tcPr>
          <w:p w14:paraId="236C5566" w14:textId="77777777" w:rsidR="0081596F" w:rsidRPr="0081596F" w:rsidRDefault="0081596F" w:rsidP="0081596F">
            <w:pPr>
              <w:spacing w:before="100" w:beforeAutospacing="1" w:after="100" w:afterAutospacing="1"/>
            </w:pPr>
            <w:r w:rsidRPr="0081596F">
              <w:rPr>
                <w:color w:val="000000"/>
              </w:rPr>
              <w:t> </w:t>
            </w:r>
          </w:p>
        </w:tc>
        <w:tc>
          <w:tcPr>
            <w:tcW w:w="927" w:type="dxa"/>
            <w:tcBorders>
              <w:top w:val="single" w:sz="4" w:space="0" w:color="auto"/>
              <w:left w:val="nil"/>
              <w:bottom w:val="single" w:sz="4" w:space="0" w:color="auto"/>
              <w:right w:val="nil"/>
            </w:tcBorders>
            <w:vAlign w:val="center"/>
            <w:hideMark/>
          </w:tcPr>
          <w:p w14:paraId="0E14FC2E" w14:textId="77777777" w:rsidR="0081596F" w:rsidRPr="0081596F" w:rsidRDefault="0081596F" w:rsidP="0081596F">
            <w:pPr>
              <w:spacing w:before="100" w:beforeAutospacing="1" w:after="100" w:afterAutospacing="1"/>
            </w:pPr>
            <w:r w:rsidRPr="0081596F">
              <w:rPr>
                <w:color w:val="000000"/>
              </w:rPr>
              <w:t>1</w:t>
            </w:r>
          </w:p>
        </w:tc>
        <w:tc>
          <w:tcPr>
            <w:tcW w:w="923" w:type="dxa"/>
            <w:tcBorders>
              <w:top w:val="single" w:sz="4" w:space="0" w:color="auto"/>
              <w:left w:val="nil"/>
              <w:bottom w:val="single" w:sz="4" w:space="0" w:color="auto"/>
              <w:right w:val="nil"/>
            </w:tcBorders>
            <w:vAlign w:val="center"/>
            <w:hideMark/>
          </w:tcPr>
          <w:p w14:paraId="561B272F" w14:textId="77777777" w:rsidR="0081596F" w:rsidRPr="0081596F" w:rsidRDefault="0081596F" w:rsidP="0081596F">
            <w:pPr>
              <w:spacing w:before="100" w:beforeAutospacing="1" w:after="100" w:afterAutospacing="1"/>
            </w:pPr>
            <w:r w:rsidRPr="0081596F">
              <w:rPr>
                <w:color w:val="000000"/>
              </w:rPr>
              <w:t>2</w:t>
            </w:r>
          </w:p>
        </w:tc>
        <w:tc>
          <w:tcPr>
            <w:tcW w:w="918" w:type="dxa"/>
            <w:tcBorders>
              <w:top w:val="single" w:sz="4" w:space="0" w:color="auto"/>
              <w:left w:val="nil"/>
              <w:bottom w:val="single" w:sz="4" w:space="0" w:color="auto"/>
              <w:right w:val="nil"/>
            </w:tcBorders>
            <w:vAlign w:val="center"/>
            <w:hideMark/>
          </w:tcPr>
          <w:p w14:paraId="6ABB11EF" w14:textId="77777777" w:rsidR="0081596F" w:rsidRPr="0081596F" w:rsidRDefault="0081596F" w:rsidP="0081596F">
            <w:pPr>
              <w:spacing w:before="100" w:beforeAutospacing="1" w:after="100" w:afterAutospacing="1"/>
            </w:pPr>
            <w:r w:rsidRPr="0081596F">
              <w:rPr>
                <w:color w:val="000000"/>
              </w:rPr>
              <w:t>3</w:t>
            </w:r>
          </w:p>
        </w:tc>
        <w:tc>
          <w:tcPr>
            <w:tcW w:w="923" w:type="dxa"/>
            <w:tcBorders>
              <w:top w:val="single" w:sz="4" w:space="0" w:color="auto"/>
              <w:left w:val="nil"/>
              <w:bottom w:val="single" w:sz="4" w:space="0" w:color="auto"/>
              <w:right w:val="nil"/>
            </w:tcBorders>
            <w:vAlign w:val="center"/>
            <w:hideMark/>
          </w:tcPr>
          <w:p w14:paraId="25ABF231" w14:textId="77777777" w:rsidR="0081596F" w:rsidRPr="0081596F" w:rsidRDefault="0081596F" w:rsidP="0081596F">
            <w:pPr>
              <w:spacing w:before="100" w:beforeAutospacing="1" w:after="100" w:afterAutospacing="1"/>
            </w:pPr>
            <w:r w:rsidRPr="0081596F">
              <w:rPr>
                <w:color w:val="000000"/>
              </w:rPr>
              <w:t>4</w:t>
            </w:r>
          </w:p>
        </w:tc>
        <w:tc>
          <w:tcPr>
            <w:tcW w:w="923" w:type="dxa"/>
            <w:tcBorders>
              <w:top w:val="single" w:sz="4" w:space="0" w:color="auto"/>
              <w:left w:val="nil"/>
              <w:bottom w:val="single" w:sz="4" w:space="0" w:color="auto"/>
              <w:right w:val="nil"/>
            </w:tcBorders>
            <w:vAlign w:val="center"/>
            <w:hideMark/>
          </w:tcPr>
          <w:p w14:paraId="5076F8A6" w14:textId="77777777" w:rsidR="0081596F" w:rsidRPr="0081596F" w:rsidRDefault="0081596F" w:rsidP="0081596F">
            <w:pPr>
              <w:spacing w:before="100" w:beforeAutospacing="1" w:after="100" w:afterAutospacing="1"/>
            </w:pPr>
            <w:r w:rsidRPr="0081596F">
              <w:rPr>
                <w:color w:val="000000"/>
              </w:rPr>
              <w:t>5</w:t>
            </w:r>
          </w:p>
        </w:tc>
        <w:tc>
          <w:tcPr>
            <w:tcW w:w="923" w:type="dxa"/>
            <w:tcBorders>
              <w:top w:val="single" w:sz="4" w:space="0" w:color="auto"/>
              <w:left w:val="nil"/>
              <w:bottom w:val="single" w:sz="4" w:space="0" w:color="auto"/>
              <w:right w:val="nil"/>
            </w:tcBorders>
            <w:vAlign w:val="center"/>
            <w:hideMark/>
          </w:tcPr>
          <w:p w14:paraId="7F2DD0A4" w14:textId="77777777" w:rsidR="0081596F" w:rsidRPr="0081596F" w:rsidRDefault="0081596F" w:rsidP="0081596F">
            <w:pPr>
              <w:spacing w:before="100" w:beforeAutospacing="1" w:after="100" w:afterAutospacing="1"/>
            </w:pPr>
            <w:r w:rsidRPr="0081596F">
              <w:rPr>
                <w:color w:val="000000"/>
              </w:rPr>
              <w:t>6</w:t>
            </w:r>
          </w:p>
        </w:tc>
        <w:tc>
          <w:tcPr>
            <w:tcW w:w="918" w:type="dxa"/>
            <w:tcBorders>
              <w:top w:val="single" w:sz="4" w:space="0" w:color="auto"/>
              <w:left w:val="nil"/>
              <w:bottom w:val="single" w:sz="4" w:space="0" w:color="auto"/>
              <w:right w:val="nil"/>
            </w:tcBorders>
            <w:vAlign w:val="center"/>
            <w:hideMark/>
          </w:tcPr>
          <w:p w14:paraId="1BAA29B4" w14:textId="77777777" w:rsidR="0081596F" w:rsidRPr="0081596F" w:rsidRDefault="0081596F" w:rsidP="0081596F">
            <w:pPr>
              <w:spacing w:before="100" w:beforeAutospacing="1" w:after="100" w:afterAutospacing="1"/>
            </w:pPr>
            <w:r w:rsidRPr="0081596F">
              <w:rPr>
                <w:color w:val="000000"/>
              </w:rPr>
              <w:t>7</w:t>
            </w:r>
          </w:p>
        </w:tc>
        <w:tc>
          <w:tcPr>
            <w:tcW w:w="927" w:type="dxa"/>
            <w:tcBorders>
              <w:top w:val="single" w:sz="4" w:space="0" w:color="auto"/>
              <w:left w:val="nil"/>
              <w:bottom w:val="single" w:sz="4" w:space="0" w:color="auto"/>
              <w:right w:val="nil"/>
            </w:tcBorders>
            <w:vAlign w:val="center"/>
            <w:hideMark/>
          </w:tcPr>
          <w:p w14:paraId="6A0E9742" w14:textId="77777777" w:rsidR="0081596F" w:rsidRPr="0081596F" w:rsidRDefault="0081596F" w:rsidP="0081596F">
            <w:pPr>
              <w:spacing w:before="100" w:beforeAutospacing="1" w:after="100" w:afterAutospacing="1"/>
            </w:pPr>
            <w:r w:rsidRPr="0081596F">
              <w:rPr>
                <w:color w:val="000000"/>
              </w:rPr>
              <w:t>8</w:t>
            </w:r>
          </w:p>
        </w:tc>
        <w:tc>
          <w:tcPr>
            <w:tcW w:w="918" w:type="dxa"/>
            <w:tcBorders>
              <w:top w:val="single" w:sz="4" w:space="0" w:color="auto"/>
              <w:left w:val="nil"/>
              <w:bottom w:val="single" w:sz="4" w:space="0" w:color="auto"/>
              <w:right w:val="nil"/>
            </w:tcBorders>
            <w:vAlign w:val="center"/>
            <w:hideMark/>
          </w:tcPr>
          <w:p w14:paraId="4CCDBA02" w14:textId="77777777" w:rsidR="0081596F" w:rsidRPr="0081596F" w:rsidRDefault="0081596F" w:rsidP="0081596F">
            <w:pPr>
              <w:spacing w:before="100" w:beforeAutospacing="1" w:after="100" w:afterAutospacing="1"/>
            </w:pPr>
            <w:r w:rsidRPr="0081596F">
              <w:rPr>
                <w:color w:val="000000"/>
              </w:rPr>
              <w:t>9</w:t>
            </w:r>
          </w:p>
        </w:tc>
        <w:tc>
          <w:tcPr>
            <w:tcW w:w="927" w:type="dxa"/>
            <w:tcBorders>
              <w:top w:val="single" w:sz="4" w:space="0" w:color="auto"/>
              <w:left w:val="nil"/>
              <w:bottom w:val="single" w:sz="4" w:space="0" w:color="auto"/>
              <w:right w:val="nil"/>
            </w:tcBorders>
            <w:vAlign w:val="center"/>
            <w:hideMark/>
          </w:tcPr>
          <w:p w14:paraId="0B65C24F" w14:textId="77777777" w:rsidR="0081596F" w:rsidRPr="0081596F" w:rsidRDefault="0081596F" w:rsidP="0081596F">
            <w:pPr>
              <w:spacing w:before="100" w:beforeAutospacing="1" w:after="100" w:afterAutospacing="1"/>
            </w:pPr>
            <w:r w:rsidRPr="0081596F">
              <w:rPr>
                <w:color w:val="000000"/>
              </w:rPr>
              <w:t>10</w:t>
            </w:r>
          </w:p>
        </w:tc>
        <w:tc>
          <w:tcPr>
            <w:tcW w:w="960" w:type="dxa"/>
            <w:gridSpan w:val="2"/>
            <w:tcBorders>
              <w:top w:val="single" w:sz="4" w:space="0" w:color="auto"/>
              <w:left w:val="nil"/>
              <w:bottom w:val="single" w:sz="4" w:space="0" w:color="auto"/>
              <w:right w:val="nil"/>
            </w:tcBorders>
            <w:vAlign w:val="center"/>
            <w:hideMark/>
          </w:tcPr>
          <w:p w14:paraId="59DC1389" w14:textId="77777777" w:rsidR="0081596F" w:rsidRPr="0081596F" w:rsidRDefault="0081596F" w:rsidP="0081596F">
            <w:pPr>
              <w:spacing w:before="100" w:beforeAutospacing="1" w:after="100" w:afterAutospacing="1"/>
            </w:pPr>
            <w:r w:rsidRPr="0081596F">
              <w:rPr>
                <w:color w:val="000000"/>
              </w:rPr>
              <w:t>11</w:t>
            </w:r>
          </w:p>
        </w:tc>
        <w:tc>
          <w:tcPr>
            <w:tcW w:w="918" w:type="dxa"/>
            <w:gridSpan w:val="2"/>
            <w:tcBorders>
              <w:top w:val="single" w:sz="4" w:space="0" w:color="auto"/>
              <w:left w:val="nil"/>
              <w:bottom w:val="single" w:sz="4" w:space="0" w:color="auto"/>
              <w:right w:val="nil"/>
            </w:tcBorders>
            <w:vAlign w:val="center"/>
            <w:hideMark/>
          </w:tcPr>
          <w:p w14:paraId="6AE64981" w14:textId="77777777" w:rsidR="0081596F" w:rsidRPr="0081596F" w:rsidRDefault="0081596F" w:rsidP="0081596F">
            <w:pPr>
              <w:spacing w:before="100" w:beforeAutospacing="1" w:after="100" w:afterAutospacing="1"/>
            </w:pPr>
            <w:r w:rsidRPr="0081596F">
              <w:rPr>
                <w:color w:val="000000"/>
              </w:rPr>
              <w:t>12</w:t>
            </w:r>
          </w:p>
        </w:tc>
        <w:tc>
          <w:tcPr>
            <w:tcW w:w="923" w:type="dxa"/>
            <w:tcBorders>
              <w:top w:val="single" w:sz="4" w:space="0" w:color="auto"/>
              <w:left w:val="nil"/>
              <w:bottom w:val="single" w:sz="4" w:space="0" w:color="auto"/>
              <w:right w:val="nil"/>
            </w:tcBorders>
            <w:vAlign w:val="center"/>
            <w:hideMark/>
          </w:tcPr>
          <w:p w14:paraId="1F9ED8CB" w14:textId="77777777" w:rsidR="0081596F" w:rsidRPr="0081596F" w:rsidRDefault="0081596F" w:rsidP="0081596F">
            <w:pPr>
              <w:spacing w:before="100" w:beforeAutospacing="1" w:after="100" w:afterAutospacing="1"/>
            </w:pPr>
            <w:r w:rsidRPr="0081596F">
              <w:rPr>
                <w:color w:val="000000"/>
              </w:rPr>
              <w:t>13</w:t>
            </w:r>
          </w:p>
        </w:tc>
        <w:tc>
          <w:tcPr>
            <w:tcW w:w="910" w:type="dxa"/>
            <w:tcBorders>
              <w:top w:val="single" w:sz="4" w:space="0" w:color="auto"/>
              <w:left w:val="nil"/>
              <w:bottom w:val="single" w:sz="4" w:space="0" w:color="auto"/>
              <w:right w:val="nil"/>
            </w:tcBorders>
            <w:vAlign w:val="center"/>
            <w:hideMark/>
          </w:tcPr>
          <w:p w14:paraId="2BEFB233" w14:textId="77777777" w:rsidR="0081596F" w:rsidRPr="0081596F" w:rsidRDefault="0081596F" w:rsidP="0081596F">
            <w:pPr>
              <w:spacing w:before="100" w:beforeAutospacing="1" w:after="100" w:afterAutospacing="1"/>
            </w:pPr>
            <w:r w:rsidRPr="0081596F">
              <w:rPr>
                <w:color w:val="000000"/>
              </w:rPr>
              <w:t>14</w:t>
            </w:r>
          </w:p>
        </w:tc>
      </w:tr>
      <w:tr w:rsidR="0081596F" w:rsidRPr="0081596F" w14:paraId="20BC224C" w14:textId="77777777" w:rsidTr="0081596F">
        <w:tc>
          <w:tcPr>
            <w:tcW w:w="1327" w:type="dxa"/>
            <w:tcBorders>
              <w:top w:val="single" w:sz="4" w:space="0" w:color="auto"/>
              <w:left w:val="nil"/>
              <w:bottom w:val="nil"/>
              <w:right w:val="nil"/>
            </w:tcBorders>
            <w:vAlign w:val="bottom"/>
            <w:hideMark/>
          </w:tcPr>
          <w:p w14:paraId="3B234644" w14:textId="77777777" w:rsidR="0081596F" w:rsidRPr="0081596F" w:rsidRDefault="0081596F" w:rsidP="0081596F">
            <w:pPr>
              <w:spacing w:before="100" w:beforeAutospacing="1" w:after="100" w:afterAutospacing="1"/>
            </w:pPr>
            <w:r w:rsidRPr="0081596F">
              <w:rPr>
                <w:color w:val="000000"/>
                <w:sz w:val="20"/>
                <w:szCs w:val="20"/>
              </w:rPr>
              <w:t>CAR (-1, +1)</w:t>
            </w:r>
          </w:p>
        </w:tc>
        <w:tc>
          <w:tcPr>
            <w:tcW w:w="927" w:type="dxa"/>
            <w:tcBorders>
              <w:top w:val="single" w:sz="4" w:space="0" w:color="auto"/>
              <w:left w:val="nil"/>
              <w:bottom w:val="nil"/>
              <w:right w:val="nil"/>
            </w:tcBorders>
            <w:vAlign w:val="center"/>
            <w:hideMark/>
          </w:tcPr>
          <w:p w14:paraId="534B80B5" w14:textId="77777777" w:rsidR="0081596F" w:rsidRPr="0081596F" w:rsidRDefault="0081596F" w:rsidP="0081596F">
            <w:pPr>
              <w:spacing w:before="100" w:beforeAutospacing="1" w:after="100" w:afterAutospacing="1"/>
            </w:pPr>
            <w:r w:rsidRPr="0081596F">
              <w:rPr>
                <w:color w:val="000000"/>
                <w:sz w:val="20"/>
                <w:szCs w:val="20"/>
              </w:rPr>
              <w:t>1</w:t>
            </w:r>
          </w:p>
        </w:tc>
        <w:tc>
          <w:tcPr>
            <w:tcW w:w="923" w:type="dxa"/>
            <w:tcBorders>
              <w:top w:val="single" w:sz="4" w:space="0" w:color="auto"/>
              <w:left w:val="nil"/>
              <w:bottom w:val="nil"/>
              <w:right w:val="nil"/>
            </w:tcBorders>
            <w:vAlign w:val="center"/>
          </w:tcPr>
          <w:p w14:paraId="12959013" w14:textId="77777777" w:rsidR="0081596F" w:rsidRPr="0081596F" w:rsidRDefault="0081596F" w:rsidP="0081596F">
            <w:pPr>
              <w:spacing w:before="100" w:beforeAutospacing="1" w:after="100" w:afterAutospacing="1"/>
            </w:pPr>
          </w:p>
        </w:tc>
        <w:tc>
          <w:tcPr>
            <w:tcW w:w="918" w:type="dxa"/>
            <w:tcBorders>
              <w:top w:val="single" w:sz="4" w:space="0" w:color="auto"/>
              <w:left w:val="nil"/>
              <w:bottom w:val="nil"/>
              <w:right w:val="nil"/>
            </w:tcBorders>
            <w:vAlign w:val="center"/>
          </w:tcPr>
          <w:p w14:paraId="0EC4E719" w14:textId="77777777" w:rsidR="0081596F" w:rsidRPr="0081596F" w:rsidRDefault="0081596F" w:rsidP="0081596F">
            <w:pPr>
              <w:spacing w:before="100" w:beforeAutospacing="1" w:after="100" w:afterAutospacing="1"/>
            </w:pPr>
          </w:p>
        </w:tc>
        <w:tc>
          <w:tcPr>
            <w:tcW w:w="923" w:type="dxa"/>
            <w:tcBorders>
              <w:top w:val="single" w:sz="4" w:space="0" w:color="auto"/>
              <w:left w:val="nil"/>
              <w:bottom w:val="nil"/>
              <w:right w:val="nil"/>
            </w:tcBorders>
            <w:vAlign w:val="center"/>
          </w:tcPr>
          <w:p w14:paraId="32E2546B" w14:textId="77777777" w:rsidR="0081596F" w:rsidRPr="0081596F" w:rsidRDefault="0081596F" w:rsidP="0081596F">
            <w:pPr>
              <w:spacing w:before="100" w:beforeAutospacing="1" w:after="100" w:afterAutospacing="1"/>
            </w:pPr>
          </w:p>
        </w:tc>
        <w:tc>
          <w:tcPr>
            <w:tcW w:w="923" w:type="dxa"/>
            <w:tcBorders>
              <w:top w:val="single" w:sz="4" w:space="0" w:color="auto"/>
              <w:left w:val="nil"/>
              <w:bottom w:val="nil"/>
              <w:right w:val="nil"/>
            </w:tcBorders>
            <w:vAlign w:val="center"/>
          </w:tcPr>
          <w:p w14:paraId="2FCD5866" w14:textId="77777777" w:rsidR="0081596F" w:rsidRPr="0081596F" w:rsidRDefault="0081596F" w:rsidP="0081596F">
            <w:pPr>
              <w:spacing w:before="100" w:beforeAutospacing="1" w:after="100" w:afterAutospacing="1"/>
            </w:pPr>
          </w:p>
        </w:tc>
        <w:tc>
          <w:tcPr>
            <w:tcW w:w="923" w:type="dxa"/>
            <w:tcBorders>
              <w:top w:val="single" w:sz="4" w:space="0" w:color="auto"/>
              <w:left w:val="nil"/>
              <w:bottom w:val="nil"/>
              <w:right w:val="nil"/>
            </w:tcBorders>
            <w:vAlign w:val="center"/>
          </w:tcPr>
          <w:p w14:paraId="73C51E7D" w14:textId="77777777" w:rsidR="0081596F" w:rsidRPr="0081596F" w:rsidRDefault="0081596F" w:rsidP="0081596F">
            <w:pPr>
              <w:spacing w:before="100" w:beforeAutospacing="1" w:after="100" w:afterAutospacing="1"/>
            </w:pPr>
          </w:p>
        </w:tc>
        <w:tc>
          <w:tcPr>
            <w:tcW w:w="918" w:type="dxa"/>
            <w:tcBorders>
              <w:top w:val="single" w:sz="4" w:space="0" w:color="auto"/>
              <w:left w:val="nil"/>
              <w:bottom w:val="nil"/>
              <w:right w:val="nil"/>
            </w:tcBorders>
            <w:vAlign w:val="center"/>
          </w:tcPr>
          <w:p w14:paraId="6C2F8EA7" w14:textId="77777777" w:rsidR="0081596F" w:rsidRPr="0081596F" w:rsidRDefault="0081596F" w:rsidP="0081596F">
            <w:pPr>
              <w:spacing w:before="100" w:beforeAutospacing="1" w:after="100" w:afterAutospacing="1"/>
            </w:pPr>
          </w:p>
        </w:tc>
        <w:tc>
          <w:tcPr>
            <w:tcW w:w="927" w:type="dxa"/>
            <w:tcBorders>
              <w:top w:val="single" w:sz="4" w:space="0" w:color="auto"/>
              <w:left w:val="nil"/>
              <w:bottom w:val="nil"/>
              <w:right w:val="nil"/>
            </w:tcBorders>
            <w:vAlign w:val="center"/>
          </w:tcPr>
          <w:p w14:paraId="77809693" w14:textId="77777777" w:rsidR="0081596F" w:rsidRPr="0081596F" w:rsidRDefault="0081596F" w:rsidP="0081596F">
            <w:pPr>
              <w:spacing w:before="100" w:beforeAutospacing="1" w:after="100" w:afterAutospacing="1"/>
            </w:pPr>
          </w:p>
        </w:tc>
        <w:tc>
          <w:tcPr>
            <w:tcW w:w="918" w:type="dxa"/>
            <w:tcBorders>
              <w:top w:val="single" w:sz="4" w:space="0" w:color="auto"/>
              <w:left w:val="nil"/>
              <w:bottom w:val="nil"/>
              <w:right w:val="nil"/>
            </w:tcBorders>
            <w:vAlign w:val="center"/>
          </w:tcPr>
          <w:p w14:paraId="1B1D73A0" w14:textId="77777777" w:rsidR="0081596F" w:rsidRPr="0081596F" w:rsidRDefault="0081596F" w:rsidP="0081596F">
            <w:pPr>
              <w:spacing w:before="100" w:beforeAutospacing="1" w:after="100" w:afterAutospacing="1"/>
            </w:pPr>
          </w:p>
        </w:tc>
        <w:tc>
          <w:tcPr>
            <w:tcW w:w="927" w:type="dxa"/>
            <w:tcBorders>
              <w:top w:val="single" w:sz="4" w:space="0" w:color="auto"/>
              <w:left w:val="nil"/>
              <w:bottom w:val="nil"/>
              <w:right w:val="nil"/>
            </w:tcBorders>
            <w:vAlign w:val="center"/>
          </w:tcPr>
          <w:p w14:paraId="53E97C18" w14:textId="77777777" w:rsidR="0081596F" w:rsidRPr="0081596F" w:rsidRDefault="0081596F" w:rsidP="0081596F">
            <w:pPr>
              <w:spacing w:before="100" w:beforeAutospacing="1" w:after="100" w:afterAutospacing="1"/>
            </w:pPr>
          </w:p>
        </w:tc>
        <w:tc>
          <w:tcPr>
            <w:tcW w:w="960" w:type="dxa"/>
            <w:gridSpan w:val="2"/>
            <w:tcBorders>
              <w:top w:val="single" w:sz="4" w:space="0" w:color="auto"/>
              <w:left w:val="nil"/>
              <w:bottom w:val="nil"/>
              <w:right w:val="nil"/>
            </w:tcBorders>
            <w:vAlign w:val="center"/>
          </w:tcPr>
          <w:p w14:paraId="3F4A7CAF" w14:textId="77777777" w:rsidR="0081596F" w:rsidRPr="0081596F" w:rsidRDefault="0081596F" w:rsidP="0081596F">
            <w:pPr>
              <w:spacing w:before="100" w:beforeAutospacing="1" w:after="100" w:afterAutospacing="1"/>
            </w:pPr>
          </w:p>
        </w:tc>
        <w:tc>
          <w:tcPr>
            <w:tcW w:w="918" w:type="dxa"/>
            <w:gridSpan w:val="2"/>
            <w:tcBorders>
              <w:top w:val="single" w:sz="4" w:space="0" w:color="auto"/>
              <w:left w:val="nil"/>
              <w:bottom w:val="nil"/>
              <w:right w:val="nil"/>
            </w:tcBorders>
            <w:vAlign w:val="center"/>
          </w:tcPr>
          <w:p w14:paraId="279E28DB" w14:textId="77777777" w:rsidR="0081596F" w:rsidRPr="0081596F" w:rsidRDefault="0081596F" w:rsidP="0081596F">
            <w:pPr>
              <w:spacing w:before="100" w:beforeAutospacing="1" w:after="100" w:afterAutospacing="1"/>
            </w:pPr>
          </w:p>
        </w:tc>
        <w:tc>
          <w:tcPr>
            <w:tcW w:w="923" w:type="dxa"/>
            <w:tcBorders>
              <w:top w:val="single" w:sz="4" w:space="0" w:color="auto"/>
              <w:left w:val="nil"/>
              <w:bottom w:val="nil"/>
              <w:right w:val="nil"/>
            </w:tcBorders>
            <w:vAlign w:val="center"/>
          </w:tcPr>
          <w:p w14:paraId="799226E2" w14:textId="77777777" w:rsidR="0081596F" w:rsidRPr="0081596F" w:rsidRDefault="0081596F" w:rsidP="0081596F">
            <w:pPr>
              <w:spacing w:before="100" w:beforeAutospacing="1" w:after="100" w:afterAutospacing="1"/>
            </w:pPr>
          </w:p>
        </w:tc>
        <w:tc>
          <w:tcPr>
            <w:tcW w:w="910" w:type="dxa"/>
            <w:tcBorders>
              <w:top w:val="single" w:sz="4" w:space="0" w:color="auto"/>
              <w:left w:val="nil"/>
              <w:bottom w:val="nil"/>
              <w:right w:val="nil"/>
            </w:tcBorders>
            <w:vAlign w:val="center"/>
          </w:tcPr>
          <w:p w14:paraId="76EA9752" w14:textId="77777777" w:rsidR="0081596F" w:rsidRPr="0081596F" w:rsidRDefault="0081596F" w:rsidP="0081596F">
            <w:pPr>
              <w:spacing w:before="100" w:beforeAutospacing="1" w:after="100" w:afterAutospacing="1"/>
            </w:pPr>
          </w:p>
        </w:tc>
      </w:tr>
      <w:tr w:rsidR="0081596F" w:rsidRPr="0081596F" w14:paraId="57335DC3" w14:textId="77777777" w:rsidTr="0081596F">
        <w:tc>
          <w:tcPr>
            <w:tcW w:w="1327" w:type="dxa"/>
            <w:vAlign w:val="bottom"/>
            <w:hideMark/>
          </w:tcPr>
          <w:p w14:paraId="6C7C7AAC" w14:textId="77777777" w:rsidR="0081596F" w:rsidRPr="0081596F" w:rsidRDefault="0081596F" w:rsidP="0081596F">
            <w:pPr>
              <w:spacing w:before="100" w:beforeAutospacing="1" w:after="100" w:afterAutospacing="1"/>
            </w:pPr>
            <w:r w:rsidRPr="0081596F">
              <w:rPr>
                <w:color w:val="000000"/>
                <w:sz w:val="20"/>
                <w:szCs w:val="20"/>
              </w:rPr>
              <w:t>CAR (-2, +2)</w:t>
            </w:r>
          </w:p>
        </w:tc>
        <w:tc>
          <w:tcPr>
            <w:tcW w:w="927" w:type="dxa"/>
            <w:vAlign w:val="center"/>
            <w:hideMark/>
          </w:tcPr>
          <w:p w14:paraId="7E7B1A1B" w14:textId="77777777" w:rsidR="0081596F" w:rsidRPr="0081596F" w:rsidRDefault="0081596F" w:rsidP="0081596F">
            <w:pPr>
              <w:spacing w:before="100" w:beforeAutospacing="1" w:after="100" w:afterAutospacing="1"/>
            </w:pPr>
            <w:r w:rsidRPr="0081596F">
              <w:rPr>
                <w:color w:val="000000"/>
                <w:sz w:val="20"/>
                <w:szCs w:val="20"/>
              </w:rPr>
              <w:t>0.4</w:t>
            </w:r>
          </w:p>
        </w:tc>
        <w:tc>
          <w:tcPr>
            <w:tcW w:w="923" w:type="dxa"/>
            <w:vAlign w:val="center"/>
            <w:hideMark/>
          </w:tcPr>
          <w:p w14:paraId="53A5874D" w14:textId="77777777" w:rsidR="0081596F" w:rsidRPr="0081596F" w:rsidRDefault="0081596F" w:rsidP="0081596F">
            <w:pPr>
              <w:spacing w:before="100" w:beforeAutospacing="1" w:after="100" w:afterAutospacing="1"/>
            </w:pPr>
            <w:r w:rsidRPr="0081596F">
              <w:rPr>
                <w:color w:val="000000"/>
                <w:sz w:val="20"/>
                <w:szCs w:val="20"/>
              </w:rPr>
              <w:t>1</w:t>
            </w:r>
          </w:p>
        </w:tc>
        <w:tc>
          <w:tcPr>
            <w:tcW w:w="918" w:type="dxa"/>
            <w:vAlign w:val="center"/>
          </w:tcPr>
          <w:p w14:paraId="10447ACE" w14:textId="77777777" w:rsidR="0081596F" w:rsidRPr="0081596F" w:rsidRDefault="0081596F" w:rsidP="0081596F">
            <w:pPr>
              <w:spacing w:before="100" w:beforeAutospacing="1" w:after="100" w:afterAutospacing="1"/>
            </w:pPr>
          </w:p>
        </w:tc>
        <w:tc>
          <w:tcPr>
            <w:tcW w:w="923" w:type="dxa"/>
            <w:vAlign w:val="center"/>
          </w:tcPr>
          <w:p w14:paraId="2E27DE8B" w14:textId="77777777" w:rsidR="0081596F" w:rsidRPr="0081596F" w:rsidRDefault="0081596F" w:rsidP="0081596F">
            <w:pPr>
              <w:spacing w:before="100" w:beforeAutospacing="1" w:after="100" w:afterAutospacing="1"/>
            </w:pPr>
          </w:p>
        </w:tc>
        <w:tc>
          <w:tcPr>
            <w:tcW w:w="923" w:type="dxa"/>
            <w:vAlign w:val="center"/>
          </w:tcPr>
          <w:p w14:paraId="4A914CB1" w14:textId="77777777" w:rsidR="0081596F" w:rsidRPr="0081596F" w:rsidRDefault="0081596F" w:rsidP="0081596F">
            <w:pPr>
              <w:spacing w:before="100" w:beforeAutospacing="1" w:after="100" w:afterAutospacing="1"/>
            </w:pPr>
          </w:p>
        </w:tc>
        <w:tc>
          <w:tcPr>
            <w:tcW w:w="923" w:type="dxa"/>
            <w:vAlign w:val="center"/>
          </w:tcPr>
          <w:p w14:paraId="4338061B" w14:textId="77777777" w:rsidR="0081596F" w:rsidRPr="0081596F" w:rsidRDefault="0081596F" w:rsidP="0081596F">
            <w:pPr>
              <w:spacing w:before="100" w:beforeAutospacing="1" w:after="100" w:afterAutospacing="1"/>
            </w:pPr>
          </w:p>
        </w:tc>
        <w:tc>
          <w:tcPr>
            <w:tcW w:w="918" w:type="dxa"/>
            <w:vAlign w:val="center"/>
          </w:tcPr>
          <w:p w14:paraId="574F118C" w14:textId="77777777" w:rsidR="0081596F" w:rsidRPr="0081596F" w:rsidRDefault="0081596F" w:rsidP="0081596F">
            <w:pPr>
              <w:spacing w:before="100" w:beforeAutospacing="1" w:after="100" w:afterAutospacing="1"/>
            </w:pPr>
          </w:p>
        </w:tc>
        <w:tc>
          <w:tcPr>
            <w:tcW w:w="927" w:type="dxa"/>
            <w:vAlign w:val="center"/>
          </w:tcPr>
          <w:p w14:paraId="0F611C9A" w14:textId="77777777" w:rsidR="0081596F" w:rsidRPr="0081596F" w:rsidRDefault="0081596F" w:rsidP="0081596F">
            <w:pPr>
              <w:spacing w:before="100" w:beforeAutospacing="1" w:after="100" w:afterAutospacing="1"/>
            </w:pPr>
          </w:p>
        </w:tc>
        <w:tc>
          <w:tcPr>
            <w:tcW w:w="918" w:type="dxa"/>
            <w:vAlign w:val="center"/>
          </w:tcPr>
          <w:p w14:paraId="1B92F346" w14:textId="77777777" w:rsidR="0081596F" w:rsidRPr="0081596F" w:rsidRDefault="0081596F" w:rsidP="0081596F">
            <w:pPr>
              <w:spacing w:before="100" w:beforeAutospacing="1" w:after="100" w:afterAutospacing="1"/>
            </w:pPr>
          </w:p>
        </w:tc>
        <w:tc>
          <w:tcPr>
            <w:tcW w:w="927" w:type="dxa"/>
            <w:vAlign w:val="center"/>
          </w:tcPr>
          <w:p w14:paraId="6F8B882A" w14:textId="77777777" w:rsidR="0081596F" w:rsidRPr="0081596F" w:rsidRDefault="0081596F" w:rsidP="0081596F">
            <w:pPr>
              <w:spacing w:before="100" w:beforeAutospacing="1" w:after="100" w:afterAutospacing="1"/>
            </w:pPr>
          </w:p>
        </w:tc>
        <w:tc>
          <w:tcPr>
            <w:tcW w:w="960" w:type="dxa"/>
            <w:gridSpan w:val="2"/>
            <w:vAlign w:val="center"/>
          </w:tcPr>
          <w:p w14:paraId="56F394E3" w14:textId="77777777" w:rsidR="0081596F" w:rsidRPr="0081596F" w:rsidRDefault="0081596F" w:rsidP="0081596F">
            <w:pPr>
              <w:spacing w:before="100" w:beforeAutospacing="1" w:after="100" w:afterAutospacing="1"/>
            </w:pPr>
          </w:p>
        </w:tc>
        <w:tc>
          <w:tcPr>
            <w:tcW w:w="918" w:type="dxa"/>
            <w:gridSpan w:val="2"/>
            <w:vAlign w:val="center"/>
          </w:tcPr>
          <w:p w14:paraId="59A3BC61" w14:textId="77777777" w:rsidR="0081596F" w:rsidRPr="0081596F" w:rsidRDefault="0081596F" w:rsidP="0081596F">
            <w:pPr>
              <w:spacing w:before="100" w:beforeAutospacing="1" w:after="100" w:afterAutospacing="1"/>
            </w:pPr>
          </w:p>
        </w:tc>
        <w:tc>
          <w:tcPr>
            <w:tcW w:w="923" w:type="dxa"/>
            <w:vAlign w:val="center"/>
          </w:tcPr>
          <w:p w14:paraId="797EAF00" w14:textId="77777777" w:rsidR="0081596F" w:rsidRPr="0081596F" w:rsidRDefault="0081596F" w:rsidP="0081596F">
            <w:pPr>
              <w:spacing w:before="100" w:beforeAutospacing="1" w:after="100" w:afterAutospacing="1"/>
            </w:pPr>
          </w:p>
        </w:tc>
        <w:tc>
          <w:tcPr>
            <w:tcW w:w="910" w:type="dxa"/>
            <w:vAlign w:val="center"/>
          </w:tcPr>
          <w:p w14:paraId="0C0C8412" w14:textId="77777777" w:rsidR="0081596F" w:rsidRPr="0081596F" w:rsidRDefault="0081596F" w:rsidP="0081596F">
            <w:pPr>
              <w:spacing w:before="100" w:beforeAutospacing="1" w:after="100" w:afterAutospacing="1"/>
            </w:pPr>
          </w:p>
        </w:tc>
      </w:tr>
      <w:tr w:rsidR="0081596F" w:rsidRPr="0081596F" w14:paraId="58BA92B6" w14:textId="77777777" w:rsidTr="0081596F">
        <w:tc>
          <w:tcPr>
            <w:tcW w:w="1327" w:type="dxa"/>
            <w:vAlign w:val="bottom"/>
            <w:hideMark/>
          </w:tcPr>
          <w:p w14:paraId="68A0D6A8" w14:textId="77777777" w:rsidR="0081596F" w:rsidRPr="0081596F" w:rsidRDefault="0081596F" w:rsidP="0081596F">
            <w:pPr>
              <w:spacing w:before="100" w:beforeAutospacing="1" w:after="100" w:afterAutospacing="1"/>
            </w:pPr>
            <w:r w:rsidRPr="0081596F">
              <w:rPr>
                <w:color w:val="000000"/>
                <w:sz w:val="20"/>
                <w:szCs w:val="20"/>
              </w:rPr>
              <w:t>BHAR 12</w:t>
            </w:r>
          </w:p>
        </w:tc>
        <w:tc>
          <w:tcPr>
            <w:tcW w:w="927" w:type="dxa"/>
            <w:vAlign w:val="center"/>
            <w:hideMark/>
          </w:tcPr>
          <w:p w14:paraId="7D57DC8B" w14:textId="77777777" w:rsidR="0081596F" w:rsidRPr="0081596F" w:rsidRDefault="0081596F" w:rsidP="0081596F">
            <w:pPr>
              <w:spacing w:before="100" w:beforeAutospacing="1" w:after="100" w:afterAutospacing="1"/>
            </w:pPr>
            <w:r w:rsidRPr="0081596F">
              <w:rPr>
                <w:color w:val="000000"/>
                <w:sz w:val="20"/>
                <w:szCs w:val="20"/>
              </w:rPr>
              <w:t>0.015</w:t>
            </w:r>
          </w:p>
        </w:tc>
        <w:tc>
          <w:tcPr>
            <w:tcW w:w="923" w:type="dxa"/>
            <w:vAlign w:val="center"/>
            <w:hideMark/>
          </w:tcPr>
          <w:p w14:paraId="2EB4C7D1" w14:textId="77777777" w:rsidR="0081596F" w:rsidRPr="0081596F" w:rsidRDefault="0081596F" w:rsidP="0081596F">
            <w:pPr>
              <w:spacing w:before="100" w:beforeAutospacing="1" w:after="100" w:afterAutospacing="1"/>
            </w:pPr>
            <w:r w:rsidRPr="0081596F">
              <w:rPr>
                <w:color w:val="000000"/>
                <w:sz w:val="20"/>
                <w:szCs w:val="20"/>
              </w:rPr>
              <w:t>0.025</w:t>
            </w:r>
          </w:p>
        </w:tc>
        <w:tc>
          <w:tcPr>
            <w:tcW w:w="918" w:type="dxa"/>
            <w:vAlign w:val="center"/>
            <w:hideMark/>
          </w:tcPr>
          <w:p w14:paraId="68627890" w14:textId="77777777" w:rsidR="0081596F" w:rsidRPr="0081596F" w:rsidRDefault="0081596F" w:rsidP="0081596F">
            <w:pPr>
              <w:spacing w:before="100" w:beforeAutospacing="1" w:after="100" w:afterAutospacing="1"/>
            </w:pPr>
            <w:r w:rsidRPr="0081596F">
              <w:rPr>
                <w:color w:val="000000"/>
                <w:sz w:val="20"/>
                <w:szCs w:val="20"/>
              </w:rPr>
              <w:t>1</w:t>
            </w:r>
          </w:p>
        </w:tc>
        <w:tc>
          <w:tcPr>
            <w:tcW w:w="923" w:type="dxa"/>
            <w:vAlign w:val="center"/>
          </w:tcPr>
          <w:p w14:paraId="24B80BC6" w14:textId="77777777" w:rsidR="0081596F" w:rsidRPr="0081596F" w:rsidRDefault="0081596F" w:rsidP="0081596F">
            <w:pPr>
              <w:spacing w:before="100" w:beforeAutospacing="1" w:after="100" w:afterAutospacing="1"/>
            </w:pPr>
          </w:p>
        </w:tc>
        <w:tc>
          <w:tcPr>
            <w:tcW w:w="923" w:type="dxa"/>
            <w:vAlign w:val="center"/>
          </w:tcPr>
          <w:p w14:paraId="43A86E24" w14:textId="77777777" w:rsidR="0081596F" w:rsidRPr="0081596F" w:rsidRDefault="0081596F" w:rsidP="0081596F">
            <w:pPr>
              <w:spacing w:before="100" w:beforeAutospacing="1" w:after="100" w:afterAutospacing="1"/>
            </w:pPr>
          </w:p>
        </w:tc>
        <w:tc>
          <w:tcPr>
            <w:tcW w:w="923" w:type="dxa"/>
            <w:vAlign w:val="center"/>
          </w:tcPr>
          <w:p w14:paraId="2F96324C" w14:textId="77777777" w:rsidR="0081596F" w:rsidRPr="0081596F" w:rsidRDefault="0081596F" w:rsidP="0081596F">
            <w:pPr>
              <w:spacing w:before="100" w:beforeAutospacing="1" w:after="100" w:afterAutospacing="1"/>
            </w:pPr>
          </w:p>
        </w:tc>
        <w:tc>
          <w:tcPr>
            <w:tcW w:w="918" w:type="dxa"/>
            <w:vAlign w:val="center"/>
          </w:tcPr>
          <w:p w14:paraId="30145192" w14:textId="77777777" w:rsidR="0081596F" w:rsidRPr="0081596F" w:rsidRDefault="0081596F" w:rsidP="0081596F">
            <w:pPr>
              <w:spacing w:before="100" w:beforeAutospacing="1" w:after="100" w:afterAutospacing="1"/>
            </w:pPr>
          </w:p>
        </w:tc>
        <w:tc>
          <w:tcPr>
            <w:tcW w:w="927" w:type="dxa"/>
            <w:vAlign w:val="center"/>
          </w:tcPr>
          <w:p w14:paraId="168A1E37" w14:textId="77777777" w:rsidR="0081596F" w:rsidRPr="0081596F" w:rsidRDefault="0081596F" w:rsidP="0081596F">
            <w:pPr>
              <w:spacing w:before="100" w:beforeAutospacing="1" w:after="100" w:afterAutospacing="1"/>
            </w:pPr>
          </w:p>
        </w:tc>
        <w:tc>
          <w:tcPr>
            <w:tcW w:w="918" w:type="dxa"/>
            <w:vAlign w:val="center"/>
          </w:tcPr>
          <w:p w14:paraId="4BB5E518" w14:textId="77777777" w:rsidR="0081596F" w:rsidRPr="0081596F" w:rsidRDefault="0081596F" w:rsidP="0081596F">
            <w:pPr>
              <w:spacing w:before="100" w:beforeAutospacing="1" w:after="100" w:afterAutospacing="1"/>
            </w:pPr>
          </w:p>
        </w:tc>
        <w:tc>
          <w:tcPr>
            <w:tcW w:w="927" w:type="dxa"/>
            <w:vAlign w:val="center"/>
          </w:tcPr>
          <w:p w14:paraId="1C229DA4" w14:textId="77777777" w:rsidR="0081596F" w:rsidRPr="0081596F" w:rsidRDefault="0081596F" w:rsidP="0081596F">
            <w:pPr>
              <w:spacing w:before="100" w:beforeAutospacing="1" w:after="100" w:afterAutospacing="1"/>
            </w:pPr>
          </w:p>
        </w:tc>
        <w:tc>
          <w:tcPr>
            <w:tcW w:w="960" w:type="dxa"/>
            <w:gridSpan w:val="2"/>
            <w:vAlign w:val="center"/>
          </w:tcPr>
          <w:p w14:paraId="770660D6" w14:textId="77777777" w:rsidR="0081596F" w:rsidRPr="0081596F" w:rsidRDefault="0081596F" w:rsidP="0081596F">
            <w:pPr>
              <w:spacing w:before="100" w:beforeAutospacing="1" w:after="100" w:afterAutospacing="1"/>
            </w:pPr>
          </w:p>
        </w:tc>
        <w:tc>
          <w:tcPr>
            <w:tcW w:w="918" w:type="dxa"/>
            <w:gridSpan w:val="2"/>
            <w:vAlign w:val="center"/>
          </w:tcPr>
          <w:p w14:paraId="4ABDDDCA" w14:textId="77777777" w:rsidR="0081596F" w:rsidRPr="0081596F" w:rsidRDefault="0081596F" w:rsidP="0081596F">
            <w:pPr>
              <w:spacing w:before="100" w:beforeAutospacing="1" w:after="100" w:afterAutospacing="1"/>
            </w:pPr>
          </w:p>
        </w:tc>
        <w:tc>
          <w:tcPr>
            <w:tcW w:w="923" w:type="dxa"/>
            <w:vAlign w:val="center"/>
          </w:tcPr>
          <w:p w14:paraId="70F26586" w14:textId="77777777" w:rsidR="0081596F" w:rsidRPr="0081596F" w:rsidRDefault="0081596F" w:rsidP="0081596F">
            <w:pPr>
              <w:spacing w:before="100" w:beforeAutospacing="1" w:after="100" w:afterAutospacing="1"/>
            </w:pPr>
          </w:p>
        </w:tc>
        <w:tc>
          <w:tcPr>
            <w:tcW w:w="910" w:type="dxa"/>
            <w:vAlign w:val="center"/>
          </w:tcPr>
          <w:p w14:paraId="1E2DA909" w14:textId="77777777" w:rsidR="0081596F" w:rsidRPr="0081596F" w:rsidRDefault="0081596F" w:rsidP="0081596F">
            <w:pPr>
              <w:spacing w:before="100" w:beforeAutospacing="1" w:after="100" w:afterAutospacing="1"/>
            </w:pPr>
          </w:p>
        </w:tc>
      </w:tr>
      <w:tr w:rsidR="0081596F" w:rsidRPr="0081596F" w14:paraId="3F619F8F" w14:textId="77777777" w:rsidTr="0081596F">
        <w:tc>
          <w:tcPr>
            <w:tcW w:w="1327" w:type="dxa"/>
            <w:vAlign w:val="bottom"/>
            <w:hideMark/>
          </w:tcPr>
          <w:p w14:paraId="089B4529" w14:textId="77777777" w:rsidR="0081596F" w:rsidRPr="0081596F" w:rsidRDefault="0081596F" w:rsidP="0081596F">
            <w:pPr>
              <w:spacing w:before="100" w:beforeAutospacing="1" w:after="100" w:afterAutospacing="1"/>
            </w:pPr>
            <w:r w:rsidRPr="0081596F">
              <w:rPr>
                <w:color w:val="000000"/>
                <w:sz w:val="20"/>
                <w:szCs w:val="20"/>
              </w:rPr>
              <w:t>BHAR 24</w:t>
            </w:r>
          </w:p>
        </w:tc>
        <w:tc>
          <w:tcPr>
            <w:tcW w:w="927" w:type="dxa"/>
            <w:vAlign w:val="center"/>
            <w:hideMark/>
          </w:tcPr>
          <w:p w14:paraId="47B8DEBB" w14:textId="77777777" w:rsidR="0081596F" w:rsidRPr="0081596F" w:rsidRDefault="0081596F" w:rsidP="0081596F">
            <w:pPr>
              <w:spacing w:before="100" w:beforeAutospacing="1" w:after="100" w:afterAutospacing="1"/>
            </w:pPr>
            <w:r w:rsidRPr="0081596F">
              <w:rPr>
                <w:color w:val="000000"/>
                <w:sz w:val="20"/>
                <w:szCs w:val="20"/>
              </w:rPr>
              <w:t>0.032</w:t>
            </w:r>
          </w:p>
        </w:tc>
        <w:tc>
          <w:tcPr>
            <w:tcW w:w="923" w:type="dxa"/>
            <w:vAlign w:val="center"/>
            <w:hideMark/>
          </w:tcPr>
          <w:p w14:paraId="1A45858D" w14:textId="77777777" w:rsidR="0081596F" w:rsidRPr="0081596F" w:rsidRDefault="0081596F" w:rsidP="0081596F">
            <w:pPr>
              <w:spacing w:before="100" w:beforeAutospacing="1" w:after="100" w:afterAutospacing="1"/>
            </w:pPr>
            <w:r w:rsidRPr="0081596F">
              <w:rPr>
                <w:color w:val="000000"/>
                <w:sz w:val="20"/>
                <w:szCs w:val="20"/>
              </w:rPr>
              <w:t>0.027</w:t>
            </w:r>
          </w:p>
        </w:tc>
        <w:tc>
          <w:tcPr>
            <w:tcW w:w="918" w:type="dxa"/>
            <w:vAlign w:val="center"/>
            <w:hideMark/>
          </w:tcPr>
          <w:p w14:paraId="78212EFD" w14:textId="77777777" w:rsidR="0081596F" w:rsidRPr="0081596F" w:rsidRDefault="0081596F" w:rsidP="0081596F">
            <w:pPr>
              <w:spacing w:before="100" w:beforeAutospacing="1" w:after="100" w:afterAutospacing="1"/>
            </w:pPr>
            <w:r w:rsidRPr="0081596F">
              <w:rPr>
                <w:color w:val="000000"/>
                <w:sz w:val="20"/>
                <w:szCs w:val="20"/>
              </w:rPr>
              <w:t>0.043</w:t>
            </w:r>
          </w:p>
        </w:tc>
        <w:tc>
          <w:tcPr>
            <w:tcW w:w="923" w:type="dxa"/>
            <w:vAlign w:val="center"/>
            <w:hideMark/>
          </w:tcPr>
          <w:p w14:paraId="2C1485AA" w14:textId="77777777" w:rsidR="0081596F" w:rsidRPr="0081596F" w:rsidRDefault="0081596F" w:rsidP="0081596F">
            <w:pPr>
              <w:spacing w:before="100" w:beforeAutospacing="1" w:after="100" w:afterAutospacing="1"/>
            </w:pPr>
            <w:r w:rsidRPr="0081596F">
              <w:rPr>
                <w:color w:val="000000"/>
                <w:sz w:val="20"/>
                <w:szCs w:val="20"/>
              </w:rPr>
              <w:t>1</w:t>
            </w:r>
          </w:p>
        </w:tc>
        <w:tc>
          <w:tcPr>
            <w:tcW w:w="923" w:type="dxa"/>
            <w:vAlign w:val="center"/>
          </w:tcPr>
          <w:p w14:paraId="2A589803" w14:textId="77777777" w:rsidR="0081596F" w:rsidRPr="0081596F" w:rsidRDefault="0081596F" w:rsidP="0081596F">
            <w:pPr>
              <w:spacing w:before="100" w:beforeAutospacing="1" w:after="100" w:afterAutospacing="1"/>
            </w:pPr>
          </w:p>
        </w:tc>
        <w:tc>
          <w:tcPr>
            <w:tcW w:w="923" w:type="dxa"/>
            <w:vAlign w:val="center"/>
          </w:tcPr>
          <w:p w14:paraId="23CC68FC" w14:textId="77777777" w:rsidR="0081596F" w:rsidRPr="0081596F" w:rsidRDefault="0081596F" w:rsidP="0081596F">
            <w:pPr>
              <w:spacing w:before="100" w:beforeAutospacing="1" w:after="100" w:afterAutospacing="1"/>
            </w:pPr>
          </w:p>
        </w:tc>
        <w:tc>
          <w:tcPr>
            <w:tcW w:w="918" w:type="dxa"/>
            <w:vAlign w:val="center"/>
          </w:tcPr>
          <w:p w14:paraId="73E4405E" w14:textId="77777777" w:rsidR="0081596F" w:rsidRPr="0081596F" w:rsidRDefault="0081596F" w:rsidP="0081596F">
            <w:pPr>
              <w:spacing w:before="100" w:beforeAutospacing="1" w:after="100" w:afterAutospacing="1"/>
            </w:pPr>
          </w:p>
        </w:tc>
        <w:tc>
          <w:tcPr>
            <w:tcW w:w="927" w:type="dxa"/>
            <w:vAlign w:val="center"/>
          </w:tcPr>
          <w:p w14:paraId="16865887" w14:textId="77777777" w:rsidR="0081596F" w:rsidRPr="0081596F" w:rsidRDefault="0081596F" w:rsidP="0081596F">
            <w:pPr>
              <w:spacing w:before="100" w:beforeAutospacing="1" w:after="100" w:afterAutospacing="1"/>
            </w:pPr>
          </w:p>
        </w:tc>
        <w:tc>
          <w:tcPr>
            <w:tcW w:w="918" w:type="dxa"/>
            <w:vAlign w:val="center"/>
          </w:tcPr>
          <w:p w14:paraId="3AFEE89E" w14:textId="77777777" w:rsidR="0081596F" w:rsidRPr="0081596F" w:rsidRDefault="0081596F" w:rsidP="0081596F">
            <w:pPr>
              <w:spacing w:before="100" w:beforeAutospacing="1" w:after="100" w:afterAutospacing="1"/>
            </w:pPr>
          </w:p>
        </w:tc>
        <w:tc>
          <w:tcPr>
            <w:tcW w:w="927" w:type="dxa"/>
            <w:vAlign w:val="center"/>
          </w:tcPr>
          <w:p w14:paraId="602ECA5E" w14:textId="77777777" w:rsidR="0081596F" w:rsidRPr="0081596F" w:rsidRDefault="0081596F" w:rsidP="0081596F">
            <w:pPr>
              <w:spacing w:before="100" w:beforeAutospacing="1" w:after="100" w:afterAutospacing="1"/>
            </w:pPr>
          </w:p>
        </w:tc>
        <w:tc>
          <w:tcPr>
            <w:tcW w:w="960" w:type="dxa"/>
            <w:gridSpan w:val="2"/>
            <w:vAlign w:val="center"/>
          </w:tcPr>
          <w:p w14:paraId="7E16513C" w14:textId="77777777" w:rsidR="0081596F" w:rsidRPr="0081596F" w:rsidRDefault="0081596F" w:rsidP="0081596F">
            <w:pPr>
              <w:spacing w:before="100" w:beforeAutospacing="1" w:after="100" w:afterAutospacing="1"/>
            </w:pPr>
          </w:p>
        </w:tc>
        <w:tc>
          <w:tcPr>
            <w:tcW w:w="918" w:type="dxa"/>
            <w:gridSpan w:val="2"/>
            <w:vAlign w:val="center"/>
          </w:tcPr>
          <w:p w14:paraId="393769E0" w14:textId="77777777" w:rsidR="0081596F" w:rsidRPr="0081596F" w:rsidRDefault="0081596F" w:rsidP="0081596F">
            <w:pPr>
              <w:spacing w:before="100" w:beforeAutospacing="1" w:after="100" w:afterAutospacing="1"/>
            </w:pPr>
          </w:p>
        </w:tc>
        <w:tc>
          <w:tcPr>
            <w:tcW w:w="923" w:type="dxa"/>
            <w:vAlign w:val="center"/>
          </w:tcPr>
          <w:p w14:paraId="1DE5929D" w14:textId="77777777" w:rsidR="0081596F" w:rsidRPr="0081596F" w:rsidRDefault="0081596F" w:rsidP="0081596F">
            <w:pPr>
              <w:spacing w:before="100" w:beforeAutospacing="1" w:after="100" w:afterAutospacing="1"/>
            </w:pPr>
          </w:p>
        </w:tc>
        <w:tc>
          <w:tcPr>
            <w:tcW w:w="910" w:type="dxa"/>
            <w:vAlign w:val="center"/>
          </w:tcPr>
          <w:p w14:paraId="0B365B84" w14:textId="77777777" w:rsidR="0081596F" w:rsidRPr="0081596F" w:rsidRDefault="0081596F" w:rsidP="0081596F">
            <w:pPr>
              <w:spacing w:before="100" w:beforeAutospacing="1" w:after="100" w:afterAutospacing="1"/>
            </w:pPr>
          </w:p>
        </w:tc>
      </w:tr>
      <w:tr w:rsidR="0081596F" w:rsidRPr="0081596F" w14:paraId="70446CA0" w14:textId="77777777" w:rsidTr="0081596F">
        <w:tc>
          <w:tcPr>
            <w:tcW w:w="1327" w:type="dxa"/>
            <w:vAlign w:val="bottom"/>
            <w:hideMark/>
          </w:tcPr>
          <w:p w14:paraId="1F330B2A" w14:textId="77777777" w:rsidR="0081596F" w:rsidRPr="0081596F" w:rsidRDefault="0081596F" w:rsidP="0081596F">
            <w:pPr>
              <w:spacing w:before="100" w:beforeAutospacing="1" w:after="100" w:afterAutospacing="1"/>
            </w:pPr>
            <w:r w:rsidRPr="0081596F">
              <w:rPr>
                <w:color w:val="000000"/>
                <w:sz w:val="20"/>
                <w:szCs w:val="20"/>
              </w:rPr>
              <w:t>Fraction of male directors</w:t>
            </w:r>
          </w:p>
        </w:tc>
        <w:tc>
          <w:tcPr>
            <w:tcW w:w="927" w:type="dxa"/>
            <w:vAlign w:val="center"/>
            <w:hideMark/>
          </w:tcPr>
          <w:p w14:paraId="04401869" w14:textId="77777777" w:rsidR="0081596F" w:rsidRPr="0081596F" w:rsidRDefault="0081596F" w:rsidP="0081596F">
            <w:pPr>
              <w:spacing w:before="100" w:beforeAutospacing="1" w:after="100" w:afterAutospacing="1"/>
            </w:pPr>
            <w:r w:rsidRPr="0081596F">
              <w:rPr>
                <w:color w:val="000000"/>
                <w:sz w:val="20"/>
                <w:szCs w:val="20"/>
              </w:rPr>
              <w:t>0.021</w:t>
            </w:r>
          </w:p>
        </w:tc>
        <w:tc>
          <w:tcPr>
            <w:tcW w:w="923" w:type="dxa"/>
            <w:vAlign w:val="center"/>
            <w:hideMark/>
          </w:tcPr>
          <w:p w14:paraId="29F538EE" w14:textId="77777777" w:rsidR="0081596F" w:rsidRPr="0081596F" w:rsidRDefault="0081596F" w:rsidP="0081596F">
            <w:pPr>
              <w:spacing w:before="100" w:beforeAutospacing="1" w:after="100" w:afterAutospacing="1"/>
            </w:pPr>
            <w:r w:rsidRPr="0081596F">
              <w:rPr>
                <w:color w:val="000000"/>
                <w:sz w:val="20"/>
                <w:szCs w:val="20"/>
              </w:rPr>
              <w:t>0.018</w:t>
            </w:r>
          </w:p>
        </w:tc>
        <w:tc>
          <w:tcPr>
            <w:tcW w:w="918" w:type="dxa"/>
            <w:vAlign w:val="center"/>
            <w:hideMark/>
          </w:tcPr>
          <w:p w14:paraId="3F95D28F" w14:textId="77777777" w:rsidR="0081596F" w:rsidRPr="0081596F" w:rsidRDefault="0081596F" w:rsidP="0081596F">
            <w:pPr>
              <w:spacing w:before="100" w:beforeAutospacing="1" w:after="100" w:afterAutospacing="1"/>
            </w:pPr>
            <w:r w:rsidRPr="0081596F">
              <w:rPr>
                <w:color w:val="000000"/>
                <w:sz w:val="20"/>
                <w:szCs w:val="20"/>
              </w:rPr>
              <w:t>0.031</w:t>
            </w:r>
          </w:p>
        </w:tc>
        <w:tc>
          <w:tcPr>
            <w:tcW w:w="923" w:type="dxa"/>
            <w:vAlign w:val="center"/>
            <w:hideMark/>
          </w:tcPr>
          <w:p w14:paraId="71BB9874" w14:textId="77777777" w:rsidR="0081596F" w:rsidRPr="0081596F" w:rsidRDefault="0081596F" w:rsidP="0081596F">
            <w:pPr>
              <w:spacing w:before="100" w:beforeAutospacing="1" w:after="100" w:afterAutospacing="1"/>
            </w:pPr>
            <w:r w:rsidRPr="0081596F">
              <w:rPr>
                <w:color w:val="000000"/>
                <w:sz w:val="20"/>
                <w:szCs w:val="20"/>
              </w:rPr>
              <w:t>0.019</w:t>
            </w:r>
          </w:p>
        </w:tc>
        <w:tc>
          <w:tcPr>
            <w:tcW w:w="923" w:type="dxa"/>
            <w:vAlign w:val="center"/>
            <w:hideMark/>
          </w:tcPr>
          <w:p w14:paraId="44D4988B" w14:textId="77777777" w:rsidR="0081596F" w:rsidRPr="0081596F" w:rsidRDefault="0081596F" w:rsidP="0081596F">
            <w:pPr>
              <w:spacing w:before="100" w:beforeAutospacing="1" w:after="100" w:afterAutospacing="1"/>
            </w:pPr>
            <w:r w:rsidRPr="0081596F">
              <w:rPr>
                <w:color w:val="000000"/>
                <w:sz w:val="20"/>
                <w:szCs w:val="20"/>
              </w:rPr>
              <w:t>1</w:t>
            </w:r>
          </w:p>
        </w:tc>
        <w:tc>
          <w:tcPr>
            <w:tcW w:w="923" w:type="dxa"/>
            <w:vAlign w:val="center"/>
          </w:tcPr>
          <w:p w14:paraId="2AECF6D2" w14:textId="77777777" w:rsidR="0081596F" w:rsidRPr="0081596F" w:rsidRDefault="0081596F" w:rsidP="0081596F">
            <w:pPr>
              <w:spacing w:before="100" w:beforeAutospacing="1" w:after="100" w:afterAutospacing="1"/>
            </w:pPr>
          </w:p>
        </w:tc>
        <w:tc>
          <w:tcPr>
            <w:tcW w:w="918" w:type="dxa"/>
            <w:vAlign w:val="center"/>
          </w:tcPr>
          <w:p w14:paraId="5FC5A676" w14:textId="77777777" w:rsidR="0081596F" w:rsidRPr="0081596F" w:rsidRDefault="0081596F" w:rsidP="0081596F">
            <w:pPr>
              <w:spacing w:before="100" w:beforeAutospacing="1" w:after="100" w:afterAutospacing="1"/>
            </w:pPr>
          </w:p>
        </w:tc>
        <w:tc>
          <w:tcPr>
            <w:tcW w:w="927" w:type="dxa"/>
            <w:vAlign w:val="center"/>
          </w:tcPr>
          <w:p w14:paraId="3C8FE458" w14:textId="77777777" w:rsidR="0081596F" w:rsidRPr="0081596F" w:rsidRDefault="0081596F" w:rsidP="0081596F">
            <w:pPr>
              <w:spacing w:before="100" w:beforeAutospacing="1" w:after="100" w:afterAutospacing="1"/>
            </w:pPr>
          </w:p>
        </w:tc>
        <w:tc>
          <w:tcPr>
            <w:tcW w:w="918" w:type="dxa"/>
            <w:vAlign w:val="center"/>
          </w:tcPr>
          <w:p w14:paraId="7737D7E3" w14:textId="77777777" w:rsidR="0081596F" w:rsidRPr="0081596F" w:rsidRDefault="0081596F" w:rsidP="0081596F">
            <w:pPr>
              <w:spacing w:before="100" w:beforeAutospacing="1" w:after="100" w:afterAutospacing="1"/>
            </w:pPr>
          </w:p>
        </w:tc>
        <w:tc>
          <w:tcPr>
            <w:tcW w:w="927" w:type="dxa"/>
            <w:vAlign w:val="center"/>
          </w:tcPr>
          <w:p w14:paraId="34620A17" w14:textId="77777777" w:rsidR="0081596F" w:rsidRPr="0081596F" w:rsidRDefault="0081596F" w:rsidP="0081596F">
            <w:pPr>
              <w:spacing w:before="100" w:beforeAutospacing="1" w:after="100" w:afterAutospacing="1"/>
            </w:pPr>
          </w:p>
        </w:tc>
        <w:tc>
          <w:tcPr>
            <w:tcW w:w="960" w:type="dxa"/>
            <w:gridSpan w:val="2"/>
            <w:vAlign w:val="center"/>
          </w:tcPr>
          <w:p w14:paraId="3029DA1D" w14:textId="77777777" w:rsidR="0081596F" w:rsidRPr="0081596F" w:rsidRDefault="0081596F" w:rsidP="0081596F">
            <w:pPr>
              <w:spacing w:before="100" w:beforeAutospacing="1" w:after="100" w:afterAutospacing="1"/>
            </w:pPr>
          </w:p>
        </w:tc>
        <w:tc>
          <w:tcPr>
            <w:tcW w:w="918" w:type="dxa"/>
            <w:gridSpan w:val="2"/>
            <w:vAlign w:val="center"/>
          </w:tcPr>
          <w:p w14:paraId="50A1687F" w14:textId="77777777" w:rsidR="0081596F" w:rsidRPr="0081596F" w:rsidRDefault="0081596F" w:rsidP="0081596F">
            <w:pPr>
              <w:spacing w:before="100" w:beforeAutospacing="1" w:after="100" w:afterAutospacing="1"/>
            </w:pPr>
          </w:p>
        </w:tc>
        <w:tc>
          <w:tcPr>
            <w:tcW w:w="923" w:type="dxa"/>
            <w:vAlign w:val="center"/>
          </w:tcPr>
          <w:p w14:paraId="5B32A16F" w14:textId="77777777" w:rsidR="0081596F" w:rsidRPr="0081596F" w:rsidRDefault="0081596F" w:rsidP="0081596F">
            <w:pPr>
              <w:spacing w:before="100" w:beforeAutospacing="1" w:after="100" w:afterAutospacing="1"/>
            </w:pPr>
          </w:p>
        </w:tc>
        <w:tc>
          <w:tcPr>
            <w:tcW w:w="910" w:type="dxa"/>
            <w:vAlign w:val="center"/>
          </w:tcPr>
          <w:p w14:paraId="4067FC3C" w14:textId="77777777" w:rsidR="0081596F" w:rsidRPr="0081596F" w:rsidRDefault="0081596F" w:rsidP="0081596F">
            <w:pPr>
              <w:spacing w:before="100" w:beforeAutospacing="1" w:after="100" w:afterAutospacing="1"/>
            </w:pPr>
          </w:p>
        </w:tc>
      </w:tr>
      <w:tr w:rsidR="0081596F" w:rsidRPr="0081596F" w14:paraId="00ECE9C3" w14:textId="77777777" w:rsidTr="0081596F">
        <w:tc>
          <w:tcPr>
            <w:tcW w:w="1327" w:type="dxa"/>
            <w:vAlign w:val="bottom"/>
            <w:hideMark/>
          </w:tcPr>
          <w:p w14:paraId="0C08265F" w14:textId="77777777" w:rsidR="0081596F" w:rsidRPr="0081596F" w:rsidRDefault="0081596F" w:rsidP="0081596F">
            <w:pPr>
              <w:spacing w:before="100" w:beforeAutospacing="1" w:after="100" w:afterAutospacing="1"/>
            </w:pPr>
            <w:r w:rsidRPr="0081596F">
              <w:rPr>
                <w:color w:val="000000"/>
                <w:sz w:val="20"/>
                <w:szCs w:val="20"/>
              </w:rPr>
              <w:t>Multiple</w:t>
            </w:r>
          </w:p>
        </w:tc>
        <w:tc>
          <w:tcPr>
            <w:tcW w:w="927" w:type="dxa"/>
            <w:vAlign w:val="center"/>
            <w:hideMark/>
          </w:tcPr>
          <w:p w14:paraId="2FB4C1E3" w14:textId="77777777" w:rsidR="0081596F" w:rsidRPr="0081596F" w:rsidRDefault="0081596F" w:rsidP="0081596F">
            <w:pPr>
              <w:spacing w:before="100" w:beforeAutospacing="1" w:after="100" w:afterAutospacing="1"/>
            </w:pPr>
            <w:r w:rsidRPr="0081596F">
              <w:rPr>
                <w:color w:val="000000"/>
                <w:sz w:val="20"/>
                <w:szCs w:val="20"/>
              </w:rPr>
              <w:t>-0.27</w:t>
            </w:r>
          </w:p>
        </w:tc>
        <w:tc>
          <w:tcPr>
            <w:tcW w:w="923" w:type="dxa"/>
            <w:vAlign w:val="center"/>
            <w:hideMark/>
          </w:tcPr>
          <w:p w14:paraId="447EDDDB" w14:textId="77777777" w:rsidR="0081596F" w:rsidRPr="0081596F" w:rsidRDefault="0081596F" w:rsidP="0081596F">
            <w:pPr>
              <w:spacing w:before="100" w:beforeAutospacing="1" w:after="100" w:afterAutospacing="1"/>
            </w:pPr>
            <w:r w:rsidRPr="0081596F">
              <w:rPr>
                <w:color w:val="000000"/>
                <w:sz w:val="20"/>
                <w:szCs w:val="20"/>
              </w:rPr>
              <w:t>-0.24*</w:t>
            </w:r>
          </w:p>
        </w:tc>
        <w:tc>
          <w:tcPr>
            <w:tcW w:w="918" w:type="dxa"/>
            <w:vAlign w:val="center"/>
            <w:hideMark/>
          </w:tcPr>
          <w:p w14:paraId="521203D5" w14:textId="77777777" w:rsidR="0081596F" w:rsidRPr="0081596F" w:rsidRDefault="0081596F" w:rsidP="0081596F">
            <w:pPr>
              <w:spacing w:before="100" w:beforeAutospacing="1" w:after="100" w:afterAutospacing="1"/>
            </w:pPr>
            <w:r w:rsidRPr="0081596F">
              <w:rPr>
                <w:color w:val="000000"/>
                <w:sz w:val="20"/>
                <w:szCs w:val="20"/>
              </w:rPr>
              <w:t>0.03</w:t>
            </w:r>
          </w:p>
        </w:tc>
        <w:tc>
          <w:tcPr>
            <w:tcW w:w="923" w:type="dxa"/>
            <w:vAlign w:val="center"/>
            <w:hideMark/>
          </w:tcPr>
          <w:p w14:paraId="1829E417" w14:textId="77777777" w:rsidR="0081596F" w:rsidRPr="0081596F" w:rsidRDefault="0081596F" w:rsidP="0081596F">
            <w:pPr>
              <w:spacing w:before="100" w:beforeAutospacing="1" w:after="100" w:afterAutospacing="1"/>
            </w:pPr>
            <w:r w:rsidRPr="0081596F">
              <w:rPr>
                <w:color w:val="000000"/>
                <w:sz w:val="20"/>
                <w:szCs w:val="20"/>
              </w:rPr>
              <w:t>-0.21*</w:t>
            </w:r>
          </w:p>
        </w:tc>
        <w:tc>
          <w:tcPr>
            <w:tcW w:w="923" w:type="dxa"/>
            <w:vAlign w:val="center"/>
            <w:hideMark/>
          </w:tcPr>
          <w:p w14:paraId="1A1FF470" w14:textId="77777777" w:rsidR="0081596F" w:rsidRPr="0081596F" w:rsidRDefault="0081596F" w:rsidP="0081596F">
            <w:pPr>
              <w:spacing w:before="100" w:beforeAutospacing="1" w:after="100" w:afterAutospacing="1"/>
            </w:pPr>
            <w:r w:rsidRPr="0081596F">
              <w:rPr>
                <w:color w:val="000000"/>
                <w:sz w:val="20"/>
                <w:szCs w:val="20"/>
              </w:rPr>
              <w:t>-0.076</w:t>
            </w:r>
          </w:p>
        </w:tc>
        <w:tc>
          <w:tcPr>
            <w:tcW w:w="923" w:type="dxa"/>
            <w:vAlign w:val="center"/>
            <w:hideMark/>
          </w:tcPr>
          <w:p w14:paraId="56F13B5C" w14:textId="77777777" w:rsidR="0081596F" w:rsidRPr="0081596F" w:rsidRDefault="0081596F" w:rsidP="0081596F">
            <w:pPr>
              <w:spacing w:before="100" w:beforeAutospacing="1" w:after="100" w:afterAutospacing="1"/>
            </w:pPr>
            <w:r w:rsidRPr="0081596F">
              <w:rPr>
                <w:color w:val="000000"/>
                <w:sz w:val="20"/>
                <w:szCs w:val="20"/>
              </w:rPr>
              <w:t>1</w:t>
            </w:r>
          </w:p>
        </w:tc>
        <w:tc>
          <w:tcPr>
            <w:tcW w:w="918" w:type="dxa"/>
            <w:vAlign w:val="center"/>
          </w:tcPr>
          <w:p w14:paraId="7F7F2DFB" w14:textId="77777777" w:rsidR="0081596F" w:rsidRPr="0081596F" w:rsidRDefault="0081596F" w:rsidP="0081596F">
            <w:pPr>
              <w:spacing w:before="100" w:beforeAutospacing="1" w:after="100" w:afterAutospacing="1"/>
            </w:pPr>
          </w:p>
        </w:tc>
        <w:tc>
          <w:tcPr>
            <w:tcW w:w="927" w:type="dxa"/>
            <w:vAlign w:val="center"/>
          </w:tcPr>
          <w:p w14:paraId="4D13F629" w14:textId="77777777" w:rsidR="0081596F" w:rsidRPr="0081596F" w:rsidRDefault="0081596F" w:rsidP="0081596F">
            <w:pPr>
              <w:spacing w:before="100" w:beforeAutospacing="1" w:after="100" w:afterAutospacing="1"/>
            </w:pPr>
          </w:p>
        </w:tc>
        <w:tc>
          <w:tcPr>
            <w:tcW w:w="918" w:type="dxa"/>
            <w:vAlign w:val="center"/>
          </w:tcPr>
          <w:p w14:paraId="11D76607" w14:textId="77777777" w:rsidR="0081596F" w:rsidRPr="0081596F" w:rsidRDefault="0081596F" w:rsidP="0081596F">
            <w:pPr>
              <w:spacing w:before="100" w:beforeAutospacing="1" w:after="100" w:afterAutospacing="1"/>
            </w:pPr>
          </w:p>
        </w:tc>
        <w:tc>
          <w:tcPr>
            <w:tcW w:w="927" w:type="dxa"/>
            <w:vAlign w:val="center"/>
          </w:tcPr>
          <w:p w14:paraId="0F71D9F0" w14:textId="77777777" w:rsidR="0081596F" w:rsidRPr="0081596F" w:rsidRDefault="0081596F" w:rsidP="0081596F">
            <w:pPr>
              <w:spacing w:before="100" w:beforeAutospacing="1" w:after="100" w:afterAutospacing="1"/>
            </w:pPr>
          </w:p>
        </w:tc>
        <w:tc>
          <w:tcPr>
            <w:tcW w:w="960" w:type="dxa"/>
            <w:gridSpan w:val="2"/>
            <w:vAlign w:val="center"/>
          </w:tcPr>
          <w:p w14:paraId="1DC272EE" w14:textId="77777777" w:rsidR="0081596F" w:rsidRPr="0081596F" w:rsidRDefault="0081596F" w:rsidP="0081596F">
            <w:pPr>
              <w:spacing w:before="100" w:beforeAutospacing="1" w:after="100" w:afterAutospacing="1"/>
            </w:pPr>
          </w:p>
        </w:tc>
        <w:tc>
          <w:tcPr>
            <w:tcW w:w="918" w:type="dxa"/>
            <w:gridSpan w:val="2"/>
            <w:vAlign w:val="center"/>
          </w:tcPr>
          <w:p w14:paraId="47BFC46A" w14:textId="77777777" w:rsidR="0081596F" w:rsidRPr="0081596F" w:rsidRDefault="0081596F" w:rsidP="0081596F">
            <w:pPr>
              <w:spacing w:before="100" w:beforeAutospacing="1" w:after="100" w:afterAutospacing="1"/>
            </w:pPr>
          </w:p>
        </w:tc>
        <w:tc>
          <w:tcPr>
            <w:tcW w:w="923" w:type="dxa"/>
            <w:vAlign w:val="center"/>
          </w:tcPr>
          <w:p w14:paraId="22DEF9F1" w14:textId="77777777" w:rsidR="0081596F" w:rsidRPr="0081596F" w:rsidRDefault="0081596F" w:rsidP="0081596F">
            <w:pPr>
              <w:spacing w:before="100" w:beforeAutospacing="1" w:after="100" w:afterAutospacing="1"/>
            </w:pPr>
          </w:p>
        </w:tc>
        <w:tc>
          <w:tcPr>
            <w:tcW w:w="910" w:type="dxa"/>
            <w:vAlign w:val="center"/>
          </w:tcPr>
          <w:p w14:paraId="5F274773" w14:textId="77777777" w:rsidR="0081596F" w:rsidRPr="0081596F" w:rsidRDefault="0081596F" w:rsidP="0081596F">
            <w:pPr>
              <w:spacing w:before="100" w:beforeAutospacing="1" w:after="100" w:afterAutospacing="1"/>
            </w:pPr>
          </w:p>
        </w:tc>
      </w:tr>
      <w:tr w:rsidR="0081596F" w:rsidRPr="0081596F" w14:paraId="2F4DF856" w14:textId="77777777" w:rsidTr="0081596F">
        <w:tc>
          <w:tcPr>
            <w:tcW w:w="1327" w:type="dxa"/>
            <w:vAlign w:val="bottom"/>
            <w:hideMark/>
          </w:tcPr>
          <w:p w14:paraId="1BD08F4C" w14:textId="77777777" w:rsidR="0081596F" w:rsidRPr="0081596F" w:rsidRDefault="0081596F" w:rsidP="0081596F">
            <w:pPr>
              <w:spacing w:before="100" w:beforeAutospacing="1" w:after="100" w:afterAutospacing="1"/>
            </w:pPr>
            <w:r w:rsidRPr="0081596F">
              <w:rPr>
                <w:color w:val="000000"/>
                <w:sz w:val="20"/>
                <w:szCs w:val="20"/>
              </w:rPr>
              <w:t>Cash</w:t>
            </w:r>
          </w:p>
        </w:tc>
        <w:tc>
          <w:tcPr>
            <w:tcW w:w="927" w:type="dxa"/>
            <w:vAlign w:val="center"/>
            <w:hideMark/>
          </w:tcPr>
          <w:p w14:paraId="2B160598" w14:textId="77777777" w:rsidR="0081596F" w:rsidRPr="0081596F" w:rsidRDefault="0081596F" w:rsidP="0081596F">
            <w:pPr>
              <w:spacing w:before="100" w:beforeAutospacing="1" w:after="100" w:afterAutospacing="1"/>
            </w:pPr>
            <w:r w:rsidRPr="0081596F">
              <w:rPr>
                <w:color w:val="000000"/>
                <w:sz w:val="20"/>
                <w:szCs w:val="20"/>
              </w:rPr>
              <w:t>-0.04</w:t>
            </w:r>
          </w:p>
        </w:tc>
        <w:tc>
          <w:tcPr>
            <w:tcW w:w="923" w:type="dxa"/>
            <w:vAlign w:val="center"/>
            <w:hideMark/>
          </w:tcPr>
          <w:p w14:paraId="06E152EE" w14:textId="77777777" w:rsidR="0081596F" w:rsidRPr="0081596F" w:rsidRDefault="0081596F" w:rsidP="0081596F">
            <w:pPr>
              <w:spacing w:before="100" w:beforeAutospacing="1" w:after="100" w:afterAutospacing="1"/>
            </w:pPr>
            <w:r w:rsidRPr="0081596F">
              <w:rPr>
                <w:color w:val="000000"/>
                <w:sz w:val="20"/>
                <w:szCs w:val="20"/>
              </w:rPr>
              <w:t>-0.16</w:t>
            </w:r>
          </w:p>
        </w:tc>
        <w:tc>
          <w:tcPr>
            <w:tcW w:w="918" w:type="dxa"/>
            <w:vAlign w:val="center"/>
            <w:hideMark/>
          </w:tcPr>
          <w:p w14:paraId="0D3720DC" w14:textId="77777777" w:rsidR="0081596F" w:rsidRPr="0081596F" w:rsidRDefault="0081596F" w:rsidP="0081596F">
            <w:pPr>
              <w:spacing w:before="100" w:beforeAutospacing="1" w:after="100" w:afterAutospacing="1"/>
            </w:pPr>
            <w:r w:rsidRPr="0081596F">
              <w:rPr>
                <w:color w:val="000000"/>
                <w:sz w:val="20"/>
                <w:szCs w:val="20"/>
              </w:rPr>
              <w:t>-0.18*</w:t>
            </w:r>
          </w:p>
        </w:tc>
        <w:tc>
          <w:tcPr>
            <w:tcW w:w="923" w:type="dxa"/>
            <w:vAlign w:val="center"/>
            <w:hideMark/>
          </w:tcPr>
          <w:p w14:paraId="16F45015" w14:textId="77777777" w:rsidR="0081596F" w:rsidRPr="0081596F" w:rsidRDefault="0081596F" w:rsidP="0081596F">
            <w:pPr>
              <w:spacing w:before="100" w:beforeAutospacing="1" w:after="100" w:afterAutospacing="1"/>
            </w:pPr>
            <w:r w:rsidRPr="0081596F">
              <w:rPr>
                <w:color w:val="000000"/>
                <w:sz w:val="20"/>
                <w:szCs w:val="20"/>
              </w:rPr>
              <w:t>-0.2*</w:t>
            </w:r>
          </w:p>
        </w:tc>
        <w:tc>
          <w:tcPr>
            <w:tcW w:w="923" w:type="dxa"/>
            <w:vAlign w:val="center"/>
            <w:hideMark/>
          </w:tcPr>
          <w:p w14:paraId="35B101A5" w14:textId="77777777" w:rsidR="0081596F" w:rsidRPr="0081596F" w:rsidRDefault="0081596F" w:rsidP="0081596F">
            <w:pPr>
              <w:spacing w:before="100" w:beforeAutospacing="1" w:after="100" w:afterAutospacing="1"/>
            </w:pPr>
            <w:r w:rsidRPr="0081596F">
              <w:rPr>
                <w:color w:val="000000"/>
                <w:sz w:val="20"/>
                <w:szCs w:val="20"/>
              </w:rPr>
              <w:t>0.013</w:t>
            </w:r>
          </w:p>
        </w:tc>
        <w:tc>
          <w:tcPr>
            <w:tcW w:w="923" w:type="dxa"/>
            <w:vAlign w:val="center"/>
            <w:hideMark/>
          </w:tcPr>
          <w:p w14:paraId="6298E820" w14:textId="77777777" w:rsidR="0081596F" w:rsidRPr="0081596F" w:rsidRDefault="0081596F" w:rsidP="0081596F">
            <w:pPr>
              <w:spacing w:before="100" w:beforeAutospacing="1" w:after="100" w:afterAutospacing="1"/>
            </w:pPr>
            <w:r w:rsidRPr="0081596F">
              <w:rPr>
                <w:color w:val="000000"/>
                <w:sz w:val="20"/>
                <w:szCs w:val="20"/>
              </w:rPr>
              <w:t>0.134</w:t>
            </w:r>
          </w:p>
        </w:tc>
        <w:tc>
          <w:tcPr>
            <w:tcW w:w="918" w:type="dxa"/>
            <w:vAlign w:val="center"/>
            <w:hideMark/>
          </w:tcPr>
          <w:p w14:paraId="1F0DF93B" w14:textId="77777777" w:rsidR="0081596F" w:rsidRPr="0081596F" w:rsidRDefault="0081596F" w:rsidP="0081596F">
            <w:pPr>
              <w:spacing w:before="100" w:beforeAutospacing="1" w:after="100" w:afterAutospacing="1"/>
            </w:pPr>
            <w:r w:rsidRPr="0081596F">
              <w:rPr>
                <w:color w:val="000000"/>
                <w:sz w:val="20"/>
                <w:szCs w:val="20"/>
              </w:rPr>
              <w:t>1</w:t>
            </w:r>
          </w:p>
        </w:tc>
        <w:tc>
          <w:tcPr>
            <w:tcW w:w="927" w:type="dxa"/>
            <w:vAlign w:val="center"/>
          </w:tcPr>
          <w:p w14:paraId="761F0B98" w14:textId="77777777" w:rsidR="0081596F" w:rsidRPr="0081596F" w:rsidRDefault="0081596F" w:rsidP="0081596F">
            <w:pPr>
              <w:spacing w:before="100" w:beforeAutospacing="1" w:after="100" w:afterAutospacing="1"/>
            </w:pPr>
          </w:p>
        </w:tc>
        <w:tc>
          <w:tcPr>
            <w:tcW w:w="918" w:type="dxa"/>
            <w:vAlign w:val="center"/>
          </w:tcPr>
          <w:p w14:paraId="200CCB25" w14:textId="77777777" w:rsidR="0081596F" w:rsidRPr="0081596F" w:rsidRDefault="0081596F" w:rsidP="0081596F">
            <w:pPr>
              <w:spacing w:before="100" w:beforeAutospacing="1" w:after="100" w:afterAutospacing="1"/>
            </w:pPr>
          </w:p>
        </w:tc>
        <w:tc>
          <w:tcPr>
            <w:tcW w:w="927" w:type="dxa"/>
            <w:vAlign w:val="center"/>
          </w:tcPr>
          <w:p w14:paraId="25DA06E9" w14:textId="77777777" w:rsidR="0081596F" w:rsidRPr="0081596F" w:rsidRDefault="0081596F" w:rsidP="0081596F">
            <w:pPr>
              <w:spacing w:before="100" w:beforeAutospacing="1" w:after="100" w:afterAutospacing="1"/>
            </w:pPr>
          </w:p>
        </w:tc>
        <w:tc>
          <w:tcPr>
            <w:tcW w:w="960" w:type="dxa"/>
            <w:gridSpan w:val="2"/>
            <w:vAlign w:val="center"/>
          </w:tcPr>
          <w:p w14:paraId="3847E286" w14:textId="77777777" w:rsidR="0081596F" w:rsidRPr="0081596F" w:rsidRDefault="0081596F" w:rsidP="0081596F">
            <w:pPr>
              <w:spacing w:before="100" w:beforeAutospacing="1" w:after="100" w:afterAutospacing="1"/>
            </w:pPr>
          </w:p>
        </w:tc>
        <w:tc>
          <w:tcPr>
            <w:tcW w:w="918" w:type="dxa"/>
            <w:gridSpan w:val="2"/>
            <w:vAlign w:val="center"/>
          </w:tcPr>
          <w:p w14:paraId="38CA0C44" w14:textId="77777777" w:rsidR="0081596F" w:rsidRPr="0081596F" w:rsidRDefault="0081596F" w:rsidP="0081596F">
            <w:pPr>
              <w:spacing w:before="100" w:beforeAutospacing="1" w:after="100" w:afterAutospacing="1"/>
            </w:pPr>
          </w:p>
        </w:tc>
        <w:tc>
          <w:tcPr>
            <w:tcW w:w="923" w:type="dxa"/>
            <w:vAlign w:val="center"/>
          </w:tcPr>
          <w:p w14:paraId="3A456186" w14:textId="77777777" w:rsidR="0081596F" w:rsidRPr="0081596F" w:rsidRDefault="0081596F" w:rsidP="0081596F">
            <w:pPr>
              <w:spacing w:before="100" w:beforeAutospacing="1" w:after="100" w:afterAutospacing="1"/>
            </w:pPr>
          </w:p>
        </w:tc>
        <w:tc>
          <w:tcPr>
            <w:tcW w:w="910" w:type="dxa"/>
            <w:vAlign w:val="center"/>
          </w:tcPr>
          <w:p w14:paraId="12BB1CD6" w14:textId="77777777" w:rsidR="0081596F" w:rsidRPr="0081596F" w:rsidRDefault="0081596F" w:rsidP="0081596F">
            <w:pPr>
              <w:spacing w:before="100" w:beforeAutospacing="1" w:after="100" w:afterAutospacing="1"/>
            </w:pPr>
          </w:p>
        </w:tc>
      </w:tr>
      <w:tr w:rsidR="0081596F" w:rsidRPr="0081596F" w14:paraId="6332488D" w14:textId="77777777" w:rsidTr="0081596F">
        <w:tc>
          <w:tcPr>
            <w:tcW w:w="1327" w:type="dxa"/>
            <w:vAlign w:val="bottom"/>
            <w:hideMark/>
          </w:tcPr>
          <w:p w14:paraId="5D3CD6BA" w14:textId="77777777" w:rsidR="0081596F" w:rsidRPr="0081596F" w:rsidRDefault="0081596F" w:rsidP="0081596F">
            <w:pPr>
              <w:spacing w:before="100" w:beforeAutospacing="1" w:after="100" w:afterAutospacing="1"/>
            </w:pPr>
            <w:r w:rsidRPr="0081596F">
              <w:rPr>
                <w:color w:val="000000"/>
                <w:sz w:val="20"/>
                <w:szCs w:val="20"/>
              </w:rPr>
              <w:t>Stock</w:t>
            </w:r>
          </w:p>
        </w:tc>
        <w:tc>
          <w:tcPr>
            <w:tcW w:w="927" w:type="dxa"/>
            <w:vAlign w:val="center"/>
            <w:hideMark/>
          </w:tcPr>
          <w:p w14:paraId="02069576" w14:textId="77777777" w:rsidR="0081596F" w:rsidRPr="0081596F" w:rsidRDefault="0081596F" w:rsidP="0081596F">
            <w:pPr>
              <w:spacing w:before="100" w:beforeAutospacing="1" w:after="100" w:afterAutospacing="1"/>
            </w:pPr>
            <w:r w:rsidRPr="0081596F">
              <w:rPr>
                <w:color w:val="000000"/>
                <w:sz w:val="20"/>
                <w:szCs w:val="20"/>
              </w:rPr>
              <w:t>0.026</w:t>
            </w:r>
          </w:p>
        </w:tc>
        <w:tc>
          <w:tcPr>
            <w:tcW w:w="923" w:type="dxa"/>
            <w:vAlign w:val="center"/>
            <w:hideMark/>
          </w:tcPr>
          <w:p w14:paraId="51A074F5" w14:textId="77777777" w:rsidR="0081596F" w:rsidRPr="0081596F" w:rsidRDefault="0081596F" w:rsidP="0081596F">
            <w:pPr>
              <w:spacing w:before="100" w:beforeAutospacing="1" w:after="100" w:afterAutospacing="1"/>
            </w:pPr>
            <w:r w:rsidRPr="0081596F">
              <w:rPr>
                <w:color w:val="000000"/>
                <w:sz w:val="20"/>
                <w:szCs w:val="20"/>
              </w:rPr>
              <w:t>0.031</w:t>
            </w:r>
          </w:p>
        </w:tc>
        <w:tc>
          <w:tcPr>
            <w:tcW w:w="918" w:type="dxa"/>
            <w:vAlign w:val="center"/>
            <w:hideMark/>
          </w:tcPr>
          <w:p w14:paraId="13B3B17A" w14:textId="77777777" w:rsidR="0081596F" w:rsidRPr="0081596F" w:rsidRDefault="0081596F" w:rsidP="0081596F">
            <w:pPr>
              <w:spacing w:before="100" w:beforeAutospacing="1" w:after="100" w:afterAutospacing="1"/>
            </w:pPr>
            <w:r w:rsidRPr="0081596F">
              <w:rPr>
                <w:color w:val="000000"/>
                <w:sz w:val="20"/>
                <w:szCs w:val="20"/>
              </w:rPr>
              <w:t>0.016</w:t>
            </w:r>
          </w:p>
        </w:tc>
        <w:tc>
          <w:tcPr>
            <w:tcW w:w="923" w:type="dxa"/>
            <w:vAlign w:val="center"/>
            <w:hideMark/>
          </w:tcPr>
          <w:p w14:paraId="6FAC50F6" w14:textId="77777777" w:rsidR="0081596F" w:rsidRPr="0081596F" w:rsidRDefault="0081596F" w:rsidP="0081596F">
            <w:pPr>
              <w:spacing w:before="100" w:beforeAutospacing="1" w:after="100" w:afterAutospacing="1"/>
            </w:pPr>
            <w:r w:rsidRPr="0081596F">
              <w:rPr>
                <w:color w:val="000000"/>
                <w:sz w:val="20"/>
                <w:szCs w:val="20"/>
              </w:rPr>
              <w:t>0.018</w:t>
            </w:r>
          </w:p>
        </w:tc>
        <w:tc>
          <w:tcPr>
            <w:tcW w:w="923" w:type="dxa"/>
            <w:vAlign w:val="center"/>
            <w:hideMark/>
          </w:tcPr>
          <w:p w14:paraId="40AADDAF" w14:textId="77777777" w:rsidR="0081596F" w:rsidRPr="0081596F" w:rsidRDefault="0081596F" w:rsidP="0081596F">
            <w:pPr>
              <w:spacing w:before="100" w:beforeAutospacing="1" w:after="100" w:afterAutospacing="1"/>
            </w:pPr>
            <w:r w:rsidRPr="0081596F">
              <w:rPr>
                <w:color w:val="000000"/>
                <w:sz w:val="20"/>
                <w:szCs w:val="20"/>
              </w:rPr>
              <w:t>0.051</w:t>
            </w:r>
          </w:p>
        </w:tc>
        <w:tc>
          <w:tcPr>
            <w:tcW w:w="923" w:type="dxa"/>
            <w:vAlign w:val="center"/>
            <w:hideMark/>
          </w:tcPr>
          <w:p w14:paraId="76076733" w14:textId="77777777" w:rsidR="0081596F" w:rsidRPr="0081596F" w:rsidRDefault="0081596F" w:rsidP="0081596F">
            <w:pPr>
              <w:spacing w:before="100" w:beforeAutospacing="1" w:after="100" w:afterAutospacing="1"/>
            </w:pPr>
            <w:r w:rsidRPr="0081596F">
              <w:rPr>
                <w:color w:val="000000"/>
                <w:sz w:val="20"/>
                <w:szCs w:val="20"/>
              </w:rPr>
              <w:t>-0.68**</w:t>
            </w:r>
          </w:p>
        </w:tc>
        <w:tc>
          <w:tcPr>
            <w:tcW w:w="918" w:type="dxa"/>
            <w:vAlign w:val="center"/>
            <w:hideMark/>
          </w:tcPr>
          <w:p w14:paraId="150F0D8F" w14:textId="77777777" w:rsidR="0081596F" w:rsidRPr="0081596F" w:rsidRDefault="0081596F" w:rsidP="0081596F">
            <w:pPr>
              <w:spacing w:before="100" w:beforeAutospacing="1" w:after="100" w:afterAutospacing="1"/>
            </w:pPr>
            <w:r w:rsidRPr="0081596F">
              <w:rPr>
                <w:color w:val="000000"/>
                <w:sz w:val="20"/>
                <w:szCs w:val="20"/>
              </w:rPr>
              <w:t>0.21</w:t>
            </w:r>
          </w:p>
        </w:tc>
        <w:tc>
          <w:tcPr>
            <w:tcW w:w="927" w:type="dxa"/>
            <w:vAlign w:val="center"/>
            <w:hideMark/>
          </w:tcPr>
          <w:p w14:paraId="7D87EE81" w14:textId="77777777" w:rsidR="0081596F" w:rsidRPr="0081596F" w:rsidRDefault="0081596F" w:rsidP="0081596F">
            <w:pPr>
              <w:spacing w:before="100" w:beforeAutospacing="1" w:after="100" w:afterAutospacing="1"/>
            </w:pPr>
            <w:r w:rsidRPr="0081596F">
              <w:rPr>
                <w:color w:val="000000"/>
                <w:sz w:val="20"/>
                <w:szCs w:val="20"/>
              </w:rPr>
              <w:t>1</w:t>
            </w:r>
          </w:p>
        </w:tc>
        <w:tc>
          <w:tcPr>
            <w:tcW w:w="918" w:type="dxa"/>
            <w:vAlign w:val="center"/>
          </w:tcPr>
          <w:p w14:paraId="62D5B69C" w14:textId="77777777" w:rsidR="0081596F" w:rsidRPr="0081596F" w:rsidRDefault="0081596F" w:rsidP="0081596F">
            <w:pPr>
              <w:spacing w:before="100" w:beforeAutospacing="1" w:after="100" w:afterAutospacing="1"/>
            </w:pPr>
          </w:p>
        </w:tc>
        <w:tc>
          <w:tcPr>
            <w:tcW w:w="927" w:type="dxa"/>
            <w:vAlign w:val="center"/>
          </w:tcPr>
          <w:p w14:paraId="3BCB604E" w14:textId="77777777" w:rsidR="0081596F" w:rsidRPr="0081596F" w:rsidRDefault="0081596F" w:rsidP="0081596F">
            <w:pPr>
              <w:spacing w:before="100" w:beforeAutospacing="1" w:after="100" w:afterAutospacing="1"/>
            </w:pPr>
          </w:p>
        </w:tc>
        <w:tc>
          <w:tcPr>
            <w:tcW w:w="960" w:type="dxa"/>
            <w:gridSpan w:val="2"/>
            <w:vAlign w:val="center"/>
          </w:tcPr>
          <w:p w14:paraId="043A5DD1" w14:textId="77777777" w:rsidR="0081596F" w:rsidRPr="0081596F" w:rsidRDefault="0081596F" w:rsidP="0081596F">
            <w:pPr>
              <w:spacing w:before="100" w:beforeAutospacing="1" w:after="100" w:afterAutospacing="1"/>
            </w:pPr>
          </w:p>
        </w:tc>
        <w:tc>
          <w:tcPr>
            <w:tcW w:w="918" w:type="dxa"/>
            <w:gridSpan w:val="2"/>
            <w:vAlign w:val="center"/>
          </w:tcPr>
          <w:p w14:paraId="4E2DC75C" w14:textId="77777777" w:rsidR="0081596F" w:rsidRPr="0081596F" w:rsidRDefault="0081596F" w:rsidP="0081596F">
            <w:pPr>
              <w:spacing w:before="100" w:beforeAutospacing="1" w:after="100" w:afterAutospacing="1"/>
            </w:pPr>
          </w:p>
        </w:tc>
        <w:tc>
          <w:tcPr>
            <w:tcW w:w="923" w:type="dxa"/>
            <w:vAlign w:val="center"/>
          </w:tcPr>
          <w:p w14:paraId="4D45E33F" w14:textId="77777777" w:rsidR="0081596F" w:rsidRPr="0081596F" w:rsidRDefault="0081596F" w:rsidP="0081596F">
            <w:pPr>
              <w:spacing w:before="100" w:beforeAutospacing="1" w:after="100" w:afterAutospacing="1"/>
            </w:pPr>
          </w:p>
        </w:tc>
        <w:tc>
          <w:tcPr>
            <w:tcW w:w="910" w:type="dxa"/>
            <w:vAlign w:val="center"/>
          </w:tcPr>
          <w:p w14:paraId="0D2BC507" w14:textId="77777777" w:rsidR="0081596F" w:rsidRPr="0081596F" w:rsidRDefault="0081596F" w:rsidP="0081596F">
            <w:pPr>
              <w:spacing w:before="100" w:beforeAutospacing="1" w:after="100" w:afterAutospacing="1"/>
            </w:pPr>
          </w:p>
        </w:tc>
      </w:tr>
      <w:tr w:rsidR="0081596F" w:rsidRPr="0081596F" w14:paraId="2673936E" w14:textId="77777777" w:rsidTr="0081596F">
        <w:tc>
          <w:tcPr>
            <w:tcW w:w="1327" w:type="dxa"/>
            <w:vAlign w:val="bottom"/>
            <w:hideMark/>
          </w:tcPr>
          <w:p w14:paraId="1B162D1B" w14:textId="77777777" w:rsidR="0081596F" w:rsidRPr="0081596F" w:rsidRDefault="0081596F" w:rsidP="0081596F">
            <w:pPr>
              <w:spacing w:before="100" w:beforeAutospacing="1" w:after="100" w:afterAutospacing="1"/>
            </w:pPr>
            <w:r w:rsidRPr="0081596F">
              <w:rPr>
                <w:color w:val="000000"/>
                <w:sz w:val="20"/>
                <w:szCs w:val="20"/>
              </w:rPr>
              <w:t>Related</w:t>
            </w:r>
          </w:p>
        </w:tc>
        <w:tc>
          <w:tcPr>
            <w:tcW w:w="927" w:type="dxa"/>
            <w:vAlign w:val="center"/>
            <w:hideMark/>
          </w:tcPr>
          <w:p w14:paraId="3CCD1D28" w14:textId="77777777" w:rsidR="0081596F" w:rsidRPr="0081596F" w:rsidRDefault="0081596F" w:rsidP="0081596F">
            <w:pPr>
              <w:spacing w:before="100" w:beforeAutospacing="1" w:after="100" w:afterAutospacing="1"/>
            </w:pPr>
            <w:r w:rsidRPr="0081596F">
              <w:rPr>
                <w:color w:val="000000"/>
                <w:sz w:val="20"/>
                <w:szCs w:val="20"/>
              </w:rPr>
              <w:t>0.016</w:t>
            </w:r>
          </w:p>
        </w:tc>
        <w:tc>
          <w:tcPr>
            <w:tcW w:w="923" w:type="dxa"/>
            <w:vAlign w:val="center"/>
            <w:hideMark/>
          </w:tcPr>
          <w:p w14:paraId="23E451CA" w14:textId="77777777" w:rsidR="0081596F" w:rsidRPr="0081596F" w:rsidRDefault="0081596F" w:rsidP="0081596F">
            <w:pPr>
              <w:spacing w:before="100" w:beforeAutospacing="1" w:after="100" w:afterAutospacing="1"/>
            </w:pPr>
            <w:r w:rsidRPr="0081596F">
              <w:rPr>
                <w:color w:val="000000"/>
                <w:sz w:val="20"/>
                <w:szCs w:val="20"/>
              </w:rPr>
              <w:t>0.018</w:t>
            </w:r>
          </w:p>
        </w:tc>
        <w:tc>
          <w:tcPr>
            <w:tcW w:w="918" w:type="dxa"/>
            <w:vAlign w:val="center"/>
            <w:hideMark/>
          </w:tcPr>
          <w:p w14:paraId="09226616" w14:textId="77777777" w:rsidR="0081596F" w:rsidRPr="0081596F" w:rsidRDefault="0081596F" w:rsidP="0081596F">
            <w:pPr>
              <w:spacing w:before="100" w:beforeAutospacing="1" w:after="100" w:afterAutospacing="1"/>
            </w:pPr>
            <w:r w:rsidRPr="0081596F">
              <w:rPr>
                <w:color w:val="000000"/>
                <w:sz w:val="20"/>
                <w:szCs w:val="20"/>
              </w:rPr>
              <w:t>0.002</w:t>
            </w:r>
          </w:p>
        </w:tc>
        <w:tc>
          <w:tcPr>
            <w:tcW w:w="923" w:type="dxa"/>
            <w:vAlign w:val="center"/>
            <w:hideMark/>
          </w:tcPr>
          <w:p w14:paraId="07B31A36" w14:textId="77777777" w:rsidR="0081596F" w:rsidRPr="0081596F" w:rsidRDefault="0081596F" w:rsidP="0081596F">
            <w:pPr>
              <w:spacing w:before="100" w:beforeAutospacing="1" w:after="100" w:afterAutospacing="1"/>
            </w:pPr>
            <w:r w:rsidRPr="0081596F">
              <w:rPr>
                <w:color w:val="000000"/>
                <w:sz w:val="20"/>
                <w:szCs w:val="20"/>
              </w:rPr>
              <w:t>0.011</w:t>
            </w:r>
          </w:p>
        </w:tc>
        <w:tc>
          <w:tcPr>
            <w:tcW w:w="923" w:type="dxa"/>
            <w:vAlign w:val="center"/>
            <w:hideMark/>
          </w:tcPr>
          <w:p w14:paraId="7D013047" w14:textId="77777777" w:rsidR="0081596F" w:rsidRPr="0081596F" w:rsidRDefault="0081596F" w:rsidP="0081596F">
            <w:pPr>
              <w:spacing w:before="100" w:beforeAutospacing="1" w:after="100" w:afterAutospacing="1"/>
            </w:pPr>
            <w:r w:rsidRPr="0081596F">
              <w:rPr>
                <w:color w:val="000000"/>
                <w:sz w:val="20"/>
                <w:szCs w:val="20"/>
              </w:rPr>
              <w:t>-0.11*</w:t>
            </w:r>
          </w:p>
        </w:tc>
        <w:tc>
          <w:tcPr>
            <w:tcW w:w="923" w:type="dxa"/>
            <w:vAlign w:val="center"/>
            <w:hideMark/>
          </w:tcPr>
          <w:p w14:paraId="31A60982" w14:textId="77777777" w:rsidR="0081596F" w:rsidRPr="0081596F" w:rsidRDefault="0081596F" w:rsidP="0081596F">
            <w:pPr>
              <w:spacing w:before="100" w:beforeAutospacing="1" w:after="100" w:afterAutospacing="1"/>
            </w:pPr>
            <w:r w:rsidRPr="0081596F">
              <w:rPr>
                <w:color w:val="000000"/>
                <w:sz w:val="20"/>
                <w:szCs w:val="20"/>
              </w:rPr>
              <w:t>0.143</w:t>
            </w:r>
          </w:p>
        </w:tc>
        <w:tc>
          <w:tcPr>
            <w:tcW w:w="918" w:type="dxa"/>
            <w:vAlign w:val="center"/>
            <w:hideMark/>
          </w:tcPr>
          <w:p w14:paraId="49C7817D" w14:textId="77777777" w:rsidR="0081596F" w:rsidRPr="0081596F" w:rsidRDefault="0081596F" w:rsidP="0081596F">
            <w:pPr>
              <w:spacing w:before="100" w:beforeAutospacing="1" w:after="100" w:afterAutospacing="1"/>
            </w:pPr>
            <w:r w:rsidRPr="0081596F">
              <w:rPr>
                <w:color w:val="000000"/>
                <w:sz w:val="20"/>
                <w:szCs w:val="20"/>
              </w:rPr>
              <w:t>0.05</w:t>
            </w:r>
          </w:p>
        </w:tc>
        <w:tc>
          <w:tcPr>
            <w:tcW w:w="927" w:type="dxa"/>
            <w:vAlign w:val="center"/>
            <w:hideMark/>
          </w:tcPr>
          <w:p w14:paraId="05BF7A45" w14:textId="77777777" w:rsidR="0081596F" w:rsidRPr="0081596F" w:rsidRDefault="0081596F" w:rsidP="0081596F">
            <w:pPr>
              <w:spacing w:before="100" w:beforeAutospacing="1" w:after="100" w:afterAutospacing="1"/>
            </w:pPr>
            <w:r w:rsidRPr="0081596F">
              <w:rPr>
                <w:color w:val="000000"/>
                <w:sz w:val="20"/>
                <w:szCs w:val="20"/>
              </w:rPr>
              <w:t>0.067</w:t>
            </w:r>
          </w:p>
        </w:tc>
        <w:tc>
          <w:tcPr>
            <w:tcW w:w="918" w:type="dxa"/>
            <w:vAlign w:val="center"/>
            <w:hideMark/>
          </w:tcPr>
          <w:p w14:paraId="1DC26516" w14:textId="77777777" w:rsidR="0081596F" w:rsidRPr="0081596F" w:rsidRDefault="0081596F" w:rsidP="0081596F">
            <w:pPr>
              <w:spacing w:before="100" w:beforeAutospacing="1" w:after="100" w:afterAutospacing="1"/>
            </w:pPr>
            <w:r w:rsidRPr="0081596F">
              <w:rPr>
                <w:color w:val="000000"/>
                <w:sz w:val="20"/>
                <w:szCs w:val="20"/>
              </w:rPr>
              <w:t>1</w:t>
            </w:r>
          </w:p>
        </w:tc>
        <w:tc>
          <w:tcPr>
            <w:tcW w:w="927" w:type="dxa"/>
            <w:vAlign w:val="center"/>
          </w:tcPr>
          <w:p w14:paraId="45ACC36D" w14:textId="77777777" w:rsidR="0081596F" w:rsidRPr="0081596F" w:rsidRDefault="0081596F" w:rsidP="0081596F">
            <w:pPr>
              <w:spacing w:before="100" w:beforeAutospacing="1" w:after="100" w:afterAutospacing="1"/>
            </w:pPr>
          </w:p>
        </w:tc>
        <w:tc>
          <w:tcPr>
            <w:tcW w:w="960" w:type="dxa"/>
            <w:gridSpan w:val="2"/>
            <w:vAlign w:val="center"/>
          </w:tcPr>
          <w:p w14:paraId="0FD1FC8D" w14:textId="77777777" w:rsidR="0081596F" w:rsidRPr="0081596F" w:rsidRDefault="0081596F" w:rsidP="0081596F">
            <w:pPr>
              <w:spacing w:before="100" w:beforeAutospacing="1" w:after="100" w:afterAutospacing="1"/>
            </w:pPr>
          </w:p>
        </w:tc>
        <w:tc>
          <w:tcPr>
            <w:tcW w:w="918" w:type="dxa"/>
            <w:gridSpan w:val="2"/>
            <w:vAlign w:val="center"/>
          </w:tcPr>
          <w:p w14:paraId="05D2596F" w14:textId="77777777" w:rsidR="0081596F" w:rsidRPr="0081596F" w:rsidRDefault="0081596F" w:rsidP="0081596F">
            <w:pPr>
              <w:spacing w:before="100" w:beforeAutospacing="1" w:after="100" w:afterAutospacing="1"/>
            </w:pPr>
          </w:p>
        </w:tc>
        <w:tc>
          <w:tcPr>
            <w:tcW w:w="923" w:type="dxa"/>
            <w:vAlign w:val="center"/>
          </w:tcPr>
          <w:p w14:paraId="71BDB13E" w14:textId="77777777" w:rsidR="0081596F" w:rsidRPr="0081596F" w:rsidRDefault="0081596F" w:rsidP="0081596F">
            <w:pPr>
              <w:spacing w:before="100" w:beforeAutospacing="1" w:after="100" w:afterAutospacing="1"/>
            </w:pPr>
          </w:p>
        </w:tc>
        <w:tc>
          <w:tcPr>
            <w:tcW w:w="910" w:type="dxa"/>
            <w:vAlign w:val="center"/>
          </w:tcPr>
          <w:p w14:paraId="15458107" w14:textId="77777777" w:rsidR="0081596F" w:rsidRPr="0081596F" w:rsidRDefault="0081596F" w:rsidP="0081596F">
            <w:pPr>
              <w:spacing w:before="100" w:beforeAutospacing="1" w:after="100" w:afterAutospacing="1"/>
            </w:pPr>
          </w:p>
        </w:tc>
      </w:tr>
      <w:tr w:rsidR="0081596F" w:rsidRPr="0081596F" w14:paraId="249F3006" w14:textId="77777777" w:rsidTr="0081596F">
        <w:tc>
          <w:tcPr>
            <w:tcW w:w="1327" w:type="dxa"/>
            <w:vAlign w:val="bottom"/>
            <w:hideMark/>
          </w:tcPr>
          <w:p w14:paraId="3AEBAB0B" w14:textId="77777777" w:rsidR="0081596F" w:rsidRPr="0081596F" w:rsidRDefault="0081596F" w:rsidP="0081596F">
            <w:pPr>
              <w:spacing w:before="100" w:beforeAutospacing="1" w:after="100" w:afterAutospacing="1"/>
            </w:pPr>
            <w:r w:rsidRPr="0081596F">
              <w:rPr>
                <w:color w:val="000000"/>
                <w:sz w:val="20"/>
                <w:szCs w:val="20"/>
              </w:rPr>
              <w:t>CEO duality</w:t>
            </w:r>
          </w:p>
        </w:tc>
        <w:tc>
          <w:tcPr>
            <w:tcW w:w="927" w:type="dxa"/>
            <w:vAlign w:val="center"/>
            <w:hideMark/>
          </w:tcPr>
          <w:p w14:paraId="7E0D94CB" w14:textId="77777777" w:rsidR="0081596F" w:rsidRPr="0081596F" w:rsidRDefault="0081596F" w:rsidP="0081596F">
            <w:pPr>
              <w:spacing w:before="100" w:beforeAutospacing="1" w:after="100" w:afterAutospacing="1"/>
            </w:pPr>
            <w:r w:rsidRPr="0081596F">
              <w:rPr>
                <w:color w:val="000000"/>
                <w:sz w:val="20"/>
                <w:szCs w:val="20"/>
              </w:rPr>
              <w:t>0.24***</w:t>
            </w:r>
          </w:p>
        </w:tc>
        <w:tc>
          <w:tcPr>
            <w:tcW w:w="923" w:type="dxa"/>
            <w:vAlign w:val="center"/>
            <w:hideMark/>
          </w:tcPr>
          <w:p w14:paraId="6A121ABE" w14:textId="77777777" w:rsidR="0081596F" w:rsidRPr="0081596F" w:rsidRDefault="0081596F" w:rsidP="0081596F">
            <w:pPr>
              <w:spacing w:before="100" w:beforeAutospacing="1" w:after="100" w:afterAutospacing="1"/>
            </w:pPr>
            <w:r w:rsidRPr="0081596F">
              <w:rPr>
                <w:color w:val="000000"/>
                <w:sz w:val="20"/>
                <w:szCs w:val="20"/>
              </w:rPr>
              <w:t>0.28**</w:t>
            </w:r>
          </w:p>
        </w:tc>
        <w:tc>
          <w:tcPr>
            <w:tcW w:w="918" w:type="dxa"/>
            <w:vAlign w:val="center"/>
            <w:hideMark/>
          </w:tcPr>
          <w:p w14:paraId="5398D38C" w14:textId="77777777" w:rsidR="0081596F" w:rsidRPr="0081596F" w:rsidRDefault="0081596F" w:rsidP="0081596F">
            <w:pPr>
              <w:spacing w:before="100" w:beforeAutospacing="1" w:after="100" w:afterAutospacing="1"/>
            </w:pPr>
            <w:r w:rsidRPr="0081596F">
              <w:rPr>
                <w:color w:val="000000"/>
                <w:sz w:val="20"/>
                <w:szCs w:val="20"/>
              </w:rPr>
              <w:t>-0.16*</w:t>
            </w:r>
          </w:p>
        </w:tc>
        <w:tc>
          <w:tcPr>
            <w:tcW w:w="923" w:type="dxa"/>
            <w:vAlign w:val="center"/>
            <w:hideMark/>
          </w:tcPr>
          <w:p w14:paraId="28F88A9C" w14:textId="77777777" w:rsidR="0081596F" w:rsidRPr="0081596F" w:rsidRDefault="0081596F" w:rsidP="0081596F">
            <w:pPr>
              <w:spacing w:before="100" w:beforeAutospacing="1" w:after="100" w:afterAutospacing="1"/>
            </w:pPr>
            <w:r w:rsidRPr="0081596F">
              <w:rPr>
                <w:color w:val="000000"/>
                <w:sz w:val="20"/>
                <w:szCs w:val="20"/>
              </w:rPr>
              <w:t>-0.15*</w:t>
            </w:r>
          </w:p>
        </w:tc>
        <w:tc>
          <w:tcPr>
            <w:tcW w:w="923" w:type="dxa"/>
            <w:vAlign w:val="center"/>
            <w:hideMark/>
          </w:tcPr>
          <w:p w14:paraId="61EA59F6" w14:textId="77777777" w:rsidR="0081596F" w:rsidRPr="0081596F" w:rsidRDefault="0081596F" w:rsidP="0081596F">
            <w:pPr>
              <w:spacing w:before="100" w:beforeAutospacing="1" w:after="100" w:afterAutospacing="1"/>
            </w:pPr>
            <w:r w:rsidRPr="0081596F">
              <w:rPr>
                <w:color w:val="000000"/>
                <w:sz w:val="20"/>
                <w:szCs w:val="20"/>
              </w:rPr>
              <w:t>-0.021</w:t>
            </w:r>
          </w:p>
        </w:tc>
        <w:tc>
          <w:tcPr>
            <w:tcW w:w="923" w:type="dxa"/>
            <w:vAlign w:val="center"/>
            <w:hideMark/>
          </w:tcPr>
          <w:p w14:paraId="768A23A8" w14:textId="77777777" w:rsidR="0081596F" w:rsidRPr="0081596F" w:rsidRDefault="0081596F" w:rsidP="0081596F">
            <w:pPr>
              <w:spacing w:before="100" w:beforeAutospacing="1" w:after="100" w:afterAutospacing="1"/>
            </w:pPr>
            <w:r w:rsidRPr="0081596F">
              <w:rPr>
                <w:color w:val="000000"/>
                <w:sz w:val="20"/>
                <w:szCs w:val="20"/>
              </w:rPr>
              <w:t>0.015</w:t>
            </w:r>
          </w:p>
        </w:tc>
        <w:tc>
          <w:tcPr>
            <w:tcW w:w="918" w:type="dxa"/>
            <w:vAlign w:val="center"/>
            <w:hideMark/>
          </w:tcPr>
          <w:p w14:paraId="2C86D673" w14:textId="77777777" w:rsidR="0081596F" w:rsidRPr="0081596F" w:rsidRDefault="0081596F" w:rsidP="0081596F">
            <w:pPr>
              <w:spacing w:before="100" w:beforeAutospacing="1" w:after="100" w:afterAutospacing="1"/>
            </w:pPr>
            <w:r w:rsidRPr="0081596F">
              <w:rPr>
                <w:color w:val="000000"/>
                <w:sz w:val="20"/>
                <w:szCs w:val="20"/>
              </w:rPr>
              <w:t>0.024</w:t>
            </w:r>
          </w:p>
        </w:tc>
        <w:tc>
          <w:tcPr>
            <w:tcW w:w="927" w:type="dxa"/>
            <w:vAlign w:val="center"/>
            <w:hideMark/>
          </w:tcPr>
          <w:p w14:paraId="4BDDBB57" w14:textId="77777777" w:rsidR="0081596F" w:rsidRPr="0081596F" w:rsidRDefault="0081596F" w:rsidP="0081596F">
            <w:pPr>
              <w:spacing w:before="100" w:beforeAutospacing="1" w:after="100" w:afterAutospacing="1"/>
            </w:pPr>
            <w:r w:rsidRPr="0081596F">
              <w:rPr>
                <w:color w:val="000000"/>
                <w:sz w:val="20"/>
                <w:szCs w:val="20"/>
              </w:rPr>
              <w:t>0.018</w:t>
            </w:r>
          </w:p>
        </w:tc>
        <w:tc>
          <w:tcPr>
            <w:tcW w:w="918" w:type="dxa"/>
            <w:vAlign w:val="center"/>
            <w:hideMark/>
          </w:tcPr>
          <w:p w14:paraId="1468CFFA" w14:textId="77777777" w:rsidR="0081596F" w:rsidRPr="0081596F" w:rsidRDefault="0081596F" w:rsidP="0081596F">
            <w:pPr>
              <w:spacing w:before="100" w:beforeAutospacing="1" w:after="100" w:afterAutospacing="1"/>
            </w:pPr>
            <w:r w:rsidRPr="0081596F">
              <w:rPr>
                <w:color w:val="000000"/>
                <w:sz w:val="20"/>
                <w:szCs w:val="20"/>
              </w:rPr>
              <w:t>0.27</w:t>
            </w:r>
          </w:p>
        </w:tc>
        <w:tc>
          <w:tcPr>
            <w:tcW w:w="927" w:type="dxa"/>
            <w:vAlign w:val="center"/>
            <w:hideMark/>
          </w:tcPr>
          <w:p w14:paraId="13FF555B" w14:textId="77777777" w:rsidR="0081596F" w:rsidRPr="0081596F" w:rsidRDefault="0081596F" w:rsidP="0081596F">
            <w:pPr>
              <w:spacing w:before="100" w:beforeAutospacing="1" w:after="100" w:afterAutospacing="1"/>
            </w:pPr>
            <w:r w:rsidRPr="0081596F">
              <w:rPr>
                <w:color w:val="000000"/>
                <w:sz w:val="20"/>
                <w:szCs w:val="20"/>
              </w:rPr>
              <w:t>1</w:t>
            </w:r>
          </w:p>
        </w:tc>
        <w:tc>
          <w:tcPr>
            <w:tcW w:w="960" w:type="dxa"/>
            <w:gridSpan w:val="2"/>
            <w:vAlign w:val="center"/>
          </w:tcPr>
          <w:p w14:paraId="457A4BFD" w14:textId="77777777" w:rsidR="0081596F" w:rsidRPr="0081596F" w:rsidRDefault="0081596F" w:rsidP="0081596F">
            <w:pPr>
              <w:spacing w:before="100" w:beforeAutospacing="1" w:after="100" w:afterAutospacing="1"/>
            </w:pPr>
          </w:p>
        </w:tc>
        <w:tc>
          <w:tcPr>
            <w:tcW w:w="918" w:type="dxa"/>
            <w:gridSpan w:val="2"/>
            <w:vAlign w:val="center"/>
          </w:tcPr>
          <w:p w14:paraId="7FC21122" w14:textId="77777777" w:rsidR="0081596F" w:rsidRPr="0081596F" w:rsidRDefault="0081596F" w:rsidP="0081596F">
            <w:pPr>
              <w:spacing w:before="100" w:beforeAutospacing="1" w:after="100" w:afterAutospacing="1"/>
            </w:pPr>
          </w:p>
        </w:tc>
        <w:tc>
          <w:tcPr>
            <w:tcW w:w="923" w:type="dxa"/>
            <w:vAlign w:val="center"/>
          </w:tcPr>
          <w:p w14:paraId="53183897" w14:textId="77777777" w:rsidR="0081596F" w:rsidRPr="0081596F" w:rsidRDefault="0081596F" w:rsidP="0081596F">
            <w:pPr>
              <w:spacing w:before="100" w:beforeAutospacing="1" w:after="100" w:afterAutospacing="1"/>
            </w:pPr>
          </w:p>
        </w:tc>
        <w:tc>
          <w:tcPr>
            <w:tcW w:w="910" w:type="dxa"/>
            <w:vAlign w:val="center"/>
          </w:tcPr>
          <w:p w14:paraId="633FE0C7" w14:textId="77777777" w:rsidR="0081596F" w:rsidRPr="0081596F" w:rsidRDefault="0081596F" w:rsidP="0081596F">
            <w:pPr>
              <w:spacing w:before="100" w:beforeAutospacing="1" w:after="100" w:afterAutospacing="1"/>
            </w:pPr>
          </w:p>
        </w:tc>
      </w:tr>
      <w:tr w:rsidR="0081596F" w:rsidRPr="0081596F" w14:paraId="23F56664" w14:textId="77777777" w:rsidTr="0081596F">
        <w:tc>
          <w:tcPr>
            <w:tcW w:w="1327" w:type="dxa"/>
            <w:vAlign w:val="bottom"/>
            <w:hideMark/>
          </w:tcPr>
          <w:p w14:paraId="0A022814" w14:textId="77777777" w:rsidR="0081596F" w:rsidRPr="0081596F" w:rsidRDefault="0081596F" w:rsidP="0081596F">
            <w:pPr>
              <w:spacing w:before="100" w:beforeAutospacing="1" w:after="100" w:afterAutospacing="1"/>
            </w:pPr>
            <w:r w:rsidRPr="0081596F">
              <w:rPr>
                <w:color w:val="000000"/>
                <w:sz w:val="20"/>
                <w:szCs w:val="20"/>
              </w:rPr>
              <w:t>Board Size</w:t>
            </w:r>
          </w:p>
        </w:tc>
        <w:tc>
          <w:tcPr>
            <w:tcW w:w="927" w:type="dxa"/>
            <w:vAlign w:val="center"/>
            <w:hideMark/>
          </w:tcPr>
          <w:p w14:paraId="0FC84F33" w14:textId="77777777" w:rsidR="0081596F" w:rsidRPr="0081596F" w:rsidRDefault="0081596F" w:rsidP="0081596F">
            <w:pPr>
              <w:spacing w:before="100" w:beforeAutospacing="1" w:after="100" w:afterAutospacing="1"/>
            </w:pPr>
            <w:r w:rsidRPr="0081596F">
              <w:rPr>
                <w:color w:val="000000"/>
                <w:sz w:val="20"/>
                <w:szCs w:val="20"/>
              </w:rPr>
              <w:t>0.021</w:t>
            </w:r>
          </w:p>
        </w:tc>
        <w:tc>
          <w:tcPr>
            <w:tcW w:w="923" w:type="dxa"/>
            <w:vAlign w:val="center"/>
            <w:hideMark/>
          </w:tcPr>
          <w:p w14:paraId="12931964" w14:textId="77777777" w:rsidR="0081596F" w:rsidRPr="0081596F" w:rsidRDefault="0081596F" w:rsidP="0081596F">
            <w:pPr>
              <w:spacing w:before="100" w:beforeAutospacing="1" w:after="100" w:afterAutospacing="1"/>
            </w:pPr>
            <w:r w:rsidRPr="0081596F">
              <w:rPr>
                <w:color w:val="000000"/>
                <w:sz w:val="20"/>
                <w:szCs w:val="20"/>
              </w:rPr>
              <w:t>0.026*</w:t>
            </w:r>
          </w:p>
        </w:tc>
        <w:tc>
          <w:tcPr>
            <w:tcW w:w="918" w:type="dxa"/>
            <w:vAlign w:val="center"/>
            <w:hideMark/>
          </w:tcPr>
          <w:p w14:paraId="3041DE35" w14:textId="77777777" w:rsidR="0081596F" w:rsidRPr="0081596F" w:rsidRDefault="0081596F" w:rsidP="0081596F">
            <w:pPr>
              <w:spacing w:before="100" w:beforeAutospacing="1" w:after="100" w:afterAutospacing="1"/>
            </w:pPr>
            <w:r w:rsidRPr="0081596F">
              <w:rPr>
                <w:color w:val="000000"/>
                <w:sz w:val="20"/>
                <w:szCs w:val="20"/>
              </w:rPr>
              <w:t>0.007</w:t>
            </w:r>
          </w:p>
        </w:tc>
        <w:tc>
          <w:tcPr>
            <w:tcW w:w="923" w:type="dxa"/>
            <w:vAlign w:val="center"/>
            <w:hideMark/>
          </w:tcPr>
          <w:p w14:paraId="69F658AA" w14:textId="77777777" w:rsidR="0081596F" w:rsidRPr="0081596F" w:rsidRDefault="0081596F" w:rsidP="0081596F">
            <w:pPr>
              <w:spacing w:before="100" w:beforeAutospacing="1" w:after="100" w:afterAutospacing="1"/>
            </w:pPr>
            <w:r w:rsidRPr="0081596F">
              <w:rPr>
                <w:color w:val="000000"/>
                <w:sz w:val="20"/>
                <w:szCs w:val="20"/>
              </w:rPr>
              <w:t>0.034*</w:t>
            </w:r>
          </w:p>
        </w:tc>
        <w:tc>
          <w:tcPr>
            <w:tcW w:w="923" w:type="dxa"/>
            <w:vAlign w:val="center"/>
            <w:hideMark/>
          </w:tcPr>
          <w:p w14:paraId="2AB4618D" w14:textId="77777777" w:rsidR="0081596F" w:rsidRPr="0081596F" w:rsidRDefault="0081596F" w:rsidP="0081596F">
            <w:pPr>
              <w:spacing w:before="100" w:beforeAutospacing="1" w:after="100" w:afterAutospacing="1"/>
            </w:pPr>
            <w:r w:rsidRPr="0081596F">
              <w:rPr>
                <w:color w:val="000000"/>
                <w:sz w:val="20"/>
                <w:szCs w:val="20"/>
              </w:rPr>
              <w:t>0.16</w:t>
            </w:r>
          </w:p>
        </w:tc>
        <w:tc>
          <w:tcPr>
            <w:tcW w:w="923" w:type="dxa"/>
            <w:vAlign w:val="center"/>
            <w:hideMark/>
          </w:tcPr>
          <w:p w14:paraId="650F385C" w14:textId="77777777" w:rsidR="0081596F" w:rsidRPr="0081596F" w:rsidRDefault="0081596F" w:rsidP="0081596F">
            <w:pPr>
              <w:spacing w:before="100" w:beforeAutospacing="1" w:after="100" w:afterAutospacing="1"/>
            </w:pPr>
            <w:r w:rsidRPr="0081596F">
              <w:rPr>
                <w:color w:val="000000"/>
                <w:sz w:val="20"/>
                <w:szCs w:val="20"/>
              </w:rPr>
              <w:t>-0.12</w:t>
            </w:r>
          </w:p>
        </w:tc>
        <w:tc>
          <w:tcPr>
            <w:tcW w:w="918" w:type="dxa"/>
            <w:vAlign w:val="center"/>
            <w:hideMark/>
          </w:tcPr>
          <w:p w14:paraId="13F20EF8" w14:textId="77777777" w:rsidR="0081596F" w:rsidRPr="0081596F" w:rsidRDefault="0081596F" w:rsidP="0081596F">
            <w:pPr>
              <w:spacing w:before="100" w:beforeAutospacing="1" w:after="100" w:afterAutospacing="1"/>
            </w:pPr>
            <w:r w:rsidRPr="0081596F">
              <w:rPr>
                <w:color w:val="000000"/>
                <w:sz w:val="20"/>
                <w:szCs w:val="20"/>
              </w:rPr>
              <w:t>-0.026</w:t>
            </w:r>
          </w:p>
        </w:tc>
        <w:tc>
          <w:tcPr>
            <w:tcW w:w="927" w:type="dxa"/>
            <w:vAlign w:val="center"/>
            <w:hideMark/>
          </w:tcPr>
          <w:p w14:paraId="48350900" w14:textId="77777777" w:rsidR="0081596F" w:rsidRPr="0081596F" w:rsidRDefault="0081596F" w:rsidP="0081596F">
            <w:pPr>
              <w:spacing w:before="100" w:beforeAutospacing="1" w:after="100" w:afterAutospacing="1"/>
            </w:pPr>
            <w:r w:rsidRPr="0081596F">
              <w:rPr>
                <w:color w:val="000000"/>
                <w:sz w:val="20"/>
                <w:szCs w:val="20"/>
              </w:rPr>
              <w:t>0.066**</w:t>
            </w:r>
          </w:p>
        </w:tc>
        <w:tc>
          <w:tcPr>
            <w:tcW w:w="918" w:type="dxa"/>
            <w:vAlign w:val="center"/>
            <w:hideMark/>
          </w:tcPr>
          <w:p w14:paraId="35A714BA" w14:textId="77777777" w:rsidR="0081596F" w:rsidRPr="0081596F" w:rsidRDefault="0081596F" w:rsidP="0081596F">
            <w:pPr>
              <w:spacing w:before="100" w:beforeAutospacing="1" w:after="100" w:afterAutospacing="1"/>
            </w:pPr>
            <w:r w:rsidRPr="0081596F">
              <w:rPr>
                <w:color w:val="000000"/>
                <w:sz w:val="20"/>
                <w:szCs w:val="20"/>
              </w:rPr>
              <w:t>-0.051</w:t>
            </w:r>
          </w:p>
        </w:tc>
        <w:tc>
          <w:tcPr>
            <w:tcW w:w="1121" w:type="dxa"/>
            <w:gridSpan w:val="2"/>
            <w:vAlign w:val="center"/>
            <w:hideMark/>
          </w:tcPr>
          <w:p w14:paraId="65D2E13C" w14:textId="77777777" w:rsidR="0081596F" w:rsidRPr="0081596F" w:rsidRDefault="0081596F" w:rsidP="0081596F">
            <w:pPr>
              <w:spacing w:before="100" w:beforeAutospacing="1" w:after="100" w:afterAutospacing="1"/>
            </w:pPr>
            <w:r w:rsidRPr="0081596F">
              <w:rPr>
                <w:color w:val="000000"/>
                <w:sz w:val="20"/>
                <w:szCs w:val="20"/>
              </w:rPr>
              <w:t>0.06**</w:t>
            </w:r>
          </w:p>
        </w:tc>
        <w:tc>
          <w:tcPr>
            <w:tcW w:w="876" w:type="dxa"/>
            <w:gridSpan w:val="2"/>
            <w:vAlign w:val="center"/>
            <w:hideMark/>
          </w:tcPr>
          <w:p w14:paraId="6617A771" w14:textId="77777777" w:rsidR="0081596F" w:rsidRPr="0081596F" w:rsidRDefault="0081596F" w:rsidP="0081596F">
            <w:pPr>
              <w:spacing w:before="100" w:beforeAutospacing="1" w:after="100" w:afterAutospacing="1"/>
            </w:pPr>
            <w:r w:rsidRPr="0081596F">
              <w:rPr>
                <w:color w:val="000000"/>
                <w:sz w:val="20"/>
                <w:szCs w:val="20"/>
              </w:rPr>
              <w:t>1</w:t>
            </w:r>
          </w:p>
        </w:tc>
        <w:tc>
          <w:tcPr>
            <w:tcW w:w="808" w:type="dxa"/>
            <w:vAlign w:val="center"/>
          </w:tcPr>
          <w:p w14:paraId="347F826D" w14:textId="77777777" w:rsidR="0081596F" w:rsidRPr="0081596F" w:rsidRDefault="0081596F" w:rsidP="0081596F">
            <w:pPr>
              <w:spacing w:before="100" w:beforeAutospacing="1" w:after="100" w:afterAutospacing="1"/>
            </w:pPr>
          </w:p>
        </w:tc>
        <w:tc>
          <w:tcPr>
            <w:tcW w:w="923" w:type="dxa"/>
            <w:vAlign w:val="center"/>
          </w:tcPr>
          <w:p w14:paraId="1ABB6A6A" w14:textId="77777777" w:rsidR="0081596F" w:rsidRPr="0081596F" w:rsidRDefault="0081596F" w:rsidP="0081596F">
            <w:pPr>
              <w:spacing w:before="100" w:beforeAutospacing="1" w:after="100" w:afterAutospacing="1"/>
            </w:pPr>
          </w:p>
        </w:tc>
        <w:tc>
          <w:tcPr>
            <w:tcW w:w="910" w:type="dxa"/>
            <w:vAlign w:val="center"/>
          </w:tcPr>
          <w:p w14:paraId="22EE1DAE" w14:textId="77777777" w:rsidR="0081596F" w:rsidRPr="0081596F" w:rsidRDefault="0081596F" w:rsidP="0081596F">
            <w:pPr>
              <w:spacing w:before="100" w:beforeAutospacing="1" w:after="100" w:afterAutospacing="1"/>
            </w:pPr>
          </w:p>
        </w:tc>
      </w:tr>
      <w:tr w:rsidR="0081596F" w:rsidRPr="0081596F" w14:paraId="26D5D24B" w14:textId="77777777" w:rsidTr="0081596F">
        <w:tc>
          <w:tcPr>
            <w:tcW w:w="1327" w:type="dxa"/>
            <w:vAlign w:val="bottom"/>
            <w:hideMark/>
          </w:tcPr>
          <w:p w14:paraId="1865DD6D" w14:textId="77777777" w:rsidR="0081596F" w:rsidRPr="0081596F" w:rsidRDefault="0081596F" w:rsidP="0081596F">
            <w:pPr>
              <w:spacing w:before="100" w:beforeAutospacing="1" w:after="100" w:afterAutospacing="1"/>
            </w:pPr>
            <w:r w:rsidRPr="0081596F">
              <w:rPr>
                <w:color w:val="000000"/>
                <w:sz w:val="20"/>
                <w:szCs w:val="20"/>
              </w:rPr>
              <w:t>Board Independence</w:t>
            </w:r>
          </w:p>
        </w:tc>
        <w:tc>
          <w:tcPr>
            <w:tcW w:w="927" w:type="dxa"/>
            <w:vAlign w:val="center"/>
            <w:hideMark/>
          </w:tcPr>
          <w:p w14:paraId="16EC62EF" w14:textId="77777777" w:rsidR="0081596F" w:rsidRPr="0081596F" w:rsidRDefault="0081596F" w:rsidP="0081596F">
            <w:pPr>
              <w:spacing w:before="100" w:beforeAutospacing="1" w:after="100" w:afterAutospacing="1"/>
            </w:pPr>
            <w:r w:rsidRPr="0081596F">
              <w:rPr>
                <w:color w:val="000000"/>
                <w:sz w:val="20"/>
                <w:szCs w:val="20"/>
              </w:rPr>
              <w:t>0.23*</w:t>
            </w:r>
          </w:p>
        </w:tc>
        <w:tc>
          <w:tcPr>
            <w:tcW w:w="923" w:type="dxa"/>
            <w:vAlign w:val="center"/>
            <w:hideMark/>
          </w:tcPr>
          <w:p w14:paraId="059C377B" w14:textId="77777777" w:rsidR="0081596F" w:rsidRPr="0081596F" w:rsidRDefault="0081596F" w:rsidP="0081596F">
            <w:pPr>
              <w:spacing w:before="100" w:beforeAutospacing="1" w:after="100" w:afterAutospacing="1"/>
            </w:pPr>
            <w:r w:rsidRPr="0081596F">
              <w:rPr>
                <w:color w:val="000000"/>
                <w:sz w:val="20"/>
                <w:szCs w:val="20"/>
              </w:rPr>
              <w:t>0.18*</w:t>
            </w:r>
          </w:p>
        </w:tc>
        <w:tc>
          <w:tcPr>
            <w:tcW w:w="918" w:type="dxa"/>
            <w:vAlign w:val="center"/>
            <w:hideMark/>
          </w:tcPr>
          <w:p w14:paraId="55091631" w14:textId="77777777" w:rsidR="0081596F" w:rsidRPr="0081596F" w:rsidRDefault="0081596F" w:rsidP="0081596F">
            <w:pPr>
              <w:spacing w:before="100" w:beforeAutospacing="1" w:after="100" w:afterAutospacing="1"/>
            </w:pPr>
            <w:r w:rsidRPr="0081596F">
              <w:rPr>
                <w:color w:val="000000"/>
                <w:sz w:val="20"/>
                <w:szCs w:val="20"/>
              </w:rPr>
              <w:t>0.25*</w:t>
            </w:r>
          </w:p>
        </w:tc>
        <w:tc>
          <w:tcPr>
            <w:tcW w:w="923" w:type="dxa"/>
            <w:vAlign w:val="center"/>
            <w:hideMark/>
          </w:tcPr>
          <w:p w14:paraId="58A52B98" w14:textId="77777777" w:rsidR="0081596F" w:rsidRPr="0081596F" w:rsidRDefault="0081596F" w:rsidP="0081596F">
            <w:pPr>
              <w:spacing w:before="100" w:beforeAutospacing="1" w:after="100" w:afterAutospacing="1"/>
            </w:pPr>
            <w:r w:rsidRPr="0081596F">
              <w:rPr>
                <w:color w:val="000000"/>
                <w:sz w:val="20"/>
                <w:szCs w:val="20"/>
              </w:rPr>
              <w:t>0.09</w:t>
            </w:r>
          </w:p>
        </w:tc>
        <w:tc>
          <w:tcPr>
            <w:tcW w:w="923" w:type="dxa"/>
            <w:vAlign w:val="center"/>
            <w:hideMark/>
          </w:tcPr>
          <w:p w14:paraId="53863F3C" w14:textId="77777777" w:rsidR="0081596F" w:rsidRPr="0081596F" w:rsidRDefault="0081596F" w:rsidP="0081596F">
            <w:pPr>
              <w:spacing w:before="100" w:beforeAutospacing="1" w:after="100" w:afterAutospacing="1"/>
            </w:pPr>
            <w:r w:rsidRPr="0081596F">
              <w:rPr>
                <w:color w:val="000000"/>
                <w:sz w:val="20"/>
                <w:szCs w:val="20"/>
              </w:rPr>
              <w:t>0.44</w:t>
            </w:r>
          </w:p>
        </w:tc>
        <w:tc>
          <w:tcPr>
            <w:tcW w:w="923" w:type="dxa"/>
            <w:vAlign w:val="center"/>
            <w:hideMark/>
          </w:tcPr>
          <w:p w14:paraId="6034B28B" w14:textId="77777777" w:rsidR="0081596F" w:rsidRPr="0081596F" w:rsidRDefault="0081596F" w:rsidP="0081596F">
            <w:pPr>
              <w:spacing w:before="100" w:beforeAutospacing="1" w:after="100" w:afterAutospacing="1"/>
            </w:pPr>
            <w:r w:rsidRPr="0081596F">
              <w:rPr>
                <w:color w:val="000000"/>
                <w:sz w:val="20"/>
                <w:szCs w:val="20"/>
              </w:rPr>
              <w:t>0.02</w:t>
            </w:r>
          </w:p>
        </w:tc>
        <w:tc>
          <w:tcPr>
            <w:tcW w:w="918" w:type="dxa"/>
            <w:vAlign w:val="center"/>
            <w:hideMark/>
          </w:tcPr>
          <w:p w14:paraId="60B25EDA" w14:textId="77777777" w:rsidR="0081596F" w:rsidRPr="0081596F" w:rsidRDefault="0081596F" w:rsidP="0081596F">
            <w:pPr>
              <w:spacing w:before="100" w:beforeAutospacing="1" w:after="100" w:afterAutospacing="1"/>
            </w:pPr>
            <w:r w:rsidRPr="0081596F">
              <w:rPr>
                <w:color w:val="000000"/>
                <w:sz w:val="20"/>
                <w:szCs w:val="20"/>
              </w:rPr>
              <w:t>-0.19</w:t>
            </w:r>
          </w:p>
        </w:tc>
        <w:tc>
          <w:tcPr>
            <w:tcW w:w="927" w:type="dxa"/>
            <w:vAlign w:val="center"/>
            <w:hideMark/>
          </w:tcPr>
          <w:p w14:paraId="35EDC1AA" w14:textId="77777777" w:rsidR="0081596F" w:rsidRPr="0081596F" w:rsidRDefault="0081596F" w:rsidP="0081596F">
            <w:pPr>
              <w:spacing w:before="100" w:beforeAutospacing="1" w:after="100" w:afterAutospacing="1"/>
            </w:pPr>
            <w:r w:rsidRPr="0081596F">
              <w:rPr>
                <w:color w:val="000000"/>
                <w:sz w:val="20"/>
                <w:szCs w:val="20"/>
              </w:rPr>
              <w:t>0.12</w:t>
            </w:r>
          </w:p>
        </w:tc>
        <w:tc>
          <w:tcPr>
            <w:tcW w:w="918" w:type="dxa"/>
            <w:vAlign w:val="center"/>
            <w:hideMark/>
          </w:tcPr>
          <w:p w14:paraId="7D2B62E2" w14:textId="77777777" w:rsidR="0081596F" w:rsidRPr="0081596F" w:rsidRDefault="0081596F" w:rsidP="0081596F">
            <w:pPr>
              <w:spacing w:before="100" w:beforeAutospacing="1" w:after="100" w:afterAutospacing="1"/>
            </w:pPr>
            <w:r w:rsidRPr="0081596F">
              <w:rPr>
                <w:color w:val="000000"/>
                <w:sz w:val="20"/>
                <w:szCs w:val="20"/>
              </w:rPr>
              <w:t>0.34</w:t>
            </w:r>
          </w:p>
        </w:tc>
        <w:tc>
          <w:tcPr>
            <w:tcW w:w="1121" w:type="dxa"/>
            <w:gridSpan w:val="2"/>
            <w:vAlign w:val="center"/>
            <w:hideMark/>
          </w:tcPr>
          <w:p w14:paraId="047D66ED" w14:textId="77777777" w:rsidR="0081596F" w:rsidRPr="0081596F" w:rsidRDefault="0081596F" w:rsidP="0081596F">
            <w:pPr>
              <w:spacing w:before="100" w:beforeAutospacing="1" w:after="100" w:afterAutospacing="1"/>
            </w:pPr>
            <w:r w:rsidRPr="0081596F">
              <w:rPr>
                <w:color w:val="000000"/>
                <w:sz w:val="20"/>
                <w:szCs w:val="20"/>
              </w:rPr>
              <w:t>-0.17*</w:t>
            </w:r>
          </w:p>
        </w:tc>
        <w:tc>
          <w:tcPr>
            <w:tcW w:w="876" w:type="dxa"/>
            <w:gridSpan w:val="2"/>
            <w:vAlign w:val="center"/>
            <w:hideMark/>
          </w:tcPr>
          <w:p w14:paraId="59E23816" w14:textId="77777777" w:rsidR="0081596F" w:rsidRPr="0081596F" w:rsidRDefault="0081596F" w:rsidP="0081596F">
            <w:pPr>
              <w:spacing w:before="100" w:beforeAutospacing="1" w:after="100" w:afterAutospacing="1"/>
            </w:pPr>
            <w:r w:rsidRPr="0081596F">
              <w:rPr>
                <w:color w:val="000000"/>
                <w:sz w:val="20"/>
                <w:szCs w:val="20"/>
              </w:rPr>
              <w:t>0.42*</w:t>
            </w:r>
          </w:p>
        </w:tc>
        <w:tc>
          <w:tcPr>
            <w:tcW w:w="808" w:type="dxa"/>
            <w:vAlign w:val="center"/>
            <w:hideMark/>
          </w:tcPr>
          <w:p w14:paraId="568E815A" w14:textId="77777777" w:rsidR="0081596F" w:rsidRPr="0081596F" w:rsidRDefault="0081596F" w:rsidP="0081596F">
            <w:pPr>
              <w:spacing w:before="100" w:beforeAutospacing="1" w:after="100" w:afterAutospacing="1"/>
            </w:pPr>
            <w:r w:rsidRPr="0081596F">
              <w:rPr>
                <w:color w:val="000000"/>
                <w:sz w:val="20"/>
                <w:szCs w:val="20"/>
              </w:rPr>
              <w:t>1</w:t>
            </w:r>
          </w:p>
        </w:tc>
        <w:tc>
          <w:tcPr>
            <w:tcW w:w="923" w:type="dxa"/>
            <w:vAlign w:val="center"/>
          </w:tcPr>
          <w:p w14:paraId="34053FF9" w14:textId="77777777" w:rsidR="0081596F" w:rsidRPr="0081596F" w:rsidRDefault="0081596F" w:rsidP="0081596F">
            <w:pPr>
              <w:spacing w:before="100" w:beforeAutospacing="1" w:after="100" w:afterAutospacing="1"/>
            </w:pPr>
          </w:p>
        </w:tc>
        <w:tc>
          <w:tcPr>
            <w:tcW w:w="910" w:type="dxa"/>
            <w:vAlign w:val="center"/>
          </w:tcPr>
          <w:p w14:paraId="48740AF9" w14:textId="77777777" w:rsidR="0081596F" w:rsidRPr="0081596F" w:rsidRDefault="0081596F" w:rsidP="0081596F">
            <w:pPr>
              <w:spacing w:before="100" w:beforeAutospacing="1" w:after="100" w:afterAutospacing="1"/>
            </w:pPr>
          </w:p>
        </w:tc>
      </w:tr>
      <w:tr w:rsidR="0081596F" w:rsidRPr="0081596F" w14:paraId="1CF0DC8D" w14:textId="77777777" w:rsidTr="0081596F">
        <w:tc>
          <w:tcPr>
            <w:tcW w:w="1327" w:type="dxa"/>
            <w:vAlign w:val="bottom"/>
            <w:hideMark/>
          </w:tcPr>
          <w:p w14:paraId="73F146EF" w14:textId="77777777" w:rsidR="0081596F" w:rsidRPr="0081596F" w:rsidRDefault="0081596F" w:rsidP="0081596F">
            <w:pPr>
              <w:spacing w:before="100" w:beforeAutospacing="1" w:after="100" w:afterAutospacing="1"/>
            </w:pPr>
            <w:r w:rsidRPr="0081596F">
              <w:rPr>
                <w:color w:val="000000"/>
                <w:sz w:val="20"/>
                <w:szCs w:val="20"/>
              </w:rPr>
              <w:t>Tobin's Q</w:t>
            </w:r>
          </w:p>
        </w:tc>
        <w:tc>
          <w:tcPr>
            <w:tcW w:w="927" w:type="dxa"/>
            <w:vAlign w:val="center"/>
            <w:hideMark/>
          </w:tcPr>
          <w:p w14:paraId="0A3B27CD" w14:textId="77777777" w:rsidR="0081596F" w:rsidRPr="0081596F" w:rsidRDefault="0081596F" w:rsidP="0081596F">
            <w:pPr>
              <w:spacing w:before="100" w:beforeAutospacing="1" w:after="100" w:afterAutospacing="1"/>
            </w:pPr>
            <w:r w:rsidRPr="0081596F">
              <w:rPr>
                <w:color w:val="000000"/>
                <w:sz w:val="20"/>
                <w:szCs w:val="20"/>
              </w:rPr>
              <w:t>0.19</w:t>
            </w:r>
          </w:p>
        </w:tc>
        <w:tc>
          <w:tcPr>
            <w:tcW w:w="923" w:type="dxa"/>
            <w:vAlign w:val="center"/>
            <w:hideMark/>
          </w:tcPr>
          <w:p w14:paraId="1A72A962" w14:textId="77777777" w:rsidR="0081596F" w:rsidRPr="0081596F" w:rsidRDefault="0081596F" w:rsidP="0081596F">
            <w:pPr>
              <w:spacing w:before="100" w:beforeAutospacing="1" w:after="100" w:afterAutospacing="1"/>
            </w:pPr>
            <w:r w:rsidRPr="0081596F">
              <w:rPr>
                <w:color w:val="000000"/>
                <w:sz w:val="20"/>
                <w:szCs w:val="20"/>
              </w:rPr>
              <w:t>0.21</w:t>
            </w:r>
          </w:p>
        </w:tc>
        <w:tc>
          <w:tcPr>
            <w:tcW w:w="918" w:type="dxa"/>
            <w:vAlign w:val="center"/>
            <w:hideMark/>
          </w:tcPr>
          <w:p w14:paraId="3BD8DA23" w14:textId="77777777" w:rsidR="0081596F" w:rsidRPr="0081596F" w:rsidRDefault="0081596F" w:rsidP="0081596F">
            <w:pPr>
              <w:spacing w:before="100" w:beforeAutospacing="1" w:after="100" w:afterAutospacing="1"/>
            </w:pPr>
            <w:r w:rsidRPr="0081596F">
              <w:rPr>
                <w:color w:val="000000"/>
                <w:sz w:val="20"/>
                <w:szCs w:val="20"/>
              </w:rPr>
              <w:t>0.16</w:t>
            </w:r>
          </w:p>
        </w:tc>
        <w:tc>
          <w:tcPr>
            <w:tcW w:w="923" w:type="dxa"/>
            <w:vAlign w:val="center"/>
            <w:hideMark/>
          </w:tcPr>
          <w:p w14:paraId="093539C6" w14:textId="77777777" w:rsidR="0081596F" w:rsidRPr="0081596F" w:rsidRDefault="0081596F" w:rsidP="0081596F">
            <w:pPr>
              <w:spacing w:before="100" w:beforeAutospacing="1" w:after="100" w:afterAutospacing="1"/>
            </w:pPr>
            <w:r w:rsidRPr="0081596F">
              <w:rPr>
                <w:color w:val="000000"/>
                <w:sz w:val="20"/>
                <w:szCs w:val="20"/>
              </w:rPr>
              <w:t>0.14</w:t>
            </w:r>
          </w:p>
        </w:tc>
        <w:tc>
          <w:tcPr>
            <w:tcW w:w="923" w:type="dxa"/>
            <w:vAlign w:val="center"/>
            <w:hideMark/>
          </w:tcPr>
          <w:p w14:paraId="59F6183A" w14:textId="77777777" w:rsidR="0081596F" w:rsidRPr="0081596F" w:rsidRDefault="0081596F" w:rsidP="0081596F">
            <w:pPr>
              <w:spacing w:before="100" w:beforeAutospacing="1" w:after="100" w:afterAutospacing="1"/>
            </w:pPr>
            <w:r w:rsidRPr="0081596F">
              <w:rPr>
                <w:color w:val="000000"/>
                <w:sz w:val="20"/>
                <w:szCs w:val="20"/>
              </w:rPr>
              <w:t>0.07**</w:t>
            </w:r>
          </w:p>
        </w:tc>
        <w:tc>
          <w:tcPr>
            <w:tcW w:w="923" w:type="dxa"/>
            <w:vAlign w:val="center"/>
            <w:hideMark/>
          </w:tcPr>
          <w:p w14:paraId="510C44DB" w14:textId="77777777" w:rsidR="0081596F" w:rsidRPr="0081596F" w:rsidRDefault="0081596F" w:rsidP="0081596F">
            <w:pPr>
              <w:spacing w:before="100" w:beforeAutospacing="1" w:after="100" w:afterAutospacing="1"/>
            </w:pPr>
            <w:r w:rsidRPr="0081596F">
              <w:rPr>
                <w:color w:val="000000"/>
                <w:sz w:val="20"/>
                <w:szCs w:val="20"/>
              </w:rPr>
              <w:t>0.145</w:t>
            </w:r>
          </w:p>
        </w:tc>
        <w:tc>
          <w:tcPr>
            <w:tcW w:w="918" w:type="dxa"/>
            <w:vAlign w:val="center"/>
            <w:hideMark/>
          </w:tcPr>
          <w:p w14:paraId="5EBA72F4" w14:textId="77777777" w:rsidR="0081596F" w:rsidRPr="0081596F" w:rsidRDefault="0081596F" w:rsidP="0081596F">
            <w:pPr>
              <w:spacing w:before="100" w:beforeAutospacing="1" w:after="100" w:afterAutospacing="1"/>
            </w:pPr>
            <w:r w:rsidRPr="0081596F">
              <w:rPr>
                <w:color w:val="000000"/>
                <w:sz w:val="20"/>
                <w:szCs w:val="20"/>
              </w:rPr>
              <w:t>0.14</w:t>
            </w:r>
          </w:p>
        </w:tc>
        <w:tc>
          <w:tcPr>
            <w:tcW w:w="927" w:type="dxa"/>
            <w:vAlign w:val="center"/>
            <w:hideMark/>
          </w:tcPr>
          <w:p w14:paraId="31D8DBF9" w14:textId="77777777" w:rsidR="0081596F" w:rsidRPr="0081596F" w:rsidRDefault="0081596F" w:rsidP="0081596F">
            <w:pPr>
              <w:spacing w:before="100" w:beforeAutospacing="1" w:after="100" w:afterAutospacing="1"/>
            </w:pPr>
            <w:r w:rsidRPr="0081596F">
              <w:rPr>
                <w:color w:val="000000"/>
                <w:sz w:val="20"/>
                <w:szCs w:val="20"/>
              </w:rPr>
              <w:t>0.02</w:t>
            </w:r>
          </w:p>
        </w:tc>
        <w:tc>
          <w:tcPr>
            <w:tcW w:w="918" w:type="dxa"/>
            <w:vAlign w:val="center"/>
            <w:hideMark/>
          </w:tcPr>
          <w:p w14:paraId="677BB76C" w14:textId="77777777" w:rsidR="0081596F" w:rsidRPr="0081596F" w:rsidRDefault="0081596F" w:rsidP="0081596F">
            <w:pPr>
              <w:spacing w:before="100" w:beforeAutospacing="1" w:after="100" w:afterAutospacing="1"/>
            </w:pPr>
            <w:r w:rsidRPr="0081596F">
              <w:rPr>
                <w:color w:val="000000"/>
                <w:sz w:val="20"/>
                <w:szCs w:val="20"/>
              </w:rPr>
              <w:t>0.17</w:t>
            </w:r>
          </w:p>
        </w:tc>
        <w:tc>
          <w:tcPr>
            <w:tcW w:w="1121" w:type="dxa"/>
            <w:gridSpan w:val="2"/>
            <w:vAlign w:val="center"/>
            <w:hideMark/>
          </w:tcPr>
          <w:p w14:paraId="10388D85" w14:textId="77777777" w:rsidR="0081596F" w:rsidRPr="0081596F" w:rsidRDefault="0081596F" w:rsidP="0081596F">
            <w:pPr>
              <w:spacing w:before="100" w:beforeAutospacing="1" w:after="100" w:afterAutospacing="1"/>
            </w:pPr>
            <w:r w:rsidRPr="0081596F">
              <w:rPr>
                <w:color w:val="000000"/>
                <w:sz w:val="20"/>
                <w:szCs w:val="20"/>
              </w:rPr>
              <w:t>-0.031**</w:t>
            </w:r>
          </w:p>
        </w:tc>
        <w:tc>
          <w:tcPr>
            <w:tcW w:w="876" w:type="dxa"/>
            <w:gridSpan w:val="2"/>
            <w:vAlign w:val="center"/>
            <w:hideMark/>
          </w:tcPr>
          <w:p w14:paraId="6499CE47" w14:textId="77777777" w:rsidR="0081596F" w:rsidRPr="0081596F" w:rsidRDefault="0081596F" w:rsidP="0081596F">
            <w:pPr>
              <w:spacing w:before="100" w:beforeAutospacing="1" w:after="100" w:afterAutospacing="1"/>
            </w:pPr>
            <w:r w:rsidRPr="0081596F">
              <w:rPr>
                <w:color w:val="000000"/>
                <w:sz w:val="20"/>
                <w:szCs w:val="20"/>
              </w:rPr>
              <w:t>-0.22**</w:t>
            </w:r>
          </w:p>
        </w:tc>
        <w:tc>
          <w:tcPr>
            <w:tcW w:w="808" w:type="dxa"/>
            <w:vAlign w:val="center"/>
            <w:hideMark/>
          </w:tcPr>
          <w:p w14:paraId="7B8B6503" w14:textId="77777777" w:rsidR="0081596F" w:rsidRPr="0081596F" w:rsidRDefault="0081596F" w:rsidP="0081596F">
            <w:pPr>
              <w:spacing w:before="100" w:beforeAutospacing="1" w:after="100" w:afterAutospacing="1"/>
            </w:pPr>
            <w:r w:rsidRPr="0081596F">
              <w:rPr>
                <w:color w:val="000000"/>
                <w:sz w:val="20"/>
                <w:szCs w:val="20"/>
              </w:rPr>
              <w:t>0.27</w:t>
            </w:r>
          </w:p>
        </w:tc>
        <w:tc>
          <w:tcPr>
            <w:tcW w:w="923" w:type="dxa"/>
            <w:vAlign w:val="center"/>
            <w:hideMark/>
          </w:tcPr>
          <w:p w14:paraId="2DAF2185" w14:textId="77777777" w:rsidR="0081596F" w:rsidRPr="0081596F" w:rsidRDefault="0081596F" w:rsidP="0081596F">
            <w:pPr>
              <w:spacing w:before="100" w:beforeAutospacing="1" w:after="100" w:afterAutospacing="1"/>
            </w:pPr>
            <w:r w:rsidRPr="0081596F">
              <w:rPr>
                <w:color w:val="000000"/>
                <w:sz w:val="20"/>
                <w:szCs w:val="20"/>
              </w:rPr>
              <w:t>1</w:t>
            </w:r>
          </w:p>
        </w:tc>
        <w:tc>
          <w:tcPr>
            <w:tcW w:w="910" w:type="dxa"/>
            <w:vAlign w:val="center"/>
          </w:tcPr>
          <w:p w14:paraId="32A5C7DB" w14:textId="77777777" w:rsidR="0081596F" w:rsidRPr="0081596F" w:rsidRDefault="0081596F" w:rsidP="0081596F">
            <w:pPr>
              <w:spacing w:before="100" w:beforeAutospacing="1" w:after="100" w:afterAutospacing="1"/>
            </w:pPr>
          </w:p>
        </w:tc>
      </w:tr>
      <w:tr w:rsidR="0081596F" w:rsidRPr="0081596F" w14:paraId="18C4A520" w14:textId="77777777" w:rsidTr="0081596F">
        <w:tc>
          <w:tcPr>
            <w:tcW w:w="1327" w:type="dxa"/>
            <w:tcBorders>
              <w:top w:val="nil"/>
              <w:left w:val="nil"/>
              <w:bottom w:val="single" w:sz="4" w:space="0" w:color="auto"/>
              <w:right w:val="nil"/>
            </w:tcBorders>
            <w:vAlign w:val="bottom"/>
            <w:hideMark/>
          </w:tcPr>
          <w:p w14:paraId="5F49C558" w14:textId="77777777" w:rsidR="0081596F" w:rsidRPr="0081596F" w:rsidRDefault="0081596F" w:rsidP="0081596F">
            <w:pPr>
              <w:spacing w:before="100" w:beforeAutospacing="1" w:after="100" w:afterAutospacing="1"/>
            </w:pPr>
            <w:r w:rsidRPr="0081596F">
              <w:rPr>
                <w:color w:val="000000"/>
                <w:sz w:val="20"/>
                <w:szCs w:val="20"/>
              </w:rPr>
              <w:t>Leverage</w:t>
            </w:r>
          </w:p>
        </w:tc>
        <w:tc>
          <w:tcPr>
            <w:tcW w:w="927" w:type="dxa"/>
            <w:tcBorders>
              <w:top w:val="nil"/>
              <w:left w:val="nil"/>
              <w:bottom w:val="single" w:sz="4" w:space="0" w:color="auto"/>
              <w:right w:val="nil"/>
            </w:tcBorders>
            <w:vAlign w:val="center"/>
            <w:hideMark/>
          </w:tcPr>
          <w:p w14:paraId="2C249CAF" w14:textId="77777777" w:rsidR="0081596F" w:rsidRPr="0081596F" w:rsidRDefault="0081596F" w:rsidP="0081596F">
            <w:pPr>
              <w:spacing w:before="100" w:beforeAutospacing="1" w:after="100" w:afterAutospacing="1"/>
            </w:pPr>
            <w:r w:rsidRPr="0081596F">
              <w:rPr>
                <w:color w:val="000000"/>
                <w:sz w:val="20"/>
                <w:szCs w:val="20"/>
              </w:rPr>
              <w:t>-0.03</w:t>
            </w:r>
          </w:p>
        </w:tc>
        <w:tc>
          <w:tcPr>
            <w:tcW w:w="923" w:type="dxa"/>
            <w:tcBorders>
              <w:top w:val="nil"/>
              <w:left w:val="nil"/>
              <w:bottom w:val="single" w:sz="4" w:space="0" w:color="auto"/>
              <w:right w:val="nil"/>
            </w:tcBorders>
            <w:vAlign w:val="center"/>
            <w:hideMark/>
          </w:tcPr>
          <w:p w14:paraId="139BA5A4" w14:textId="77777777" w:rsidR="0081596F" w:rsidRPr="0081596F" w:rsidRDefault="0081596F" w:rsidP="0081596F">
            <w:pPr>
              <w:spacing w:before="100" w:beforeAutospacing="1" w:after="100" w:afterAutospacing="1"/>
            </w:pPr>
            <w:r w:rsidRPr="0081596F">
              <w:rPr>
                <w:color w:val="000000"/>
                <w:sz w:val="20"/>
                <w:szCs w:val="20"/>
              </w:rPr>
              <w:t>-0.025</w:t>
            </w:r>
          </w:p>
        </w:tc>
        <w:tc>
          <w:tcPr>
            <w:tcW w:w="918" w:type="dxa"/>
            <w:tcBorders>
              <w:top w:val="nil"/>
              <w:left w:val="nil"/>
              <w:bottom w:val="single" w:sz="4" w:space="0" w:color="auto"/>
              <w:right w:val="nil"/>
            </w:tcBorders>
            <w:vAlign w:val="center"/>
            <w:hideMark/>
          </w:tcPr>
          <w:p w14:paraId="552E43AB" w14:textId="77777777" w:rsidR="0081596F" w:rsidRPr="0081596F" w:rsidRDefault="0081596F" w:rsidP="0081596F">
            <w:pPr>
              <w:spacing w:before="100" w:beforeAutospacing="1" w:after="100" w:afterAutospacing="1"/>
            </w:pPr>
            <w:r w:rsidRPr="0081596F">
              <w:rPr>
                <w:color w:val="000000"/>
                <w:sz w:val="20"/>
                <w:szCs w:val="20"/>
              </w:rPr>
              <w:t>-0.012</w:t>
            </w:r>
          </w:p>
        </w:tc>
        <w:tc>
          <w:tcPr>
            <w:tcW w:w="923" w:type="dxa"/>
            <w:tcBorders>
              <w:top w:val="nil"/>
              <w:left w:val="nil"/>
              <w:bottom w:val="single" w:sz="4" w:space="0" w:color="auto"/>
              <w:right w:val="nil"/>
            </w:tcBorders>
            <w:vAlign w:val="center"/>
            <w:hideMark/>
          </w:tcPr>
          <w:p w14:paraId="6AE6CEB6" w14:textId="77777777" w:rsidR="0081596F" w:rsidRPr="0081596F" w:rsidRDefault="0081596F" w:rsidP="0081596F">
            <w:pPr>
              <w:spacing w:before="100" w:beforeAutospacing="1" w:after="100" w:afterAutospacing="1"/>
            </w:pPr>
            <w:r w:rsidRPr="0081596F">
              <w:rPr>
                <w:color w:val="000000"/>
                <w:sz w:val="20"/>
                <w:szCs w:val="20"/>
              </w:rPr>
              <w:t>-0.026</w:t>
            </w:r>
          </w:p>
        </w:tc>
        <w:tc>
          <w:tcPr>
            <w:tcW w:w="923" w:type="dxa"/>
            <w:tcBorders>
              <w:top w:val="nil"/>
              <w:left w:val="nil"/>
              <w:bottom w:val="single" w:sz="4" w:space="0" w:color="auto"/>
              <w:right w:val="nil"/>
            </w:tcBorders>
            <w:vAlign w:val="center"/>
            <w:hideMark/>
          </w:tcPr>
          <w:p w14:paraId="339502EB" w14:textId="77777777" w:rsidR="0081596F" w:rsidRPr="0081596F" w:rsidRDefault="0081596F" w:rsidP="0081596F">
            <w:pPr>
              <w:spacing w:before="100" w:beforeAutospacing="1" w:after="100" w:afterAutospacing="1"/>
            </w:pPr>
            <w:r w:rsidRPr="0081596F">
              <w:rPr>
                <w:color w:val="000000"/>
                <w:sz w:val="20"/>
                <w:szCs w:val="20"/>
              </w:rPr>
              <w:t>0.18</w:t>
            </w:r>
          </w:p>
        </w:tc>
        <w:tc>
          <w:tcPr>
            <w:tcW w:w="923" w:type="dxa"/>
            <w:tcBorders>
              <w:top w:val="nil"/>
              <w:left w:val="nil"/>
              <w:bottom w:val="single" w:sz="4" w:space="0" w:color="auto"/>
              <w:right w:val="nil"/>
            </w:tcBorders>
            <w:vAlign w:val="center"/>
            <w:hideMark/>
          </w:tcPr>
          <w:p w14:paraId="769DD34D" w14:textId="77777777" w:rsidR="0081596F" w:rsidRPr="0081596F" w:rsidRDefault="0081596F" w:rsidP="0081596F">
            <w:pPr>
              <w:spacing w:before="100" w:beforeAutospacing="1" w:after="100" w:afterAutospacing="1"/>
            </w:pPr>
            <w:r w:rsidRPr="0081596F">
              <w:rPr>
                <w:color w:val="000000"/>
                <w:sz w:val="20"/>
                <w:szCs w:val="20"/>
              </w:rPr>
              <w:t>0.017</w:t>
            </w:r>
          </w:p>
        </w:tc>
        <w:tc>
          <w:tcPr>
            <w:tcW w:w="918" w:type="dxa"/>
            <w:tcBorders>
              <w:top w:val="nil"/>
              <w:left w:val="nil"/>
              <w:bottom w:val="single" w:sz="4" w:space="0" w:color="auto"/>
              <w:right w:val="nil"/>
            </w:tcBorders>
            <w:vAlign w:val="center"/>
            <w:hideMark/>
          </w:tcPr>
          <w:p w14:paraId="1FC01A53" w14:textId="77777777" w:rsidR="0081596F" w:rsidRPr="0081596F" w:rsidRDefault="0081596F" w:rsidP="0081596F">
            <w:pPr>
              <w:spacing w:before="100" w:beforeAutospacing="1" w:after="100" w:afterAutospacing="1"/>
            </w:pPr>
            <w:r w:rsidRPr="0081596F">
              <w:rPr>
                <w:color w:val="000000"/>
                <w:sz w:val="20"/>
                <w:szCs w:val="20"/>
              </w:rPr>
              <w:t>0.02</w:t>
            </w:r>
          </w:p>
        </w:tc>
        <w:tc>
          <w:tcPr>
            <w:tcW w:w="927" w:type="dxa"/>
            <w:tcBorders>
              <w:top w:val="nil"/>
              <w:left w:val="nil"/>
              <w:bottom w:val="single" w:sz="4" w:space="0" w:color="auto"/>
              <w:right w:val="nil"/>
            </w:tcBorders>
            <w:vAlign w:val="center"/>
            <w:hideMark/>
          </w:tcPr>
          <w:p w14:paraId="27BEA49E" w14:textId="77777777" w:rsidR="0081596F" w:rsidRPr="0081596F" w:rsidRDefault="0081596F" w:rsidP="0081596F">
            <w:pPr>
              <w:spacing w:before="100" w:beforeAutospacing="1" w:after="100" w:afterAutospacing="1"/>
            </w:pPr>
            <w:r w:rsidRPr="0081596F">
              <w:rPr>
                <w:color w:val="000000"/>
                <w:sz w:val="20"/>
                <w:szCs w:val="20"/>
              </w:rPr>
              <w:t>-0.19</w:t>
            </w:r>
          </w:p>
        </w:tc>
        <w:tc>
          <w:tcPr>
            <w:tcW w:w="918" w:type="dxa"/>
            <w:tcBorders>
              <w:top w:val="nil"/>
              <w:left w:val="nil"/>
              <w:bottom w:val="single" w:sz="4" w:space="0" w:color="auto"/>
              <w:right w:val="nil"/>
            </w:tcBorders>
            <w:vAlign w:val="center"/>
            <w:hideMark/>
          </w:tcPr>
          <w:p w14:paraId="57BDF94B" w14:textId="77777777" w:rsidR="0081596F" w:rsidRPr="0081596F" w:rsidRDefault="0081596F" w:rsidP="0081596F">
            <w:pPr>
              <w:spacing w:before="100" w:beforeAutospacing="1" w:after="100" w:afterAutospacing="1"/>
            </w:pPr>
            <w:r w:rsidRPr="0081596F">
              <w:rPr>
                <w:color w:val="000000"/>
                <w:sz w:val="20"/>
                <w:szCs w:val="20"/>
              </w:rPr>
              <w:t>-0.16</w:t>
            </w:r>
          </w:p>
        </w:tc>
        <w:tc>
          <w:tcPr>
            <w:tcW w:w="1121" w:type="dxa"/>
            <w:gridSpan w:val="2"/>
            <w:tcBorders>
              <w:top w:val="nil"/>
              <w:left w:val="nil"/>
              <w:bottom w:val="single" w:sz="4" w:space="0" w:color="auto"/>
              <w:right w:val="nil"/>
            </w:tcBorders>
            <w:vAlign w:val="center"/>
            <w:hideMark/>
          </w:tcPr>
          <w:p w14:paraId="2E119F6B" w14:textId="77777777" w:rsidR="0081596F" w:rsidRPr="0081596F" w:rsidRDefault="0081596F" w:rsidP="0081596F">
            <w:pPr>
              <w:spacing w:before="100" w:beforeAutospacing="1" w:after="100" w:afterAutospacing="1"/>
            </w:pPr>
            <w:r w:rsidRPr="0081596F">
              <w:rPr>
                <w:color w:val="000000"/>
                <w:sz w:val="20"/>
                <w:szCs w:val="20"/>
              </w:rPr>
              <w:t>0.016</w:t>
            </w:r>
          </w:p>
        </w:tc>
        <w:tc>
          <w:tcPr>
            <w:tcW w:w="876" w:type="dxa"/>
            <w:gridSpan w:val="2"/>
            <w:tcBorders>
              <w:top w:val="nil"/>
              <w:left w:val="nil"/>
              <w:bottom w:val="single" w:sz="4" w:space="0" w:color="auto"/>
              <w:right w:val="nil"/>
            </w:tcBorders>
            <w:vAlign w:val="center"/>
            <w:hideMark/>
          </w:tcPr>
          <w:p w14:paraId="751D984C" w14:textId="77777777" w:rsidR="0081596F" w:rsidRPr="0081596F" w:rsidRDefault="0081596F" w:rsidP="0081596F">
            <w:pPr>
              <w:spacing w:before="100" w:beforeAutospacing="1" w:after="100" w:afterAutospacing="1"/>
            </w:pPr>
            <w:r w:rsidRPr="0081596F">
              <w:rPr>
                <w:color w:val="000000"/>
                <w:sz w:val="20"/>
                <w:szCs w:val="20"/>
              </w:rPr>
              <w:t>0.011</w:t>
            </w:r>
          </w:p>
        </w:tc>
        <w:tc>
          <w:tcPr>
            <w:tcW w:w="808" w:type="dxa"/>
            <w:tcBorders>
              <w:top w:val="nil"/>
              <w:left w:val="nil"/>
              <w:bottom w:val="single" w:sz="4" w:space="0" w:color="auto"/>
              <w:right w:val="nil"/>
            </w:tcBorders>
            <w:vAlign w:val="center"/>
            <w:hideMark/>
          </w:tcPr>
          <w:p w14:paraId="0B687FF1" w14:textId="77777777" w:rsidR="0081596F" w:rsidRPr="0081596F" w:rsidRDefault="0081596F" w:rsidP="0081596F">
            <w:pPr>
              <w:spacing w:before="100" w:beforeAutospacing="1" w:after="100" w:afterAutospacing="1"/>
            </w:pPr>
            <w:r w:rsidRPr="0081596F">
              <w:rPr>
                <w:color w:val="000000"/>
                <w:sz w:val="20"/>
                <w:szCs w:val="20"/>
              </w:rPr>
              <w:t>-0.024</w:t>
            </w:r>
          </w:p>
        </w:tc>
        <w:tc>
          <w:tcPr>
            <w:tcW w:w="923" w:type="dxa"/>
            <w:tcBorders>
              <w:top w:val="nil"/>
              <w:left w:val="nil"/>
              <w:bottom w:val="single" w:sz="4" w:space="0" w:color="auto"/>
              <w:right w:val="nil"/>
            </w:tcBorders>
            <w:vAlign w:val="center"/>
            <w:hideMark/>
          </w:tcPr>
          <w:p w14:paraId="4300FC6B" w14:textId="77777777" w:rsidR="0081596F" w:rsidRPr="0081596F" w:rsidRDefault="0081596F" w:rsidP="0081596F">
            <w:pPr>
              <w:spacing w:before="100" w:beforeAutospacing="1" w:after="100" w:afterAutospacing="1"/>
            </w:pPr>
            <w:r w:rsidRPr="0081596F">
              <w:rPr>
                <w:color w:val="000000"/>
                <w:sz w:val="20"/>
                <w:szCs w:val="20"/>
              </w:rPr>
              <w:t>0.08**</w:t>
            </w:r>
          </w:p>
        </w:tc>
        <w:tc>
          <w:tcPr>
            <w:tcW w:w="910" w:type="dxa"/>
            <w:tcBorders>
              <w:top w:val="nil"/>
              <w:left w:val="nil"/>
              <w:bottom w:val="single" w:sz="4" w:space="0" w:color="auto"/>
              <w:right w:val="nil"/>
            </w:tcBorders>
            <w:vAlign w:val="center"/>
            <w:hideMark/>
          </w:tcPr>
          <w:p w14:paraId="17E073BC" w14:textId="77777777" w:rsidR="0081596F" w:rsidRPr="0081596F" w:rsidRDefault="0081596F" w:rsidP="0081596F">
            <w:pPr>
              <w:spacing w:before="100" w:beforeAutospacing="1" w:after="100" w:afterAutospacing="1"/>
            </w:pPr>
            <w:r w:rsidRPr="0081596F">
              <w:rPr>
                <w:color w:val="000000"/>
                <w:sz w:val="20"/>
                <w:szCs w:val="20"/>
              </w:rPr>
              <w:t>1</w:t>
            </w:r>
          </w:p>
        </w:tc>
      </w:tr>
    </w:tbl>
    <w:p w14:paraId="4AFF8E72" w14:textId="77777777" w:rsidR="0081596F" w:rsidRPr="0081596F" w:rsidRDefault="0081596F" w:rsidP="0081596F">
      <w:pPr>
        <w:rPr>
          <w:rFonts w:eastAsia="Calibri"/>
        </w:rPr>
      </w:pPr>
      <w:r w:rsidRPr="0081596F">
        <w:rPr>
          <w:sz w:val="20"/>
          <w:szCs w:val="20"/>
        </w:rPr>
        <w:t xml:space="preserve">Notes: This table presents the correlation matrix of all the variables. </w:t>
      </w:r>
      <w:r w:rsidRPr="0081596F">
        <w:rPr>
          <w:rFonts w:ascii="Garamond" w:eastAsia="Calibri" w:hAnsi="Garamond"/>
          <w:i/>
          <w:iCs/>
          <w:sz w:val="20"/>
          <w:szCs w:val="20"/>
          <w:lang w:val="en-US"/>
        </w:rPr>
        <w:t>*** p&lt;0.01, ** p&lt;0.05, * p&lt;0.1</w:t>
      </w:r>
    </w:p>
    <w:p w14:paraId="490892BD" w14:textId="77777777" w:rsidR="0081596F" w:rsidRPr="0081596F" w:rsidRDefault="0081596F" w:rsidP="0081596F">
      <w:pPr>
        <w:rPr>
          <w:sz w:val="20"/>
          <w:szCs w:val="20"/>
        </w:rPr>
      </w:pPr>
    </w:p>
    <w:p w14:paraId="68F24901" w14:textId="77777777" w:rsidR="0081596F" w:rsidRPr="0081596F" w:rsidRDefault="0081596F" w:rsidP="0081596F">
      <w:pPr>
        <w:jc w:val="center"/>
      </w:pPr>
    </w:p>
    <w:p w14:paraId="31E79E3B" w14:textId="77777777" w:rsidR="0081596F" w:rsidRPr="0081596F" w:rsidRDefault="0081596F" w:rsidP="0081596F">
      <w:pPr>
        <w:jc w:val="center"/>
      </w:pPr>
    </w:p>
    <w:p w14:paraId="1DAE025F" w14:textId="77777777" w:rsidR="0081596F" w:rsidRPr="0081596F" w:rsidRDefault="0081596F" w:rsidP="0081596F">
      <w:pPr>
        <w:sectPr w:rsidR="0081596F" w:rsidRPr="0081596F">
          <w:pgSz w:w="16840" w:h="11900" w:orient="landscape"/>
          <w:pgMar w:top="1440" w:right="1440" w:bottom="1440" w:left="1440" w:header="720" w:footer="720" w:gutter="0"/>
          <w:cols w:space="720"/>
        </w:sectPr>
      </w:pPr>
    </w:p>
    <w:p w14:paraId="379DAE2F" w14:textId="77777777" w:rsidR="0081596F" w:rsidRPr="0081596F" w:rsidRDefault="0081596F" w:rsidP="0081596F">
      <w:r w:rsidRPr="0081596F">
        <w:lastRenderedPageBreak/>
        <w:t>Table 5 Univariate analysis</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3"/>
        <w:gridCol w:w="1993"/>
        <w:gridCol w:w="1993"/>
        <w:gridCol w:w="1993"/>
        <w:gridCol w:w="1993"/>
        <w:gridCol w:w="1993"/>
      </w:tblGrid>
      <w:tr w:rsidR="0081596F" w:rsidRPr="0081596F" w14:paraId="0D513A9B" w14:textId="77777777" w:rsidTr="0081596F">
        <w:tc>
          <w:tcPr>
            <w:tcW w:w="1992" w:type="dxa"/>
            <w:tcBorders>
              <w:top w:val="single" w:sz="4" w:space="0" w:color="auto"/>
              <w:left w:val="nil"/>
              <w:bottom w:val="single" w:sz="4" w:space="0" w:color="auto"/>
              <w:right w:val="nil"/>
            </w:tcBorders>
          </w:tcPr>
          <w:p w14:paraId="37301957" w14:textId="77777777" w:rsidR="0081596F" w:rsidRPr="0081596F" w:rsidRDefault="0081596F" w:rsidP="0081596F">
            <w:pPr>
              <w:spacing w:before="100" w:beforeAutospacing="1" w:after="100" w:afterAutospacing="1"/>
              <w:rPr>
                <w:sz w:val="20"/>
                <w:szCs w:val="20"/>
              </w:rPr>
            </w:pPr>
          </w:p>
        </w:tc>
        <w:tc>
          <w:tcPr>
            <w:tcW w:w="1993" w:type="dxa"/>
            <w:tcBorders>
              <w:top w:val="single" w:sz="4" w:space="0" w:color="auto"/>
              <w:left w:val="nil"/>
              <w:bottom w:val="single" w:sz="4" w:space="0" w:color="auto"/>
              <w:right w:val="nil"/>
            </w:tcBorders>
          </w:tcPr>
          <w:p w14:paraId="4B48F765" w14:textId="77777777" w:rsidR="0081596F" w:rsidRPr="0081596F" w:rsidRDefault="0081596F" w:rsidP="0081596F">
            <w:pPr>
              <w:spacing w:before="100" w:beforeAutospacing="1" w:after="100" w:afterAutospacing="1"/>
              <w:rPr>
                <w:sz w:val="20"/>
                <w:szCs w:val="20"/>
              </w:rPr>
            </w:pPr>
          </w:p>
        </w:tc>
        <w:tc>
          <w:tcPr>
            <w:tcW w:w="1993" w:type="dxa"/>
            <w:tcBorders>
              <w:top w:val="single" w:sz="4" w:space="0" w:color="auto"/>
              <w:left w:val="nil"/>
              <w:bottom w:val="single" w:sz="4" w:space="0" w:color="auto"/>
              <w:right w:val="nil"/>
            </w:tcBorders>
          </w:tcPr>
          <w:p w14:paraId="4947C0E5" w14:textId="77777777" w:rsidR="0081596F" w:rsidRPr="0081596F" w:rsidRDefault="0081596F" w:rsidP="0081596F">
            <w:pPr>
              <w:spacing w:before="100" w:beforeAutospacing="1" w:after="100" w:afterAutospacing="1"/>
              <w:rPr>
                <w:sz w:val="20"/>
                <w:szCs w:val="20"/>
              </w:rPr>
            </w:pPr>
          </w:p>
        </w:tc>
        <w:tc>
          <w:tcPr>
            <w:tcW w:w="3986" w:type="dxa"/>
            <w:gridSpan w:val="2"/>
            <w:tcBorders>
              <w:top w:val="single" w:sz="4" w:space="0" w:color="auto"/>
              <w:left w:val="nil"/>
              <w:bottom w:val="single" w:sz="4" w:space="0" w:color="auto"/>
              <w:right w:val="nil"/>
            </w:tcBorders>
            <w:hideMark/>
          </w:tcPr>
          <w:p w14:paraId="60BFFDE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SIZE and MV/BV matched BHAR</w:t>
            </w:r>
          </w:p>
        </w:tc>
        <w:tc>
          <w:tcPr>
            <w:tcW w:w="3986" w:type="dxa"/>
            <w:gridSpan w:val="2"/>
            <w:tcBorders>
              <w:top w:val="single" w:sz="4" w:space="0" w:color="auto"/>
              <w:left w:val="nil"/>
              <w:bottom w:val="single" w:sz="4" w:space="0" w:color="auto"/>
              <w:right w:val="nil"/>
            </w:tcBorders>
            <w:hideMark/>
          </w:tcPr>
          <w:p w14:paraId="407CC2F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Propensity score matched BHAR</w:t>
            </w:r>
          </w:p>
        </w:tc>
      </w:tr>
      <w:tr w:rsidR="0081596F" w:rsidRPr="0081596F" w14:paraId="0EACBDB8" w14:textId="77777777" w:rsidTr="0081596F">
        <w:tc>
          <w:tcPr>
            <w:tcW w:w="1992" w:type="dxa"/>
            <w:tcBorders>
              <w:top w:val="single" w:sz="4" w:space="0" w:color="auto"/>
              <w:left w:val="nil"/>
              <w:bottom w:val="single" w:sz="4" w:space="0" w:color="auto"/>
              <w:right w:val="nil"/>
            </w:tcBorders>
            <w:hideMark/>
          </w:tcPr>
          <w:p w14:paraId="004205DC"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Panel A: </w:t>
            </w:r>
          </w:p>
        </w:tc>
        <w:tc>
          <w:tcPr>
            <w:tcW w:w="1993" w:type="dxa"/>
            <w:tcBorders>
              <w:top w:val="single" w:sz="4" w:space="0" w:color="auto"/>
              <w:left w:val="nil"/>
              <w:bottom w:val="single" w:sz="4" w:space="0" w:color="auto"/>
              <w:right w:val="nil"/>
            </w:tcBorders>
            <w:hideMark/>
          </w:tcPr>
          <w:p w14:paraId="7FE7693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(-1, +1)</w:t>
            </w:r>
          </w:p>
        </w:tc>
        <w:tc>
          <w:tcPr>
            <w:tcW w:w="1993" w:type="dxa"/>
            <w:tcBorders>
              <w:top w:val="single" w:sz="4" w:space="0" w:color="auto"/>
              <w:left w:val="nil"/>
              <w:bottom w:val="single" w:sz="4" w:space="0" w:color="auto"/>
              <w:right w:val="nil"/>
            </w:tcBorders>
            <w:hideMark/>
          </w:tcPr>
          <w:p w14:paraId="6BBC47D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(-2, +2)</w:t>
            </w:r>
          </w:p>
        </w:tc>
        <w:tc>
          <w:tcPr>
            <w:tcW w:w="1993" w:type="dxa"/>
            <w:tcBorders>
              <w:top w:val="single" w:sz="4" w:space="0" w:color="auto"/>
              <w:left w:val="nil"/>
              <w:bottom w:val="single" w:sz="4" w:space="0" w:color="auto"/>
              <w:right w:val="nil"/>
            </w:tcBorders>
            <w:hideMark/>
          </w:tcPr>
          <w:p w14:paraId="311CB15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34CC0CE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c>
          <w:tcPr>
            <w:tcW w:w="1993" w:type="dxa"/>
            <w:tcBorders>
              <w:top w:val="single" w:sz="4" w:space="0" w:color="auto"/>
              <w:left w:val="nil"/>
              <w:bottom w:val="single" w:sz="4" w:space="0" w:color="auto"/>
              <w:right w:val="nil"/>
            </w:tcBorders>
            <w:hideMark/>
          </w:tcPr>
          <w:p w14:paraId="1318D46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3A98B03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r>
      <w:tr w:rsidR="0081596F" w:rsidRPr="0081596F" w14:paraId="2E941972" w14:textId="77777777" w:rsidTr="0081596F">
        <w:tc>
          <w:tcPr>
            <w:tcW w:w="1992" w:type="dxa"/>
            <w:tcBorders>
              <w:top w:val="single" w:sz="4" w:space="0" w:color="auto"/>
              <w:left w:val="nil"/>
              <w:bottom w:val="nil"/>
              <w:right w:val="nil"/>
            </w:tcBorders>
            <w:hideMark/>
          </w:tcPr>
          <w:p w14:paraId="13F6F4DE"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All sample</w:t>
            </w:r>
          </w:p>
        </w:tc>
        <w:tc>
          <w:tcPr>
            <w:tcW w:w="1993" w:type="dxa"/>
            <w:tcBorders>
              <w:top w:val="single" w:sz="4" w:space="0" w:color="auto"/>
              <w:left w:val="nil"/>
              <w:bottom w:val="nil"/>
              <w:right w:val="nil"/>
            </w:tcBorders>
            <w:hideMark/>
          </w:tcPr>
          <w:p w14:paraId="041CA4E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1.05%***</w:t>
            </w:r>
          </w:p>
        </w:tc>
        <w:tc>
          <w:tcPr>
            <w:tcW w:w="1993" w:type="dxa"/>
            <w:tcBorders>
              <w:top w:val="single" w:sz="4" w:space="0" w:color="auto"/>
              <w:left w:val="nil"/>
              <w:bottom w:val="nil"/>
              <w:right w:val="nil"/>
            </w:tcBorders>
            <w:hideMark/>
          </w:tcPr>
          <w:p w14:paraId="59EE9A2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0.98%***</w:t>
            </w:r>
          </w:p>
        </w:tc>
        <w:tc>
          <w:tcPr>
            <w:tcW w:w="1993" w:type="dxa"/>
            <w:tcBorders>
              <w:top w:val="single" w:sz="4" w:space="0" w:color="auto"/>
              <w:left w:val="nil"/>
              <w:bottom w:val="nil"/>
              <w:right w:val="nil"/>
            </w:tcBorders>
            <w:hideMark/>
          </w:tcPr>
          <w:p w14:paraId="319D273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-3.5%***</w:t>
            </w:r>
          </w:p>
        </w:tc>
        <w:tc>
          <w:tcPr>
            <w:tcW w:w="1993" w:type="dxa"/>
            <w:tcBorders>
              <w:top w:val="single" w:sz="4" w:space="0" w:color="auto"/>
              <w:left w:val="nil"/>
              <w:bottom w:val="nil"/>
              <w:right w:val="nil"/>
            </w:tcBorders>
            <w:hideMark/>
          </w:tcPr>
          <w:p w14:paraId="74F5EFF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-2.75%**</w:t>
            </w:r>
          </w:p>
        </w:tc>
        <w:tc>
          <w:tcPr>
            <w:tcW w:w="1993" w:type="dxa"/>
            <w:tcBorders>
              <w:top w:val="single" w:sz="4" w:space="0" w:color="auto"/>
              <w:left w:val="nil"/>
              <w:bottom w:val="nil"/>
              <w:right w:val="nil"/>
            </w:tcBorders>
            <w:hideMark/>
          </w:tcPr>
          <w:p w14:paraId="1A0312F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-2.76%**</w:t>
            </w:r>
          </w:p>
        </w:tc>
        <w:tc>
          <w:tcPr>
            <w:tcW w:w="1993" w:type="dxa"/>
            <w:tcBorders>
              <w:top w:val="single" w:sz="4" w:space="0" w:color="auto"/>
              <w:left w:val="nil"/>
              <w:bottom w:val="nil"/>
              <w:right w:val="nil"/>
            </w:tcBorders>
            <w:hideMark/>
          </w:tcPr>
          <w:p w14:paraId="02FC92B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-2.34%**</w:t>
            </w:r>
          </w:p>
        </w:tc>
      </w:tr>
      <w:tr w:rsidR="0081596F" w:rsidRPr="0081596F" w14:paraId="20626109" w14:textId="77777777" w:rsidTr="0081596F">
        <w:tc>
          <w:tcPr>
            <w:tcW w:w="1992" w:type="dxa"/>
            <w:tcBorders>
              <w:top w:val="nil"/>
              <w:left w:val="nil"/>
              <w:bottom w:val="single" w:sz="4" w:space="0" w:color="auto"/>
              <w:right w:val="nil"/>
            </w:tcBorders>
          </w:tcPr>
          <w:p w14:paraId="02A0E40A" w14:textId="77777777" w:rsidR="0081596F" w:rsidRPr="0081596F" w:rsidRDefault="0081596F" w:rsidP="0081596F">
            <w:pPr>
              <w:spacing w:before="100" w:beforeAutospacing="1" w:after="100" w:afterAutospacing="1"/>
              <w:rPr>
                <w:sz w:val="20"/>
                <w:szCs w:val="20"/>
              </w:rPr>
            </w:pPr>
          </w:p>
        </w:tc>
        <w:tc>
          <w:tcPr>
            <w:tcW w:w="1993" w:type="dxa"/>
            <w:tcBorders>
              <w:top w:val="nil"/>
              <w:left w:val="nil"/>
              <w:bottom w:val="single" w:sz="4" w:space="0" w:color="auto"/>
              <w:right w:val="nil"/>
            </w:tcBorders>
            <w:hideMark/>
          </w:tcPr>
          <w:p w14:paraId="715911E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(3.19)</w:t>
            </w:r>
          </w:p>
        </w:tc>
        <w:tc>
          <w:tcPr>
            <w:tcW w:w="1993" w:type="dxa"/>
            <w:tcBorders>
              <w:top w:val="nil"/>
              <w:left w:val="nil"/>
              <w:bottom w:val="single" w:sz="4" w:space="0" w:color="auto"/>
              <w:right w:val="nil"/>
            </w:tcBorders>
            <w:hideMark/>
          </w:tcPr>
          <w:p w14:paraId="01107C3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(3.15)</w:t>
            </w:r>
          </w:p>
        </w:tc>
        <w:tc>
          <w:tcPr>
            <w:tcW w:w="1993" w:type="dxa"/>
            <w:tcBorders>
              <w:top w:val="nil"/>
              <w:left w:val="nil"/>
              <w:bottom w:val="single" w:sz="4" w:space="0" w:color="auto"/>
              <w:right w:val="nil"/>
            </w:tcBorders>
            <w:hideMark/>
          </w:tcPr>
          <w:p w14:paraId="707A753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(-3.89)</w:t>
            </w:r>
          </w:p>
        </w:tc>
        <w:tc>
          <w:tcPr>
            <w:tcW w:w="1993" w:type="dxa"/>
            <w:tcBorders>
              <w:top w:val="nil"/>
              <w:left w:val="nil"/>
              <w:bottom w:val="single" w:sz="4" w:space="0" w:color="auto"/>
              <w:right w:val="nil"/>
            </w:tcBorders>
            <w:hideMark/>
          </w:tcPr>
          <w:p w14:paraId="24EEB48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(-2.56)</w:t>
            </w:r>
          </w:p>
        </w:tc>
        <w:tc>
          <w:tcPr>
            <w:tcW w:w="1993" w:type="dxa"/>
            <w:tcBorders>
              <w:top w:val="nil"/>
              <w:left w:val="nil"/>
              <w:bottom w:val="single" w:sz="4" w:space="0" w:color="auto"/>
              <w:right w:val="nil"/>
            </w:tcBorders>
            <w:hideMark/>
          </w:tcPr>
          <w:p w14:paraId="748FF78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(-2.59)</w:t>
            </w:r>
          </w:p>
        </w:tc>
        <w:tc>
          <w:tcPr>
            <w:tcW w:w="1993" w:type="dxa"/>
            <w:tcBorders>
              <w:top w:val="nil"/>
              <w:left w:val="nil"/>
              <w:bottom w:val="single" w:sz="4" w:space="0" w:color="auto"/>
              <w:right w:val="nil"/>
            </w:tcBorders>
            <w:hideMark/>
          </w:tcPr>
          <w:p w14:paraId="5218E6F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(-2.27)</w:t>
            </w:r>
          </w:p>
        </w:tc>
      </w:tr>
      <w:tr w:rsidR="0081596F" w:rsidRPr="0081596F" w14:paraId="25AB4714" w14:textId="77777777" w:rsidTr="0081596F">
        <w:tc>
          <w:tcPr>
            <w:tcW w:w="1992" w:type="dxa"/>
            <w:tcBorders>
              <w:top w:val="single" w:sz="4" w:space="0" w:color="auto"/>
              <w:left w:val="nil"/>
              <w:bottom w:val="single" w:sz="4" w:space="0" w:color="auto"/>
              <w:right w:val="nil"/>
            </w:tcBorders>
            <w:hideMark/>
          </w:tcPr>
          <w:p w14:paraId="79316A0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Panel B: </w:t>
            </w:r>
          </w:p>
        </w:tc>
        <w:tc>
          <w:tcPr>
            <w:tcW w:w="1993" w:type="dxa"/>
            <w:tcBorders>
              <w:top w:val="single" w:sz="4" w:space="0" w:color="auto"/>
              <w:left w:val="nil"/>
              <w:bottom w:val="single" w:sz="4" w:space="0" w:color="auto"/>
              <w:right w:val="nil"/>
            </w:tcBorders>
            <w:hideMark/>
          </w:tcPr>
          <w:p w14:paraId="77BDDE5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(-1, +1)</w:t>
            </w:r>
          </w:p>
        </w:tc>
        <w:tc>
          <w:tcPr>
            <w:tcW w:w="1993" w:type="dxa"/>
            <w:tcBorders>
              <w:top w:val="single" w:sz="4" w:space="0" w:color="auto"/>
              <w:left w:val="nil"/>
              <w:bottom w:val="single" w:sz="4" w:space="0" w:color="auto"/>
              <w:right w:val="nil"/>
            </w:tcBorders>
            <w:hideMark/>
          </w:tcPr>
          <w:p w14:paraId="4A06BDC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(-2, +2)</w:t>
            </w:r>
          </w:p>
        </w:tc>
        <w:tc>
          <w:tcPr>
            <w:tcW w:w="1993" w:type="dxa"/>
            <w:tcBorders>
              <w:top w:val="single" w:sz="4" w:space="0" w:color="auto"/>
              <w:left w:val="nil"/>
              <w:bottom w:val="single" w:sz="4" w:space="0" w:color="auto"/>
              <w:right w:val="nil"/>
            </w:tcBorders>
            <w:hideMark/>
          </w:tcPr>
          <w:p w14:paraId="7FABCBA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7CB13E6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c>
          <w:tcPr>
            <w:tcW w:w="1993" w:type="dxa"/>
            <w:tcBorders>
              <w:top w:val="single" w:sz="4" w:space="0" w:color="auto"/>
              <w:left w:val="nil"/>
              <w:bottom w:val="single" w:sz="4" w:space="0" w:color="auto"/>
              <w:right w:val="nil"/>
            </w:tcBorders>
            <w:hideMark/>
          </w:tcPr>
          <w:p w14:paraId="36B4DD9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53A6161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r>
      <w:tr w:rsidR="0081596F" w:rsidRPr="0081596F" w14:paraId="56D92D8A" w14:textId="77777777" w:rsidTr="0081596F">
        <w:tc>
          <w:tcPr>
            <w:tcW w:w="1992" w:type="dxa"/>
            <w:tcBorders>
              <w:top w:val="single" w:sz="4" w:space="0" w:color="auto"/>
              <w:left w:val="nil"/>
              <w:bottom w:val="nil"/>
              <w:right w:val="nil"/>
            </w:tcBorders>
            <w:hideMark/>
          </w:tcPr>
          <w:p w14:paraId="36D29D5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Fraction of male directors &gt; mean</w:t>
            </w:r>
          </w:p>
        </w:tc>
        <w:tc>
          <w:tcPr>
            <w:tcW w:w="1993" w:type="dxa"/>
            <w:tcBorders>
              <w:top w:val="single" w:sz="4" w:space="0" w:color="auto"/>
              <w:left w:val="nil"/>
              <w:bottom w:val="nil"/>
              <w:right w:val="nil"/>
            </w:tcBorders>
            <w:hideMark/>
          </w:tcPr>
          <w:p w14:paraId="48EBBD1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0.22%***</w:t>
            </w:r>
          </w:p>
        </w:tc>
        <w:tc>
          <w:tcPr>
            <w:tcW w:w="1993" w:type="dxa"/>
            <w:tcBorders>
              <w:top w:val="single" w:sz="4" w:space="0" w:color="auto"/>
              <w:left w:val="nil"/>
              <w:bottom w:val="nil"/>
              <w:right w:val="nil"/>
            </w:tcBorders>
            <w:hideMark/>
          </w:tcPr>
          <w:p w14:paraId="16C31AE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0.28%***</w:t>
            </w:r>
          </w:p>
        </w:tc>
        <w:tc>
          <w:tcPr>
            <w:tcW w:w="1993" w:type="dxa"/>
            <w:tcBorders>
              <w:top w:val="single" w:sz="4" w:space="0" w:color="auto"/>
              <w:left w:val="nil"/>
              <w:bottom w:val="nil"/>
              <w:right w:val="nil"/>
            </w:tcBorders>
            <w:hideMark/>
          </w:tcPr>
          <w:p w14:paraId="55EC55E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-3.21%***</w:t>
            </w:r>
          </w:p>
        </w:tc>
        <w:tc>
          <w:tcPr>
            <w:tcW w:w="1993" w:type="dxa"/>
            <w:tcBorders>
              <w:top w:val="single" w:sz="4" w:space="0" w:color="auto"/>
              <w:left w:val="nil"/>
              <w:bottom w:val="nil"/>
              <w:right w:val="nil"/>
            </w:tcBorders>
            <w:hideMark/>
          </w:tcPr>
          <w:p w14:paraId="66A76E8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-3.37%***</w:t>
            </w:r>
          </w:p>
        </w:tc>
        <w:tc>
          <w:tcPr>
            <w:tcW w:w="1993" w:type="dxa"/>
            <w:tcBorders>
              <w:top w:val="single" w:sz="4" w:space="0" w:color="auto"/>
              <w:left w:val="nil"/>
              <w:bottom w:val="nil"/>
              <w:right w:val="nil"/>
            </w:tcBorders>
            <w:hideMark/>
          </w:tcPr>
          <w:p w14:paraId="4048306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-2.68%**</w:t>
            </w:r>
          </w:p>
        </w:tc>
        <w:tc>
          <w:tcPr>
            <w:tcW w:w="1993" w:type="dxa"/>
            <w:tcBorders>
              <w:top w:val="single" w:sz="4" w:space="0" w:color="auto"/>
              <w:left w:val="nil"/>
              <w:bottom w:val="nil"/>
              <w:right w:val="nil"/>
            </w:tcBorders>
            <w:hideMark/>
          </w:tcPr>
          <w:p w14:paraId="2C7670F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-2.45%***</w:t>
            </w:r>
          </w:p>
        </w:tc>
      </w:tr>
      <w:tr w:rsidR="0081596F" w:rsidRPr="0081596F" w14:paraId="583177AF" w14:textId="77777777" w:rsidTr="0081596F">
        <w:tc>
          <w:tcPr>
            <w:tcW w:w="1992" w:type="dxa"/>
          </w:tcPr>
          <w:p w14:paraId="64B4F799" w14:textId="77777777" w:rsidR="0081596F" w:rsidRPr="0081596F" w:rsidRDefault="0081596F" w:rsidP="0081596F">
            <w:pPr>
              <w:spacing w:before="100" w:beforeAutospacing="1" w:after="100" w:afterAutospacing="1"/>
              <w:rPr>
                <w:sz w:val="20"/>
                <w:szCs w:val="20"/>
              </w:rPr>
            </w:pPr>
          </w:p>
        </w:tc>
        <w:tc>
          <w:tcPr>
            <w:tcW w:w="1993" w:type="dxa"/>
            <w:hideMark/>
          </w:tcPr>
          <w:p w14:paraId="0D8B9B1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(2.15)</w:t>
            </w:r>
          </w:p>
        </w:tc>
        <w:tc>
          <w:tcPr>
            <w:tcW w:w="1993" w:type="dxa"/>
            <w:hideMark/>
          </w:tcPr>
          <w:p w14:paraId="3FC8F05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(2.19)</w:t>
            </w:r>
          </w:p>
        </w:tc>
        <w:tc>
          <w:tcPr>
            <w:tcW w:w="1993" w:type="dxa"/>
            <w:hideMark/>
          </w:tcPr>
          <w:p w14:paraId="1AB9C5B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(-3.75)</w:t>
            </w:r>
          </w:p>
        </w:tc>
        <w:tc>
          <w:tcPr>
            <w:tcW w:w="1993" w:type="dxa"/>
            <w:hideMark/>
          </w:tcPr>
          <w:p w14:paraId="63E23A6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(-3.86)</w:t>
            </w:r>
          </w:p>
        </w:tc>
        <w:tc>
          <w:tcPr>
            <w:tcW w:w="1993" w:type="dxa"/>
            <w:hideMark/>
          </w:tcPr>
          <w:p w14:paraId="78E8054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(-2.53)</w:t>
            </w:r>
          </w:p>
        </w:tc>
        <w:tc>
          <w:tcPr>
            <w:tcW w:w="1993" w:type="dxa"/>
            <w:hideMark/>
          </w:tcPr>
          <w:p w14:paraId="781EFF3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(-3.62)</w:t>
            </w:r>
          </w:p>
        </w:tc>
      </w:tr>
      <w:tr w:rsidR="0081596F" w:rsidRPr="0081596F" w14:paraId="52AC5A60" w14:textId="77777777" w:rsidTr="0081596F">
        <w:tc>
          <w:tcPr>
            <w:tcW w:w="1992" w:type="dxa"/>
            <w:hideMark/>
          </w:tcPr>
          <w:p w14:paraId="7CC94FE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Fraction of male directors &lt; mean</w:t>
            </w:r>
          </w:p>
        </w:tc>
        <w:tc>
          <w:tcPr>
            <w:tcW w:w="1993" w:type="dxa"/>
            <w:hideMark/>
          </w:tcPr>
          <w:p w14:paraId="520B879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0.88%*</w:t>
            </w:r>
          </w:p>
        </w:tc>
        <w:tc>
          <w:tcPr>
            <w:tcW w:w="1993" w:type="dxa"/>
            <w:hideMark/>
          </w:tcPr>
          <w:p w14:paraId="1F5DA61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0.76%*</w:t>
            </w:r>
          </w:p>
        </w:tc>
        <w:tc>
          <w:tcPr>
            <w:tcW w:w="1993" w:type="dxa"/>
            <w:hideMark/>
          </w:tcPr>
          <w:p w14:paraId="66B8977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-1.69%*</w:t>
            </w:r>
          </w:p>
        </w:tc>
        <w:tc>
          <w:tcPr>
            <w:tcW w:w="1993" w:type="dxa"/>
            <w:hideMark/>
          </w:tcPr>
          <w:p w14:paraId="5297A06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-1.62%*</w:t>
            </w:r>
          </w:p>
        </w:tc>
        <w:tc>
          <w:tcPr>
            <w:tcW w:w="1993" w:type="dxa"/>
            <w:hideMark/>
          </w:tcPr>
          <w:p w14:paraId="1DF13FA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-1.54%*</w:t>
            </w:r>
          </w:p>
        </w:tc>
        <w:tc>
          <w:tcPr>
            <w:tcW w:w="1993" w:type="dxa"/>
            <w:hideMark/>
          </w:tcPr>
          <w:p w14:paraId="4B24826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-1.55%*)</w:t>
            </w:r>
          </w:p>
        </w:tc>
      </w:tr>
      <w:tr w:rsidR="0081596F" w:rsidRPr="0081596F" w14:paraId="7C6F267F" w14:textId="77777777" w:rsidTr="0081596F">
        <w:tc>
          <w:tcPr>
            <w:tcW w:w="1992" w:type="dxa"/>
          </w:tcPr>
          <w:p w14:paraId="3913F95B" w14:textId="77777777" w:rsidR="0081596F" w:rsidRPr="0081596F" w:rsidRDefault="0081596F" w:rsidP="0081596F">
            <w:pPr>
              <w:spacing w:before="100" w:beforeAutospacing="1" w:after="100" w:afterAutospacing="1"/>
              <w:rPr>
                <w:sz w:val="20"/>
                <w:szCs w:val="20"/>
              </w:rPr>
            </w:pPr>
          </w:p>
        </w:tc>
        <w:tc>
          <w:tcPr>
            <w:tcW w:w="1993" w:type="dxa"/>
            <w:hideMark/>
          </w:tcPr>
          <w:p w14:paraId="4E51E1C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(1.39)</w:t>
            </w:r>
          </w:p>
        </w:tc>
        <w:tc>
          <w:tcPr>
            <w:tcW w:w="1993" w:type="dxa"/>
            <w:hideMark/>
          </w:tcPr>
          <w:p w14:paraId="364FD20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(1.32)</w:t>
            </w:r>
          </w:p>
        </w:tc>
        <w:tc>
          <w:tcPr>
            <w:tcW w:w="1993" w:type="dxa"/>
            <w:hideMark/>
          </w:tcPr>
          <w:p w14:paraId="2F3959F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(-1.54)</w:t>
            </w:r>
          </w:p>
        </w:tc>
        <w:tc>
          <w:tcPr>
            <w:tcW w:w="1993" w:type="dxa"/>
            <w:hideMark/>
          </w:tcPr>
          <w:p w14:paraId="463D497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(-1.51)</w:t>
            </w:r>
          </w:p>
        </w:tc>
        <w:tc>
          <w:tcPr>
            <w:tcW w:w="1993" w:type="dxa"/>
            <w:hideMark/>
          </w:tcPr>
          <w:p w14:paraId="3839752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(-1.47)</w:t>
            </w:r>
          </w:p>
        </w:tc>
        <w:tc>
          <w:tcPr>
            <w:tcW w:w="1993" w:type="dxa"/>
            <w:hideMark/>
          </w:tcPr>
          <w:p w14:paraId="0F4F9E0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(-2.47)</w:t>
            </w:r>
          </w:p>
        </w:tc>
      </w:tr>
      <w:tr w:rsidR="0081596F" w:rsidRPr="0081596F" w14:paraId="32A79BE5" w14:textId="77777777" w:rsidTr="0081596F">
        <w:tc>
          <w:tcPr>
            <w:tcW w:w="1992" w:type="dxa"/>
            <w:hideMark/>
          </w:tcPr>
          <w:p w14:paraId="4F24C4CE"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Mean difference </w:t>
            </w:r>
          </w:p>
        </w:tc>
        <w:tc>
          <w:tcPr>
            <w:tcW w:w="1993" w:type="dxa"/>
            <w:hideMark/>
          </w:tcPr>
          <w:p w14:paraId="509EF79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-0.66%**</w:t>
            </w:r>
          </w:p>
        </w:tc>
        <w:tc>
          <w:tcPr>
            <w:tcW w:w="1993" w:type="dxa"/>
            <w:hideMark/>
          </w:tcPr>
          <w:p w14:paraId="7D8E27A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-0.48%***</w:t>
            </w:r>
          </w:p>
        </w:tc>
        <w:tc>
          <w:tcPr>
            <w:tcW w:w="1993" w:type="dxa"/>
            <w:hideMark/>
          </w:tcPr>
          <w:p w14:paraId="51937DB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-1.52%**</w:t>
            </w:r>
          </w:p>
        </w:tc>
        <w:tc>
          <w:tcPr>
            <w:tcW w:w="1993" w:type="dxa"/>
            <w:hideMark/>
          </w:tcPr>
          <w:p w14:paraId="224BC0A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-1.75%*</w:t>
            </w:r>
          </w:p>
        </w:tc>
        <w:tc>
          <w:tcPr>
            <w:tcW w:w="1993" w:type="dxa"/>
            <w:hideMark/>
          </w:tcPr>
          <w:p w14:paraId="4F2AD6A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-1.14%**</w:t>
            </w:r>
          </w:p>
        </w:tc>
        <w:tc>
          <w:tcPr>
            <w:tcW w:w="1993" w:type="dxa"/>
            <w:hideMark/>
          </w:tcPr>
          <w:p w14:paraId="397AAF6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0.9%*</w:t>
            </w:r>
          </w:p>
        </w:tc>
      </w:tr>
      <w:tr w:rsidR="0081596F" w:rsidRPr="0081596F" w14:paraId="3CAEE599" w14:textId="77777777" w:rsidTr="0081596F">
        <w:tc>
          <w:tcPr>
            <w:tcW w:w="1992" w:type="dxa"/>
            <w:tcBorders>
              <w:top w:val="nil"/>
              <w:left w:val="nil"/>
              <w:bottom w:val="single" w:sz="4" w:space="0" w:color="auto"/>
              <w:right w:val="nil"/>
            </w:tcBorders>
            <w:hideMark/>
          </w:tcPr>
          <w:p w14:paraId="631470B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 values</w:t>
            </w:r>
          </w:p>
        </w:tc>
        <w:tc>
          <w:tcPr>
            <w:tcW w:w="1993" w:type="dxa"/>
            <w:tcBorders>
              <w:top w:val="nil"/>
              <w:left w:val="nil"/>
              <w:bottom w:val="single" w:sz="4" w:space="0" w:color="auto"/>
              <w:right w:val="nil"/>
            </w:tcBorders>
            <w:hideMark/>
          </w:tcPr>
          <w:p w14:paraId="2235E69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w:t>
            </w:r>
          </w:p>
        </w:tc>
        <w:tc>
          <w:tcPr>
            <w:tcW w:w="1993" w:type="dxa"/>
            <w:tcBorders>
              <w:top w:val="nil"/>
              <w:left w:val="nil"/>
              <w:bottom w:val="single" w:sz="4" w:space="0" w:color="auto"/>
              <w:right w:val="nil"/>
            </w:tcBorders>
            <w:hideMark/>
          </w:tcPr>
          <w:p w14:paraId="08DCFAB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(0.014)</w:t>
            </w:r>
          </w:p>
        </w:tc>
        <w:tc>
          <w:tcPr>
            <w:tcW w:w="1993" w:type="dxa"/>
            <w:tcBorders>
              <w:top w:val="nil"/>
              <w:left w:val="nil"/>
              <w:bottom w:val="single" w:sz="4" w:space="0" w:color="auto"/>
              <w:right w:val="nil"/>
            </w:tcBorders>
            <w:hideMark/>
          </w:tcPr>
          <w:p w14:paraId="208B049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(0.035)</w:t>
            </w:r>
          </w:p>
        </w:tc>
        <w:tc>
          <w:tcPr>
            <w:tcW w:w="1993" w:type="dxa"/>
            <w:tcBorders>
              <w:top w:val="nil"/>
              <w:left w:val="nil"/>
              <w:bottom w:val="single" w:sz="4" w:space="0" w:color="auto"/>
              <w:right w:val="nil"/>
            </w:tcBorders>
            <w:hideMark/>
          </w:tcPr>
          <w:p w14:paraId="103CD57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(0.062)</w:t>
            </w:r>
          </w:p>
        </w:tc>
        <w:tc>
          <w:tcPr>
            <w:tcW w:w="1993" w:type="dxa"/>
            <w:tcBorders>
              <w:top w:val="nil"/>
              <w:left w:val="nil"/>
              <w:bottom w:val="single" w:sz="4" w:space="0" w:color="auto"/>
              <w:right w:val="nil"/>
            </w:tcBorders>
            <w:hideMark/>
          </w:tcPr>
          <w:p w14:paraId="08D6660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(0.012)</w:t>
            </w:r>
          </w:p>
        </w:tc>
        <w:tc>
          <w:tcPr>
            <w:tcW w:w="1993" w:type="dxa"/>
            <w:tcBorders>
              <w:top w:val="nil"/>
              <w:left w:val="nil"/>
              <w:bottom w:val="single" w:sz="4" w:space="0" w:color="auto"/>
              <w:right w:val="nil"/>
            </w:tcBorders>
            <w:hideMark/>
          </w:tcPr>
          <w:p w14:paraId="24145FE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(0.014)</w:t>
            </w:r>
          </w:p>
        </w:tc>
      </w:tr>
      <w:tr w:rsidR="0081596F" w:rsidRPr="0081596F" w14:paraId="3970C244" w14:textId="77777777" w:rsidTr="0081596F">
        <w:tc>
          <w:tcPr>
            <w:tcW w:w="1992" w:type="dxa"/>
            <w:tcBorders>
              <w:top w:val="single" w:sz="4" w:space="0" w:color="auto"/>
              <w:left w:val="nil"/>
              <w:bottom w:val="single" w:sz="4" w:space="0" w:color="auto"/>
              <w:right w:val="nil"/>
            </w:tcBorders>
            <w:hideMark/>
          </w:tcPr>
          <w:p w14:paraId="1CAAF48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Panel C: </w:t>
            </w:r>
          </w:p>
        </w:tc>
        <w:tc>
          <w:tcPr>
            <w:tcW w:w="1993" w:type="dxa"/>
            <w:tcBorders>
              <w:top w:val="single" w:sz="4" w:space="0" w:color="auto"/>
              <w:left w:val="nil"/>
              <w:bottom w:val="single" w:sz="4" w:space="0" w:color="auto"/>
              <w:right w:val="nil"/>
            </w:tcBorders>
            <w:hideMark/>
          </w:tcPr>
          <w:p w14:paraId="65739FA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(-1, +1)</w:t>
            </w:r>
          </w:p>
        </w:tc>
        <w:tc>
          <w:tcPr>
            <w:tcW w:w="1993" w:type="dxa"/>
            <w:tcBorders>
              <w:top w:val="single" w:sz="4" w:space="0" w:color="auto"/>
              <w:left w:val="nil"/>
              <w:bottom w:val="single" w:sz="4" w:space="0" w:color="auto"/>
              <w:right w:val="nil"/>
            </w:tcBorders>
            <w:hideMark/>
          </w:tcPr>
          <w:p w14:paraId="1FBFD35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(-2, +2)</w:t>
            </w:r>
          </w:p>
        </w:tc>
        <w:tc>
          <w:tcPr>
            <w:tcW w:w="1993" w:type="dxa"/>
            <w:tcBorders>
              <w:top w:val="single" w:sz="4" w:space="0" w:color="auto"/>
              <w:left w:val="nil"/>
              <w:bottom w:val="single" w:sz="4" w:space="0" w:color="auto"/>
              <w:right w:val="nil"/>
            </w:tcBorders>
            <w:hideMark/>
          </w:tcPr>
          <w:p w14:paraId="1D1C2B2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5CB0D3A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c>
          <w:tcPr>
            <w:tcW w:w="1993" w:type="dxa"/>
            <w:tcBorders>
              <w:top w:val="single" w:sz="4" w:space="0" w:color="auto"/>
              <w:left w:val="nil"/>
              <w:bottom w:val="single" w:sz="4" w:space="0" w:color="auto"/>
              <w:right w:val="nil"/>
            </w:tcBorders>
            <w:hideMark/>
          </w:tcPr>
          <w:p w14:paraId="06B5A9D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024202C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r>
      <w:tr w:rsidR="0081596F" w:rsidRPr="0081596F" w14:paraId="549DF760" w14:textId="77777777" w:rsidTr="0081596F">
        <w:tc>
          <w:tcPr>
            <w:tcW w:w="1992" w:type="dxa"/>
            <w:tcBorders>
              <w:top w:val="single" w:sz="4" w:space="0" w:color="auto"/>
              <w:left w:val="nil"/>
              <w:bottom w:val="nil"/>
              <w:right w:val="nil"/>
            </w:tcBorders>
            <w:hideMark/>
          </w:tcPr>
          <w:p w14:paraId="35D972D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Single</w:t>
            </w:r>
          </w:p>
        </w:tc>
        <w:tc>
          <w:tcPr>
            <w:tcW w:w="1993" w:type="dxa"/>
            <w:tcBorders>
              <w:top w:val="single" w:sz="4" w:space="0" w:color="auto"/>
              <w:left w:val="nil"/>
              <w:bottom w:val="nil"/>
              <w:right w:val="nil"/>
            </w:tcBorders>
            <w:hideMark/>
          </w:tcPr>
          <w:p w14:paraId="72184FB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1.38%***</w:t>
            </w:r>
          </w:p>
        </w:tc>
        <w:tc>
          <w:tcPr>
            <w:tcW w:w="1993" w:type="dxa"/>
            <w:tcBorders>
              <w:top w:val="single" w:sz="4" w:space="0" w:color="auto"/>
              <w:left w:val="nil"/>
              <w:bottom w:val="nil"/>
              <w:right w:val="nil"/>
            </w:tcBorders>
            <w:hideMark/>
          </w:tcPr>
          <w:p w14:paraId="29B6171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1.44%***</w:t>
            </w:r>
          </w:p>
        </w:tc>
        <w:tc>
          <w:tcPr>
            <w:tcW w:w="1993" w:type="dxa"/>
            <w:tcBorders>
              <w:top w:val="single" w:sz="4" w:space="0" w:color="auto"/>
              <w:left w:val="nil"/>
              <w:bottom w:val="nil"/>
              <w:right w:val="nil"/>
            </w:tcBorders>
            <w:hideMark/>
          </w:tcPr>
          <w:p w14:paraId="49A176E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-2.27%***</w:t>
            </w:r>
          </w:p>
        </w:tc>
        <w:tc>
          <w:tcPr>
            <w:tcW w:w="1993" w:type="dxa"/>
            <w:tcBorders>
              <w:top w:val="single" w:sz="4" w:space="0" w:color="auto"/>
              <w:left w:val="nil"/>
              <w:bottom w:val="nil"/>
              <w:right w:val="nil"/>
            </w:tcBorders>
            <w:hideMark/>
          </w:tcPr>
          <w:p w14:paraId="525B145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-2.05%***</w:t>
            </w:r>
          </w:p>
        </w:tc>
        <w:tc>
          <w:tcPr>
            <w:tcW w:w="1993" w:type="dxa"/>
            <w:tcBorders>
              <w:top w:val="single" w:sz="4" w:space="0" w:color="auto"/>
              <w:left w:val="nil"/>
              <w:bottom w:val="nil"/>
              <w:right w:val="nil"/>
            </w:tcBorders>
            <w:hideMark/>
          </w:tcPr>
          <w:p w14:paraId="0B28560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-2.07%**</w:t>
            </w:r>
          </w:p>
        </w:tc>
        <w:tc>
          <w:tcPr>
            <w:tcW w:w="1993" w:type="dxa"/>
            <w:tcBorders>
              <w:top w:val="single" w:sz="4" w:space="0" w:color="auto"/>
              <w:left w:val="nil"/>
              <w:bottom w:val="nil"/>
              <w:right w:val="nil"/>
            </w:tcBorders>
            <w:hideMark/>
          </w:tcPr>
          <w:p w14:paraId="257A01A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-1.98%***</w:t>
            </w:r>
          </w:p>
        </w:tc>
      </w:tr>
      <w:tr w:rsidR="0081596F" w:rsidRPr="0081596F" w14:paraId="35FEF06A" w14:textId="77777777" w:rsidTr="0081596F">
        <w:tc>
          <w:tcPr>
            <w:tcW w:w="1992" w:type="dxa"/>
          </w:tcPr>
          <w:p w14:paraId="4B27EEF2" w14:textId="77777777" w:rsidR="0081596F" w:rsidRPr="0081596F" w:rsidRDefault="0081596F" w:rsidP="0081596F">
            <w:pPr>
              <w:spacing w:before="100" w:beforeAutospacing="1" w:after="100" w:afterAutospacing="1"/>
              <w:rPr>
                <w:sz w:val="20"/>
                <w:szCs w:val="20"/>
              </w:rPr>
            </w:pPr>
          </w:p>
        </w:tc>
        <w:tc>
          <w:tcPr>
            <w:tcW w:w="1993" w:type="dxa"/>
            <w:hideMark/>
          </w:tcPr>
          <w:p w14:paraId="5606A84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(3.29)</w:t>
            </w:r>
          </w:p>
        </w:tc>
        <w:tc>
          <w:tcPr>
            <w:tcW w:w="1993" w:type="dxa"/>
            <w:hideMark/>
          </w:tcPr>
          <w:p w14:paraId="5872C15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(3.3)</w:t>
            </w:r>
          </w:p>
        </w:tc>
        <w:tc>
          <w:tcPr>
            <w:tcW w:w="1993" w:type="dxa"/>
            <w:hideMark/>
          </w:tcPr>
          <w:p w14:paraId="4570627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(-2.50)</w:t>
            </w:r>
          </w:p>
        </w:tc>
        <w:tc>
          <w:tcPr>
            <w:tcW w:w="1993" w:type="dxa"/>
            <w:hideMark/>
          </w:tcPr>
          <w:p w14:paraId="037DBDE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(-2.31)</w:t>
            </w:r>
          </w:p>
        </w:tc>
        <w:tc>
          <w:tcPr>
            <w:tcW w:w="1993" w:type="dxa"/>
            <w:hideMark/>
          </w:tcPr>
          <w:p w14:paraId="09EC195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(-2.14)</w:t>
            </w:r>
          </w:p>
        </w:tc>
        <w:tc>
          <w:tcPr>
            <w:tcW w:w="1993" w:type="dxa"/>
            <w:hideMark/>
          </w:tcPr>
          <w:p w14:paraId="4196170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(-2.27)</w:t>
            </w:r>
          </w:p>
        </w:tc>
      </w:tr>
      <w:tr w:rsidR="0081596F" w:rsidRPr="0081596F" w14:paraId="52DF7AC9" w14:textId="77777777" w:rsidTr="0081596F">
        <w:tc>
          <w:tcPr>
            <w:tcW w:w="1992" w:type="dxa"/>
            <w:hideMark/>
          </w:tcPr>
          <w:p w14:paraId="1059F02C"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Multiple</w:t>
            </w:r>
          </w:p>
        </w:tc>
        <w:tc>
          <w:tcPr>
            <w:tcW w:w="1993" w:type="dxa"/>
            <w:hideMark/>
          </w:tcPr>
          <w:p w14:paraId="655F7D6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0.81%**</w:t>
            </w:r>
          </w:p>
        </w:tc>
        <w:tc>
          <w:tcPr>
            <w:tcW w:w="1993" w:type="dxa"/>
            <w:hideMark/>
          </w:tcPr>
          <w:p w14:paraId="1B5AEC2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0.84%**</w:t>
            </w:r>
          </w:p>
        </w:tc>
        <w:tc>
          <w:tcPr>
            <w:tcW w:w="1993" w:type="dxa"/>
            <w:hideMark/>
          </w:tcPr>
          <w:p w14:paraId="0A235BA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-3.48%***</w:t>
            </w:r>
          </w:p>
        </w:tc>
        <w:tc>
          <w:tcPr>
            <w:tcW w:w="1993" w:type="dxa"/>
            <w:hideMark/>
          </w:tcPr>
          <w:p w14:paraId="0980FA2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-3.43%***</w:t>
            </w:r>
          </w:p>
        </w:tc>
        <w:tc>
          <w:tcPr>
            <w:tcW w:w="1993" w:type="dxa"/>
            <w:hideMark/>
          </w:tcPr>
          <w:p w14:paraId="340A73A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-3.37%***</w:t>
            </w:r>
          </w:p>
        </w:tc>
        <w:tc>
          <w:tcPr>
            <w:tcW w:w="1993" w:type="dxa"/>
            <w:hideMark/>
          </w:tcPr>
          <w:p w14:paraId="1002B4D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-3.25%***</w:t>
            </w:r>
          </w:p>
        </w:tc>
      </w:tr>
      <w:tr w:rsidR="0081596F" w:rsidRPr="0081596F" w14:paraId="3F7A374C" w14:textId="77777777" w:rsidTr="0081596F">
        <w:tc>
          <w:tcPr>
            <w:tcW w:w="1992" w:type="dxa"/>
          </w:tcPr>
          <w:p w14:paraId="62764816" w14:textId="77777777" w:rsidR="0081596F" w:rsidRPr="0081596F" w:rsidRDefault="0081596F" w:rsidP="0081596F">
            <w:pPr>
              <w:spacing w:before="100" w:beforeAutospacing="1" w:after="100" w:afterAutospacing="1"/>
              <w:rPr>
                <w:sz w:val="20"/>
                <w:szCs w:val="20"/>
              </w:rPr>
            </w:pPr>
          </w:p>
        </w:tc>
        <w:tc>
          <w:tcPr>
            <w:tcW w:w="1993" w:type="dxa"/>
            <w:hideMark/>
          </w:tcPr>
          <w:p w14:paraId="6EB8506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(2.51)</w:t>
            </w:r>
          </w:p>
        </w:tc>
        <w:tc>
          <w:tcPr>
            <w:tcW w:w="1993" w:type="dxa"/>
            <w:hideMark/>
          </w:tcPr>
          <w:p w14:paraId="2FF071A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(2.56)</w:t>
            </w:r>
          </w:p>
        </w:tc>
        <w:tc>
          <w:tcPr>
            <w:tcW w:w="1993" w:type="dxa"/>
            <w:hideMark/>
          </w:tcPr>
          <w:p w14:paraId="3644FA6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(-2.73)</w:t>
            </w:r>
          </w:p>
        </w:tc>
        <w:tc>
          <w:tcPr>
            <w:tcW w:w="1993" w:type="dxa"/>
            <w:hideMark/>
          </w:tcPr>
          <w:p w14:paraId="0F46CFA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(-2.95)</w:t>
            </w:r>
          </w:p>
        </w:tc>
        <w:tc>
          <w:tcPr>
            <w:tcW w:w="1993" w:type="dxa"/>
            <w:hideMark/>
          </w:tcPr>
          <w:p w14:paraId="2A99272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(-2.68)</w:t>
            </w:r>
          </w:p>
        </w:tc>
        <w:tc>
          <w:tcPr>
            <w:tcW w:w="1993" w:type="dxa"/>
            <w:hideMark/>
          </w:tcPr>
          <w:p w14:paraId="507F520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(-2.76)</w:t>
            </w:r>
          </w:p>
        </w:tc>
      </w:tr>
      <w:tr w:rsidR="0081596F" w:rsidRPr="0081596F" w14:paraId="44B0A8A3" w14:textId="77777777" w:rsidTr="0081596F">
        <w:tc>
          <w:tcPr>
            <w:tcW w:w="1992" w:type="dxa"/>
            <w:hideMark/>
          </w:tcPr>
          <w:p w14:paraId="4EA8424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Mean difference </w:t>
            </w:r>
          </w:p>
        </w:tc>
        <w:tc>
          <w:tcPr>
            <w:tcW w:w="1993" w:type="dxa"/>
            <w:hideMark/>
          </w:tcPr>
          <w:p w14:paraId="2802F48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0.6%**</w:t>
            </w:r>
          </w:p>
        </w:tc>
        <w:tc>
          <w:tcPr>
            <w:tcW w:w="1993" w:type="dxa"/>
            <w:hideMark/>
          </w:tcPr>
          <w:p w14:paraId="146AF5D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0.60%***</w:t>
            </w:r>
          </w:p>
        </w:tc>
        <w:tc>
          <w:tcPr>
            <w:tcW w:w="1993" w:type="dxa"/>
            <w:hideMark/>
          </w:tcPr>
          <w:p w14:paraId="6666386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1.21%**</w:t>
            </w:r>
          </w:p>
        </w:tc>
        <w:tc>
          <w:tcPr>
            <w:tcW w:w="1993" w:type="dxa"/>
            <w:hideMark/>
          </w:tcPr>
          <w:p w14:paraId="7A8EDEE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1.38%*</w:t>
            </w:r>
          </w:p>
        </w:tc>
        <w:tc>
          <w:tcPr>
            <w:tcW w:w="1993" w:type="dxa"/>
            <w:hideMark/>
          </w:tcPr>
          <w:p w14:paraId="560AE83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w:t>
            </w:r>
          </w:p>
        </w:tc>
        <w:tc>
          <w:tcPr>
            <w:tcW w:w="1993" w:type="dxa"/>
            <w:hideMark/>
          </w:tcPr>
          <w:p w14:paraId="7B7B4FC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1.27%***</w:t>
            </w:r>
          </w:p>
        </w:tc>
      </w:tr>
      <w:tr w:rsidR="0081596F" w:rsidRPr="0081596F" w14:paraId="7E09E079" w14:textId="77777777" w:rsidTr="0081596F">
        <w:tc>
          <w:tcPr>
            <w:tcW w:w="1992" w:type="dxa"/>
            <w:tcBorders>
              <w:top w:val="nil"/>
              <w:left w:val="nil"/>
              <w:bottom w:val="single" w:sz="4" w:space="0" w:color="auto"/>
              <w:right w:val="nil"/>
            </w:tcBorders>
            <w:hideMark/>
          </w:tcPr>
          <w:p w14:paraId="48424E2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 values</w:t>
            </w:r>
          </w:p>
        </w:tc>
        <w:tc>
          <w:tcPr>
            <w:tcW w:w="1993" w:type="dxa"/>
            <w:tcBorders>
              <w:top w:val="nil"/>
              <w:left w:val="nil"/>
              <w:bottom w:val="single" w:sz="4" w:space="0" w:color="auto"/>
              <w:right w:val="nil"/>
            </w:tcBorders>
            <w:hideMark/>
          </w:tcPr>
          <w:p w14:paraId="32BD1F5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(0.041)</w:t>
            </w:r>
          </w:p>
        </w:tc>
        <w:tc>
          <w:tcPr>
            <w:tcW w:w="1993" w:type="dxa"/>
            <w:tcBorders>
              <w:top w:val="nil"/>
              <w:left w:val="nil"/>
              <w:bottom w:val="single" w:sz="4" w:space="0" w:color="auto"/>
              <w:right w:val="nil"/>
            </w:tcBorders>
            <w:hideMark/>
          </w:tcPr>
          <w:p w14:paraId="1C66FE2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(0.007)</w:t>
            </w:r>
          </w:p>
        </w:tc>
        <w:tc>
          <w:tcPr>
            <w:tcW w:w="1993" w:type="dxa"/>
            <w:tcBorders>
              <w:top w:val="nil"/>
              <w:left w:val="nil"/>
              <w:bottom w:val="single" w:sz="4" w:space="0" w:color="auto"/>
              <w:right w:val="nil"/>
            </w:tcBorders>
            <w:hideMark/>
          </w:tcPr>
          <w:p w14:paraId="3631F47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w:t>
            </w:r>
          </w:p>
        </w:tc>
        <w:tc>
          <w:tcPr>
            <w:tcW w:w="1993" w:type="dxa"/>
            <w:tcBorders>
              <w:top w:val="nil"/>
              <w:left w:val="nil"/>
              <w:bottom w:val="single" w:sz="4" w:space="0" w:color="auto"/>
              <w:right w:val="nil"/>
            </w:tcBorders>
            <w:hideMark/>
          </w:tcPr>
          <w:p w14:paraId="357B62B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(0.09)</w:t>
            </w:r>
          </w:p>
        </w:tc>
        <w:tc>
          <w:tcPr>
            <w:tcW w:w="1993" w:type="dxa"/>
            <w:tcBorders>
              <w:top w:val="nil"/>
              <w:left w:val="nil"/>
              <w:bottom w:val="single" w:sz="4" w:space="0" w:color="auto"/>
              <w:right w:val="nil"/>
            </w:tcBorders>
            <w:hideMark/>
          </w:tcPr>
          <w:p w14:paraId="59864A1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(-0.017)</w:t>
            </w:r>
          </w:p>
        </w:tc>
        <w:tc>
          <w:tcPr>
            <w:tcW w:w="1993" w:type="dxa"/>
            <w:tcBorders>
              <w:top w:val="nil"/>
              <w:left w:val="nil"/>
              <w:bottom w:val="single" w:sz="4" w:space="0" w:color="auto"/>
              <w:right w:val="nil"/>
            </w:tcBorders>
            <w:hideMark/>
          </w:tcPr>
          <w:p w14:paraId="0FD51EC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(0.013)</w:t>
            </w:r>
          </w:p>
        </w:tc>
      </w:tr>
      <w:tr w:rsidR="0081596F" w:rsidRPr="0081596F" w14:paraId="6DC1780C" w14:textId="77777777" w:rsidTr="0081596F">
        <w:tc>
          <w:tcPr>
            <w:tcW w:w="1992" w:type="dxa"/>
            <w:tcBorders>
              <w:top w:val="single" w:sz="4" w:space="0" w:color="auto"/>
              <w:left w:val="nil"/>
              <w:bottom w:val="single" w:sz="4" w:space="0" w:color="auto"/>
              <w:right w:val="nil"/>
            </w:tcBorders>
            <w:hideMark/>
          </w:tcPr>
          <w:p w14:paraId="5BF586A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Panel D</w:t>
            </w:r>
          </w:p>
        </w:tc>
        <w:tc>
          <w:tcPr>
            <w:tcW w:w="1993" w:type="dxa"/>
            <w:tcBorders>
              <w:top w:val="single" w:sz="4" w:space="0" w:color="auto"/>
              <w:left w:val="nil"/>
              <w:bottom w:val="single" w:sz="4" w:space="0" w:color="auto"/>
              <w:right w:val="nil"/>
            </w:tcBorders>
            <w:hideMark/>
          </w:tcPr>
          <w:p w14:paraId="753BA8E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(-1, +1)</w:t>
            </w:r>
          </w:p>
        </w:tc>
        <w:tc>
          <w:tcPr>
            <w:tcW w:w="1993" w:type="dxa"/>
            <w:tcBorders>
              <w:top w:val="single" w:sz="4" w:space="0" w:color="auto"/>
              <w:left w:val="nil"/>
              <w:bottom w:val="single" w:sz="4" w:space="0" w:color="auto"/>
              <w:right w:val="nil"/>
            </w:tcBorders>
            <w:hideMark/>
          </w:tcPr>
          <w:p w14:paraId="0CCAB56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(-2, +2)</w:t>
            </w:r>
          </w:p>
        </w:tc>
        <w:tc>
          <w:tcPr>
            <w:tcW w:w="1993" w:type="dxa"/>
            <w:tcBorders>
              <w:top w:val="single" w:sz="4" w:space="0" w:color="auto"/>
              <w:left w:val="nil"/>
              <w:bottom w:val="single" w:sz="4" w:space="0" w:color="auto"/>
              <w:right w:val="nil"/>
            </w:tcBorders>
            <w:hideMark/>
          </w:tcPr>
          <w:p w14:paraId="579D049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3DC69B4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c>
          <w:tcPr>
            <w:tcW w:w="1993" w:type="dxa"/>
            <w:tcBorders>
              <w:top w:val="single" w:sz="4" w:space="0" w:color="auto"/>
              <w:left w:val="nil"/>
              <w:bottom w:val="single" w:sz="4" w:space="0" w:color="auto"/>
              <w:right w:val="nil"/>
            </w:tcBorders>
            <w:hideMark/>
          </w:tcPr>
          <w:p w14:paraId="073EEA8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13B6FAD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r>
      <w:tr w:rsidR="0081596F" w:rsidRPr="0081596F" w14:paraId="060E330F" w14:textId="77777777" w:rsidTr="0081596F">
        <w:tc>
          <w:tcPr>
            <w:tcW w:w="1992" w:type="dxa"/>
            <w:tcBorders>
              <w:top w:val="single" w:sz="4" w:space="0" w:color="auto"/>
              <w:left w:val="nil"/>
              <w:bottom w:val="nil"/>
              <w:right w:val="nil"/>
            </w:tcBorders>
            <w:hideMark/>
          </w:tcPr>
          <w:p w14:paraId="322746D1"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Cash</w:t>
            </w:r>
          </w:p>
        </w:tc>
        <w:tc>
          <w:tcPr>
            <w:tcW w:w="1993" w:type="dxa"/>
            <w:tcBorders>
              <w:top w:val="single" w:sz="4" w:space="0" w:color="auto"/>
              <w:left w:val="nil"/>
              <w:bottom w:val="nil"/>
              <w:right w:val="nil"/>
            </w:tcBorders>
            <w:hideMark/>
          </w:tcPr>
          <w:p w14:paraId="27D48D7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0.95%**</w:t>
            </w:r>
          </w:p>
        </w:tc>
        <w:tc>
          <w:tcPr>
            <w:tcW w:w="1993" w:type="dxa"/>
            <w:tcBorders>
              <w:top w:val="single" w:sz="4" w:space="0" w:color="auto"/>
              <w:left w:val="nil"/>
              <w:bottom w:val="nil"/>
              <w:right w:val="nil"/>
            </w:tcBorders>
            <w:hideMark/>
          </w:tcPr>
          <w:p w14:paraId="20445B1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0.86%***</w:t>
            </w:r>
          </w:p>
        </w:tc>
        <w:tc>
          <w:tcPr>
            <w:tcW w:w="1993" w:type="dxa"/>
            <w:tcBorders>
              <w:top w:val="single" w:sz="4" w:space="0" w:color="auto"/>
              <w:left w:val="nil"/>
              <w:bottom w:val="nil"/>
              <w:right w:val="nil"/>
            </w:tcBorders>
            <w:hideMark/>
          </w:tcPr>
          <w:p w14:paraId="796725B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-2.88%***</w:t>
            </w:r>
          </w:p>
        </w:tc>
        <w:tc>
          <w:tcPr>
            <w:tcW w:w="1993" w:type="dxa"/>
            <w:tcBorders>
              <w:top w:val="single" w:sz="4" w:space="0" w:color="auto"/>
              <w:left w:val="nil"/>
              <w:bottom w:val="nil"/>
              <w:right w:val="nil"/>
            </w:tcBorders>
            <w:hideMark/>
          </w:tcPr>
          <w:p w14:paraId="051DFB2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-2.91%***</w:t>
            </w:r>
          </w:p>
        </w:tc>
        <w:tc>
          <w:tcPr>
            <w:tcW w:w="1993" w:type="dxa"/>
            <w:tcBorders>
              <w:top w:val="single" w:sz="4" w:space="0" w:color="auto"/>
              <w:left w:val="nil"/>
              <w:bottom w:val="nil"/>
              <w:right w:val="nil"/>
            </w:tcBorders>
            <w:hideMark/>
          </w:tcPr>
          <w:p w14:paraId="6A39BB3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-2.73%***</w:t>
            </w:r>
          </w:p>
        </w:tc>
        <w:tc>
          <w:tcPr>
            <w:tcW w:w="1993" w:type="dxa"/>
            <w:tcBorders>
              <w:top w:val="single" w:sz="4" w:space="0" w:color="auto"/>
              <w:left w:val="nil"/>
              <w:bottom w:val="nil"/>
              <w:right w:val="nil"/>
            </w:tcBorders>
            <w:hideMark/>
          </w:tcPr>
          <w:p w14:paraId="43CF62C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-2.85%***</w:t>
            </w:r>
          </w:p>
        </w:tc>
      </w:tr>
      <w:tr w:rsidR="0081596F" w:rsidRPr="0081596F" w14:paraId="6B5EEB7B" w14:textId="77777777" w:rsidTr="0081596F">
        <w:tc>
          <w:tcPr>
            <w:tcW w:w="1992" w:type="dxa"/>
          </w:tcPr>
          <w:p w14:paraId="69C97F18" w14:textId="77777777" w:rsidR="0081596F" w:rsidRPr="0081596F" w:rsidRDefault="0081596F" w:rsidP="0081596F">
            <w:pPr>
              <w:spacing w:before="100" w:beforeAutospacing="1" w:after="100" w:afterAutospacing="1"/>
              <w:rPr>
                <w:sz w:val="20"/>
                <w:szCs w:val="20"/>
              </w:rPr>
            </w:pPr>
          </w:p>
        </w:tc>
        <w:tc>
          <w:tcPr>
            <w:tcW w:w="1993" w:type="dxa"/>
            <w:hideMark/>
          </w:tcPr>
          <w:p w14:paraId="721DA1D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(1.38)</w:t>
            </w:r>
          </w:p>
        </w:tc>
        <w:tc>
          <w:tcPr>
            <w:tcW w:w="1993" w:type="dxa"/>
            <w:hideMark/>
          </w:tcPr>
          <w:p w14:paraId="75D6CB6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(1.26)</w:t>
            </w:r>
          </w:p>
        </w:tc>
        <w:tc>
          <w:tcPr>
            <w:tcW w:w="1993" w:type="dxa"/>
            <w:hideMark/>
          </w:tcPr>
          <w:p w14:paraId="4C46635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(-2.94)</w:t>
            </w:r>
          </w:p>
        </w:tc>
        <w:tc>
          <w:tcPr>
            <w:tcW w:w="1993" w:type="dxa"/>
            <w:hideMark/>
          </w:tcPr>
          <w:p w14:paraId="435F007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(-3.01)</w:t>
            </w:r>
          </w:p>
        </w:tc>
        <w:tc>
          <w:tcPr>
            <w:tcW w:w="1993" w:type="dxa"/>
            <w:hideMark/>
          </w:tcPr>
          <w:p w14:paraId="2EA19D9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(-2.86)</w:t>
            </w:r>
          </w:p>
        </w:tc>
        <w:tc>
          <w:tcPr>
            <w:tcW w:w="1993" w:type="dxa"/>
            <w:hideMark/>
          </w:tcPr>
          <w:p w14:paraId="0928555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(-2.94)</w:t>
            </w:r>
          </w:p>
        </w:tc>
      </w:tr>
      <w:tr w:rsidR="0081596F" w:rsidRPr="0081596F" w14:paraId="17773D26" w14:textId="77777777" w:rsidTr="0081596F">
        <w:tc>
          <w:tcPr>
            <w:tcW w:w="1992" w:type="dxa"/>
            <w:hideMark/>
          </w:tcPr>
          <w:p w14:paraId="337CB7B5"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Stock</w:t>
            </w:r>
          </w:p>
        </w:tc>
        <w:tc>
          <w:tcPr>
            <w:tcW w:w="1993" w:type="dxa"/>
            <w:hideMark/>
          </w:tcPr>
          <w:p w14:paraId="52A0757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1.78%**</w:t>
            </w:r>
          </w:p>
        </w:tc>
        <w:tc>
          <w:tcPr>
            <w:tcW w:w="1993" w:type="dxa"/>
            <w:hideMark/>
          </w:tcPr>
          <w:p w14:paraId="70C83B5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1.96%**</w:t>
            </w:r>
          </w:p>
        </w:tc>
        <w:tc>
          <w:tcPr>
            <w:tcW w:w="1993" w:type="dxa"/>
            <w:hideMark/>
          </w:tcPr>
          <w:p w14:paraId="4C9946E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-1.53%**</w:t>
            </w:r>
          </w:p>
        </w:tc>
        <w:tc>
          <w:tcPr>
            <w:tcW w:w="1993" w:type="dxa"/>
            <w:hideMark/>
          </w:tcPr>
          <w:p w14:paraId="2F42051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-1.61%**</w:t>
            </w:r>
          </w:p>
        </w:tc>
        <w:tc>
          <w:tcPr>
            <w:tcW w:w="1993" w:type="dxa"/>
            <w:hideMark/>
          </w:tcPr>
          <w:p w14:paraId="12C99F1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-1.59%**</w:t>
            </w:r>
          </w:p>
        </w:tc>
        <w:tc>
          <w:tcPr>
            <w:tcW w:w="1993" w:type="dxa"/>
            <w:hideMark/>
          </w:tcPr>
          <w:p w14:paraId="5BE9127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-1.57%**</w:t>
            </w:r>
          </w:p>
        </w:tc>
      </w:tr>
      <w:tr w:rsidR="0081596F" w:rsidRPr="0081596F" w14:paraId="485D9502" w14:textId="77777777" w:rsidTr="0081596F">
        <w:tc>
          <w:tcPr>
            <w:tcW w:w="1992" w:type="dxa"/>
          </w:tcPr>
          <w:p w14:paraId="54719852" w14:textId="77777777" w:rsidR="0081596F" w:rsidRPr="0081596F" w:rsidRDefault="0081596F" w:rsidP="0081596F">
            <w:pPr>
              <w:spacing w:before="100" w:beforeAutospacing="1" w:after="100" w:afterAutospacing="1"/>
              <w:rPr>
                <w:sz w:val="20"/>
                <w:szCs w:val="20"/>
              </w:rPr>
            </w:pPr>
          </w:p>
        </w:tc>
        <w:tc>
          <w:tcPr>
            <w:tcW w:w="1993" w:type="dxa"/>
            <w:hideMark/>
          </w:tcPr>
          <w:p w14:paraId="24ED608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(0.82)</w:t>
            </w:r>
          </w:p>
        </w:tc>
        <w:tc>
          <w:tcPr>
            <w:tcW w:w="1993" w:type="dxa"/>
            <w:hideMark/>
          </w:tcPr>
          <w:p w14:paraId="419BD8C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(0.89)</w:t>
            </w:r>
          </w:p>
        </w:tc>
        <w:tc>
          <w:tcPr>
            <w:tcW w:w="1993" w:type="dxa"/>
            <w:hideMark/>
          </w:tcPr>
          <w:p w14:paraId="12D73E2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(-1.75)</w:t>
            </w:r>
          </w:p>
        </w:tc>
        <w:tc>
          <w:tcPr>
            <w:tcW w:w="1993" w:type="dxa"/>
            <w:hideMark/>
          </w:tcPr>
          <w:p w14:paraId="66792AE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(-1.81)</w:t>
            </w:r>
          </w:p>
        </w:tc>
        <w:tc>
          <w:tcPr>
            <w:tcW w:w="1993" w:type="dxa"/>
            <w:hideMark/>
          </w:tcPr>
          <w:p w14:paraId="5170932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(-1.71)</w:t>
            </w:r>
          </w:p>
        </w:tc>
        <w:tc>
          <w:tcPr>
            <w:tcW w:w="1993" w:type="dxa"/>
            <w:hideMark/>
          </w:tcPr>
          <w:p w14:paraId="66C901F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(-1.73)</w:t>
            </w:r>
          </w:p>
        </w:tc>
      </w:tr>
      <w:tr w:rsidR="0081596F" w:rsidRPr="0081596F" w14:paraId="097A1799" w14:textId="77777777" w:rsidTr="0081596F">
        <w:tc>
          <w:tcPr>
            <w:tcW w:w="1992" w:type="dxa"/>
            <w:hideMark/>
          </w:tcPr>
          <w:p w14:paraId="492A489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Mean difference </w:t>
            </w:r>
          </w:p>
        </w:tc>
        <w:tc>
          <w:tcPr>
            <w:tcW w:w="1993" w:type="dxa"/>
            <w:hideMark/>
          </w:tcPr>
          <w:p w14:paraId="7630958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-0.83%**</w:t>
            </w:r>
          </w:p>
        </w:tc>
        <w:tc>
          <w:tcPr>
            <w:tcW w:w="1993" w:type="dxa"/>
            <w:hideMark/>
          </w:tcPr>
          <w:p w14:paraId="40E5953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-1.1%**</w:t>
            </w:r>
          </w:p>
        </w:tc>
        <w:tc>
          <w:tcPr>
            <w:tcW w:w="1993" w:type="dxa"/>
            <w:hideMark/>
          </w:tcPr>
          <w:p w14:paraId="42994C5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-1.35%**</w:t>
            </w:r>
          </w:p>
        </w:tc>
        <w:tc>
          <w:tcPr>
            <w:tcW w:w="1993" w:type="dxa"/>
            <w:hideMark/>
          </w:tcPr>
          <w:p w14:paraId="0E12BA1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w:t>
            </w:r>
          </w:p>
        </w:tc>
        <w:tc>
          <w:tcPr>
            <w:tcW w:w="1993" w:type="dxa"/>
            <w:hideMark/>
          </w:tcPr>
          <w:p w14:paraId="7F7AC4D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-1.14%**</w:t>
            </w:r>
          </w:p>
        </w:tc>
        <w:tc>
          <w:tcPr>
            <w:tcW w:w="1993" w:type="dxa"/>
            <w:hideMark/>
          </w:tcPr>
          <w:p w14:paraId="23DDA7C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-1.28%**</w:t>
            </w:r>
          </w:p>
        </w:tc>
      </w:tr>
      <w:tr w:rsidR="0081596F" w:rsidRPr="0081596F" w14:paraId="52990C3F" w14:textId="77777777" w:rsidTr="0081596F">
        <w:tc>
          <w:tcPr>
            <w:tcW w:w="1992" w:type="dxa"/>
            <w:tcBorders>
              <w:top w:val="nil"/>
              <w:left w:val="nil"/>
              <w:bottom w:val="single" w:sz="4" w:space="0" w:color="auto"/>
              <w:right w:val="nil"/>
            </w:tcBorders>
            <w:hideMark/>
          </w:tcPr>
          <w:p w14:paraId="2BE7F2B1"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 values</w:t>
            </w:r>
          </w:p>
        </w:tc>
        <w:tc>
          <w:tcPr>
            <w:tcW w:w="1993" w:type="dxa"/>
            <w:tcBorders>
              <w:top w:val="nil"/>
              <w:left w:val="nil"/>
              <w:bottom w:val="single" w:sz="4" w:space="0" w:color="auto"/>
              <w:right w:val="nil"/>
            </w:tcBorders>
            <w:hideMark/>
          </w:tcPr>
          <w:p w14:paraId="7C564D4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(0.028)</w:t>
            </w:r>
          </w:p>
        </w:tc>
        <w:tc>
          <w:tcPr>
            <w:tcW w:w="1993" w:type="dxa"/>
            <w:tcBorders>
              <w:top w:val="nil"/>
              <w:left w:val="nil"/>
              <w:bottom w:val="single" w:sz="4" w:space="0" w:color="auto"/>
              <w:right w:val="nil"/>
            </w:tcBorders>
            <w:hideMark/>
          </w:tcPr>
          <w:p w14:paraId="15DFD35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(0.03)</w:t>
            </w:r>
          </w:p>
        </w:tc>
        <w:tc>
          <w:tcPr>
            <w:tcW w:w="1993" w:type="dxa"/>
            <w:tcBorders>
              <w:top w:val="nil"/>
              <w:left w:val="nil"/>
              <w:bottom w:val="single" w:sz="4" w:space="0" w:color="auto"/>
              <w:right w:val="nil"/>
            </w:tcBorders>
            <w:hideMark/>
          </w:tcPr>
          <w:p w14:paraId="46BAB68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(0.036)</w:t>
            </w:r>
          </w:p>
        </w:tc>
        <w:tc>
          <w:tcPr>
            <w:tcW w:w="1993" w:type="dxa"/>
            <w:tcBorders>
              <w:top w:val="nil"/>
              <w:left w:val="nil"/>
              <w:bottom w:val="single" w:sz="4" w:space="0" w:color="auto"/>
              <w:right w:val="nil"/>
            </w:tcBorders>
            <w:hideMark/>
          </w:tcPr>
          <w:p w14:paraId="03F9F6D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(0.028)</w:t>
            </w:r>
          </w:p>
        </w:tc>
        <w:tc>
          <w:tcPr>
            <w:tcW w:w="1993" w:type="dxa"/>
            <w:tcBorders>
              <w:top w:val="nil"/>
              <w:left w:val="nil"/>
              <w:bottom w:val="single" w:sz="4" w:space="0" w:color="auto"/>
              <w:right w:val="nil"/>
            </w:tcBorders>
            <w:hideMark/>
          </w:tcPr>
          <w:p w14:paraId="277EA79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(0.025)</w:t>
            </w:r>
          </w:p>
        </w:tc>
        <w:tc>
          <w:tcPr>
            <w:tcW w:w="1993" w:type="dxa"/>
            <w:tcBorders>
              <w:top w:val="nil"/>
              <w:left w:val="nil"/>
              <w:bottom w:val="single" w:sz="4" w:space="0" w:color="auto"/>
              <w:right w:val="nil"/>
            </w:tcBorders>
            <w:hideMark/>
          </w:tcPr>
          <w:p w14:paraId="40F0026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(0.024)</w:t>
            </w:r>
          </w:p>
        </w:tc>
      </w:tr>
      <w:tr w:rsidR="0081596F" w:rsidRPr="0081596F" w14:paraId="63100C73" w14:textId="77777777" w:rsidTr="0081596F">
        <w:tc>
          <w:tcPr>
            <w:tcW w:w="1992" w:type="dxa"/>
            <w:tcBorders>
              <w:top w:val="single" w:sz="4" w:space="0" w:color="auto"/>
              <w:left w:val="nil"/>
              <w:bottom w:val="single" w:sz="4" w:space="0" w:color="auto"/>
              <w:right w:val="nil"/>
            </w:tcBorders>
            <w:hideMark/>
          </w:tcPr>
          <w:p w14:paraId="5477BD21"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Panel E</w:t>
            </w:r>
          </w:p>
        </w:tc>
        <w:tc>
          <w:tcPr>
            <w:tcW w:w="1993" w:type="dxa"/>
            <w:tcBorders>
              <w:top w:val="single" w:sz="4" w:space="0" w:color="auto"/>
              <w:left w:val="nil"/>
              <w:bottom w:val="single" w:sz="4" w:space="0" w:color="auto"/>
              <w:right w:val="nil"/>
            </w:tcBorders>
            <w:hideMark/>
          </w:tcPr>
          <w:p w14:paraId="109F789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(-1, +1)</w:t>
            </w:r>
          </w:p>
        </w:tc>
        <w:tc>
          <w:tcPr>
            <w:tcW w:w="1993" w:type="dxa"/>
            <w:tcBorders>
              <w:top w:val="single" w:sz="4" w:space="0" w:color="auto"/>
              <w:left w:val="nil"/>
              <w:bottom w:val="single" w:sz="4" w:space="0" w:color="auto"/>
              <w:right w:val="nil"/>
            </w:tcBorders>
            <w:hideMark/>
          </w:tcPr>
          <w:p w14:paraId="50E1743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CAAR (-2, +2)</w:t>
            </w:r>
          </w:p>
        </w:tc>
        <w:tc>
          <w:tcPr>
            <w:tcW w:w="1993" w:type="dxa"/>
            <w:tcBorders>
              <w:top w:val="single" w:sz="4" w:space="0" w:color="auto"/>
              <w:left w:val="nil"/>
              <w:bottom w:val="single" w:sz="4" w:space="0" w:color="auto"/>
              <w:right w:val="nil"/>
            </w:tcBorders>
            <w:hideMark/>
          </w:tcPr>
          <w:p w14:paraId="743479D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1C33CDE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c>
          <w:tcPr>
            <w:tcW w:w="1993" w:type="dxa"/>
            <w:tcBorders>
              <w:top w:val="single" w:sz="4" w:space="0" w:color="auto"/>
              <w:left w:val="nil"/>
              <w:bottom w:val="single" w:sz="4" w:space="0" w:color="auto"/>
              <w:right w:val="nil"/>
            </w:tcBorders>
            <w:hideMark/>
          </w:tcPr>
          <w:p w14:paraId="0A6E0C6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12</w:t>
            </w:r>
          </w:p>
        </w:tc>
        <w:tc>
          <w:tcPr>
            <w:tcW w:w="1993" w:type="dxa"/>
            <w:tcBorders>
              <w:top w:val="single" w:sz="4" w:space="0" w:color="auto"/>
              <w:left w:val="nil"/>
              <w:bottom w:val="single" w:sz="4" w:space="0" w:color="auto"/>
              <w:right w:val="nil"/>
            </w:tcBorders>
            <w:hideMark/>
          </w:tcPr>
          <w:p w14:paraId="3ADD9E5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ABHAR 24</w:t>
            </w:r>
          </w:p>
        </w:tc>
      </w:tr>
      <w:tr w:rsidR="0081596F" w:rsidRPr="0081596F" w14:paraId="20E6B899" w14:textId="77777777" w:rsidTr="0081596F">
        <w:tc>
          <w:tcPr>
            <w:tcW w:w="1992" w:type="dxa"/>
            <w:tcBorders>
              <w:top w:val="single" w:sz="4" w:space="0" w:color="auto"/>
              <w:left w:val="nil"/>
              <w:bottom w:val="nil"/>
              <w:right w:val="nil"/>
            </w:tcBorders>
            <w:hideMark/>
          </w:tcPr>
          <w:p w14:paraId="79BA955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Diversifying</w:t>
            </w:r>
          </w:p>
        </w:tc>
        <w:tc>
          <w:tcPr>
            <w:tcW w:w="1993" w:type="dxa"/>
            <w:tcBorders>
              <w:top w:val="single" w:sz="4" w:space="0" w:color="auto"/>
              <w:left w:val="nil"/>
              <w:bottom w:val="nil"/>
              <w:right w:val="nil"/>
            </w:tcBorders>
            <w:hideMark/>
          </w:tcPr>
          <w:p w14:paraId="0600AE6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1.27%***</w:t>
            </w:r>
          </w:p>
        </w:tc>
        <w:tc>
          <w:tcPr>
            <w:tcW w:w="1993" w:type="dxa"/>
            <w:tcBorders>
              <w:top w:val="single" w:sz="4" w:space="0" w:color="auto"/>
              <w:left w:val="nil"/>
              <w:bottom w:val="nil"/>
              <w:right w:val="nil"/>
            </w:tcBorders>
            <w:hideMark/>
          </w:tcPr>
          <w:p w14:paraId="632EB5D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1.31%***</w:t>
            </w:r>
          </w:p>
        </w:tc>
        <w:tc>
          <w:tcPr>
            <w:tcW w:w="1993" w:type="dxa"/>
            <w:tcBorders>
              <w:top w:val="single" w:sz="4" w:space="0" w:color="auto"/>
              <w:left w:val="nil"/>
              <w:bottom w:val="nil"/>
              <w:right w:val="nil"/>
            </w:tcBorders>
            <w:hideMark/>
          </w:tcPr>
          <w:p w14:paraId="1203344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w:t>
            </w:r>
          </w:p>
        </w:tc>
        <w:tc>
          <w:tcPr>
            <w:tcW w:w="1993" w:type="dxa"/>
            <w:tcBorders>
              <w:top w:val="single" w:sz="4" w:space="0" w:color="auto"/>
              <w:left w:val="nil"/>
              <w:bottom w:val="nil"/>
              <w:right w:val="nil"/>
            </w:tcBorders>
            <w:hideMark/>
          </w:tcPr>
          <w:p w14:paraId="1FF9579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-3.17%***</w:t>
            </w:r>
          </w:p>
        </w:tc>
        <w:tc>
          <w:tcPr>
            <w:tcW w:w="1993" w:type="dxa"/>
            <w:tcBorders>
              <w:top w:val="single" w:sz="4" w:space="0" w:color="auto"/>
              <w:left w:val="nil"/>
              <w:bottom w:val="nil"/>
              <w:right w:val="nil"/>
            </w:tcBorders>
            <w:hideMark/>
          </w:tcPr>
          <w:p w14:paraId="3BA226D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-2.95%***</w:t>
            </w:r>
          </w:p>
        </w:tc>
        <w:tc>
          <w:tcPr>
            <w:tcW w:w="1993" w:type="dxa"/>
            <w:tcBorders>
              <w:top w:val="single" w:sz="4" w:space="0" w:color="auto"/>
              <w:left w:val="nil"/>
              <w:bottom w:val="nil"/>
              <w:right w:val="nil"/>
            </w:tcBorders>
            <w:hideMark/>
          </w:tcPr>
          <w:p w14:paraId="56B961B8"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-2.46%***</w:t>
            </w:r>
          </w:p>
        </w:tc>
      </w:tr>
      <w:tr w:rsidR="0081596F" w:rsidRPr="0081596F" w14:paraId="5D54C540" w14:textId="77777777" w:rsidTr="0081596F">
        <w:tc>
          <w:tcPr>
            <w:tcW w:w="1992" w:type="dxa"/>
          </w:tcPr>
          <w:p w14:paraId="4E447682" w14:textId="77777777" w:rsidR="0081596F" w:rsidRPr="0081596F" w:rsidRDefault="0081596F" w:rsidP="0081596F">
            <w:pPr>
              <w:spacing w:before="100" w:beforeAutospacing="1" w:after="100" w:afterAutospacing="1"/>
              <w:rPr>
                <w:sz w:val="20"/>
                <w:szCs w:val="20"/>
              </w:rPr>
            </w:pPr>
          </w:p>
        </w:tc>
        <w:tc>
          <w:tcPr>
            <w:tcW w:w="1993" w:type="dxa"/>
            <w:hideMark/>
          </w:tcPr>
          <w:p w14:paraId="33834A8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(3.17)</w:t>
            </w:r>
          </w:p>
        </w:tc>
        <w:tc>
          <w:tcPr>
            <w:tcW w:w="1993" w:type="dxa"/>
            <w:hideMark/>
          </w:tcPr>
          <w:p w14:paraId="4ECE9C5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(3.28)</w:t>
            </w:r>
          </w:p>
        </w:tc>
        <w:tc>
          <w:tcPr>
            <w:tcW w:w="1993" w:type="dxa"/>
            <w:hideMark/>
          </w:tcPr>
          <w:p w14:paraId="6751A9F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(-3.09)</w:t>
            </w:r>
          </w:p>
        </w:tc>
        <w:tc>
          <w:tcPr>
            <w:tcW w:w="1993" w:type="dxa"/>
            <w:hideMark/>
          </w:tcPr>
          <w:p w14:paraId="42F3926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(-2.76)</w:t>
            </w:r>
          </w:p>
        </w:tc>
        <w:tc>
          <w:tcPr>
            <w:tcW w:w="1993" w:type="dxa"/>
            <w:hideMark/>
          </w:tcPr>
          <w:p w14:paraId="15442913"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(-3.19)</w:t>
            </w:r>
          </w:p>
        </w:tc>
        <w:tc>
          <w:tcPr>
            <w:tcW w:w="1993" w:type="dxa"/>
            <w:hideMark/>
          </w:tcPr>
          <w:p w14:paraId="72E8857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(-2.88)</w:t>
            </w:r>
          </w:p>
        </w:tc>
      </w:tr>
      <w:tr w:rsidR="0081596F" w:rsidRPr="0081596F" w14:paraId="5C5A1C2F" w14:textId="77777777" w:rsidTr="0081596F">
        <w:tc>
          <w:tcPr>
            <w:tcW w:w="1992" w:type="dxa"/>
            <w:hideMark/>
          </w:tcPr>
          <w:p w14:paraId="182009E2"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Related</w:t>
            </w:r>
          </w:p>
        </w:tc>
        <w:tc>
          <w:tcPr>
            <w:tcW w:w="1993" w:type="dxa"/>
            <w:hideMark/>
          </w:tcPr>
          <w:p w14:paraId="2027F09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1.48%**</w:t>
            </w:r>
          </w:p>
        </w:tc>
        <w:tc>
          <w:tcPr>
            <w:tcW w:w="1993" w:type="dxa"/>
            <w:hideMark/>
          </w:tcPr>
          <w:p w14:paraId="37453090"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1.56%**</w:t>
            </w:r>
          </w:p>
        </w:tc>
        <w:tc>
          <w:tcPr>
            <w:tcW w:w="1993" w:type="dxa"/>
            <w:hideMark/>
          </w:tcPr>
          <w:p w14:paraId="7464D322"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-1.6%**</w:t>
            </w:r>
          </w:p>
        </w:tc>
        <w:tc>
          <w:tcPr>
            <w:tcW w:w="1993" w:type="dxa"/>
            <w:hideMark/>
          </w:tcPr>
          <w:p w14:paraId="5B04C2D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-1.96%***</w:t>
            </w:r>
          </w:p>
        </w:tc>
        <w:tc>
          <w:tcPr>
            <w:tcW w:w="1993" w:type="dxa"/>
            <w:hideMark/>
          </w:tcPr>
          <w:p w14:paraId="60B3F6A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-1.67%**</w:t>
            </w:r>
          </w:p>
        </w:tc>
        <w:tc>
          <w:tcPr>
            <w:tcW w:w="1993" w:type="dxa"/>
            <w:hideMark/>
          </w:tcPr>
          <w:p w14:paraId="7309DC6C"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-1.73%***</w:t>
            </w:r>
          </w:p>
        </w:tc>
      </w:tr>
      <w:tr w:rsidR="0081596F" w:rsidRPr="0081596F" w14:paraId="691B8CFC" w14:textId="77777777" w:rsidTr="0081596F">
        <w:tc>
          <w:tcPr>
            <w:tcW w:w="1992" w:type="dxa"/>
          </w:tcPr>
          <w:p w14:paraId="07F82825" w14:textId="77777777" w:rsidR="0081596F" w:rsidRPr="0081596F" w:rsidRDefault="0081596F" w:rsidP="0081596F">
            <w:pPr>
              <w:spacing w:before="100" w:beforeAutospacing="1" w:after="100" w:afterAutospacing="1"/>
              <w:rPr>
                <w:sz w:val="20"/>
                <w:szCs w:val="20"/>
              </w:rPr>
            </w:pPr>
          </w:p>
        </w:tc>
        <w:tc>
          <w:tcPr>
            <w:tcW w:w="1993" w:type="dxa"/>
            <w:hideMark/>
          </w:tcPr>
          <w:p w14:paraId="5628CA9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(3.08)</w:t>
            </w:r>
          </w:p>
        </w:tc>
        <w:tc>
          <w:tcPr>
            <w:tcW w:w="1993" w:type="dxa"/>
            <w:hideMark/>
          </w:tcPr>
          <w:p w14:paraId="75F0D0B4"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(3.12)</w:t>
            </w:r>
          </w:p>
        </w:tc>
        <w:tc>
          <w:tcPr>
            <w:tcW w:w="1993" w:type="dxa"/>
            <w:hideMark/>
          </w:tcPr>
          <w:p w14:paraId="32837F0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(-2.56)</w:t>
            </w:r>
          </w:p>
        </w:tc>
        <w:tc>
          <w:tcPr>
            <w:tcW w:w="1993" w:type="dxa"/>
            <w:hideMark/>
          </w:tcPr>
          <w:p w14:paraId="79AD1046"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(-3.02)</w:t>
            </w:r>
          </w:p>
        </w:tc>
        <w:tc>
          <w:tcPr>
            <w:tcW w:w="1993" w:type="dxa"/>
            <w:hideMark/>
          </w:tcPr>
          <w:p w14:paraId="7F563A5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(-2.62)</w:t>
            </w:r>
          </w:p>
        </w:tc>
        <w:tc>
          <w:tcPr>
            <w:tcW w:w="1993" w:type="dxa"/>
            <w:hideMark/>
          </w:tcPr>
          <w:p w14:paraId="2A0A52E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(-2.97)</w:t>
            </w:r>
          </w:p>
        </w:tc>
      </w:tr>
      <w:tr w:rsidR="0081596F" w:rsidRPr="0081596F" w14:paraId="6E720C73" w14:textId="77777777" w:rsidTr="0081596F">
        <w:tc>
          <w:tcPr>
            <w:tcW w:w="1992" w:type="dxa"/>
            <w:hideMark/>
          </w:tcPr>
          <w:p w14:paraId="60FC7F4E"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 xml:space="preserve">Mean difference </w:t>
            </w:r>
          </w:p>
        </w:tc>
        <w:tc>
          <w:tcPr>
            <w:tcW w:w="1993" w:type="dxa"/>
            <w:hideMark/>
          </w:tcPr>
          <w:p w14:paraId="51ACB26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-0.21%**</w:t>
            </w:r>
          </w:p>
        </w:tc>
        <w:tc>
          <w:tcPr>
            <w:tcW w:w="1993" w:type="dxa"/>
            <w:hideMark/>
          </w:tcPr>
          <w:p w14:paraId="69459FF7"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-0.25%**</w:t>
            </w:r>
          </w:p>
        </w:tc>
        <w:tc>
          <w:tcPr>
            <w:tcW w:w="1993" w:type="dxa"/>
            <w:hideMark/>
          </w:tcPr>
          <w:p w14:paraId="2F16B28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-1.5%**</w:t>
            </w:r>
          </w:p>
        </w:tc>
        <w:tc>
          <w:tcPr>
            <w:tcW w:w="1993" w:type="dxa"/>
            <w:hideMark/>
          </w:tcPr>
          <w:p w14:paraId="14CCB3AD"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-1.21%**</w:t>
            </w:r>
          </w:p>
        </w:tc>
        <w:tc>
          <w:tcPr>
            <w:tcW w:w="1993" w:type="dxa"/>
            <w:hideMark/>
          </w:tcPr>
          <w:p w14:paraId="0C15AF45"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-1.28%**</w:t>
            </w:r>
          </w:p>
        </w:tc>
        <w:tc>
          <w:tcPr>
            <w:tcW w:w="1993" w:type="dxa"/>
            <w:hideMark/>
          </w:tcPr>
          <w:p w14:paraId="36F19F1E"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-0.73%**</w:t>
            </w:r>
          </w:p>
        </w:tc>
      </w:tr>
      <w:tr w:rsidR="0081596F" w:rsidRPr="0081596F" w14:paraId="3F0D0FD7" w14:textId="77777777" w:rsidTr="0081596F">
        <w:tc>
          <w:tcPr>
            <w:tcW w:w="1992" w:type="dxa"/>
            <w:tcBorders>
              <w:top w:val="nil"/>
              <w:left w:val="nil"/>
              <w:bottom w:val="single" w:sz="4" w:space="0" w:color="auto"/>
              <w:right w:val="nil"/>
            </w:tcBorders>
            <w:hideMark/>
          </w:tcPr>
          <w:p w14:paraId="28548DB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 values</w:t>
            </w:r>
          </w:p>
        </w:tc>
        <w:tc>
          <w:tcPr>
            <w:tcW w:w="1993" w:type="dxa"/>
            <w:tcBorders>
              <w:top w:val="nil"/>
              <w:left w:val="nil"/>
              <w:bottom w:val="single" w:sz="4" w:space="0" w:color="auto"/>
              <w:right w:val="nil"/>
            </w:tcBorders>
            <w:hideMark/>
          </w:tcPr>
          <w:p w14:paraId="4ECD7BB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(0.038)</w:t>
            </w:r>
          </w:p>
        </w:tc>
        <w:tc>
          <w:tcPr>
            <w:tcW w:w="1993" w:type="dxa"/>
            <w:tcBorders>
              <w:top w:val="nil"/>
              <w:left w:val="nil"/>
              <w:bottom w:val="single" w:sz="4" w:space="0" w:color="auto"/>
              <w:right w:val="nil"/>
            </w:tcBorders>
            <w:hideMark/>
          </w:tcPr>
          <w:p w14:paraId="3C1044AB"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(0.043)</w:t>
            </w:r>
          </w:p>
        </w:tc>
        <w:tc>
          <w:tcPr>
            <w:tcW w:w="1993" w:type="dxa"/>
            <w:tcBorders>
              <w:top w:val="nil"/>
              <w:left w:val="nil"/>
              <w:bottom w:val="single" w:sz="4" w:space="0" w:color="auto"/>
              <w:right w:val="nil"/>
            </w:tcBorders>
            <w:hideMark/>
          </w:tcPr>
          <w:p w14:paraId="57273381"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w:t>
            </w:r>
          </w:p>
        </w:tc>
        <w:tc>
          <w:tcPr>
            <w:tcW w:w="1993" w:type="dxa"/>
            <w:tcBorders>
              <w:top w:val="nil"/>
              <w:left w:val="nil"/>
              <w:bottom w:val="single" w:sz="4" w:space="0" w:color="auto"/>
              <w:right w:val="nil"/>
            </w:tcBorders>
            <w:hideMark/>
          </w:tcPr>
          <w:p w14:paraId="15EFBE79"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(0.024)</w:t>
            </w:r>
          </w:p>
        </w:tc>
        <w:tc>
          <w:tcPr>
            <w:tcW w:w="1993" w:type="dxa"/>
            <w:tcBorders>
              <w:top w:val="nil"/>
              <w:left w:val="nil"/>
              <w:bottom w:val="single" w:sz="4" w:space="0" w:color="auto"/>
              <w:right w:val="nil"/>
            </w:tcBorders>
            <w:hideMark/>
          </w:tcPr>
          <w:p w14:paraId="296ADCEF"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w:t>
            </w:r>
          </w:p>
        </w:tc>
        <w:tc>
          <w:tcPr>
            <w:tcW w:w="1993" w:type="dxa"/>
            <w:tcBorders>
              <w:top w:val="nil"/>
              <w:left w:val="nil"/>
              <w:bottom w:val="single" w:sz="4" w:space="0" w:color="auto"/>
              <w:right w:val="nil"/>
            </w:tcBorders>
            <w:hideMark/>
          </w:tcPr>
          <w:p w14:paraId="03AA806A" w14:textId="77777777" w:rsidR="0081596F" w:rsidRPr="0081596F" w:rsidRDefault="0081596F" w:rsidP="0081596F">
            <w:pPr>
              <w:spacing w:before="100" w:beforeAutospacing="1" w:after="100" w:afterAutospacing="1"/>
              <w:jc w:val="center"/>
              <w:rPr>
                <w:sz w:val="20"/>
                <w:szCs w:val="20"/>
              </w:rPr>
            </w:pPr>
            <w:r w:rsidRPr="0081596F">
              <w:rPr>
                <w:rFonts w:eastAsia="Calibri"/>
                <w:color w:val="000000"/>
                <w:sz w:val="20"/>
                <w:szCs w:val="20"/>
                <w:lang w:val="en-US"/>
              </w:rPr>
              <w:t>(0.024)</w:t>
            </w:r>
          </w:p>
        </w:tc>
      </w:tr>
    </w:tbl>
    <w:p w14:paraId="732580D2" w14:textId="77777777" w:rsidR="0081596F" w:rsidRPr="0081596F" w:rsidRDefault="0081596F" w:rsidP="0081596F">
      <w:pPr>
        <w:rPr>
          <w:rFonts w:eastAsia="Calibri"/>
        </w:rPr>
      </w:pPr>
      <w:r w:rsidRPr="0081596F">
        <w:rPr>
          <w:sz w:val="20"/>
          <w:szCs w:val="20"/>
        </w:rPr>
        <w:lastRenderedPageBreak/>
        <w:t xml:space="preserve">Notes: Panel A of the reports the short run average CARs denoted as CAARs in the event windows (1, +1) and (-2, +2) and long run post-merger average BHARs denoted as ABHARs in the 12 months and 24 months after merger completion for the whole sample. Panel B presents the subsample of CAARs and ABHARs after dividing the sample between the above mean and below mean of fraction of male directors. Panel C also shows the subsample of CAARs and ABHARs after dividing the sample between single and multiple acquirers. Panels D and E shows the subsample of CAARs and ABHARs after dividing the sample between cash and stock and diversifying and related deals respectively. </w:t>
      </w:r>
      <w:r w:rsidRPr="0081596F">
        <w:rPr>
          <w:rFonts w:ascii="Garamond" w:eastAsia="Calibri" w:hAnsi="Garamond"/>
          <w:i/>
          <w:iCs/>
          <w:sz w:val="20"/>
          <w:szCs w:val="20"/>
          <w:lang w:val="en-US"/>
        </w:rPr>
        <w:t>*** p&lt;0.01, ** p&lt;0.05, * p&lt;0.1</w:t>
      </w:r>
    </w:p>
    <w:p w14:paraId="00CBF0B4" w14:textId="77777777" w:rsidR="0081596F" w:rsidRPr="0081596F" w:rsidRDefault="0081596F" w:rsidP="0081596F">
      <w:pPr>
        <w:jc w:val="both"/>
      </w:pPr>
    </w:p>
    <w:p w14:paraId="2ADDD8F9" w14:textId="77777777" w:rsidR="0081596F" w:rsidRPr="0081596F" w:rsidRDefault="0081596F" w:rsidP="0081596F">
      <w:r w:rsidRPr="0081596F">
        <w:br w:type="page"/>
      </w:r>
    </w:p>
    <w:p w14:paraId="1BD9890D" w14:textId="77777777" w:rsidR="0081596F" w:rsidRPr="0081596F" w:rsidRDefault="0081596F" w:rsidP="0081596F">
      <w:pPr>
        <w:sectPr w:rsidR="0081596F" w:rsidRPr="0081596F">
          <w:pgSz w:w="16840" w:h="11900" w:orient="landscape"/>
          <w:pgMar w:top="1440" w:right="1440" w:bottom="1440" w:left="1440" w:header="720" w:footer="720" w:gutter="0"/>
          <w:cols w:space="720"/>
        </w:sectPr>
      </w:pPr>
    </w:p>
    <w:p w14:paraId="036B665F" w14:textId="77777777" w:rsidR="0081596F" w:rsidRPr="0081596F" w:rsidRDefault="0081596F" w:rsidP="0081596F">
      <w:r w:rsidRPr="0081596F">
        <w:lastRenderedPageBreak/>
        <w:t>Table 6 Merger performance and overconfidence measured by merger characteristics</w:t>
      </w:r>
    </w:p>
    <w:tbl>
      <w:tblPr>
        <w:tblStyle w:val="TableGrid2"/>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3124"/>
        <w:gridCol w:w="238"/>
        <w:gridCol w:w="1033"/>
      </w:tblGrid>
      <w:tr w:rsidR="0081596F" w:rsidRPr="0081596F" w14:paraId="339100C7" w14:textId="77777777" w:rsidTr="0081596F">
        <w:tc>
          <w:tcPr>
            <w:tcW w:w="3402" w:type="dxa"/>
            <w:tcBorders>
              <w:top w:val="single" w:sz="4" w:space="0" w:color="auto"/>
              <w:left w:val="nil"/>
              <w:bottom w:val="single" w:sz="4" w:space="0" w:color="auto"/>
              <w:right w:val="nil"/>
            </w:tcBorders>
            <w:hideMark/>
          </w:tcPr>
          <w:p w14:paraId="4A42ED8A"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Panel A</w:t>
            </w:r>
          </w:p>
        </w:tc>
        <w:tc>
          <w:tcPr>
            <w:tcW w:w="1129" w:type="dxa"/>
            <w:tcBorders>
              <w:top w:val="single" w:sz="4" w:space="0" w:color="auto"/>
              <w:left w:val="nil"/>
              <w:bottom w:val="single" w:sz="4" w:space="0" w:color="auto"/>
              <w:right w:val="nil"/>
            </w:tcBorders>
          </w:tcPr>
          <w:p w14:paraId="049FB0F9" w14:textId="77777777" w:rsidR="0081596F" w:rsidRPr="0081596F" w:rsidRDefault="0081596F" w:rsidP="0081596F">
            <w:pPr>
              <w:spacing w:before="100" w:beforeAutospacing="1" w:after="100" w:afterAutospacing="1"/>
              <w:jc w:val="center"/>
              <w:rPr>
                <w:sz w:val="20"/>
                <w:szCs w:val="20"/>
              </w:rPr>
            </w:pPr>
          </w:p>
        </w:tc>
        <w:tc>
          <w:tcPr>
            <w:tcW w:w="3362" w:type="dxa"/>
            <w:gridSpan w:val="2"/>
            <w:tcBorders>
              <w:top w:val="single" w:sz="4" w:space="0" w:color="auto"/>
              <w:left w:val="nil"/>
              <w:bottom w:val="single" w:sz="4" w:space="0" w:color="auto"/>
              <w:right w:val="nil"/>
            </w:tcBorders>
          </w:tcPr>
          <w:p w14:paraId="7D54F68D" w14:textId="77777777" w:rsidR="0081596F" w:rsidRPr="0081596F" w:rsidRDefault="0081596F" w:rsidP="0081596F">
            <w:pPr>
              <w:spacing w:before="100" w:beforeAutospacing="1" w:after="100" w:afterAutospacing="1"/>
              <w:rPr>
                <w:sz w:val="20"/>
                <w:szCs w:val="20"/>
              </w:rPr>
            </w:pPr>
          </w:p>
        </w:tc>
        <w:tc>
          <w:tcPr>
            <w:tcW w:w="1033" w:type="dxa"/>
            <w:tcBorders>
              <w:top w:val="single" w:sz="4" w:space="0" w:color="auto"/>
              <w:left w:val="nil"/>
              <w:bottom w:val="single" w:sz="4" w:space="0" w:color="auto"/>
              <w:right w:val="nil"/>
            </w:tcBorders>
          </w:tcPr>
          <w:p w14:paraId="3F8384F8" w14:textId="77777777" w:rsidR="0081596F" w:rsidRPr="0081596F" w:rsidRDefault="0081596F" w:rsidP="0081596F">
            <w:pPr>
              <w:spacing w:before="100" w:beforeAutospacing="1" w:after="100" w:afterAutospacing="1"/>
              <w:rPr>
                <w:sz w:val="20"/>
                <w:szCs w:val="20"/>
              </w:rPr>
            </w:pPr>
          </w:p>
        </w:tc>
      </w:tr>
      <w:tr w:rsidR="0081596F" w:rsidRPr="0081596F" w14:paraId="2339D83A" w14:textId="77777777" w:rsidTr="0081596F">
        <w:tc>
          <w:tcPr>
            <w:tcW w:w="3402" w:type="dxa"/>
            <w:tcBorders>
              <w:top w:val="single" w:sz="4" w:space="0" w:color="auto"/>
              <w:left w:val="nil"/>
              <w:bottom w:val="nil"/>
              <w:right w:val="nil"/>
            </w:tcBorders>
            <w:hideMark/>
          </w:tcPr>
          <w:p w14:paraId="5CD78E3C"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CAAR (-1, +1)</w:t>
            </w:r>
          </w:p>
        </w:tc>
        <w:tc>
          <w:tcPr>
            <w:tcW w:w="1129" w:type="dxa"/>
            <w:tcBorders>
              <w:top w:val="single" w:sz="4" w:space="0" w:color="auto"/>
              <w:left w:val="nil"/>
              <w:bottom w:val="nil"/>
              <w:right w:val="nil"/>
            </w:tcBorders>
            <w:hideMark/>
          </w:tcPr>
          <w:p w14:paraId="547879A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All</w:t>
            </w:r>
          </w:p>
        </w:tc>
        <w:tc>
          <w:tcPr>
            <w:tcW w:w="3124" w:type="dxa"/>
            <w:tcBorders>
              <w:top w:val="single" w:sz="4" w:space="0" w:color="auto"/>
              <w:left w:val="nil"/>
              <w:bottom w:val="nil"/>
              <w:right w:val="nil"/>
            </w:tcBorders>
            <w:hideMark/>
          </w:tcPr>
          <w:p w14:paraId="2CDEC332"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CAAR (-2, +2)</w:t>
            </w:r>
          </w:p>
        </w:tc>
        <w:tc>
          <w:tcPr>
            <w:tcW w:w="1271" w:type="dxa"/>
            <w:gridSpan w:val="2"/>
            <w:tcBorders>
              <w:top w:val="single" w:sz="4" w:space="0" w:color="auto"/>
              <w:left w:val="nil"/>
              <w:bottom w:val="nil"/>
              <w:right w:val="nil"/>
            </w:tcBorders>
            <w:hideMark/>
          </w:tcPr>
          <w:p w14:paraId="78F3275B"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All</w:t>
            </w:r>
          </w:p>
        </w:tc>
      </w:tr>
      <w:tr w:rsidR="0081596F" w:rsidRPr="0081596F" w14:paraId="1B90B35F" w14:textId="77777777" w:rsidTr="0081596F">
        <w:tc>
          <w:tcPr>
            <w:tcW w:w="3402" w:type="dxa"/>
            <w:hideMark/>
          </w:tcPr>
          <w:p w14:paraId="7D2900CF"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 1st deal</w:t>
            </w:r>
          </w:p>
        </w:tc>
        <w:tc>
          <w:tcPr>
            <w:tcW w:w="1129" w:type="dxa"/>
            <w:hideMark/>
          </w:tcPr>
          <w:p w14:paraId="2910F9F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1.21%**</w:t>
            </w:r>
          </w:p>
        </w:tc>
        <w:tc>
          <w:tcPr>
            <w:tcW w:w="3124" w:type="dxa"/>
            <w:hideMark/>
          </w:tcPr>
          <w:p w14:paraId="0B514608"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 1st deal</w:t>
            </w:r>
          </w:p>
        </w:tc>
        <w:tc>
          <w:tcPr>
            <w:tcW w:w="1271" w:type="dxa"/>
            <w:gridSpan w:val="2"/>
            <w:hideMark/>
          </w:tcPr>
          <w:p w14:paraId="47F84C3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1.81%***</w:t>
            </w:r>
          </w:p>
        </w:tc>
      </w:tr>
      <w:tr w:rsidR="0081596F" w:rsidRPr="0081596F" w14:paraId="7EBCD4B8" w14:textId="77777777" w:rsidTr="0081596F">
        <w:tc>
          <w:tcPr>
            <w:tcW w:w="3402" w:type="dxa"/>
          </w:tcPr>
          <w:p w14:paraId="193E11BD" w14:textId="77777777" w:rsidR="0081596F" w:rsidRPr="0081596F" w:rsidRDefault="0081596F" w:rsidP="0081596F">
            <w:pPr>
              <w:spacing w:before="100" w:beforeAutospacing="1" w:after="100" w:afterAutospacing="1"/>
              <w:rPr>
                <w:sz w:val="20"/>
                <w:szCs w:val="20"/>
              </w:rPr>
            </w:pPr>
          </w:p>
        </w:tc>
        <w:tc>
          <w:tcPr>
            <w:tcW w:w="1129" w:type="dxa"/>
            <w:hideMark/>
          </w:tcPr>
          <w:p w14:paraId="7D3B4B69"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(2.65)</w:t>
            </w:r>
          </w:p>
        </w:tc>
        <w:tc>
          <w:tcPr>
            <w:tcW w:w="3124" w:type="dxa"/>
          </w:tcPr>
          <w:p w14:paraId="66C8ED7C" w14:textId="77777777" w:rsidR="0081596F" w:rsidRPr="0081596F" w:rsidRDefault="0081596F" w:rsidP="0081596F">
            <w:pPr>
              <w:spacing w:before="100" w:beforeAutospacing="1" w:after="100" w:afterAutospacing="1"/>
              <w:rPr>
                <w:sz w:val="20"/>
                <w:szCs w:val="20"/>
              </w:rPr>
            </w:pPr>
          </w:p>
        </w:tc>
        <w:tc>
          <w:tcPr>
            <w:tcW w:w="1271" w:type="dxa"/>
            <w:gridSpan w:val="2"/>
            <w:hideMark/>
          </w:tcPr>
          <w:p w14:paraId="454B8F1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(3.41)</w:t>
            </w:r>
          </w:p>
        </w:tc>
      </w:tr>
      <w:tr w:rsidR="0081596F" w:rsidRPr="0081596F" w14:paraId="769F1C71" w14:textId="77777777" w:rsidTr="0081596F">
        <w:tc>
          <w:tcPr>
            <w:tcW w:w="3402" w:type="dxa"/>
            <w:hideMark/>
          </w:tcPr>
          <w:p w14:paraId="2D398A9C"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129" w:type="dxa"/>
            <w:hideMark/>
          </w:tcPr>
          <w:p w14:paraId="13874E9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84</w:t>
            </w:r>
          </w:p>
        </w:tc>
        <w:tc>
          <w:tcPr>
            <w:tcW w:w="3124" w:type="dxa"/>
            <w:hideMark/>
          </w:tcPr>
          <w:p w14:paraId="48DE3751"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271" w:type="dxa"/>
            <w:gridSpan w:val="2"/>
            <w:hideMark/>
          </w:tcPr>
          <w:p w14:paraId="0FFCF71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80</w:t>
            </w:r>
          </w:p>
        </w:tc>
      </w:tr>
      <w:tr w:rsidR="0081596F" w:rsidRPr="0081596F" w14:paraId="4292D49E" w14:textId="77777777" w:rsidTr="0081596F">
        <w:tc>
          <w:tcPr>
            <w:tcW w:w="3402" w:type="dxa"/>
            <w:hideMark/>
          </w:tcPr>
          <w:p w14:paraId="51131003"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acquirers: 5 or more deals</w:t>
            </w:r>
          </w:p>
        </w:tc>
        <w:tc>
          <w:tcPr>
            <w:tcW w:w="1129" w:type="dxa"/>
            <w:hideMark/>
          </w:tcPr>
          <w:p w14:paraId="635A31C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0.58%***</w:t>
            </w:r>
          </w:p>
        </w:tc>
        <w:tc>
          <w:tcPr>
            <w:tcW w:w="3124" w:type="dxa"/>
            <w:hideMark/>
          </w:tcPr>
          <w:p w14:paraId="1633C42F"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acquirers: 5 or more deals</w:t>
            </w:r>
          </w:p>
        </w:tc>
        <w:tc>
          <w:tcPr>
            <w:tcW w:w="1271" w:type="dxa"/>
            <w:gridSpan w:val="2"/>
            <w:hideMark/>
          </w:tcPr>
          <w:p w14:paraId="5AF9F758"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0.53%***</w:t>
            </w:r>
          </w:p>
        </w:tc>
      </w:tr>
      <w:tr w:rsidR="0081596F" w:rsidRPr="0081596F" w14:paraId="47BF520D" w14:textId="77777777" w:rsidTr="0081596F">
        <w:tc>
          <w:tcPr>
            <w:tcW w:w="3402" w:type="dxa"/>
          </w:tcPr>
          <w:p w14:paraId="15F38F96" w14:textId="77777777" w:rsidR="0081596F" w:rsidRPr="0081596F" w:rsidRDefault="0081596F" w:rsidP="0081596F">
            <w:pPr>
              <w:spacing w:before="100" w:beforeAutospacing="1" w:after="100" w:afterAutospacing="1"/>
              <w:rPr>
                <w:sz w:val="20"/>
                <w:szCs w:val="20"/>
              </w:rPr>
            </w:pPr>
          </w:p>
        </w:tc>
        <w:tc>
          <w:tcPr>
            <w:tcW w:w="1129" w:type="dxa"/>
            <w:hideMark/>
          </w:tcPr>
          <w:p w14:paraId="3BD82D5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(3.72)</w:t>
            </w:r>
          </w:p>
        </w:tc>
        <w:tc>
          <w:tcPr>
            <w:tcW w:w="3124" w:type="dxa"/>
          </w:tcPr>
          <w:p w14:paraId="6F4FE66D" w14:textId="77777777" w:rsidR="0081596F" w:rsidRPr="0081596F" w:rsidRDefault="0081596F" w:rsidP="0081596F">
            <w:pPr>
              <w:spacing w:before="100" w:beforeAutospacing="1" w:after="100" w:afterAutospacing="1"/>
              <w:rPr>
                <w:sz w:val="20"/>
                <w:szCs w:val="20"/>
              </w:rPr>
            </w:pPr>
          </w:p>
        </w:tc>
        <w:tc>
          <w:tcPr>
            <w:tcW w:w="1271" w:type="dxa"/>
            <w:gridSpan w:val="2"/>
            <w:hideMark/>
          </w:tcPr>
          <w:p w14:paraId="6747C78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(3.67)</w:t>
            </w:r>
          </w:p>
        </w:tc>
      </w:tr>
      <w:tr w:rsidR="0081596F" w:rsidRPr="0081596F" w14:paraId="2FAD62D9" w14:textId="77777777" w:rsidTr="0081596F">
        <w:tc>
          <w:tcPr>
            <w:tcW w:w="3402" w:type="dxa"/>
            <w:hideMark/>
          </w:tcPr>
          <w:p w14:paraId="11BB90CC"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129" w:type="dxa"/>
            <w:hideMark/>
          </w:tcPr>
          <w:p w14:paraId="63AE8DF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173</w:t>
            </w:r>
          </w:p>
        </w:tc>
        <w:tc>
          <w:tcPr>
            <w:tcW w:w="3124" w:type="dxa"/>
            <w:hideMark/>
          </w:tcPr>
          <w:p w14:paraId="3A883A5B"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271" w:type="dxa"/>
            <w:gridSpan w:val="2"/>
            <w:hideMark/>
          </w:tcPr>
          <w:p w14:paraId="17338CC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172</w:t>
            </w:r>
          </w:p>
        </w:tc>
      </w:tr>
      <w:tr w:rsidR="0081596F" w:rsidRPr="0081596F" w14:paraId="632FD888" w14:textId="77777777" w:rsidTr="0081596F">
        <w:tc>
          <w:tcPr>
            <w:tcW w:w="3402" w:type="dxa"/>
            <w:hideMark/>
          </w:tcPr>
          <w:p w14:paraId="29B5F886"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Mean difference</w:t>
            </w:r>
          </w:p>
        </w:tc>
        <w:tc>
          <w:tcPr>
            <w:tcW w:w="1129" w:type="dxa"/>
            <w:hideMark/>
          </w:tcPr>
          <w:p w14:paraId="450BF06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0.63%**</w:t>
            </w:r>
          </w:p>
        </w:tc>
        <w:tc>
          <w:tcPr>
            <w:tcW w:w="3124" w:type="dxa"/>
            <w:hideMark/>
          </w:tcPr>
          <w:p w14:paraId="7612F423"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Mean difference</w:t>
            </w:r>
          </w:p>
        </w:tc>
        <w:tc>
          <w:tcPr>
            <w:tcW w:w="1271" w:type="dxa"/>
            <w:gridSpan w:val="2"/>
            <w:hideMark/>
          </w:tcPr>
          <w:p w14:paraId="502CD68E"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1.28%***</w:t>
            </w:r>
          </w:p>
        </w:tc>
      </w:tr>
      <w:tr w:rsidR="0081596F" w:rsidRPr="0081596F" w14:paraId="5D17CD85" w14:textId="77777777" w:rsidTr="0081596F">
        <w:tc>
          <w:tcPr>
            <w:tcW w:w="3402" w:type="dxa"/>
            <w:tcBorders>
              <w:top w:val="nil"/>
              <w:left w:val="nil"/>
              <w:bottom w:val="single" w:sz="4" w:space="0" w:color="auto"/>
              <w:right w:val="nil"/>
            </w:tcBorders>
            <w:hideMark/>
          </w:tcPr>
          <w:p w14:paraId="3D92B62B"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 values</w:t>
            </w:r>
          </w:p>
        </w:tc>
        <w:tc>
          <w:tcPr>
            <w:tcW w:w="1129" w:type="dxa"/>
            <w:tcBorders>
              <w:top w:val="nil"/>
              <w:left w:val="nil"/>
              <w:bottom w:val="single" w:sz="4" w:space="0" w:color="auto"/>
              <w:right w:val="nil"/>
            </w:tcBorders>
            <w:hideMark/>
          </w:tcPr>
          <w:p w14:paraId="4063648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(0.014)</w:t>
            </w:r>
          </w:p>
        </w:tc>
        <w:tc>
          <w:tcPr>
            <w:tcW w:w="3124" w:type="dxa"/>
            <w:tcBorders>
              <w:top w:val="nil"/>
              <w:left w:val="nil"/>
              <w:bottom w:val="single" w:sz="4" w:space="0" w:color="auto"/>
              <w:right w:val="nil"/>
            </w:tcBorders>
            <w:hideMark/>
          </w:tcPr>
          <w:p w14:paraId="4013EE13"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 values</w:t>
            </w:r>
          </w:p>
        </w:tc>
        <w:tc>
          <w:tcPr>
            <w:tcW w:w="1271" w:type="dxa"/>
            <w:gridSpan w:val="2"/>
            <w:tcBorders>
              <w:top w:val="nil"/>
              <w:left w:val="nil"/>
              <w:bottom w:val="single" w:sz="4" w:space="0" w:color="auto"/>
              <w:right w:val="nil"/>
            </w:tcBorders>
            <w:hideMark/>
          </w:tcPr>
          <w:p w14:paraId="57A12BB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(0.008)</w:t>
            </w:r>
          </w:p>
        </w:tc>
      </w:tr>
      <w:tr w:rsidR="0081596F" w:rsidRPr="0081596F" w14:paraId="79A148D9" w14:textId="77777777" w:rsidTr="0081596F">
        <w:tc>
          <w:tcPr>
            <w:tcW w:w="3402" w:type="dxa"/>
            <w:tcBorders>
              <w:top w:val="single" w:sz="4" w:space="0" w:color="auto"/>
              <w:left w:val="nil"/>
              <w:bottom w:val="single" w:sz="4" w:space="0" w:color="auto"/>
              <w:right w:val="nil"/>
            </w:tcBorders>
            <w:hideMark/>
          </w:tcPr>
          <w:p w14:paraId="75345BAD"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Panel B</w:t>
            </w:r>
          </w:p>
        </w:tc>
        <w:tc>
          <w:tcPr>
            <w:tcW w:w="1129" w:type="dxa"/>
            <w:tcBorders>
              <w:top w:val="single" w:sz="4" w:space="0" w:color="auto"/>
              <w:left w:val="nil"/>
              <w:bottom w:val="single" w:sz="4" w:space="0" w:color="auto"/>
              <w:right w:val="nil"/>
            </w:tcBorders>
          </w:tcPr>
          <w:p w14:paraId="74ADFF6B" w14:textId="77777777" w:rsidR="0081596F" w:rsidRPr="0081596F" w:rsidRDefault="0081596F" w:rsidP="0081596F">
            <w:pPr>
              <w:spacing w:before="100" w:beforeAutospacing="1" w:after="100" w:afterAutospacing="1"/>
              <w:jc w:val="center"/>
              <w:rPr>
                <w:sz w:val="20"/>
                <w:szCs w:val="20"/>
              </w:rPr>
            </w:pPr>
          </w:p>
        </w:tc>
        <w:tc>
          <w:tcPr>
            <w:tcW w:w="3124" w:type="dxa"/>
            <w:tcBorders>
              <w:top w:val="single" w:sz="4" w:space="0" w:color="auto"/>
              <w:left w:val="nil"/>
              <w:bottom w:val="single" w:sz="4" w:space="0" w:color="auto"/>
              <w:right w:val="nil"/>
            </w:tcBorders>
          </w:tcPr>
          <w:p w14:paraId="522CAA93" w14:textId="77777777" w:rsidR="0081596F" w:rsidRPr="0081596F" w:rsidRDefault="0081596F" w:rsidP="0081596F">
            <w:pPr>
              <w:spacing w:before="100" w:beforeAutospacing="1" w:after="100" w:afterAutospacing="1"/>
              <w:rPr>
                <w:sz w:val="20"/>
                <w:szCs w:val="20"/>
              </w:rPr>
            </w:pPr>
          </w:p>
        </w:tc>
        <w:tc>
          <w:tcPr>
            <w:tcW w:w="1271" w:type="dxa"/>
            <w:gridSpan w:val="2"/>
            <w:tcBorders>
              <w:top w:val="single" w:sz="4" w:space="0" w:color="auto"/>
              <w:left w:val="nil"/>
              <w:bottom w:val="single" w:sz="4" w:space="0" w:color="auto"/>
              <w:right w:val="nil"/>
            </w:tcBorders>
          </w:tcPr>
          <w:p w14:paraId="1698A93D" w14:textId="77777777" w:rsidR="0081596F" w:rsidRPr="0081596F" w:rsidRDefault="0081596F" w:rsidP="0081596F">
            <w:pPr>
              <w:spacing w:before="100" w:beforeAutospacing="1" w:after="100" w:afterAutospacing="1"/>
              <w:jc w:val="center"/>
              <w:rPr>
                <w:sz w:val="20"/>
                <w:szCs w:val="20"/>
              </w:rPr>
            </w:pPr>
          </w:p>
        </w:tc>
      </w:tr>
      <w:tr w:rsidR="0081596F" w:rsidRPr="0081596F" w14:paraId="165BCCDE" w14:textId="77777777" w:rsidTr="0081596F">
        <w:tc>
          <w:tcPr>
            <w:tcW w:w="3402" w:type="dxa"/>
            <w:tcBorders>
              <w:top w:val="single" w:sz="4" w:space="0" w:color="auto"/>
              <w:left w:val="nil"/>
              <w:bottom w:val="nil"/>
              <w:right w:val="nil"/>
            </w:tcBorders>
            <w:hideMark/>
          </w:tcPr>
          <w:p w14:paraId="3B7495CF"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12-month ABHAR</w:t>
            </w:r>
          </w:p>
        </w:tc>
        <w:tc>
          <w:tcPr>
            <w:tcW w:w="1129" w:type="dxa"/>
            <w:tcBorders>
              <w:top w:val="single" w:sz="4" w:space="0" w:color="auto"/>
              <w:left w:val="nil"/>
              <w:bottom w:val="nil"/>
              <w:right w:val="nil"/>
            </w:tcBorders>
            <w:hideMark/>
          </w:tcPr>
          <w:p w14:paraId="02A3EC1D"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All</w:t>
            </w:r>
          </w:p>
        </w:tc>
        <w:tc>
          <w:tcPr>
            <w:tcW w:w="3124" w:type="dxa"/>
            <w:tcBorders>
              <w:top w:val="single" w:sz="4" w:space="0" w:color="auto"/>
              <w:left w:val="nil"/>
              <w:bottom w:val="nil"/>
              <w:right w:val="nil"/>
            </w:tcBorders>
            <w:hideMark/>
          </w:tcPr>
          <w:p w14:paraId="65A5B3B4"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24-month ABHAR</w:t>
            </w:r>
          </w:p>
        </w:tc>
        <w:tc>
          <w:tcPr>
            <w:tcW w:w="1271" w:type="dxa"/>
            <w:gridSpan w:val="2"/>
            <w:tcBorders>
              <w:top w:val="single" w:sz="4" w:space="0" w:color="auto"/>
              <w:left w:val="nil"/>
              <w:bottom w:val="nil"/>
              <w:right w:val="nil"/>
            </w:tcBorders>
            <w:hideMark/>
          </w:tcPr>
          <w:p w14:paraId="20EBEFD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All</w:t>
            </w:r>
          </w:p>
        </w:tc>
      </w:tr>
      <w:tr w:rsidR="0081596F" w:rsidRPr="0081596F" w14:paraId="32CCB0C5" w14:textId="77777777" w:rsidTr="0081596F">
        <w:tc>
          <w:tcPr>
            <w:tcW w:w="3402" w:type="dxa"/>
            <w:hideMark/>
          </w:tcPr>
          <w:p w14:paraId="5ACF0D01"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 1st deal</w:t>
            </w:r>
          </w:p>
        </w:tc>
        <w:tc>
          <w:tcPr>
            <w:tcW w:w="1129" w:type="dxa"/>
            <w:hideMark/>
          </w:tcPr>
          <w:p w14:paraId="5432CD9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-3.08%*</w:t>
            </w:r>
          </w:p>
        </w:tc>
        <w:tc>
          <w:tcPr>
            <w:tcW w:w="3124" w:type="dxa"/>
            <w:hideMark/>
          </w:tcPr>
          <w:p w14:paraId="3C05AE63"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 1st deal</w:t>
            </w:r>
          </w:p>
        </w:tc>
        <w:tc>
          <w:tcPr>
            <w:tcW w:w="1271" w:type="dxa"/>
            <w:gridSpan w:val="2"/>
            <w:hideMark/>
          </w:tcPr>
          <w:p w14:paraId="40FFDCF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-3.12%***</w:t>
            </w:r>
          </w:p>
        </w:tc>
      </w:tr>
      <w:tr w:rsidR="0081596F" w:rsidRPr="0081596F" w14:paraId="1C8A1AEC" w14:textId="77777777" w:rsidTr="0081596F">
        <w:tc>
          <w:tcPr>
            <w:tcW w:w="3402" w:type="dxa"/>
          </w:tcPr>
          <w:p w14:paraId="71A64284" w14:textId="77777777" w:rsidR="0081596F" w:rsidRPr="0081596F" w:rsidRDefault="0081596F" w:rsidP="0081596F">
            <w:pPr>
              <w:spacing w:before="100" w:beforeAutospacing="1" w:after="100" w:afterAutospacing="1"/>
              <w:rPr>
                <w:sz w:val="20"/>
                <w:szCs w:val="20"/>
              </w:rPr>
            </w:pPr>
          </w:p>
        </w:tc>
        <w:tc>
          <w:tcPr>
            <w:tcW w:w="1129" w:type="dxa"/>
            <w:hideMark/>
          </w:tcPr>
          <w:p w14:paraId="1252B0B3"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(-1.36)</w:t>
            </w:r>
          </w:p>
        </w:tc>
        <w:tc>
          <w:tcPr>
            <w:tcW w:w="3124" w:type="dxa"/>
          </w:tcPr>
          <w:p w14:paraId="0951887D" w14:textId="77777777" w:rsidR="0081596F" w:rsidRPr="0081596F" w:rsidRDefault="0081596F" w:rsidP="0081596F">
            <w:pPr>
              <w:spacing w:before="100" w:beforeAutospacing="1" w:after="100" w:afterAutospacing="1"/>
              <w:rPr>
                <w:sz w:val="20"/>
                <w:szCs w:val="20"/>
              </w:rPr>
            </w:pPr>
          </w:p>
        </w:tc>
        <w:tc>
          <w:tcPr>
            <w:tcW w:w="1271" w:type="dxa"/>
            <w:gridSpan w:val="2"/>
            <w:hideMark/>
          </w:tcPr>
          <w:p w14:paraId="17EDE58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(-2.26)</w:t>
            </w:r>
          </w:p>
        </w:tc>
      </w:tr>
      <w:tr w:rsidR="0081596F" w:rsidRPr="0081596F" w14:paraId="77A93C92" w14:textId="77777777" w:rsidTr="0081596F">
        <w:tc>
          <w:tcPr>
            <w:tcW w:w="3402" w:type="dxa"/>
            <w:hideMark/>
          </w:tcPr>
          <w:p w14:paraId="793784C8"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129" w:type="dxa"/>
            <w:hideMark/>
          </w:tcPr>
          <w:p w14:paraId="61EDDD9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49</w:t>
            </w:r>
          </w:p>
        </w:tc>
        <w:tc>
          <w:tcPr>
            <w:tcW w:w="3124" w:type="dxa"/>
            <w:hideMark/>
          </w:tcPr>
          <w:p w14:paraId="7D5A200C"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271" w:type="dxa"/>
            <w:gridSpan w:val="2"/>
            <w:hideMark/>
          </w:tcPr>
          <w:p w14:paraId="058C6FCA"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41</w:t>
            </w:r>
          </w:p>
        </w:tc>
      </w:tr>
      <w:tr w:rsidR="0081596F" w:rsidRPr="0081596F" w14:paraId="39700F2B" w14:textId="77777777" w:rsidTr="0081596F">
        <w:tc>
          <w:tcPr>
            <w:tcW w:w="3402" w:type="dxa"/>
            <w:hideMark/>
          </w:tcPr>
          <w:p w14:paraId="3285A2FA"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acquirers: 5 or more deals</w:t>
            </w:r>
          </w:p>
        </w:tc>
        <w:tc>
          <w:tcPr>
            <w:tcW w:w="1129" w:type="dxa"/>
            <w:hideMark/>
          </w:tcPr>
          <w:p w14:paraId="4BCA2710"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-3.45%***</w:t>
            </w:r>
          </w:p>
        </w:tc>
        <w:tc>
          <w:tcPr>
            <w:tcW w:w="3124" w:type="dxa"/>
            <w:hideMark/>
          </w:tcPr>
          <w:p w14:paraId="25496D47"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Multiple acquirers: 5 or more deals</w:t>
            </w:r>
          </w:p>
        </w:tc>
        <w:tc>
          <w:tcPr>
            <w:tcW w:w="1271" w:type="dxa"/>
            <w:gridSpan w:val="2"/>
            <w:hideMark/>
          </w:tcPr>
          <w:p w14:paraId="0CF1F5D1"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-3.48%***</w:t>
            </w:r>
          </w:p>
        </w:tc>
      </w:tr>
      <w:tr w:rsidR="0081596F" w:rsidRPr="0081596F" w14:paraId="66841A69" w14:textId="77777777" w:rsidTr="0081596F">
        <w:tc>
          <w:tcPr>
            <w:tcW w:w="3402" w:type="dxa"/>
          </w:tcPr>
          <w:p w14:paraId="1B02BFF6" w14:textId="77777777" w:rsidR="0081596F" w:rsidRPr="0081596F" w:rsidRDefault="0081596F" w:rsidP="0081596F">
            <w:pPr>
              <w:spacing w:before="100" w:beforeAutospacing="1" w:after="100" w:afterAutospacing="1"/>
              <w:rPr>
                <w:sz w:val="20"/>
                <w:szCs w:val="20"/>
              </w:rPr>
            </w:pPr>
          </w:p>
        </w:tc>
        <w:tc>
          <w:tcPr>
            <w:tcW w:w="1129" w:type="dxa"/>
            <w:hideMark/>
          </w:tcPr>
          <w:p w14:paraId="538B03F4"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(-3.32)</w:t>
            </w:r>
          </w:p>
        </w:tc>
        <w:tc>
          <w:tcPr>
            <w:tcW w:w="3124" w:type="dxa"/>
          </w:tcPr>
          <w:p w14:paraId="17237B57" w14:textId="77777777" w:rsidR="0081596F" w:rsidRPr="0081596F" w:rsidRDefault="0081596F" w:rsidP="0081596F">
            <w:pPr>
              <w:spacing w:before="100" w:beforeAutospacing="1" w:after="100" w:afterAutospacing="1"/>
              <w:rPr>
                <w:sz w:val="20"/>
                <w:szCs w:val="20"/>
              </w:rPr>
            </w:pPr>
          </w:p>
        </w:tc>
        <w:tc>
          <w:tcPr>
            <w:tcW w:w="1271" w:type="dxa"/>
            <w:gridSpan w:val="2"/>
            <w:hideMark/>
          </w:tcPr>
          <w:p w14:paraId="473F67F6"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(-2.96)</w:t>
            </w:r>
          </w:p>
        </w:tc>
      </w:tr>
      <w:tr w:rsidR="0081596F" w:rsidRPr="0081596F" w14:paraId="088FC7B2" w14:textId="77777777" w:rsidTr="0081596F">
        <w:tc>
          <w:tcPr>
            <w:tcW w:w="3402" w:type="dxa"/>
            <w:hideMark/>
          </w:tcPr>
          <w:p w14:paraId="74F62A5F"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129" w:type="dxa"/>
            <w:hideMark/>
          </w:tcPr>
          <w:p w14:paraId="22C484DC"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271</w:t>
            </w:r>
          </w:p>
        </w:tc>
        <w:tc>
          <w:tcPr>
            <w:tcW w:w="3124" w:type="dxa"/>
            <w:hideMark/>
          </w:tcPr>
          <w:p w14:paraId="6829B99F"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No. of deals</w:t>
            </w:r>
          </w:p>
        </w:tc>
        <w:tc>
          <w:tcPr>
            <w:tcW w:w="1271" w:type="dxa"/>
            <w:gridSpan w:val="2"/>
            <w:hideMark/>
          </w:tcPr>
          <w:p w14:paraId="23C2F077"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271</w:t>
            </w:r>
          </w:p>
        </w:tc>
      </w:tr>
      <w:tr w:rsidR="0081596F" w:rsidRPr="0081596F" w14:paraId="65F925DB" w14:textId="77777777" w:rsidTr="0081596F">
        <w:tc>
          <w:tcPr>
            <w:tcW w:w="3402" w:type="dxa"/>
            <w:hideMark/>
          </w:tcPr>
          <w:p w14:paraId="0EECAF90"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Mean difference</w:t>
            </w:r>
          </w:p>
        </w:tc>
        <w:tc>
          <w:tcPr>
            <w:tcW w:w="1129" w:type="dxa"/>
            <w:hideMark/>
          </w:tcPr>
          <w:p w14:paraId="2917EE1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0.37%</w:t>
            </w:r>
          </w:p>
        </w:tc>
        <w:tc>
          <w:tcPr>
            <w:tcW w:w="3124" w:type="dxa"/>
            <w:hideMark/>
          </w:tcPr>
          <w:p w14:paraId="1616E7B1"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Mean difference</w:t>
            </w:r>
          </w:p>
        </w:tc>
        <w:tc>
          <w:tcPr>
            <w:tcW w:w="1271" w:type="dxa"/>
            <w:gridSpan w:val="2"/>
            <w:hideMark/>
          </w:tcPr>
          <w:p w14:paraId="07C32F45"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0.36%</w:t>
            </w:r>
          </w:p>
        </w:tc>
      </w:tr>
      <w:tr w:rsidR="0081596F" w:rsidRPr="0081596F" w14:paraId="7A7F654D" w14:textId="77777777" w:rsidTr="0081596F">
        <w:trPr>
          <w:trHeight w:val="111"/>
        </w:trPr>
        <w:tc>
          <w:tcPr>
            <w:tcW w:w="3402" w:type="dxa"/>
            <w:tcBorders>
              <w:top w:val="nil"/>
              <w:left w:val="nil"/>
              <w:bottom w:val="single" w:sz="4" w:space="0" w:color="auto"/>
              <w:right w:val="nil"/>
            </w:tcBorders>
            <w:hideMark/>
          </w:tcPr>
          <w:p w14:paraId="222E40D1"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 values</w:t>
            </w:r>
          </w:p>
        </w:tc>
        <w:tc>
          <w:tcPr>
            <w:tcW w:w="1129" w:type="dxa"/>
            <w:tcBorders>
              <w:top w:val="nil"/>
              <w:left w:val="nil"/>
              <w:bottom w:val="single" w:sz="4" w:space="0" w:color="auto"/>
              <w:right w:val="nil"/>
            </w:tcBorders>
            <w:hideMark/>
          </w:tcPr>
          <w:p w14:paraId="637947DF"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(0.04)</w:t>
            </w:r>
          </w:p>
        </w:tc>
        <w:tc>
          <w:tcPr>
            <w:tcW w:w="3124" w:type="dxa"/>
            <w:tcBorders>
              <w:top w:val="nil"/>
              <w:left w:val="nil"/>
              <w:bottom w:val="single" w:sz="4" w:space="0" w:color="auto"/>
              <w:right w:val="nil"/>
            </w:tcBorders>
            <w:hideMark/>
          </w:tcPr>
          <w:p w14:paraId="3EC72DD3" w14:textId="77777777" w:rsidR="0081596F" w:rsidRPr="0081596F" w:rsidRDefault="0081596F" w:rsidP="0081596F">
            <w:pPr>
              <w:spacing w:before="100" w:beforeAutospacing="1" w:after="100" w:afterAutospacing="1"/>
              <w:rPr>
                <w:sz w:val="20"/>
                <w:szCs w:val="20"/>
              </w:rPr>
            </w:pPr>
            <w:r w:rsidRPr="0081596F">
              <w:rPr>
                <w:color w:val="000000"/>
                <w:sz w:val="20"/>
                <w:szCs w:val="20"/>
                <w:lang w:val="en-US"/>
              </w:rPr>
              <w:t>p values</w:t>
            </w:r>
          </w:p>
        </w:tc>
        <w:tc>
          <w:tcPr>
            <w:tcW w:w="1271" w:type="dxa"/>
            <w:gridSpan w:val="2"/>
            <w:tcBorders>
              <w:top w:val="nil"/>
              <w:left w:val="nil"/>
              <w:bottom w:val="single" w:sz="4" w:space="0" w:color="auto"/>
              <w:right w:val="nil"/>
            </w:tcBorders>
            <w:hideMark/>
          </w:tcPr>
          <w:p w14:paraId="7A35BC22" w14:textId="77777777" w:rsidR="0081596F" w:rsidRPr="0081596F" w:rsidRDefault="0081596F" w:rsidP="0081596F">
            <w:pPr>
              <w:spacing w:before="100" w:beforeAutospacing="1" w:after="100" w:afterAutospacing="1"/>
              <w:jc w:val="center"/>
              <w:rPr>
                <w:sz w:val="20"/>
                <w:szCs w:val="20"/>
              </w:rPr>
            </w:pPr>
            <w:r w:rsidRPr="0081596F">
              <w:rPr>
                <w:color w:val="000000"/>
                <w:sz w:val="20"/>
                <w:szCs w:val="20"/>
                <w:lang w:val="en-US"/>
              </w:rPr>
              <w:t>(0.02)</w:t>
            </w:r>
          </w:p>
        </w:tc>
      </w:tr>
    </w:tbl>
    <w:p w14:paraId="045E2C0B" w14:textId="77777777" w:rsidR="0081596F" w:rsidRPr="0081596F" w:rsidRDefault="0081596F" w:rsidP="0081596F">
      <w:pPr>
        <w:autoSpaceDE w:val="0"/>
        <w:autoSpaceDN w:val="0"/>
        <w:adjustRightInd w:val="0"/>
        <w:jc w:val="both"/>
        <w:rPr>
          <w:sz w:val="20"/>
          <w:szCs w:val="20"/>
        </w:rPr>
      </w:pPr>
      <w:r w:rsidRPr="0081596F">
        <w:rPr>
          <w:sz w:val="20"/>
          <w:szCs w:val="20"/>
        </w:rPr>
        <w:t xml:space="preserve">Notes: </w:t>
      </w:r>
      <w:r w:rsidRPr="0081596F">
        <w:rPr>
          <w:sz w:val="20"/>
          <w:szCs w:val="20"/>
          <w:lang w:val="en-US"/>
        </w:rPr>
        <w:t xml:space="preserve">Panel A of the table shows the average CARs denoted as CAARs in the event windows (-1, +1) and (-2, +2) where the sample is divided between </w:t>
      </w:r>
      <w:r w:rsidRPr="0081596F">
        <w:rPr>
          <w:color w:val="000000"/>
          <w:sz w:val="20"/>
          <w:szCs w:val="20"/>
          <w:lang w:val="en-US"/>
        </w:rPr>
        <w:t>Multiple</w:t>
      </w:r>
      <w:r w:rsidRPr="0081596F">
        <w:rPr>
          <w:sz w:val="20"/>
          <w:szCs w:val="20"/>
          <w:lang w:val="en-US"/>
        </w:rPr>
        <w:t xml:space="preserve"> acquirers’ first deal and </w:t>
      </w:r>
      <w:r w:rsidRPr="0081596F">
        <w:rPr>
          <w:color w:val="000000"/>
          <w:sz w:val="20"/>
          <w:szCs w:val="20"/>
          <w:lang w:val="en-US"/>
        </w:rPr>
        <w:t>Multiple</w:t>
      </w:r>
      <w:r w:rsidRPr="0081596F">
        <w:rPr>
          <w:sz w:val="20"/>
          <w:szCs w:val="20"/>
          <w:lang w:val="en-US"/>
        </w:rPr>
        <w:t xml:space="preserve"> acquirers’ with 5</w:t>
      </w:r>
      <w:r w:rsidRPr="0081596F">
        <w:rPr>
          <w:sz w:val="20"/>
          <w:szCs w:val="20"/>
          <w:vertAlign w:val="superscript"/>
          <w:lang w:val="en-US"/>
        </w:rPr>
        <w:t>th</w:t>
      </w:r>
      <w:r w:rsidRPr="0081596F">
        <w:rPr>
          <w:sz w:val="20"/>
          <w:szCs w:val="20"/>
          <w:lang w:val="en-US"/>
        </w:rPr>
        <w:t xml:space="preserve"> or more deals. Panel B shows the post-merger average BHARs denoted as ABHARs in the 12 months and 24 months post-merger period where the sample is divided between </w:t>
      </w:r>
      <w:r w:rsidRPr="0081596F">
        <w:rPr>
          <w:color w:val="000000"/>
          <w:sz w:val="20"/>
          <w:szCs w:val="20"/>
          <w:lang w:val="en-US"/>
        </w:rPr>
        <w:t>multiple</w:t>
      </w:r>
      <w:r w:rsidRPr="0081596F">
        <w:rPr>
          <w:sz w:val="20"/>
          <w:szCs w:val="20"/>
          <w:lang w:val="en-US"/>
        </w:rPr>
        <w:t xml:space="preserve"> acquirers’ first deal and </w:t>
      </w:r>
      <w:r w:rsidRPr="0081596F">
        <w:rPr>
          <w:color w:val="000000"/>
          <w:sz w:val="20"/>
          <w:szCs w:val="20"/>
          <w:lang w:val="en-US"/>
        </w:rPr>
        <w:t>multiple</w:t>
      </w:r>
      <w:r w:rsidRPr="0081596F">
        <w:rPr>
          <w:sz w:val="20"/>
          <w:szCs w:val="20"/>
          <w:lang w:val="en-US"/>
        </w:rPr>
        <w:t xml:space="preserve"> acquirers with 5 or more deals. We have presented the t-statistics are shown in parentheses. ***, ** and * are 1%, 5% and 10% significance levels respectively.</w:t>
      </w:r>
    </w:p>
    <w:p w14:paraId="2BCC5938" w14:textId="77777777" w:rsidR="0081596F" w:rsidRPr="0081596F" w:rsidRDefault="0081596F" w:rsidP="0081596F">
      <w:pPr>
        <w:jc w:val="both"/>
        <w:rPr>
          <w:sz w:val="20"/>
          <w:szCs w:val="20"/>
        </w:rPr>
      </w:pPr>
    </w:p>
    <w:p w14:paraId="59878E29" w14:textId="77777777" w:rsidR="0081596F" w:rsidRPr="0081596F" w:rsidRDefault="0081596F" w:rsidP="0081596F">
      <w:pPr>
        <w:jc w:val="center"/>
      </w:pPr>
    </w:p>
    <w:p w14:paraId="4065AC69" w14:textId="77777777" w:rsidR="0081596F" w:rsidRPr="0081596F" w:rsidRDefault="0081596F" w:rsidP="0081596F">
      <w:pPr>
        <w:jc w:val="center"/>
      </w:pPr>
    </w:p>
    <w:p w14:paraId="1794191B" w14:textId="77777777" w:rsidR="0081596F" w:rsidRPr="0081596F" w:rsidRDefault="0081596F" w:rsidP="0081596F">
      <w:pPr>
        <w:jc w:val="center"/>
      </w:pPr>
    </w:p>
    <w:p w14:paraId="2793D5EF" w14:textId="77777777" w:rsidR="0081596F" w:rsidRPr="0081596F" w:rsidRDefault="0081596F" w:rsidP="0081596F">
      <w:pPr>
        <w:jc w:val="center"/>
      </w:pPr>
    </w:p>
    <w:p w14:paraId="6D830358" w14:textId="77777777" w:rsidR="0081596F" w:rsidRPr="0081596F" w:rsidRDefault="0081596F" w:rsidP="0081596F">
      <w:pPr>
        <w:jc w:val="center"/>
      </w:pPr>
    </w:p>
    <w:p w14:paraId="562438C9" w14:textId="77777777" w:rsidR="0081596F" w:rsidRPr="0081596F" w:rsidRDefault="0081596F" w:rsidP="0081596F">
      <w:pPr>
        <w:jc w:val="center"/>
      </w:pPr>
    </w:p>
    <w:p w14:paraId="46A34D90" w14:textId="77777777" w:rsidR="0081596F" w:rsidRPr="0081596F" w:rsidRDefault="0081596F" w:rsidP="0081596F">
      <w:pPr>
        <w:jc w:val="center"/>
      </w:pPr>
    </w:p>
    <w:p w14:paraId="01E35F4A" w14:textId="77777777" w:rsidR="0081596F" w:rsidRPr="0081596F" w:rsidRDefault="0081596F" w:rsidP="0081596F">
      <w:pPr>
        <w:jc w:val="center"/>
      </w:pPr>
    </w:p>
    <w:p w14:paraId="0ACB426C" w14:textId="77777777" w:rsidR="0081596F" w:rsidRPr="0081596F" w:rsidRDefault="0081596F" w:rsidP="0081596F">
      <w:pPr>
        <w:jc w:val="center"/>
      </w:pPr>
    </w:p>
    <w:p w14:paraId="32BFE6FB" w14:textId="77777777" w:rsidR="0081596F" w:rsidRPr="0081596F" w:rsidRDefault="0081596F" w:rsidP="0081596F">
      <w:pPr>
        <w:jc w:val="center"/>
      </w:pPr>
    </w:p>
    <w:p w14:paraId="070CE912" w14:textId="77777777" w:rsidR="0081596F" w:rsidRPr="0081596F" w:rsidRDefault="0081596F" w:rsidP="0081596F">
      <w:pPr>
        <w:jc w:val="center"/>
      </w:pPr>
    </w:p>
    <w:p w14:paraId="1555FD1E" w14:textId="77777777" w:rsidR="0081596F" w:rsidRPr="0081596F" w:rsidRDefault="0081596F" w:rsidP="0081596F">
      <w:pPr>
        <w:jc w:val="center"/>
      </w:pPr>
    </w:p>
    <w:p w14:paraId="1EDC321E" w14:textId="77777777" w:rsidR="0081596F" w:rsidRPr="0081596F" w:rsidRDefault="0081596F" w:rsidP="0081596F">
      <w:pPr>
        <w:jc w:val="center"/>
      </w:pPr>
    </w:p>
    <w:p w14:paraId="007B6C4D" w14:textId="77777777" w:rsidR="0081596F" w:rsidRPr="0081596F" w:rsidRDefault="0081596F" w:rsidP="0081596F">
      <w:pPr>
        <w:jc w:val="center"/>
      </w:pPr>
    </w:p>
    <w:p w14:paraId="19F67511" w14:textId="77777777" w:rsidR="0081596F" w:rsidRPr="0081596F" w:rsidRDefault="0081596F" w:rsidP="0081596F">
      <w:pPr>
        <w:jc w:val="center"/>
      </w:pPr>
    </w:p>
    <w:p w14:paraId="1EF5DA05" w14:textId="77777777" w:rsidR="0081596F" w:rsidRPr="0081596F" w:rsidRDefault="0081596F" w:rsidP="0081596F">
      <w:pPr>
        <w:sectPr w:rsidR="0081596F" w:rsidRPr="0081596F">
          <w:pgSz w:w="11900" w:h="16840"/>
          <w:pgMar w:top="1440" w:right="1440" w:bottom="1440" w:left="1440" w:header="720" w:footer="720" w:gutter="0"/>
          <w:cols w:space="720"/>
        </w:sectPr>
      </w:pPr>
    </w:p>
    <w:p w14:paraId="58B9A810" w14:textId="77777777" w:rsidR="0081596F" w:rsidRPr="0081596F" w:rsidRDefault="0081596F" w:rsidP="0081596F">
      <w:r w:rsidRPr="0081596F">
        <w:lastRenderedPageBreak/>
        <w:t>Table 7: Multivariate analysis results for overconfidence and merger performance</w:t>
      </w:r>
    </w:p>
    <w:tbl>
      <w:tblPr>
        <w:tblStyle w:val="TableGrid2"/>
        <w:tblW w:w="140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1537"/>
        <w:gridCol w:w="1328"/>
        <w:gridCol w:w="1407"/>
        <w:gridCol w:w="1406"/>
        <w:gridCol w:w="1208"/>
        <w:gridCol w:w="1418"/>
        <w:gridCol w:w="1276"/>
        <w:gridCol w:w="1158"/>
      </w:tblGrid>
      <w:tr w:rsidR="0081596F" w:rsidRPr="0081596F" w14:paraId="64A224E6" w14:textId="77777777" w:rsidTr="0081596F">
        <w:tc>
          <w:tcPr>
            <w:tcW w:w="3320" w:type="dxa"/>
            <w:tcBorders>
              <w:top w:val="single" w:sz="4" w:space="0" w:color="auto"/>
              <w:left w:val="nil"/>
              <w:bottom w:val="single" w:sz="4" w:space="0" w:color="auto"/>
              <w:right w:val="nil"/>
            </w:tcBorders>
          </w:tcPr>
          <w:p w14:paraId="65715B22" w14:textId="77777777" w:rsidR="0081596F" w:rsidRPr="0081596F" w:rsidRDefault="0081596F" w:rsidP="0081596F">
            <w:pPr>
              <w:spacing w:before="100" w:beforeAutospacing="1" w:after="100" w:afterAutospacing="1"/>
            </w:pPr>
          </w:p>
        </w:tc>
        <w:tc>
          <w:tcPr>
            <w:tcW w:w="1537" w:type="dxa"/>
            <w:tcBorders>
              <w:top w:val="single" w:sz="4" w:space="0" w:color="auto"/>
              <w:left w:val="nil"/>
              <w:bottom w:val="single" w:sz="4" w:space="0" w:color="auto"/>
              <w:right w:val="nil"/>
            </w:tcBorders>
            <w:hideMark/>
          </w:tcPr>
          <w:p w14:paraId="48C201B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A</w:t>
            </w:r>
          </w:p>
        </w:tc>
        <w:tc>
          <w:tcPr>
            <w:tcW w:w="1328" w:type="dxa"/>
            <w:tcBorders>
              <w:top w:val="single" w:sz="4" w:space="0" w:color="auto"/>
              <w:left w:val="nil"/>
              <w:bottom w:val="single" w:sz="4" w:space="0" w:color="auto"/>
              <w:right w:val="nil"/>
            </w:tcBorders>
            <w:hideMark/>
          </w:tcPr>
          <w:p w14:paraId="55C8A59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B</w:t>
            </w:r>
          </w:p>
        </w:tc>
        <w:tc>
          <w:tcPr>
            <w:tcW w:w="1407" w:type="dxa"/>
            <w:tcBorders>
              <w:top w:val="single" w:sz="4" w:space="0" w:color="auto"/>
              <w:left w:val="nil"/>
              <w:bottom w:val="single" w:sz="4" w:space="0" w:color="auto"/>
              <w:right w:val="nil"/>
            </w:tcBorders>
            <w:hideMark/>
          </w:tcPr>
          <w:p w14:paraId="0D848E9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C</w:t>
            </w:r>
          </w:p>
        </w:tc>
        <w:tc>
          <w:tcPr>
            <w:tcW w:w="1406" w:type="dxa"/>
            <w:tcBorders>
              <w:top w:val="single" w:sz="4" w:space="0" w:color="auto"/>
              <w:left w:val="nil"/>
              <w:bottom w:val="single" w:sz="4" w:space="0" w:color="auto"/>
              <w:right w:val="nil"/>
            </w:tcBorders>
            <w:hideMark/>
          </w:tcPr>
          <w:p w14:paraId="315EBAF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D</w:t>
            </w:r>
          </w:p>
        </w:tc>
        <w:tc>
          <w:tcPr>
            <w:tcW w:w="1208" w:type="dxa"/>
            <w:tcBorders>
              <w:top w:val="single" w:sz="4" w:space="0" w:color="auto"/>
              <w:left w:val="nil"/>
              <w:bottom w:val="single" w:sz="4" w:space="0" w:color="auto"/>
              <w:right w:val="nil"/>
            </w:tcBorders>
            <w:hideMark/>
          </w:tcPr>
          <w:p w14:paraId="1A37E24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E</w:t>
            </w:r>
          </w:p>
        </w:tc>
        <w:tc>
          <w:tcPr>
            <w:tcW w:w="1418" w:type="dxa"/>
            <w:tcBorders>
              <w:top w:val="single" w:sz="4" w:space="0" w:color="auto"/>
              <w:left w:val="nil"/>
              <w:bottom w:val="single" w:sz="4" w:space="0" w:color="auto"/>
              <w:right w:val="nil"/>
            </w:tcBorders>
            <w:hideMark/>
          </w:tcPr>
          <w:p w14:paraId="6CF0DFB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F</w:t>
            </w:r>
          </w:p>
        </w:tc>
        <w:tc>
          <w:tcPr>
            <w:tcW w:w="1276" w:type="dxa"/>
            <w:tcBorders>
              <w:top w:val="single" w:sz="4" w:space="0" w:color="auto"/>
              <w:left w:val="nil"/>
              <w:bottom w:val="single" w:sz="4" w:space="0" w:color="auto"/>
              <w:right w:val="nil"/>
            </w:tcBorders>
            <w:hideMark/>
          </w:tcPr>
          <w:p w14:paraId="6FC3371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G</w:t>
            </w:r>
          </w:p>
        </w:tc>
        <w:tc>
          <w:tcPr>
            <w:tcW w:w="1158" w:type="dxa"/>
            <w:tcBorders>
              <w:top w:val="single" w:sz="4" w:space="0" w:color="auto"/>
              <w:left w:val="nil"/>
              <w:bottom w:val="single" w:sz="4" w:space="0" w:color="auto"/>
              <w:right w:val="nil"/>
            </w:tcBorders>
            <w:hideMark/>
          </w:tcPr>
          <w:p w14:paraId="2F261FE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Panel H</w:t>
            </w:r>
          </w:p>
        </w:tc>
      </w:tr>
      <w:tr w:rsidR="0081596F" w:rsidRPr="0081596F" w14:paraId="6AB0AE1F" w14:textId="77777777" w:rsidTr="0081596F">
        <w:tc>
          <w:tcPr>
            <w:tcW w:w="3320" w:type="dxa"/>
            <w:tcBorders>
              <w:top w:val="single" w:sz="4" w:space="0" w:color="auto"/>
              <w:left w:val="nil"/>
              <w:bottom w:val="single" w:sz="4" w:space="0" w:color="auto"/>
              <w:right w:val="nil"/>
            </w:tcBorders>
            <w:hideMark/>
          </w:tcPr>
          <w:p w14:paraId="3B6E78CD"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Independent variables</w:t>
            </w:r>
          </w:p>
        </w:tc>
        <w:tc>
          <w:tcPr>
            <w:tcW w:w="1537" w:type="dxa"/>
            <w:tcBorders>
              <w:top w:val="single" w:sz="4" w:space="0" w:color="auto"/>
              <w:left w:val="nil"/>
              <w:bottom w:val="single" w:sz="4" w:space="0" w:color="auto"/>
              <w:right w:val="nil"/>
            </w:tcBorders>
            <w:hideMark/>
          </w:tcPr>
          <w:p w14:paraId="181D23D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(-1, +1)</w:t>
            </w:r>
          </w:p>
        </w:tc>
        <w:tc>
          <w:tcPr>
            <w:tcW w:w="1328" w:type="dxa"/>
            <w:tcBorders>
              <w:top w:val="single" w:sz="4" w:space="0" w:color="auto"/>
              <w:left w:val="nil"/>
              <w:bottom w:val="single" w:sz="4" w:space="0" w:color="auto"/>
              <w:right w:val="nil"/>
            </w:tcBorders>
            <w:hideMark/>
          </w:tcPr>
          <w:p w14:paraId="30F5DBD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(-1, +1)</w:t>
            </w:r>
          </w:p>
        </w:tc>
        <w:tc>
          <w:tcPr>
            <w:tcW w:w="1407" w:type="dxa"/>
            <w:tcBorders>
              <w:top w:val="single" w:sz="4" w:space="0" w:color="auto"/>
              <w:left w:val="nil"/>
              <w:bottom w:val="single" w:sz="4" w:space="0" w:color="auto"/>
              <w:right w:val="nil"/>
            </w:tcBorders>
            <w:hideMark/>
          </w:tcPr>
          <w:p w14:paraId="6300431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(-2, +2)</w:t>
            </w:r>
          </w:p>
        </w:tc>
        <w:tc>
          <w:tcPr>
            <w:tcW w:w="1406" w:type="dxa"/>
            <w:tcBorders>
              <w:top w:val="single" w:sz="4" w:space="0" w:color="auto"/>
              <w:left w:val="nil"/>
              <w:bottom w:val="single" w:sz="4" w:space="0" w:color="auto"/>
              <w:right w:val="nil"/>
            </w:tcBorders>
            <w:hideMark/>
          </w:tcPr>
          <w:p w14:paraId="1C1A9DB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CAR (-2, +2)</w:t>
            </w:r>
          </w:p>
        </w:tc>
        <w:tc>
          <w:tcPr>
            <w:tcW w:w="1208" w:type="dxa"/>
            <w:tcBorders>
              <w:top w:val="single" w:sz="4" w:space="0" w:color="auto"/>
              <w:left w:val="nil"/>
              <w:bottom w:val="single" w:sz="4" w:space="0" w:color="auto"/>
              <w:right w:val="nil"/>
            </w:tcBorders>
            <w:hideMark/>
          </w:tcPr>
          <w:p w14:paraId="4421B04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BHAR 12</w:t>
            </w:r>
          </w:p>
        </w:tc>
        <w:tc>
          <w:tcPr>
            <w:tcW w:w="1418" w:type="dxa"/>
            <w:tcBorders>
              <w:top w:val="single" w:sz="4" w:space="0" w:color="auto"/>
              <w:left w:val="nil"/>
              <w:bottom w:val="single" w:sz="4" w:space="0" w:color="auto"/>
              <w:right w:val="nil"/>
            </w:tcBorders>
            <w:hideMark/>
          </w:tcPr>
          <w:p w14:paraId="5B74671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BHAR 12</w:t>
            </w:r>
          </w:p>
        </w:tc>
        <w:tc>
          <w:tcPr>
            <w:tcW w:w="1276" w:type="dxa"/>
            <w:tcBorders>
              <w:top w:val="single" w:sz="4" w:space="0" w:color="auto"/>
              <w:left w:val="nil"/>
              <w:bottom w:val="single" w:sz="4" w:space="0" w:color="auto"/>
              <w:right w:val="nil"/>
            </w:tcBorders>
            <w:hideMark/>
          </w:tcPr>
          <w:p w14:paraId="1BA49CC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BHAR 24</w:t>
            </w:r>
          </w:p>
        </w:tc>
        <w:tc>
          <w:tcPr>
            <w:tcW w:w="1158" w:type="dxa"/>
            <w:tcBorders>
              <w:top w:val="single" w:sz="4" w:space="0" w:color="auto"/>
              <w:left w:val="nil"/>
              <w:bottom w:val="single" w:sz="4" w:space="0" w:color="auto"/>
              <w:right w:val="nil"/>
            </w:tcBorders>
            <w:hideMark/>
          </w:tcPr>
          <w:p w14:paraId="151F3E9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BHAR 24</w:t>
            </w:r>
          </w:p>
        </w:tc>
      </w:tr>
      <w:tr w:rsidR="0081596F" w:rsidRPr="0081596F" w14:paraId="53F2A7FB" w14:textId="77777777" w:rsidTr="0081596F">
        <w:tc>
          <w:tcPr>
            <w:tcW w:w="3320" w:type="dxa"/>
            <w:tcBorders>
              <w:top w:val="single" w:sz="4" w:space="0" w:color="auto"/>
              <w:left w:val="nil"/>
              <w:bottom w:val="nil"/>
              <w:right w:val="nil"/>
            </w:tcBorders>
            <w:hideMark/>
          </w:tcPr>
          <w:p w14:paraId="1714CCD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Fraction of male directors</w:t>
            </w:r>
          </w:p>
        </w:tc>
        <w:tc>
          <w:tcPr>
            <w:tcW w:w="1537" w:type="dxa"/>
            <w:tcBorders>
              <w:top w:val="single" w:sz="4" w:space="0" w:color="auto"/>
              <w:left w:val="nil"/>
              <w:bottom w:val="nil"/>
              <w:right w:val="nil"/>
            </w:tcBorders>
            <w:hideMark/>
          </w:tcPr>
          <w:p w14:paraId="1403AF2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-1.85***</w:t>
            </w:r>
          </w:p>
        </w:tc>
        <w:tc>
          <w:tcPr>
            <w:tcW w:w="1328" w:type="dxa"/>
            <w:tcBorders>
              <w:top w:val="single" w:sz="4" w:space="0" w:color="auto"/>
              <w:left w:val="nil"/>
              <w:bottom w:val="nil"/>
              <w:right w:val="nil"/>
            </w:tcBorders>
            <w:hideMark/>
          </w:tcPr>
          <w:p w14:paraId="6C620FA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-2.22***</w:t>
            </w:r>
          </w:p>
        </w:tc>
        <w:tc>
          <w:tcPr>
            <w:tcW w:w="1407" w:type="dxa"/>
            <w:tcBorders>
              <w:top w:val="single" w:sz="4" w:space="0" w:color="auto"/>
              <w:left w:val="nil"/>
              <w:bottom w:val="nil"/>
              <w:right w:val="nil"/>
            </w:tcBorders>
            <w:hideMark/>
          </w:tcPr>
          <w:p w14:paraId="08FE656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-1.45***</w:t>
            </w:r>
          </w:p>
        </w:tc>
        <w:tc>
          <w:tcPr>
            <w:tcW w:w="1406" w:type="dxa"/>
            <w:tcBorders>
              <w:top w:val="single" w:sz="4" w:space="0" w:color="auto"/>
              <w:left w:val="nil"/>
              <w:bottom w:val="nil"/>
              <w:right w:val="nil"/>
            </w:tcBorders>
            <w:hideMark/>
          </w:tcPr>
          <w:p w14:paraId="22844EF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-1.52***</w:t>
            </w:r>
          </w:p>
        </w:tc>
        <w:tc>
          <w:tcPr>
            <w:tcW w:w="1208" w:type="dxa"/>
            <w:tcBorders>
              <w:top w:val="single" w:sz="4" w:space="0" w:color="auto"/>
              <w:left w:val="nil"/>
              <w:bottom w:val="nil"/>
              <w:right w:val="nil"/>
            </w:tcBorders>
            <w:hideMark/>
          </w:tcPr>
          <w:p w14:paraId="48D66F4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-1.77***</w:t>
            </w:r>
          </w:p>
        </w:tc>
        <w:tc>
          <w:tcPr>
            <w:tcW w:w="1418" w:type="dxa"/>
            <w:tcBorders>
              <w:top w:val="single" w:sz="4" w:space="0" w:color="auto"/>
              <w:left w:val="nil"/>
              <w:bottom w:val="nil"/>
              <w:right w:val="nil"/>
            </w:tcBorders>
            <w:hideMark/>
          </w:tcPr>
          <w:p w14:paraId="657832A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-1.69**</w:t>
            </w:r>
          </w:p>
        </w:tc>
        <w:tc>
          <w:tcPr>
            <w:tcW w:w="1276" w:type="dxa"/>
            <w:tcBorders>
              <w:top w:val="single" w:sz="4" w:space="0" w:color="auto"/>
              <w:left w:val="nil"/>
              <w:bottom w:val="nil"/>
              <w:right w:val="nil"/>
            </w:tcBorders>
            <w:hideMark/>
          </w:tcPr>
          <w:p w14:paraId="4F3B7F5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-2.83***</w:t>
            </w:r>
          </w:p>
        </w:tc>
        <w:tc>
          <w:tcPr>
            <w:tcW w:w="1158" w:type="dxa"/>
            <w:tcBorders>
              <w:top w:val="single" w:sz="4" w:space="0" w:color="auto"/>
              <w:left w:val="nil"/>
              <w:bottom w:val="nil"/>
              <w:right w:val="nil"/>
            </w:tcBorders>
            <w:hideMark/>
          </w:tcPr>
          <w:p w14:paraId="3891FF0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-2.78***</w:t>
            </w:r>
          </w:p>
        </w:tc>
      </w:tr>
      <w:tr w:rsidR="0081596F" w:rsidRPr="0081596F" w14:paraId="706EB218" w14:textId="77777777" w:rsidTr="0081596F">
        <w:tc>
          <w:tcPr>
            <w:tcW w:w="3320" w:type="dxa"/>
          </w:tcPr>
          <w:p w14:paraId="1F23379B" w14:textId="77777777" w:rsidR="0081596F" w:rsidRPr="0081596F" w:rsidRDefault="0081596F" w:rsidP="0081596F">
            <w:pPr>
              <w:spacing w:before="100" w:beforeAutospacing="1" w:after="100" w:afterAutospacing="1"/>
            </w:pPr>
          </w:p>
        </w:tc>
        <w:tc>
          <w:tcPr>
            <w:tcW w:w="1537" w:type="dxa"/>
            <w:hideMark/>
          </w:tcPr>
          <w:p w14:paraId="2518EC9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(-3.16)</w:t>
            </w:r>
          </w:p>
        </w:tc>
        <w:tc>
          <w:tcPr>
            <w:tcW w:w="1328" w:type="dxa"/>
            <w:hideMark/>
          </w:tcPr>
          <w:p w14:paraId="4839D21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(-3.34)</w:t>
            </w:r>
          </w:p>
        </w:tc>
        <w:tc>
          <w:tcPr>
            <w:tcW w:w="1407" w:type="dxa"/>
            <w:hideMark/>
          </w:tcPr>
          <w:p w14:paraId="6D3DD01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(-3.23)</w:t>
            </w:r>
          </w:p>
        </w:tc>
        <w:tc>
          <w:tcPr>
            <w:tcW w:w="1406" w:type="dxa"/>
            <w:hideMark/>
          </w:tcPr>
          <w:p w14:paraId="7765C9D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(-3.31)</w:t>
            </w:r>
          </w:p>
        </w:tc>
        <w:tc>
          <w:tcPr>
            <w:tcW w:w="1208" w:type="dxa"/>
            <w:hideMark/>
          </w:tcPr>
          <w:p w14:paraId="16FE21B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(-3.42)</w:t>
            </w:r>
          </w:p>
        </w:tc>
        <w:tc>
          <w:tcPr>
            <w:tcW w:w="1418" w:type="dxa"/>
            <w:hideMark/>
          </w:tcPr>
          <w:p w14:paraId="2E5F474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(-2.75)</w:t>
            </w:r>
          </w:p>
        </w:tc>
        <w:tc>
          <w:tcPr>
            <w:tcW w:w="1276" w:type="dxa"/>
            <w:hideMark/>
          </w:tcPr>
          <w:p w14:paraId="183DA58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(-3.61)</w:t>
            </w:r>
          </w:p>
        </w:tc>
        <w:tc>
          <w:tcPr>
            <w:tcW w:w="1158" w:type="dxa"/>
            <w:hideMark/>
          </w:tcPr>
          <w:p w14:paraId="10037A1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(-3.55)</w:t>
            </w:r>
          </w:p>
        </w:tc>
      </w:tr>
      <w:tr w:rsidR="0081596F" w:rsidRPr="0081596F" w14:paraId="0D29E9A7" w14:textId="77777777" w:rsidTr="0081596F">
        <w:tc>
          <w:tcPr>
            <w:tcW w:w="3320" w:type="dxa"/>
            <w:hideMark/>
          </w:tcPr>
          <w:p w14:paraId="61B32D5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Multiple</w:t>
            </w:r>
          </w:p>
        </w:tc>
        <w:tc>
          <w:tcPr>
            <w:tcW w:w="1537" w:type="dxa"/>
            <w:hideMark/>
          </w:tcPr>
          <w:p w14:paraId="31DF4EB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-1.38***</w:t>
            </w:r>
          </w:p>
        </w:tc>
        <w:tc>
          <w:tcPr>
            <w:tcW w:w="1328" w:type="dxa"/>
            <w:hideMark/>
          </w:tcPr>
          <w:p w14:paraId="5EDC13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-1.35***</w:t>
            </w:r>
          </w:p>
        </w:tc>
        <w:tc>
          <w:tcPr>
            <w:tcW w:w="1407" w:type="dxa"/>
            <w:hideMark/>
          </w:tcPr>
          <w:p w14:paraId="3BE619B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-1.29***</w:t>
            </w:r>
          </w:p>
        </w:tc>
        <w:tc>
          <w:tcPr>
            <w:tcW w:w="1406" w:type="dxa"/>
            <w:hideMark/>
          </w:tcPr>
          <w:p w14:paraId="0574EB4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-1.31***</w:t>
            </w:r>
          </w:p>
        </w:tc>
        <w:tc>
          <w:tcPr>
            <w:tcW w:w="1208" w:type="dxa"/>
            <w:hideMark/>
          </w:tcPr>
          <w:p w14:paraId="7173CBC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-1.37**</w:t>
            </w:r>
          </w:p>
        </w:tc>
        <w:tc>
          <w:tcPr>
            <w:tcW w:w="1418" w:type="dxa"/>
            <w:hideMark/>
          </w:tcPr>
          <w:p w14:paraId="025E67B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-1.51**</w:t>
            </w:r>
          </w:p>
        </w:tc>
        <w:tc>
          <w:tcPr>
            <w:tcW w:w="1276" w:type="dxa"/>
            <w:hideMark/>
          </w:tcPr>
          <w:p w14:paraId="7ABDB53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-1.45**</w:t>
            </w:r>
          </w:p>
        </w:tc>
        <w:tc>
          <w:tcPr>
            <w:tcW w:w="1158" w:type="dxa"/>
            <w:hideMark/>
          </w:tcPr>
          <w:p w14:paraId="5ADDE1B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-1.56**</w:t>
            </w:r>
          </w:p>
        </w:tc>
      </w:tr>
      <w:tr w:rsidR="0081596F" w:rsidRPr="0081596F" w14:paraId="7DDF4258" w14:textId="77777777" w:rsidTr="0081596F">
        <w:tc>
          <w:tcPr>
            <w:tcW w:w="3320" w:type="dxa"/>
          </w:tcPr>
          <w:p w14:paraId="1BF564EA" w14:textId="77777777" w:rsidR="0081596F" w:rsidRPr="0081596F" w:rsidRDefault="0081596F" w:rsidP="0081596F">
            <w:pPr>
              <w:spacing w:before="100" w:beforeAutospacing="1" w:after="100" w:afterAutospacing="1"/>
            </w:pPr>
          </w:p>
        </w:tc>
        <w:tc>
          <w:tcPr>
            <w:tcW w:w="1537" w:type="dxa"/>
            <w:hideMark/>
          </w:tcPr>
          <w:p w14:paraId="302D362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(-3.29)</w:t>
            </w:r>
          </w:p>
        </w:tc>
        <w:tc>
          <w:tcPr>
            <w:tcW w:w="1328" w:type="dxa"/>
            <w:hideMark/>
          </w:tcPr>
          <w:p w14:paraId="51836B8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(-3.24)</w:t>
            </w:r>
          </w:p>
        </w:tc>
        <w:tc>
          <w:tcPr>
            <w:tcW w:w="1407" w:type="dxa"/>
            <w:hideMark/>
          </w:tcPr>
          <w:p w14:paraId="39C01EF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(-3.15)</w:t>
            </w:r>
          </w:p>
        </w:tc>
        <w:tc>
          <w:tcPr>
            <w:tcW w:w="1406" w:type="dxa"/>
            <w:hideMark/>
          </w:tcPr>
          <w:p w14:paraId="1A6FA65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(-3.18)</w:t>
            </w:r>
          </w:p>
        </w:tc>
        <w:tc>
          <w:tcPr>
            <w:tcW w:w="1208" w:type="dxa"/>
            <w:hideMark/>
          </w:tcPr>
          <w:p w14:paraId="484C560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(-2.57)</w:t>
            </w:r>
          </w:p>
        </w:tc>
        <w:tc>
          <w:tcPr>
            <w:tcW w:w="1418" w:type="dxa"/>
            <w:hideMark/>
          </w:tcPr>
          <w:p w14:paraId="338E2EC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(-2.64)</w:t>
            </w:r>
          </w:p>
        </w:tc>
        <w:tc>
          <w:tcPr>
            <w:tcW w:w="1276" w:type="dxa"/>
            <w:hideMark/>
          </w:tcPr>
          <w:p w14:paraId="70A4698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(-2.93)</w:t>
            </w:r>
          </w:p>
        </w:tc>
        <w:tc>
          <w:tcPr>
            <w:tcW w:w="1158" w:type="dxa"/>
            <w:hideMark/>
          </w:tcPr>
          <w:p w14:paraId="6E70F12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(-2.99)</w:t>
            </w:r>
          </w:p>
        </w:tc>
      </w:tr>
      <w:tr w:rsidR="0081596F" w:rsidRPr="0081596F" w14:paraId="55ACBE9A" w14:textId="77777777" w:rsidTr="0081596F">
        <w:tc>
          <w:tcPr>
            <w:tcW w:w="3320" w:type="dxa"/>
            <w:hideMark/>
          </w:tcPr>
          <w:p w14:paraId="7901358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Fraction of male directors*Multiple</w:t>
            </w:r>
          </w:p>
        </w:tc>
        <w:tc>
          <w:tcPr>
            <w:tcW w:w="1537" w:type="dxa"/>
          </w:tcPr>
          <w:p w14:paraId="3E709813" w14:textId="77777777" w:rsidR="0081596F" w:rsidRPr="0081596F" w:rsidRDefault="0081596F" w:rsidP="0081596F">
            <w:pPr>
              <w:spacing w:before="100" w:beforeAutospacing="1" w:after="100" w:afterAutospacing="1"/>
            </w:pPr>
          </w:p>
        </w:tc>
        <w:tc>
          <w:tcPr>
            <w:tcW w:w="1328" w:type="dxa"/>
            <w:hideMark/>
          </w:tcPr>
          <w:p w14:paraId="0086E4C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-1.28**</w:t>
            </w:r>
          </w:p>
        </w:tc>
        <w:tc>
          <w:tcPr>
            <w:tcW w:w="1407" w:type="dxa"/>
          </w:tcPr>
          <w:p w14:paraId="5202570A" w14:textId="77777777" w:rsidR="0081596F" w:rsidRPr="0081596F" w:rsidRDefault="0081596F" w:rsidP="0081596F">
            <w:pPr>
              <w:spacing w:before="100" w:beforeAutospacing="1" w:after="100" w:afterAutospacing="1"/>
            </w:pPr>
          </w:p>
        </w:tc>
        <w:tc>
          <w:tcPr>
            <w:tcW w:w="1406" w:type="dxa"/>
            <w:hideMark/>
          </w:tcPr>
          <w:p w14:paraId="3ED20AC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-1.23**</w:t>
            </w:r>
          </w:p>
        </w:tc>
        <w:tc>
          <w:tcPr>
            <w:tcW w:w="1208" w:type="dxa"/>
          </w:tcPr>
          <w:p w14:paraId="1AF53C8E" w14:textId="77777777" w:rsidR="0081596F" w:rsidRPr="0081596F" w:rsidRDefault="0081596F" w:rsidP="0081596F">
            <w:pPr>
              <w:spacing w:before="100" w:beforeAutospacing="1" w:after="100" w:afterAutospacing="1"/>
            </w:pPr>
          </w:p>
        </w:tc>
        <w:tc>
          <w:tcPr>
            <w:tcW w:w="1418" w:type="dxa"/>
            <w:hideMark/>
          </w:tcPr>
          <w:p w14:paraId="4D20E48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-1.26**</w:t>
            </w:r>
          </w:p>
        </w:tc>
        <w:tc>
          <w:tcPr>
            <w:tcW w:w="1276" w:type="dxa"/>
          </w:tcPr>
          <w:p w14:paraId="01EB2FAA" w14:textId="77777777" w:rsidR="0081596F" w:rsidRPr="0081596F" w:rsidRDefault="0081596F" w:rsidP="0081596F">
            <w:pPr>
              <w:spacing w:before="100" w:beforeAutospacing="1" w:after="100" w:afterAutospacing="1"/>
            </w:pPr>
          </w:p>
        </w:tc>
        <w:tc>
          <w:tcPr>
            <w:tcW w:w="1158" w:type="dxa"/>
            <w:hideMark/>
          </w:tcPr>
          <w:p w14:paraId="3690377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-1.37**</w:t>
            </w:r>
          </w:p>
        </w:tc>
      </w:tr>
      <w:tr w:rsidR="0081596F" w:rsidRPr="0081596F" w14:paraId="341F9BDB" w14:textId="77777777" w:rsidTr="0081596F">
        <w:tc>
          <w:tcPr>
            <w:tcW w:w="3320" w:type="dxa"/>
          </w:tcPr>
          <w:p w14:paraId="5F18F9C7" w14:textId="77777777" w:rsidR="0081596F" w:rsidRPr="0081596F" w:rsidRDefault="0081596F" w:rsidP="0081596F">
            <w:pPr>
              <w:spacing w:before="100" w:beforeAutospacing="1" w:after="100" w:afterAutospacing="1"/>
            </w:pPr>
          </w:p>
        </w:tc>
        <w:tc>
          <w:tcPr>
            <w:tcW w:w="1537" w:type="dxa"/>
          </w:tcPr>
          <w:p w14:paraId="5C332D58" w14:textId="77777777" w:rsidR="0081596F" w:rsidRPr="0081596F" w:rsidRDefault="0081596F" w:rsidP="0081596F">
            <w:pPr>
              <w:spacing w:before="100" w:beforeAutospacing="1" w:after="100" w:afterAutospacing="1"/>
            </w:pPr>
          </w:p>
        </w:tc>
        <w:tc>
          <w:tcPr>
            <w:tcW w:w="1328" w:type="dxa"/>
            <w:hideMark/>
          </w:tcPr>
          <w:p w14:paraId="325F71F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(-2.69)</w:t>
            </w:r>
          </w:p>
        </w:tc>
        <w:tc>
          <w:tcPr>
            <w:tcW w:w="1407" w:type="dxa"/>
          </w:tcPr>
          <w:p w14:paraId="12A316C0" w14:textId="77777777" w:rsidR="0081596F" w:rsidRPr="0081596F" w:rsidRDefault="0081596F" w:rsidP="0081596F">
            <w:pPr>
              <w:spacing w:before="100" w:beforeAutospacing="1" w:after="100" w:afterAutospacing="1"/>
            </w:pPr>
          </w:p>
        </w:tc>
        <w:tc>
          <w:tcPr>
            <w:tcW w:w="1406" w:type="dxa"/>
            <w:hideMark/>
          </w:tcPr>
          <w:p w14:paraId="15AC825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(-2.48)</w:t>
            </w:r>
          </w:p>
        </w:tc>
        <w:tc>
          <w:tcPr>
            <w:tcW w:w="1208" w:type="dxa"/>
          </w:tcPr>
          <w:p w14:paraId="16102A9B" w14:textId="77777777" w:rsidR="0081596F" w:rsidRPr="0081596F" w:rsidRDefault="0081596F" w:rsidP="0081596F">
            <w:pPr>
              <w:spacing w:before="100" w:beforeAutospacing="1" w:after="100" w:afterAutospacing="1"/>
            </w:pPr>
          </w:p>
        </w:tc>
        <w:tc>
          <w:tcPr>
            <w:tcW w:w="1418" w:type="dxa"/>
            <w:hideMark/>
          </w:tcPr>
          <w:p w14:paraId="053F333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(-2.53)</w:t>
            </w:r>
          </w:p>
        </w:tc>
        <w:tc>
          <w:tcPr>
            <w:tcW w:w="1276" w:type="dxa"/>
          </w:tcPr>
          <w:p w14:paraId="649D3DBE" w14:textId="77777777" w:rsidR="0081596F" w:rsidRPr="0081596F" w:rsidRDefault="0081596F" w:rsidP="0081596F">
            <w:pPr>
              <w:spacing w:before="100" w:beforeAutospacing="1" w:after="100" w:afterAutospacing="1"/>
            </w:pPr>
          </w:p>
        </w:tc>
        <w:tc>
          <w:tcPr>
            <w:tcW w:w="1158" w:type="dxa"/>
            <w:hideMark/>
          </w:tcPr>
          <w:p w14:paraId="7F567DA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(-2.81)</w:t>
            </w:r>
          </w:p>
        </w:tc>
      </w:tr>
      <w:tr w:rsidR="0081596F" w:rsidRPr="0081596F" w14:paraId="1B2E2A44" w14:textId="77777777" w:rsidTr="0081596F">
        <w:tc>
          <w:tcPr>
            <w:tcW w:w="3320" w:type="dxa"/>
            <w:hideMark/>
          </w:tcPr>
          <w:p w14:paraId="3BAAE3E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Cash</w:t>
            </w:r>
          </w:p>
        </w:tc>
        <w:tc>
          <w:tcPr>
            <w:tcW w:w="1537" w:type="dxa"/>
            <w:hideMark/>
          </w:tcPr>
          <w:p w14:paraId="25F693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-1.36</w:t>
            </w:r>
          </w:p>
        </w:tc>
        <w:tc>
          <w:tcPr>
            <w:tcW w:w="1328" w:type="dxa"/>
            <w:hideMark/>
          </w:tcPr>
          <w:p w14:paraId="7F865DC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-1.47</w:t>
            </w:r>
          </w:p>
        </w:tc>
        <w:tc>
          <w:tcPr>
            <w:tcW w:w="1407" w:type="dxa"/>
            <w:hideMark/>
          </w:tcPr>
          <w:p w14:paraId="60C7D2C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-1.28</w:t>
            </w:r>
          </w:p>
        </w:tc>
        <w:tc>
          <w:tcPr>
            <w:tcW w:w="1406" w:type="dxa"/>
            <w:hideMark/>
          </w:tcPr>
          <w:p w14:paraId="6CED634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-1.42</w:t>
            </w:r>
          </w:p>
        </w:tc>
        <w:tc>
          <w:tcPr>
            <w:tcW w:w="1208" w:type="dxa"/>
            <w:hideMark/>
          </w:tcPr>
          <w:p w14:paraId="6A06458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-0.89</w:t>
            </w:r>
          </w:p>
        </w:tc>
        <w:tc>
          <w:tcPr>
            <w:tcW w:w="1418" w:type="dxa"/>
            <w:hideMark/>
          </w:tcPr>
          <w:p w14:paraId="0DA52E0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-0.94</w:t>
            </w:r>
          </w:p>
        </w:tc>
        <w:tc>
          <w:tcPr>
            <w:tcW w:w="1276" w:type="dxa"/>
            <w:hideMark/>
          </w:tcPr>
          <w:p w14:paraId="14E34C9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-0.91</w:t>
            </w:r>
          </w:p>
        </w:tc>
        <w:tc>
          <w:tcPr>
            <w:tcW w:w="1158" w:type="dxa"/>
            <w:hideMark/>
          </w:tcPr>
          <w:p w14:paraId="6EFDD70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-0.97</w:t>
            </w:r>
          </w:p>
        </w:tc>
      </w:tr>
      <w:tr w:rsidR="0081596F" w:rsidRPr="0081596F" w14:paraId="58C342DC" w14:textId="77777777" w:rsidTr="0081596F">
        <w:tc>
          <w:tcPr>
            <w:tcW w:w="3320" w:type="dxa"/>
          </w:tcPr>
          <w:p w14:paraId="55183191" w14:textId="77777777" w:rsidR="0081596F" w:rsidRPr="0081596F" w:rsidRDefault="0081596F" w:rsidP="0081596F">
            <w:pPr>
              <w:spacing w:before="100" w:beforeAutospacing="1" w:after="100" w:afterAutospacing="1"/>
            </w:pPr>
          </w:p>
        </w:tc>
        <w:tc>
          <w:tcPr>
            <w:tcW w:w="1537" w:type="dxa"/>
            <w:hideMark/>
          </w:tcPr>
          <w:p w14:paraId="1C3270B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(-0.64)</w:t>
            </w:r>
          </w:p>
        </w:tc>
        <w:tc>
          <w:tcPr>
            <w:tcW w:w="1328" w:type="dxa"/>
            <w:hideMark/>
          </w:tcPr>
          <w:p w14:paraId="561B5C5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(-0.78)</w:t>
            </w:r>
          </w:p>
        </w:tc>
        <w:tc>
          <w:tcPr>
            <w:tcW w:w="1407" w:type="dxa"/>
            <w:hideMark/>
          </w:tcPr>
          <w:p w14:paraId="72B3895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(-0.59)</w:t>
            </w:r>
          </w:p>
        </w:tc>
        <w:tc>
          <w:tcPr>
            <w:tcW w:w="1406" w:type="dxa"/>
            <w:hideMark/>
          </w:tcPr>
          <w:p w14:paraId="6CA7DC5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(-0.72)</w:t>
            </w:r>
          </w:p>
        </w:tc>
        <w:tc>
          <w:tcPr>
            <w:tcW w:w="1208" w:type="dxa"/>
            <w:hideMark/>
          </w:tcPr>
          <w:p w14:paraId="7EBCCF7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(-0.75)</w:t>
            </w:r>
          </w:p>
        </w:tc>
        <w:tc>
          <w:tcPr>
            <w:tcW w:w="1418" w:type="dxa"/>
            <w:hideMark/>
          </w:tcPr>
          <w:p w14:paraId="2C6F1A2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(-0.81)</w:t>
            </w:r>
          </w:p>
        </w:tc>
        <w:tc>
          <w:tcPr>
            <w:tcW w:w="1276" w:type="dxa"/>
            <w:hideMark/>
          </w:tcPr>
          <w:p w14:paraId="3D4B775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(-0.78)</w:t>
            </w:r>
          </w:p>
        </w:tc>
        <w:tc>
          <w:tcPr>
            <w:tcW w:w="1158" w:type="dxa"/>
            <w:hideMark/>
          </w:tcPr>
          <w:p w14:paraId="132DA29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(-0.86)</w:t>
            </w:r>
          </w:p>
        </w:tc>
      </w:tr>
      <w:tr w:rsidR="0081596F" w:rsidRPr="0081596F" w14:paraId="35AED859" w14:textId="77777777" w:rsidTr="0081596F">
        <w:tc>
          <w:tcPr>
            <w:tcW w:w="3320" w:type="dxa"/>
            <w:hideMark/>
          </w:tcPr>
          <w:p w14:paraId="55E8E11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Stock</w:t>
            </w:r>
          </w:p>
        </w:tc>
        <w:tc>
          <w:tcPr>
            <w:tcW w:w="1537" w:type="dxa"/>
            <w:hideMark/>
          </w:tcPr>
          <w:p w14:paraId="621104A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0.17</w:t>
            </w:r>
          </w:p>
        </w:tc>
        <w:tc>
          <w:tcPr>
            <w:tcW w:w="1328" w:type="dxa"/>
            <w:hideMark/>
          </w:tcPr>
          <w:p w14:paraId="41EC62D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0.12</w:t>
            </w:r>
          </w:p>
        </w:tc>
        <w:tc>
          <w:tcPr>
            <w:tcW w:w="1407" w:type="dxa"/>
            <w:hideMark/>
          </w:tcPr>
          <w:p w14:paraId="2497D83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0.21</w:t>
            </w:r>
          </w:p>
        </w:tc>
        <w:tc>
          <w:tcPr>
            <w:tcW w:w="1406" w:type="dxa"/>
            <w:hideMark/>
          </w:tcPr>
          <w:p w14:paraId="704DE20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0.18</w:t>
            </w:r>
          </w:p>
        </w:tc>
        <w:tc>
          <w:tcPr>
            <w:tcW w:w="1208" w:type="dxa"/>
            <w:hideMark/>
          </w:tcPr>
          <w:p w14:paraId="76E648D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0.15*</w:t>
            </w:r>
          </w:p>
        </w:tc>
        <w:tc>
          <w:tcPr>
            <w:tcW w:w="1418" w:type="dxa"/>
            <w:hideMark/>
          </w:tcPr>
          <w:p w14:paraId="7B864A6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0.22*</w:t>
            </w:r>
          </w:p>
        </w:tc>
        <w:tc>
          <w:tcPr>
            <w:tcW w:w="1276" w:type="dxa"/>
            <w:hideMark/>
          </w:tcPr>
          <w:p w14:paraId="69E0746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0.12*</w:t>
            </w:r>
          </w:p>
        </w:tc>
        <w:tc>
          <w:tcPr>
            <w:tcW w:w="1158" w:type="dxa"/>
            <w:hideMark/>
          </w:tcPr>
          <w:p w14:paraId="62DF904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0.17*</w:t>
            </w:r>
          </w:p>
        </w:tc>
      </w:tr>
      <w:tr w:rsidR="0081596F" w:rsidRPr="0081596F" w14:paraId="1A65202A" w14:textId="77777777" w:rsidTr="0081596F">
        <w:tc>
          <w:tcPr>
            <w:tcW w:w="3320" w:type="dxa"/>
          </w:tcPr>
          <w:p w14:paraId="0FAE9F08" w14:textId="77777777" w:rsidR="0081596F" w:rsidRPr="0081596F" w:rsidRDefault="0081596F" w:rsidP="0081596F">
            <w:pPr>
              <w:spacing w:before="100" w:beforeAutospacing="1" w:after="100" w:afterAutospacing="1"/>
            </w:pPr>
          </w:p>
        </w:tc>
        <w:tc>
          <w:tcPr>
            <w:tcW w:w="1537" w:type="dxa"/>
            <w:hideMark/>
          </w:tcPr>
          <w:p w14:paraId="3917C16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(0.92)</w:t>
            </w:r>
          </w:p>
        </w:tc>
        <w:tc>
          <w:tcPr>
            <w:tcW w:w="1328" w:type="dxa"/>
            <w:hideMark/>
          </w:tcPr>
          <w:p w14:paraId="5F649CC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(0.79)</w:t>
            </w:r>
          </w:p>
        </w:tc>
        <w:tc>
          <w:tcPr>
            <w:tcW w:w="1407" w:type="dxa"/>
            <w:hideMark/>
          </w:tcPr>
          <w:p w14:paraId="31DEABB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(1.02)</w:t>
            </w:r>
          </w:p>
        </w:tc>
        <w:tc>
          <w:tcPr>
            <w:tcW w:w="1406" w:type="dxa"/>
            <w:hideMark/>
          </w:tcPr>
          <w:p w14:paraId="466EAB9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(0.85)</w:t>
            </w:r>
          </w:p>
        </w:tc>
        <w:tc>
          <w:tcPr>
            <w:tcW w:w="1208" w:type="dxa"/>
            <w:hideMark/>
          </w:tcPr>
          <w:p w14:paraId="1EBA132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(1.78)</w:t>
            </w:r>
          </w:p>
        </w:tc>
        <w:tc>
          <w:tcPr>
            <w:tcW w:w="1418" w:type="dxa"/>
            <w:hideMark/>
          </w:tcPr>
          <w:p w14:paraId="637DA1B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(1.85)</w:t>
            </w:r>
          </w:p>
        </w:tc>
        <w:tc>
          <w:tcPr>
            <w:tcW w:w="1276" w:type="dxa"/>
            <w:hideMark/>
          </w:tcPr>
          <w:p w14:paraId="65B1246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(1.73)</w:t>
            </w:r>
          </w:p>
        </w:tc>
        <w:tc>
          <w:tcPr>
            <w:tcW w:w="1158" w:type="dxa"/>
            <w:hideMark/>
          </w:tcPr>
          <w:p w14:paraId="57CE24C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(1.77)</w:t>
            </w:r>
          </w:p>
        </w:tc>
      </w:tr>
      <w:tr w:rsidR="0081596F" w:rsidRPr="0081596F" w14:paraId="415272D1" w14:textId="77777777" w:rsidTr="0081596F">
        <w:tc>
          <w:tcPr>
            <w:tcW w:w="3320" w:type="dxa"/>
            <w:hideMark/>
          </w:tcPr>
          <w:p w14:paraId="348F9E2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Related</w:t>
            </w:r>
          </w:p>
        </w:tc>
        <w:tc>
          <w:tcPr>
            <w:tcW w:w="1537" w:type="dxa"/>
            <w:hideMark/>
          </w:tcPr>
          <w:p w14:paraId="04B2650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0.89**</w:t>
            </w:r>
          </w:p>
        </w:tc>
        <w:tc>
          <w:tcPr>
            <w:tcW w:w="1328" w:type="dxa"/>
            <w:hideMark/>
          </w:tcPr>
          <w:p w14:paraId="4AD9AB5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0.93**</w:t>
            </w:r>
          </w:p>
        </w:tc>
        <w:tc>
          <w:tcPr>
            <w:tcW w:w="1407" w:type="dxa"/>
            <w:hideMark/>
          </w:tcPr>
          <w:p w14:paraId="1B8FB3A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0.92**</w:t>
            </w:r>
          </w:p>
        </w:tc>
        <w:tc>
          <w:tcPr>
            <w:tcW w:w="1406" w:type="dxa"/>
            <w:hideMark/>
          </w:tcPr>
          <w:p w14:paraId="72EBCF3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0.97**</w:t>
            </w:r>
          </w:p>
        </w:tc>
        <w:tc>
          <w:tcPr>
            <w:tcW w:w="1208" w:type="dxa"/>
            <w:hideMark/>
          </w:tcPr>
          <w:p w14:paraId="5B79E1C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0.21***</w:t>
            </w:r>
          </w:p>
        </w:tc>
        <w:tc>
          <w:tcPr>
            <w:tcW w:w="1418" w:type="dxa"/>
            <w:hideMark/>
          </w:tcPr>
          <w:p w14:paraId="6DD8478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0.28***</w:t>
            </w:r>
          </w:p>
        </w:tc>
        <w:tc>
          <w:tcPr>
            <w:tcW w:w="1276" w:type="dxa"/>
            <w:hideMark/>
          </w:tcPr>
          <w:p w14:paraId="1D3C8F3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0.17***</w:t>
            </w:r>
          </w:p>
        </w:tc>
        <w:tc>
          <w:tcPr>
            <w:tcW w:w="1158" w:type="dxa"/>
            <w:hideMark/>
          </w:tcPr>
          <w:p w14:paraId="374DDE3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0.19***</w:t>
            </w:r>
          </w:p>
        </w:tc>
      </w:tr>
      <w:tr w:rsidR="0081596F" w:rsidRPr="0081596F" w14:paraId="2AF0DEDD" w14:textId="77777777" w:rsidTr="0081596F">
        <w:tc>
          <w:tcPr>
            <w:tcW w:w="3320" w:type="dxa"/>
            <w:tcBorders>
              <w:top w:val="nil"/>
              <w:left w:val="nil"/>
              <w:bottom w:val="single" w:sz="4" w:space="0" w:color="auto"/>
              <w:right w:val="nil"/>
            </w:tcBorders>
          </w:tcPr>
          <w:p w14:paraId="130B946B" w14:textId="77777777" w:rsidR="0081596F" w:rsidRPr="0081596F" w:rsidRDefault="0081596F" w:rsidP="0081596F">
            <w:pPr>
              <w:spacing w:before="100" w:beforeAutospacing="1" w:after="100" w:afterAutospacing="1"/>
            </w:pPr>
          </w:p>
        </w:tc>
        <w:tc>
          <w:tcPr>
            <w:tcW w:w="1537" w:type="dxa"/>
            <w:tcBorders>
              <w:top w:val="nil"/>
              <w:left w:val="nil"/>
              <w:bottom w:val="single" w:sz="4" w:space="0" w:color="auto"/>
              <w:right w:val="nil"/>
            </w:tcBorders>
            <w:hideMark/>
          </w:tcPr>
          <w:p w14:paraId="3E49943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(2.51)</w:t>
            </w:r>
          </w:p>
        </w:tc>
        <w:tc>
          <w:tcPr>
            <w:tcW w:w="1328" w:type="dxa"/>
            <w:tcBorders>
              <w:top w:val="nil"/>
              <w:left w:val="nil"/>
              <w:bottom w:val="single" w:sz="4" w:space="0" w:color="auto"/>
              <w:right w:val="nil"/>
            </w:tcBorders>
            <w:hideMark/>
          </w:tcPr>
          <w:p w14:paraId="27C765B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(2.52)</w:t>
            </w:r>
          </w:p>
        </w:tc>
        <w:tc>
          <w:tcPr>
            <w:tcW w:w="1407" w:type="dxa"/>
            <w:tcBorders>
              <w:top w:val="nil"/>
              <w:left w:val="nil"/>
              <w:bottom w:val="single" w:sz="4" w:space="0" w:color="auto"/>
              <w:right w:val="nil"/>
            </w:tcBorders>
            <w:hideMark/>
          </w:tcPr>
          <w:p w14:paraId="2796A4C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(2.56)</w:t>
            </w:r>
          </w:p>
        </w:tc>
        <w:tc>
          <w:tcPr>
            <w:tcW w:w="1406" w:type="dxa"/>
            <w:tcBorders>
              <w:top w:val="nil"/>
              <w:left w:val="nil"/>
              <w:bottom w:val="single" w:sz="4" w:space="0" w:color="auto"/>
              <w:right w:val="nil"/>
            </w:tcBorders>
            <w:hideMark/>
          </w:tcPr>
          <w:p w14:paraId="593C4B1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(2.64)</w:t>
            </w:r>
          </w:p>
        </w:tc>
        <w:tc>
          <w:tcPr>
            <w:tcW w:w="1208" w:type="dxa"/>
            <w:tcBorders>
              <w:top w:val="nil"/>
              <w:left w:val="nil"/>
              <w:bottom w:val="single" w:sz="4" w:space="0" w:color="auto"/>
              <w:right w:val="nil"/>
            </w:tcBorders>
            <w:hideMark/>
          </w:tcPr>
          <w:p w14:paraId="7918D72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(3.52)</w:t>
            </w:r>
          </w:p>
        </w:tc>
        <w:tc>
          <w:tcPr>
            <w:tcW w:w="1418" w:type="dxa"/>
            <w:tcBorders>
              <w:top w:val="nil"/>
              <w:left w:val="nil"/>
              <w:bottom w:val="single" w:sz="4" w:space="0" w:color="auto"/>
              <w:right w:val="nil"/>
            </w:tcBorders>
            <w:hideMark/>
          </w:tcPr>
          <w:p w14:paraId="4902659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(3.56)</w:t>
            </w:r>
          </w:p>
        </w:tc>
        <w:tc>
          <w:tcPr>
            <w:tcW w:w="1276" w:type="dxa"/>
            <w:tcBorders>
              <w:top w:val="nil"/>
              <w:left w:val="nil"/>
              <w:bottom w:val="single" w:sz="4" w:space="0" w:color="auto"/>
              <w:right w:val="nil"/>
            </w:tcBorders>
            <w:hideMark/>
          </w:tcPr>
          <w:p w14:paraId="7C00C9F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(3.42)</w:t>
            </w:r>
          </w:p>
        </w:tc>
        <w:tc>
          <w:tcPr>
            <w:tcW w:w="1158" w:type="dxa"/>
            <w:tcBorders>
              <w:top w:val="nil"/>
              <w:left w:val="nil"/>
              <w:bottom w:val="single" w:sz="4" w:space="0" w:color="auto"/>
              <w:right w:val="nil"/>
            </w:tcBorders>
            <w:hideMark/>
          </w:tcPr>
          <w:p w14:paraId="45500C3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(3.47)</w:t>
            </w:r>
          </w:p>
        </w:tc>
      </w:tr>
      <w:tr w:rsidR="0081596F" w:rsidRPr="0081596F" w14:paraId="6572EDA9" w14:textId="77777777" w:rsidTr="0081596F">
        <w:tc>
          <w:tcPr>
            <w:tcW w:w="3320" w:type="dxa"/>
            <w:tcBorders>
              <w:top w:val="single" w:sz="4" w:space="0" w:color="auto"/>
              <w:left w:val="nil"/>
              <w:bottom w:val="single" w:sz="4" w:space="0" w:color="auto"/>
              <w:right w:val="nil"/>
            </w:tcBorders>
            <w:hideMark/>
          </w:tcPr>
          <w:p w14:paraId="75A2920F" w14:textId="77777777" w:rsidR="0081596F" w:rsidRPr="0081596F" w:rsidRDefault="0081596F" w:rsidP="0081596F">
            <w:pPr>
              <w:spacing w:before="100" w:beforeAutospacing="1" w:after="100" w:afterAutospacing="1"/>
            </w:pPr>
            <w:r w:rsidRPr="0081596F">
              <w:rPr>
                <w:rFonts w:eastAsia="Calibri"/>
                <w:b/>
                <w:bCs/>
                <w:color w:val="000000"/>
                <w:sz w:val="20"/>
                <w:szCs w:val="20"/>
                <w:lang w:val="en-US"/>
              </w:rPr>
              <w:t>Control variables</w:t>
            </w:r>
          </w:p>
        </w:tc>
        <w:tc>
          <w:tcPr>
            <w:tcW w:w="1537" w:type="dxa"/>
            <w:tcBorders>
              <w:top w:val="single" w:sz="4" w:space="0" w:color="auto"/>
              <w:left w:val="nil"/>
              <w:bottom w:val="single" w:sz="4" w:space="0" w:color="auto"/>
              <w:right w:val="nil"/>
            </w:tcBorders>
          </w:tcPr>
          <w:p w14:paraId="78CA381D" w14:textId="77777777" w:rsidR="0081596F" w:rsidRPr="0081596F" w:rsidRDefault="0081596F" w:rsidP="0081596F">
            <w:pPr>
              <w:spacing w:before="100" w:beforeAutospacing="1" w:after="100" w:afterAutospacing="1"/>
            </w:pPr>
          </w:p>
        </w:tc>
        <w:tc>
          <w:tcPr>
            <w:tcW w:w="1328" w:type="dxa"/>
            <w:tcBorders>
              <w:top w:val="single" w:sz="4" w:space="0" w:color="auto"/>
              <w:left w:val="nil"/>
              <w:bottom w:val="single" w:sz="4" w:space="0" w:color="auto"/>
              <w:right w:val="nil"/>
            </w:tcBorders>
          </w:tcPr>
          <w:p w14:paraId="00D7BBAE" w14:textId="77777777" w:rsidR="0081596F" w:rsidRPr="0081596F" w:rsidRDefault="0081596F" w:rsidP="0081596F">
            <w:pPr>
              <w:spacing w:before="100" w:beforeAutospacing="1" w:after="100" w:afterAutospacing="1"/>
            </w:pPr>
          </w:p>
        </w:tc>
        <w:tc>
          <w:tcPr>
            <w:tcW w:w="1407" w:type="dxa"/>
            <w:tcBorders>
              <w:top w:val="single" w:sz="4" w:space="0" w:color="auto"/>
              <w:left w:val="nil"/>
              <w:bottom w:val="single" w:sz="4" w:space="0" w:color="auto"/>
              <w:right w:val="nil"/>
            </w:tcBorders>
          </w:tcPr>
          <w:p w14:paraId="6F47C186" w14:textId="77777777" w:rsidR="0081596F" w:rsidRPr="0081596F" w:rsidRDefault="0081596F" w:rsidP="0081596F">
            <w:pPr>
              <w:spacing w:before="100" w:beforeAutospacing="1" w:after="100" w:afterAutospacing="1"/>
            </w:pPr>
          </w:p>
        </w:tc>
        <w:tc>
          <w:tcPr>
            <w:tcW w:w="1406" w:type="dxa"/>
            <w:tcBorders>
              <w:top w:val="single" w:sz="4" w:space="0" w:color="auto"/>
              <w:left w:val="nil"/>
              <w:bottom w:val="single" w:sz="4" w:space="0" w:color="auto"/>
              <w:right w:val="nil"/>
            </w:tcBorders>
          </w:tcPr>
          <w:p w14:paraId="2ED81E2E" w14:textId="77777777" w:rsidR="0081596F" w:rsidRPr="0081596F" w:rsidRDefault="0081596F" w:rsidP="0081596F">
            <w:pPr>
              <w:spacing w:before="100" w:beforeAutospacing="1" w:after="100" w:afterAutospacing="1"/>
            </w:pPr>
          </w:p>
        </w:tc>
        <w:tc>
          <w:tcPr>
            <w:tcW w:w="1208" w:type="dxa"/>
            <w:tcBorders>
              <w:top w:val="single" w:sz="4" w:space="0" w:color="auto"/>
              <w:left w:val="nil"/>
              <w:bottom w:val="single" w:sz="4" w:space="0" w:color="auto"/>
              <w:right w:val="nil"/>
            </w:tcBorders>
          </w:tcPr>
          <w:p w14:paraId="340A8A53" w14:textId="77777777" w:rsidR="0081596F" w:rsidRPr="0081596F" w:rsidRDefault="0081596F" w:rsidP="0081596F">
            <w:pPr>
              <w:spacing w:before="100" w:beforeAutospacing="1" w:after="100" w:afterAutospacing="1"/>
            </w:pPr>
          </w:p>
        </w:tc>
        <w:tc>
          <w:tcPr>
            <w:tcW w:w="1418" w:type="dxa"/>
            <w:tcBorders>
              <w:top w:val="single" w:sz="4" w:space="0" w:color="auto"/>
              <w:left w:val="nil"/>
              <w:bottom w:val="single" w:sz="4" w:space="0" w:color="auto"/>
              <w:right w:val="nil"/>
            </w:tcBorders>
          </w:tcPr>
          <w:p w14:paraId="13697429" w14:textId="77777777" w:rsidR="0081596F" w:rsidRPr="0081596F" w:rsidRDefault="0081596F" w:rsidP="0081596F">
            <w:pPr>
              <w:spacing w:before="100" w:beforeAutospacing="1" w:after="100" w:afterAutospacing="1"/>
            </w:pPr>
          </w:p>
        </w:tc>
        <w:tc>
          <w:tcPr>
            <w:tcW w:w="1276" w:type="dxa"/>
            <w:tcBorders>
              <w:top w:val="single" w:sz="4" w:space="0" w:color="auto"/>
              <w:left w:val="nil"/>
              <w:bottom w:val="single" w:sz="4" w:space="0" w:color="auto"/>
              <w:right w:val="nil"/>
            </w:tcBorders>
          </w:tcPr>
          <w:p w14:paraId="4F9A12D9" w14:textId="77777777" w:rsidR="0081596F" w:rsidRPr="0081596F" w:rsidRDefault="0081596F" w:rsidP="0081596F">
            <w:pPr>
              <w:spacing w:before="100" w:beforeAutospacing="1" w:after="100" w:afterAutospacing="1"/>
            </w:pPr>
          </w:p>
        </w:tc>
        <w:tc>
          <w:tcPr>
            <w:tcW w:w="1158" w:type="dxa"/>
            <w:tcBorders>
              <w:top w:val="single" w:sz="4" w:space="0" w:color="auto"/>
              <w:left w:val="nil"/>
              <w:bottom w:val="single" w:sz="4" w:space="0" w:color="auto"/>
              <w:right w:val="nil"/>
            </w:tcBorders>
          </w:tcPr>
          <w:p w14:paraId="64D1F362" w14:textId="77777777" w:rsidR="0081596F" w:rsidRPr="0081596F" w:rsidRDefault="0081596F" w:rsidP="0081596F">
            <w:pPr>
              <w:spacing w:before="100" w:beforeAutospacing="1" w:after="100" w:afterAutospacing="1"/>
            </w:pPr>
          </w:p>
        </w:tc>
      </w:tr>
      <w:tr w:rsidR="0081596F" w:rsidRPr="0081596F" w14:paraId="2D11250A" w14:textId="77777777" w:rsidTr="0081596F">
        <w:tc>
          <w:tcPr>
            <w:tcW w:w="3320" w:type="dxa"/>
            <w:tcBorders>
              <w:top w:val="single" w:sz="4" w:space="0" w:color="auto"/>
              <w:left w:val="nil"/>
              <w:bottom w:val="nil"/>
              <w:right w:val="nil"/>
            </w:tcBorders>
            <w:hideMark/>
          </w:tcPr>
          <w:p w14:paraId="05145E4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CEO duality</w:t>
            </w:r>
          </w:p>
        </w:tc>
        <w:tc>
          <w:tcPr>
            <w:tcW w:w="1537" w:type="dxa"/>
            <w:tcBorders>
              <w:top w:val="single" w:sz="4" w:space="0" w:color="auto"/>
              <w:left w:val="nil"/>
              <w:bottom w:val="nil"/>
              <w:right w:val="nil"/>
            </w:tcBorders>
            <w:hideMark/>
          </w:tcPr>
          <w:p w14:paraId="7971F3F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-1.19</w:t>
            </w:r>
          </w:p>
        </w:tc>
        <w:tc>
          <w:tcPr>
            <w:tcW w:w="1328" w:type="dxa"/>
            <w:tcBorders>
              <w:top w:val="single" w:sz="4" w:space="0" w:color="auto"/>
              <w:left w:val="nil"/>
              <w:bottom w:val="nil"/>
              <w:right w:val="nil"/>
            </w:tcBorders>
            <w:hideMark/>
          </w:tcPr>
          <w:p w14:paraId="23A8C4E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-1.22</w:t>
            </w:r>
          </w:p>
        </w:tc>
        <w:tc>
          <w:tcPr>
            <w:tcW w:w="1407" w:type="dxa"/>
            <w:tcBorders>
              <w:top w:val="single" w:sz="4" w:space="0" w:color="auto"/>
              <w:left w:val="nil"/>
              <w:bottom w:val="nil"/>
              <w:right w:val="nil"/>
            </w:tcBorders>
            <w:hideMark/>
          </w:tcPr>
          <w:p w14:paraId="1C960C0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-1.32</w:t>
            </w:r>
          </w:p>
        </w:tc>
        <w:tc>
          <w:tcPr>
            <w:tcW w:w="1406" w:type="dxa"/>
            <w:tcBorders>
              <w:top w:val="single" w:sz="4" w:space="0" w:color="auto"/>
              <w:left w:val="nil"/>
              <w:bottom w:val="nil"/>
              <w:right w:val="nil"/>
            </w:tcBorders>
            <w:hideMark/>
          </w:tcPr>
          <w:p w14:paraId="435796D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-1.37</w:t>
            </w:r>
          </w:p>
        </w:tc>
        <w:tc>
          <w:tcPr>
            <w:tcW w:w="1208" w:type="dxa"/>
            <w:tcBorders>
              <w:top w:val="single" w:sz="4" w:space="0" w:color="auto"/>
              <w:left w:val="nil"/>
              <w:bottom w:val="nil"/>
              <w:right w:val="nil"/>
            </w:tcBorders>
            <w:hideMark/>
          </w:tcPr>
          <w:p w14:paraId="1243C34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-1.93**</w:t>
            </w:r>
          </w:p>
        </w:tc>
        <w:tc>
          <w:tcPr>
            <w:tcW w:w="1418" w:type="dxa"/>
            <w:tcBorders>
              <w:top w:val="single" w:sz="4" w:space="0" w:color="auto"/>
              <w:left w:val="nil"/>
              <w:bottom w:val="nil"/>
              <w:right w:val="nil"/>
            </w:tcBorders>
            <w:hideMark/>
          </w:tcPr>
          <w:p w14:paraId="4CA8361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-1.95**</w:t>
            </w:r>
          </w:p>
        </w:tc>
        <w:tc>
          <w:tcPr>
            <w:tcW w:w="1276" w:type="dxa"/>
            <w:tcBorders>
              <w:top w:val="single" w:sz="4" w:space="0" w:color="auto"/>
              <w:left w:val="nil"/>
              <w:bottom w:val="nil"/>
              <w:right w:val="nil"/>
            </w:tcBorders>
            <w:hideMark/>
          </w:tcPr>
          <w:p w14:paraId="6C2FF76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-2.11**</w:t>
            </w:r>
          </w:p>
        </w:tc>
        <w:tc>
          <w:tcPr>
            <w:tcW w:w="1158" w:type="dxa"/>
            <w:tcBorders>
              <w:top w:val="single" w:sz="4" w:space="0" w:color="auto"/>
              <w:left w:val="nil"/>
              <w:bottom w:val="nil"/>
              <w:right w:val="nil"/>
            </w:tcBorders>
            <w:hideMark/>
          </w:tcPr>
          <w:p w14:paraId="07323B1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-2.18**</w:t>
            </w:r>
          </w:p>
        </w:tc>
      </w:tr>
      <w:tr w:rsidR="0081596F" w:rsidRPr="0081596F" w14:paraId="3354C80A" w14:textId="77777777" w:rsidTr="0081596F">
        <w:tc>
          <w:tcPr>
            <w:tcW w:w="3320" w:type="dxa"/>
          </w:tcPr>
          <w:p w14:paraId="05C6C202" w14:textId="77777777" w:rsidR="0081596F" w:rsidRPr="0081596F" w:rsidRDefault="0081596F" w:rsidP="0081596F">
            <w:pPr>
              <w:spacing w:before="100" w:beforeAutospacing="1" w:after="100" w:afterAutospacing="1"/>
            </w:pPr>
          </w:p>
        </w:tc>
        <w:tc>
          <w:tcPr>
            <w:tcW w:w="1537" w:type="dxa"/>
            <w:hideMark/>
          </w:tcPr>
          <w:p w14:paraId="350D843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(-0.96)</w:t>
            </w:r>
          </w:p>
        </w:tc>
        <w:tc>
          <w:tcPr>
            <w:tcW w:w="1328" w:type="dxa"/>
            <w:hideMark/>
          </w:tcPr>
          <w:p w14:paraId="62971D3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(0.98)</w:t>
            </w:r>
          </w:p>
        </w:tc>
        <w:tc>
          <w:tcPr>
            <w:tcW w:w="1407" w:type="dxa"/>
            <w:hideMark/>
          </w:tcPr>
          <w:p w14:paraId="5A49510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(-1.11)</w:t>
            </w:r>
          </w:p>
        </w:tc>
        <w:tc>
          <w:tcPr>
            <w:tcW w:w="1406" w:type="dxa"/>
            <w:hideMark/>
          </w:tcPr>
          <w:p w14:paraId="49B739C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(-1.18)</w:t>
            </w:r>
          </w:p>
        </w:tc>
        <w:tc>
          <w:tcPr>
            <w:tcW w:w="1208" w:type="dxa"/>
            <w:hideMark/>
          </w:tcPr>
          <w:p w14:paraId="1530BA9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(-2.22)</w:t>
            </w:r>
          </w:p>
        </w:tc>
        <w:tc>
          <w:tcPr>
            <w:tcW w:w="1418" w:type="dxa"/>
            <w:hideMark/>
          </w:tcPr>
          <w:p w14:paraId="09734C9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(-2.28)</w:t>
            </w:r>
          </w:p>
        </w:tc>
        <w:tc>
          <w:tcPr>
            <w:tcW w:w="1276" w:type="dxa"/>
            <w:hideMark/>
          </w:tcPr>
          <w:p w14:paraId="274ECC0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(-2.43)</w:t>
            </w:r>
          </w:p>
        </w:tc>
        <w:tc>
          <w:tcPr>
            <w:tcW w:w="1158" w:type="dxa"/>
            <w:hideMark/>
          </w:tcPr>
          <w:p w14:paraId="14F5C35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(-2.48)</w:t>
            </w:r>
          </w:p>
        </w:tc>
      </w:tr>
      <w:tr w:rsidR="0081596F" w:rsidRPr="0081596F" w14:paraId="0951EDB2" w14:textId="77777777" w:rsidTr="0081596F">
        <w:tc>
          <w:tcPr>
            <w:tcW w:w="3320" w:type="dxa"/>
            <w:hideMark/>
          </w:tcPr>
          <w:p w14:paraId="568AE7C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Board Size</w:t>
            </w:r>
          </w:p>
        </w:tc>
        <w:tc>
          <w:tcPr>
            <w:tcW w:w="1537" w:type="dxa"/>
            <w:hideMark/>
          </w:tcPr>
          <w:p w14:paraId="29EA5CF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0.021</w:t>
            </w:r>
          </w:p>
        </w:tc>
        <w:tc>
          <w:tcPr>
            <w:tcW w:w="1328" w:type="dxa"/>
            <w:hideMark/>
          </w:tcPr>
          <w:p w14:paraId="1EFE296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0.027</w:t>
            </w:r>
          </w:p>
        </w:tc>
        <w:tc>
          <w:tcPr>
            <w:tcW w:w="1407" w:type="dxa"/>
            <w:hideMark/>
          </w:tcPr>
          <w:p w14:paraId="1786556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0.015</w:t>
            </w:r>
          </w:p>
        </w:tc>
        <w:tc>
          <w:tcPr>
            <w:tcW w:w="1406" w:type="dxa"/>
            <w:hideMark/>
          </w:tcPr>
          <w:p w14:paraId="1787A1E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0.019</w:t>
            </w:r>
          </w:p>
        </w:tc>
        <w:tc>
          <w:tcPr>
            <w:tcW w:w="1208" w:type="dxa"/>
            <w:hideMark/>
          </w:tcPr>
          <w:p w14:paraId="495B891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0.012</w:t>
            </w:r>
          </w:p>
        </w:tc>
        <w:tc>
          <w:tcPr>
            <w:tcW w:w="1418" w:type="dxa"/>
            <w:hideMark/>
          </w:tcPr>
          <w:p w14:paraId="57A8081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0.017</w:t>
            </w:r>
          </w:p>
        </w:tc>
        <w:tc>
          <w:tcPr>
            <w:tcW w:w="1276" w:type="dxa"/>
            <w:hideMark/>
          </w:tcPr>
          <w:p w14:paraId="644AF2B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0.026</w:t>
            </w:r>
          </w:p>
        </w:tc>
        <w:tc>
          <w:tcPr>
            <w:tcW w:w="1158" w:type="dxa"/>
            <w:hideMark/>
          </w:tcPr>
          <w:p w14:paraId="2A4DE4D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0.021</w:t>
            </w:r>
          </w:p>
        </w:tc>
      </w:tr>
      <w:tr w:rsidR="0081596F" w:rsidRPr="0081596F" w14:paraId="377AD383" w14:textId="77777777" w:rsidTr="0081596F">
        <w:tc>
          <w:tcPr>
            <w:tcW w:w="3320" w:type="dxa"/>
          </w:tcPr>
          <w:p w14:paraId="27187F5C" w14:textId="77777777" w:rsidR="0081596F" w:rsidRPr="0081596F" w:rsidRDefault="0081596F" w:rsidP="0081596F">
            <w:pPr>
              <w:spacing w:before="100" w:beforeAutospacing="1" w:after="100" w:afterAutospacing="1"/>
            </w:pPr>
          </w:p>
        </w:tc>
        <w:tc>
          <w:tcPr>
            <w:tcW w:w="1537" w:type="dxa"/>
            <w:hideMark/>
          </w:tcPr>
          <w:p w14:paraId="71DAC10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(0.68)</w:t>
            </w:r>
          </w:p>
        </w:tc>
        <w:tc>
          <w:tcPr>
            <w:tcW w:w="1328" w:type="dxa"/>
            <w:hideMark/>
          </w:tcPr>
          <w:p w14:paraId="702B931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(0.75)</w:t>
            </w:r>
          </w:p>
        </w:tc>
        <w:tc>
          <w:tcPr>
            <w:tcW w:w="1407" w:type="dxa"/>
            <w:hideMark/>
          </w:tcPr>
          <w:p w14:paraId="52B5BA2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(0.59)</w:t>
            </w:r>
          </w:p>
        </w:tc>
        <w:tc>
          <w:tcPr>
            <w:tcW w:w="1406" w:type="dxa"/>
            <w:hideMark/>
          </w:tcPr>
          <w:p w14:paraId="20B284C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(0.64)</w:t>
            </w:r>
          </w:p>
        </w:tc>
        <w:tc>
          <w:tcPr>
            <w:tcW w:w="1208" w:type="dxa"/>
            <w:hideMark/>
          </w:tcPr>
          <w:p w14:paraId="7B9D1C6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(0.38)</w:t>
            </w:r>
          </w:p>
        </w:tc>
        <w:tc>
          <w:tcPr>
            <w:tcW w:w="1418" w:type="dxa"/>
            <w:hideMark/>
          </w:tcPr>
          <w:p w14:paraId="5558D37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(0.43)</w:t>
            </w:r>
          </w:p>
        </w:tc>
        <w:tc>
          <w:tcPr>
            <w:tcW w:w="1276" w:type="dxa"/>
            <w:hideMark/>
          </w:tcPr>
          <w:p w14:paraId="4BB59A4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(0.49)</w:t>
            </w:r>
          </w:p>
        </w:tc>
        <w:tc>
          <w:tcPr>
            <w:tcW w:w="1158" w:type="dxa"/>
            <w:hideMark/>
          </w:tcPr>
          <w:p w14:paraId="10EB8C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(0.37)</w:t>
            </w:r>
          </w:p>
        </w:tc>
      </w:tr>
      <w:tr w:rsidR="0081596F" w:rsidRPr="0081596F" w14:paraId="246AC034" w14:textId="77777777" w:rsidTr="0081596F">
        <w:tc>
          <w:tcPr>
            <w:tcW w:w="3320" w:type="dxa"/>
            <w:hideMark/>
          </w:tcPr>
          <w:p w14:paraId="7E11127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Board Independence</w:t>
            </w:r>
          </w:p>
        </w:tc>
        <w:tc>
          <w:tcPr>
            <w:tcW w:w="1537" w:type="dxa"/>
            <w:hideMark/>
          </w:tcPr>
          <w:p w14:paraId="6FFE632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0.45**</w:t>
            </w:r>
          </w:p>
        </w:tc>
        <w:tc>
          <w:tcPr>
            <w:tcW w:w="1328" w:type="dxa"/>
            <w:hideMark/>
          </w:tcPr>
          <w:p w14:paraId="0D2FB09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0.52**</w:t>
            </w:r>
          </w:p>
        </w:tc>
        <w:tc>
          <w:tcPr>
            <w:tcW w:w="1407" w:type="dxa"/>
            <w:hideMark/>
          </w:tcPr>
          <w:p w14:paraId="7996FC8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0.47**</w:t>
            </w:r>
          </w:p>
        </w:tc>
        <w:tc>
          <w:tcPr>
            <w:tcW w:w="1406" w:type="dxa"/>
            <w:hideMark/>
          </w:tcPr>
          <w:p w14:paraId="3061C4A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0.52**</w:t>
            </w:r>
          </w:p>
        </w:tc>
        <w:tc>
          <w:tcPr>
            <w:tcW w:w="1208" w:type="dxa"/>
            <w:hideMark/>
          </w:tcPr>
          <w:p w14:paraId="31C2ABD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0.49**</w:t>
            </w:r>
          </w:p>
        </w:tc>
        <w:tc>
          <w:tcPr>
            <w:tcW w:w="1418" w:type="dxa"/>
            <w:hideMark/>
          </w:tcPr>
          <w:p w14:paraId="14480BA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0.56**</w:t>
            </w:r>
          </w:p>
        </w:tc>
        <w:tc>
          <w:tcPr>
            <w:tcW w:w="1276" w:type="dxa"/>
            <w:hideMark/>
          </w:tcPr>
          <w:p w14:paraId="2AF42C1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0.41**</w:t>
            </w:r>
          </w:p>
        </w:tc>
        <w:tc>
          <w:tcPr>
            <w:tcW w:w="1158" w:type="dxa"/>
            <w:hideMark/>
          </w:tcPr>
          <w:p w14:paraId="744C0BB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0.38**</w:t>
            </w:r>
          </w:p>
        </w:tc>
      </w:tr>
      <w:tr w:rsidR="0081596F" w:rsidRPr="0081596F" w14:paraId="37848E05" w14:textId="77777777" w:rsidTr="0081596F">
        <w:tc>
          <w:tcPr>
            <w:tcW w:w="3320" w:type="dxa"/>
          </w:tcPr>
          <w:p w14:paraId="2E5C5871" w14:textId="77777777" w:rsidR="0081596F" w:rsidRPr="0081596F" w:rsidRDefault="0081596F" w:rsidP="0081596F">
            <w:pPr>
              <w:spacing w:before="100" w:beforeAutospacing="1" w:after="100" w:afterAutospacing="1"/>
            </w:pPr>
          </w:p>
        </w:tc>
        <w:tc>
          <w:tcPr>
            <w:tcW w:w="1537" w:type="dxa"/>
            <w:hideMark/>
          </w:tcPr>
          <w:p w14:paraId="27B9C0D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(2.46)</w:t>
            </w:r>
          </w:p>
        </w:tc>
        <w:tc>
          <w:tcPr>
            <w:tcW w:w="1328" w:type="dxa"/>
            <w:hideMark/>
          </w:tcPr>
          <w:p w14:paraId="1C26DCA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(2.56)</w:t>
            </w:r>
          </w:p>
        </w:tc>
        <w:tc>
          <w:tcPr>
            <w:tcW w:w="1407" w:type="dxa"/>
            <w:hideMark/>
          </w:tcPr>
          <w:p w14:paraId="19EAEA0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(2.49)</w:t>
            </w:r>
          </w:p>
        </w:tc>
        <w:tc>
          <w:tcPr>
            <w:tcW w:w="1406" w:type="dxa"/>
            <w:hideMark/>
          </w:tcPr>
          <w:p w14:paraId="641FCFD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(2.55)</w:t>
            </w:r>
          </w:p>
        </w:tc>
        <w:tc>
          <w:tcPr>
            <w:tcW w:w="1208" w:type="dxa"/>
            <w:hideMark/>
          </w:tcPr>
          <w:p w14:paraId="3375AD7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(2.52)</w:t>
            </w:r>
          </w:p>
        </w:tc>
        <w:tc>
          <w:tcPr>
            <w:tcW w:w="1418" w:type="dxa"/>
            <w:hideMark/>
          </w:tcPr>
          <w:p w14:paraId="448CB52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(2.59)</w:t>
            </w:r>
          </w:p>
        </w:tc>
        <w:tc>
          <w:tcPr>
            <w:tcW w:w="1276" w:type="dxa"/>
            <w:hideMark/>
          </w:tcPr>
          <w:p w14:paraId="650F5E5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(3.02)</w:t>
            </w:r>
          </w:p>
        </w:tc>
        <w:tc>
          <w:tcPr>
            <w:tcW w:w="1158" w:type="dxa"/>
            <w:hideMark/>
          </w:tcPr>
          <w:p w14:paraId="19A3AF3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(2.95)</w:t>
            </w:r>
          </w:p>
        </w:tc>
      </w:tr>
      <w:tr w:rsidR="0081596F" w:rsidRPr="0081596F" w14:paraId="04E728A1" w14:textId="77777777" w:rsidTr="0081596F">
        <w:tc>
          <w:tcPr>
            <w:tcW w:w="3320" w:type="dxa"/>
            <w:hideMark/>
          </w:tcPr>
          <w:p w14:paraId="734917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Tobin's Q</w:t>
            </w:r>
          </w:p>
        </w:tc>
        <w:tc>
          <w:tcPr>
            <w:tcW w:w="1537" w:type="dxa"/>
            <w:hideMark/>
          </w:tcPr>
          <w:p w14:paraId="56187B5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0.58</w:t>
            </w:r>
          </w:p>
        </w:tc>
        <w:tc>
          <w:tcPr>
            <w:tcW w:w="1328" w:type="dxa"/>
            <w:hideMark/>
          </w:tcPr>
          <w:p w14:paraId="0440CEF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0.52</w:t>
            </w:r>
          </w:p>
        </w:tc>
        <w:tc>
          <w:tcPr>
            <w:tcW w:w="1407" w:type="dxa"/>
            <w:hideMark/>
          </w:tcPr>
          <w:p w14:paraId="4551889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0.48</w:t>
            </w:r>
          </w:p>
        </w:tc>
        <w:tc>
          <w:tcPr>
            <w:tcW w:w="1406" w:type="dxa"/>
            <w:hideMark/>
          </w:tcPr>
          <w:p w14:paraId="63F1EA0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0.51</w:t>
            </w:r>
          </w:p>
        </w:tc>
        <w:tc>
          <w:tcPr>
            <w:tcW w:w="1208" w:type="dxa"/>
            <w:hideMark/>
          </w:tcPr>
          <w:p w14:paraId="52AC4BA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0.93***</w:t>
            </w:r>
          </w:p>
        </w:tc>
        <w:tc>
          <w:tcPr>
            <w:tcW w:w="1418" w:type="dxa"/>
            <w:hideMark/>
          </w:tcPr>
          <w:p w14:paraId="36DF7DE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0.89***</w:t>
            </w:r>
          </w:p>
        </w:tc>
        <w:tc>
          <w:tcPr>
            <w:tcW w:w="1276" w:type="dxa"/>
            <w:hideMark/>
          </w:tcPr>
          <w:p w14:paraId="36EE6CF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0.93***</w:t>
            </w:r>
          </w:p>
        </w:tc>
        <w:tc>
          <w:tcPr>
            <w:tcW w:w="1158" w:type="dxa"/>
            <w:hideMark/>
          </w:tcPr>
          <w:p w14:paraId="73D6722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0.98***</w:t>
            </w:r>
          </w:p>
        </w:tc>
      </w:tr>
      <w:tr w:rsidR="0081596F" w:rsidRPr="0081596F" w14:paraId="50DC1CAD" w14:textId="77777777" w:rsidTr="0081596F">
        <w:tc>
          <w:tcPr>
            <w:tcW w:w="3320" w:type="dxa"/>
          </w:tcPr>
          <w:p w14:paraId="330E5AC4" w14:textId="77777777" w:rsidR="0081596F" w:rsidRPr="0081596F" w:rsidRDefault="0081596F" w:rsidP="0081596F">
            <w:pPr>
              <w:spacing w:before="100" w:beforeAutospacing="1" w:after="100" w:afterAutospacing="1"/>
            </w:pPr>
          </w:p>
        </w:tc>
        <w:tc>
          <w:tcPr>
            <w:tcW w:w="1537" w:type="dxa"/>
            <w:hideMark/>
          </w:tcPr>
          <w:p w14:paraId="48BCE67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(0.87)</w:t>
            </w:r>
          </w:p>
        </w:tc>
        <w:tc>
          <w:tcPr>
            <w:tcW w:w="1328" w:type="dxa"/>
            <w:hideMark/>
          </w:tcPr>
          <w:p w14:paraId="11E27E8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(0.81)</w:t>
            </w:r>
          </w:p>
        </w:tc>
        <w:tc>
          <w:tcPr>
            <w:tcW w:w="1407" w:type="dxa"/>
            <w:hideMark/>
          </w:tcPr>
          <w:p w14:paraId="391DFC2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(0.79)</w:t>
            </w:r>
          </w:p>
        </w:tc>
        <w:tc>
          <w:tcPr>
            <w:tcW w:w="1406" w:type="dxa"/>
            <w:hideMark/>
          </w:tcPr>
          <w:p w14:paraId="4E604E72"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(0.82)</w:t>
            </w:r>
          </w:p>
        </w:tc>
        <w:tc>
          <w:tcPr>
            <w:tcW w:w="1208" w:type="dxa"/>
            <w:hideMark/>
          </w:tcPr>
          <w:p w14:paraId="5FAE4E2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(3.45)</w:t>
            </w:r>
          </w:p>
        </w:tc>
        <w:tc>
          <w:tcPr>
            <w:tcW w:w="1418" w:type="dxa"/>
            <w:hideMark/>
          </w:tcPr>
          <w:p w14:paraId="3CF9B0E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(3.38)</w:t>
            </w:r>
          </w:p>
        </w:tc>
        <w:tc>
          <w:tcPr>
            <w:tcW w:w="1276" w:type="dxa"/>
            <w:hideMark/>
          </w:tcPr>
          <w:p w14:paraId="520422E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(3.41)</w:t>
            </w:r>
          </w:p>
        </w:tc>
        <w:tc>
          <w:tcPr>
            <w:tcW w:w="1158" w:type="dxa"/>
            <w:hideMark/>
          </w:tcPr>
          <w:p w14:paraId="03BBA60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(3.47)</w:t>
            </w:r>
          </w:p>
        </w:tc>
      </w:tr>
      <w:tr w:rsidR="0081596F" w:rsidRPr="0081596F" w14:paraId="127310AE" w14:textId="77777777" w:rsidTr="0081596F">
        <w:tc>
          <w:tcPr>
            <w:tcW w:w="3320" w:type="dxa"/>
            <w:hideMark/>
          </w:tcPr>
          <w:p w14:paraId="2744E80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Leverage</w:t>
            </w:r>
          </w:p>
        </w:tc>
        <w:tc>
          <w:tcPr>
            <w:tcW w:w="1537" w:type="dxa"/>
            <w:hideMark/>
          </w:tcPr>
          <w:p w14:paraId="1986EDF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-1.92</w:t>
            </w:r>
          </w:p>
        </w:tc>
        <w:tc>
          <w:tcPr>
            <w:tcW w:w="1328" w:type="dxa"/>
            <w:hideMark/>
          </w:tcPr>
          <w:p w14:paraId="68644C9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-1.91</w:t>
            </w:r>
          </w:p>
        </w:tc>
        <w:tc>
          <w:tcPr>
            <w:tcW w:w="1407" w:type="dxa"/>
            <w:hideMark/>
          </w:tcPr>
          <w:p w14:paraId="6ADAFC3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-1.91</w:t>
            </w:r>
          </w:p>
        </w:tc>
        <w:tc>
          <w:tcPr>
            <w:tcW w:w="1406" w:type="dxa"/>
            <w:hideMark/>
          </w:tcPr>
          <w:p w14:paraId="6E0BC9F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-1.87</w:t>
            </w:r>
          </w:p>
        </w:tc>
        <w:tc>
          <w:tcPr>
            <w:tcW w:w="1208" w:type="dxa"/>
            <w:hideMark/>
          </w:tcPr>
          <w:p w14:paraId="5550C54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-2.16**</w:t>
            </w:r>
          </w:p>
        </w:tc>
        <w:tc>
          <w:tcPr>
            <w:tcW w:w="1418" w:type="dxa"/>
            <w:hideMark/>
          </w:tcPr>
          <w:p w14:paraId="16AE057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2.09**</w:t>
            </w:r>
          </w:p>
        </w:tc>
        <w:tc>
          <w:tcPr>
            <w:tcW w:w="1276" w:type="dxa"/>
            <w:hideMark/>
          </w:tcPr>
          <w:p w14:paraId="2D13C4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-2.16**</w:t>
            </w:r>
          </w:p>
        </w:tc>
        <w:tc>
          <w:tcPr>
            <w:tcW w:w="1158" w:type="dxa"/>
            <w:hideMark/>
          </w:tcPr>
          <w:p w14:paraId="6A6727E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-2.24**</w:t>
            </w:r>
          </w:p>
        </w:tc>
      </w:tr>
      <w:tr w:rsidR="0081596F" w:rsidRPr="0081596F" w14:paraId="32953E7E" w14:textId="77777777" w:rsidTr="0081596F">
        <w:tc>
          <w:tcPr>
            <w:tcW w:w="3320" w:type="dxa"/>
          </w:tcPr>
          <w:p w14:paraId="6353A06D" w14:textId="77777777" w:rsidR="0081596F" w:rsidRPr="0081596F" w:rsidRDefault="0081596F" w:rsidP="0081596F">
            <w:pPr>
              <w:spacing w:before="100" w:beforeAutospacing="1" w:after="100" w:afterAutospacing="1"/>
            </w:pPr>
          </w:p>
        </w:tc>
        <w:tc>
          <w:tcPr>
            <w:tcW w:w="1537" w:type="dxa"/>
            <w:hideMark/>
          </w:tcPr>
          <w:p w14:paraId="1A3E5EC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(-1.11</w:t>
            </w:r>
          </w:p>
        </w:tc>
        <w:tc>
          <w:tcPr>
            <w:tcW w:w="1328" w:type="dxa"/>
            <w:hideMark/>
          </w:tcPr>
          <w:p w14:paraId="65C792D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(-1.12)</w:t>
            </w:r>
          </w:p>
        </w:tc>
        <w:tc>
          <w:tcPr>
            <w:tcW w:w="1407" w:type="dxa"/>
            <w:hideMark/>
          </w:tcPr>
          <w:p w14:paraId="34596766"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(-1.16)</w:t>
            </w:r>
          </w:p>
        </w:tc>
        <w:tc>
          <w:tcPr>
            <w:tcW w:w="1406" w:type="dxa"/>
            <w:hideMark/>
          </w:tcPr>
          <w:p w14:paraId="64E0825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(-1.13)</w:t>
            </w:r>
          </w:p>
        </w:tc>
        <w:tc>
          <w:tcPr>
            <w:tcW w:w="1208" w:type="dxa"/>
            <w:hideMark/>
          </w:tcPr>
          <w:p w14:paraId="13F5AFC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(-2.22)</w:t>
            </w:r>
          </w:p>
        </w:tc>
        <w:tc>
          <w:tcPr>
            <w:tcW w:w="1418" w:type="dxa"/>
            <w:hideMark/>
          </w:tcPr>
          <w:p w14:paraId="5365538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(-2.17)</w:t>
            </w:r>
          </w:p>
        </w:tc>
        <w:tc>
          <w:tcPr>
            <w:tcW w:w="1276" w:type="dxa"/>
            <w:hideMark/>
          </w:tcPr>
          <w:p w14:paraId="7141A9D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(-2.34)</w:t>
            </w:r>
          </w:p>
        </w:tc>
        <w:tc>
          <w:tcPr>
            <w:tcW w:w="1158" w:type="dxa"/>
            <w:hideMark/>
          </w:tcPr>
          <w:p w14:paraId="7F1DBAD3"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(-2.39)</w:t>
            </w:r>
          </w:p>
        </w:tc>
      </w:tr>
      <w:tr w:rsidR="0081596F" w:rsidRPr="0081596F" w14:paraId="4E0BC18D" w14:textId="77777777" w:rsidTr="0081596F">
        <w:tc>
          <w:tcPr>
            <w:tcW w:w="3320" w:type="dxa"/>
            <w:hideMark/>
          </w:tcPr>
          <w:p w14:paraId="228B3BC5"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Constant</w:t>
            </w:r>
          </w:p>
        </w:tc>
        <w:tc>
          <w:tcPr>
            <w:tcW w:w="1537" w:type="dxa"/>
            <w:hideMark/>
          </w:tcPr>
          <w:p w14:paraId="5280BFC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1.41***</w:t>
            </w:r>
          </w:p>
        </w:tc>
        <w:tc>
          <w:tcPr>
            <w:tcW w:w="1328" w:type="dxa"/>
            <w:hideMark/>
          </w:tcPr>
          <w:p w14:paraId="304AB6AC"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1.45***</w:t>
            </w:r>
          </w:p>
        </w:tc>
        <w:tc>
          <w:tcPr>
            <w:tcW w:w="1407" w:type="dxa"/>
            <w:hideMark/>
          </w:tcPr>
          <w:p w14:paraId="3D4EBBD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1.41***</w:t>
            </w:r>
          </w:p>
        </w:tc>
        <w:tc>
          <w:tcPr>
            <w:tcW w:w="1406" w:type="dxa"/>
            <w:hideMark/>
          </w:tcPr>
          <w:p w14:paraId="10896C1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1.52***</w:t>
            </w:r>
          </w:p>
        </w:tc>
        <w:tc>
          <w:tcPr>
            <w:tcW w:w="1208" w:type="dxa"/>
            <w:hideMark/>
          </w:tcPr>
          <w:p w14:paraId="03049CA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-0.48***</w:t>
            </w:r>
          </w:p>
        </w:tc>
        <w:tc>
          <w:tcPr>
            <w:tcW w:w="1418" w:type="dxa"/>
            <w:hideMark/>
          </w:tcPr>
          <w:p w14:paraId="62FA748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-0.42***</w:t>
            </w:r>
          </w:p>
        </w:tc>
        <w:tc>
          <w:tcPr>
            <w:tcW w:w="1276" w:type="dxa"/>
            <w:hideMark/>
          </w:tcPr>
          <w:p w14:paraId="3D55524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-0.73***</w:t>
            </w:r>
          </w:p>
        </w:tc>
        <w:tc>
          <w:tcPr>
            <w:tcW w:w="1158" w:type="dxa"/>
            <w:hideMark/>
          </w:tcPr>
          <w:p w14:paraId="0D4292F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-0.76***</w:t>
            </w:r>
          </w:p>
        </w:tc>
      </w:tr>
      <w:tr w:rsidR="0081596F" w:rsidRPr="0081596F" w14:paraId="1D5D8F9F" w14:textId="77777777" w:rsidTr="0081596F">
        <w:tc>
          <w:tcPr>
            <w:tcW w:w="3320" w:type="dxa"/>
          </w:tcPr>
          <w:p w14:paraId="340D1930" w14:textId="77777777" w:rsidR="0081596F" w:rsidRPr="0081596F" w:rsidRDefault="0081596F" w:rsidP="0081596F">
            <w:pPr>
              <w:spacing w:before="100" w:beforeAutospacing="1" w:after="100" w:afterAutospacing="1"/>
            </w:pPr>
          </w:p>
        </w:tc>
        <w:tc>
          <w:tcPr>
            <w:tcW w:w="1537" w:type="dxa"/>
            <w:hideMark/>
          </w:tcPr>
          <w:p w14:paraId="758C0D8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(3.57)</w:t>
            </w:r>
          </w:p>
        </w:tc>
        <w:tc>
          <w:tcPr>
            <w:tcW w:w="1328" w:type="dxa"/>
            <w:hideMark/>
          </w:tcPr>
          <w:p w14:paraId="18F075C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(3.62)</w:t>
            </w:r>
          </w:p>
        </w:tc>
        <w:tc>
          <w:tcPr>
            <w:tcW w:w="1407" w:type="dxa"/>
            <w:hideMark/>
          </w:tcPr>
          <w:p w14:paraId="5BE3E6F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(3.61)</w:t>
            </w:r>
          </w:p>
        </w:tc>
        <w:tc>
          <w:tcPr>
            <w:tcW w:w="1406" w:type="dxa"/>
            <w:hideMark/>
          </w:tcPr>
          <w:p w14:paraId="5120024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(3.68)</w:t>
            </w:r>
          </w:p>
        </w:tc>
        <w:tc>
          <w:tcPr>
            <w:tcW w:w="1208" w:type="dxa"/>
            <w:hideMark/>
          </w:tcPr>
          <w:p w14:paraId="5404E76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(3.37)</w:t>
            </w:r>
          </w:p>
        </w:tc>
        <w:tc>
          <w:tcPr>
            <w:tcW w:w="1418" w:type="dxa"/>
            <w:hideMark/>
          </w:tcPr>
          <w:p w14:paraId="5B2EA42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(3.33)</w:t>
            </w:r>
          </w:p>
        </w:tc>
        <w:tc>
          <w:tcPr>
            <w:tcW w:w="1276" w:type="dxa"/>
            <w:hideMark/>
          </w:tcPr>
          <w:p w14:paraId="275B389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(3.52)</w:t>
            </w:r>
          </w:p>
        </w:tc>
        <w:tc>
          <w:tcPr>
            <w:tcW w:w="1158" w:type="dxa"/>
            <w:hideMark/>
          </w:tcPr>
          <w:p w14:paraId="7195DD7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(3.57)</w:t>
            </w:r>
          </w:p>
        </w:tc>
      </w:tr>
      <w:tr w:rsidR="0081596F" w:rsidRPr="0081596F" w14:paraId="719E01DF" w14:textId="77777777" w:rsidTr="0081596F">
        <w:tc>
          <w:tcPr>
            <w:tcW w:w="3320" w:type="dxa"/>
            <w:hideMark/>
          </w:tcPr>
          <w:p w14:paraId="295B909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R squared</w:t>
            </w:r>
          </w:p>
        </w:tc>
        <w:tc>
          <w:tcPr>
            <w:tcW w:w="1537" w:type="dxa"/>
            <w:hideMark/>
          </w:tcPr>
          <w:p w14:paraId="38C5E14B"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0.65</w:t>
            </w:r>
          </w:p>
        </w:tc>
        <w:tc>
          <w:tcPr>
            <w:tcW w:w="1328" w:type="dxa"/>
            <w:hideMark/>
          </w:tcPr>
          <w:p w14:paraId="1A60D33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0.61</w:t>
            </w:r>
          </w:p>
        </w:tc>
        <w:tc>
          <w:tcPr>
            <w:tcW w:w="1407" w:type="dxa"/>
            <w:hideMark/>
          </w:tcPr>
          <w:p w14:paraId="0F92A338"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0.57</w:t>
            </w:r>
          </w:p>
        </w:tc>
        <w:tc>
          <w:tcPr>
            <w:tcW w:w="1406" w:type="dxa"/>
            <w:hideMark/>
          </w:tcPr>
          <w:p w14:paraId="078C597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0.61</w:t>
            </w:r>
          </w:p>
        </w:tc>
        <w:tc>
          <w:tcPr>
            <w:tcW w:w="1208" w:type="dxa"/>
            <w:hideMark/>
          </w:tcPr>
          <w:p w14:paraId="2E50CD99"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0.64</w:t>
            </w:r>
          </w:p>
        </w:tc>
        <w:tc>
          <w:tcPr>
            <w:tcW w:w="1418" w:type="dxa"/>
            <w:hideMark/>
          </w:tcPr>
          <w:p w14:paraId="6CEC363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0.56</w:t>
            </w:r>
          </w:p>
        </w:tc>
        <w:tc>
          <w:tcPr>
            <w:tcW w:w="1276" w:type="dxa"/>
            <w:hideMark/>
          </w:tcPr>
          <w:p w14:paraId="3CE9527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0.68</w:t>
            </w:r>
          </w:p>
        </w:tc>
        <w:tc>
          <w:tcPr>
            <w:tcW w:w="1158" w:type="dxa"/>
            <w:hideMark/>
          </w:tcPr>
          <w:p w14:paraId="5E0E9CB0"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0.65</w:t>
            </w:r>
          </w:p>
        </w:tc>
      </w:tr>
      <w:tr w:rsidR="0081596F" w:rsidRPr="0081596F" w14:paraId="53A4F877" w14:textId="77777777" w:rsidTr="0081596F">
        <w:tc>
          <w:tcPr>
            <w:tcW w:w="3320" w:type="dxa"/>
            <w:tcBorders>
              <w:top w:val="nil"/>
              <w:left w:val="nil"/>
              <w:bottom w:val="single" w:sz="4" w:space="0" w:color="auto"/>
              <w:right w:val="nil"/>
            </w:tcBorders>
            <w:hideMark/>
          </w:tcPr>
          <w:p w14:paraId="55BAC47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No. of observations</w:t>
            </w:r>
          </w:p>
        </w:tc>
        <w:tc>
          <w:tcPr>
            <w:tcW w:w="1537" w:type="dxa"/>
            <w:tcBorders>
              <w:top w:val="nil"/>
              <w:left w:val="nil"/>
              <w:bottom w:val="single" w:sz="4" w:space="0" w:color="auto"/>
              <w:right w:val="nil"/>
            </w:tcBorders>
            <w:hideMark/>
          </w:tcPr>
          <w:p w14:paraId="790FFE3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725</w:t>
            </w:r>
          </w:p>
        </w:tc>
        <w:tc>
          <w:tcPr>
            <w:tcW w:w="1328" w:type="dxa"/>
            <w:tcBorders>
              <w:top w:val="nil"/>
              <w:left w:val="nil"/>
              <w:bottom w:val="single" w:sz="4" w:space="0" w:color="auto"/>
              <w:right w:val="nil"/>
            </w:tcBorders>
            <w:hideMark/>
          </w:tcPr>
          <w:p w14:paraId="75978C64"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725</w:t>
            </w:r>
          </w:p>
        </w:tc>
        <w:tc>
          <w:tcPr>
            <w:tcW w:w="1407" w:type="dxa"/>
            <w:tcBorders>
              <w:top w:val="nil"/>
              <w:left w:val="nil"/>
              <w:bottom w:val="single" w:sz="4" w:space="0" w:color="auto"/>
              <w:right w:val="nil"/>
            </w:tcBorders>
            <w:hideMark/>
          </w:tcPr>
          <w:p w14:paraId="51F1DC6D"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725</w:t>
            </w:r>
          </w:p>
        </w:tc>
        <w:tc>
          <w:tcPr>
            <w:tcW w:w="1406" w:type="dxa"/>
            <w:tcBorders>
              <w:top w:val="nil"/>
              <w:left w:val="nil"/>
              <w:bottom w:val="single" w:sz="4" w:space="0" w:color="auto"/>
              <w:right w:val="nil"/>
            </w:tcBorders>
            <w:hideMark/>
          </w:tcPr>
          <w:p w14:paraId="46A2246E"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725</w:t>
            </w:r>
          </w:p>
        </w:tc>
        <w:tc>
          <w:tcPr>
            <w:tcW w:w="1208" w:type="dxa"/>
            <w:tcBorders>
              <w:top w:val="nil"/>
              <w:left w:val="nil"/>
              <w:bottom w:val="single" w:sz="4" w:space="0" w:color="auto"/>
              <w:right w:val="nil"/>
            </w:tcBorders>
            <w:hideMark/>
          </w:tcPr>
          <w:p w14:paraId="555C59D7"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693</w:t>
            </w:r>
          </w:p>
        </w:tc>
        <w:tc>
          <w:tcPr>
            <w:tcW w:w="1418" w:type="dxa"/>
            <w:tcBorders>
              <w:top w:val="nil"/>
              <w:left w:val="nil"/>
              <w:bottom w:val="single" w:sz="4" w:space="0" w:color="auto"/>
              <w:right w:val="nil"/>
            </w:tcBorders>
            <w:hideMark/>
          </w:tcPr>
          <w:p w14:paraId="52EF6AB1"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693</w:t>
            </w:r>
          </w:p>
        </w:tc>
        <w:tc>
          <w:tcPr>
            <w:tcW w:w="1276" w:type="dxa"/>
            <w:tcBorders>
              <w:top w:val="nil"/>
              <w:left w:val="nil"/>
              <w:bottom w:val="single" w:sz="4" w:space="0" w:color="auto"/>
              <w:right w:val="nil"/>
            </w:tcBorders>
            <w:hideMark/>
          </w:tcPr>
          <w:p w14:paraId="45DCDD1F"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690</w:t>
            </w:r>
          </w:p>
        </w:tc>
        <w:tc>
          <w:tcPr>
            <w:tcW w:w="1158" w:type="dxa"/>
            <w:tcBorders>
              <w:top w:val="nil"/>
              <w:left w:val="nil"/>
              <w:bottom w:val="single" w:sz="4" w:space="0" w:color="auto"/>
              <w:right w:val="nil"/>
            </w:tcBorders>
            <w:hideMark/>
          </w:tcPr>
          <w:p w14:paraId="451BB96A" w14:textId="77777777" w:rsidR="0081596F" w:rsidRPr="0081596F" w:rsidRDefault="0081596F" w:rsidP="0081596F">
            <w:pPr>
              <w:spacing w:before="100" w:beforeAutospacing="1" w:after="100" w:afterAutospacing="1"/>
            </w:pPr>
            <w:r w:rsidRPr="0081596F">
              <w:rPr>
                <w:rFonts w:eastAsia="Calibri"/>
                <w:color w:val="000000"/>
                <w:sz w:val="20"/>
                <w:szCs w:val="20"/>
                <w:lang w:val="en-US"/>
              </w:rPr>
              <w:t>690</w:t>
            </w:r>
          </w:p>
        </w:tc>
      </w:tr>
    </w:tbl>
    <w:p w14:paraId="7ADCC8B7" w14:textId="77777777" w:rsidR="0081596F" w:rsidRPr="0081596F" w:rsidRDefault="0081596F" w:rsidP="0081596F">
      <w:pPr>
        <w:autoSpaceDE w:val="0"/>
        <w:autoSpaceDN w:val="0"/>
        <w:adjustRightInd w:val="0"/>
        <w:ind w:left="360"/>
        <w:contextualSpacing/>
        <w:jc w:val="both"/>
        <w:rPr>
          <w:rFonts w:eastAsia="Calibri"/>
          <w:sz w:val="20"/>
          <w:szCs w:val="20"/>
        </w:rPr>
      </w:pPr>
      <w:r w:rsidRPr="0081596F">
        <w:rPr>
          <w:rFonts w:eastAsia="Calibri"/>
          <w:sz w:val="20"/>
          <w:szCs w:val="20"/>
        </w:rPr>
        <w:t>Notes: The results show the determinants of short run announcement period returns and long run post-merger returns where the dependent variables are short run CARs for the windows (-1, +1) and (-2, +2) and 12 months and 24 months post-merger BHARs. The figures in parenthesis are the t-statistics. ***, ** and * represent 1%, 5% and 10% significance levels respectively.</w:t>
      </w:r>
    </w:p>
    <w:p w14:paraId="030D0C5F" w14:textId="77777777" w:rsidR="0081596F" w:rsidRPr="0081596F" w:rsidRDefault="0081596F" w:rsidP="0081596F">
      <w:pPr>
        <w:jc w:val="both"/>
      </w:pPr>
    </w:p>
    <w:p w14:paraId="26A03D9A" w14:textId="77777777" w:rsidR="0081596F" w:rsidRPr="0081596F" w:rsidRDefault="0081596F" w:rsidP="0081596F">
      <w:pPr>
        <w:sectPr w:rsidR="0081596F" w:rsidRPr="0081596F">
          <w:pgSz w:w="16840" w:h="11900" w:orient="landscape"/>
          <w:pgMar w:top="1440" w:right="1440" w:bottom="1440" w:left="1440" w:header="720" w:footer="720" w:gutter="0"/>
          <w:cols w:space="720"/>
        </w:sectPr>
      </w:pPr>
    </w:p>
    <w:p w14:paraId="6C68136A" w14:textId="77777777" w:rsidR="0081596F" w:rsidRPr="0081596F" w:rsidRDefault="0081596F" w:rsidP="0081596F">
      <w:pPr>
        <w:jc w:val="center"/>
      </w:pPr>
      <w:r w:rsidRPr="0081596F">
        <w:lastRenderedPageBreak/>
        <w:t>Table 8: Robustness check</w:t>
      </w:r>
    </w:p>
    <w:tbl>
      <w:tblPr>
        <w:tblStyle w:val="TableGrid2"/>
        <w:tblW w:w="6799" w:type="dxa"/>
        <w:tblInd w:w="1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1048"/>
        <w:gridCol w:w="1134"/>
      </w:tblGrid>
      <w:tr w:rsidR="0081596F" w:rsidRPr="0081596F" w14:paraId="625AFA4F" w14:textId="77777777" w:rsidTr="0081596F">
        <w:tc>
          <w:tcPr>
            <w:tcW w:w="4617" w:type="dxa"/>
            <w:tcBorders>
              <w:top w:val="single" w:sz="4" w:space="0" w:color="auto"/>
              <w:left w:val="nil"/>
              <w:bottom w:val="single" w:sz="4" w:space="0" w:color="auto"/>
              <w:right w:val="nil"/>
            </w:tcBorders>
          </w:tcPr>
          <w:p w14:paraId="6FBDAB83" w14:textId="77777777" w:rsidR="0081596F" w:rsidRPr="0081596F" w:rsidRDefault="0081596F" w:rsidP="0081596F">
            <w:pPr>
              <w:spacing w:before="100" w:beforeAutospacing="1" w:after="100" w:afterAutospacing="1"/>
              <w:rPr>
                <w:sz w:val="20"/>
                <w:szCs w:val="20"/>
              </w:rPr>
            </w:pPr>
          </w:p>
        </w:tc>
        <w:tc>
          <w:tcPr>
            <w:tcW w:w="1048" w:type="dxa"/>
            <w:tcBorders>
              <w:top w:val="single" w:sz="4" w:space="0" w:color="auto"/>
              <w:left w:val="nil"/>
              <w:bottom w:val="single" w:sz="4" w:space="0" w:color="auto"/>
              <w:right w:val="nil"/>
            </w:tcBorders>
            <w:hideMark/>
          </w:tcPr>
          <w:p w14:paraId="5A69B0E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Panel A</w:t>
            </w:r>
          </w:p>
        </w:tc>
        <w:tc>
          <w:tcPr>
            <w:tcW w:w="1134" w:type="dxa"/>
            <w:tcBorders>
              <w:top w:val="single" w:sz="4" w:space="0" w:color="auto"/>
              <w:left w:val="nil"/>
              <w:bottom w:val="single" w:sz="4" w:space="0" w:color="auto"/>
              <w:right w:val="nil"/>
            </w:tcBorders>
            <w:hideMark/>
          </w:tcPr>
          <w:p w14:paraId="23B498E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Panel B</w:t>
            </w:r>
          </w:p>
        </w:tc>
      </w:tr>
      <w:tr w:rsidR="0081596F" w:rsidRPr="0081596F" w14:paraId="3579EE3B" w14:textId="77777777" w:rsidTr="0081596F">
        <w:trPr>
          <w:trHeight w:val="128"/>
        </w:trPr>
        <w:tc>
          <w:tcPr>
            <w:tcW w:w="4617" w:type="dxa"/>
            <w:tcBorders>
              <w:top w:val="single" w:sz="4" w:space="0" w:color="auto"/>
              <w:left w:val="nil"/>
              <w:bottom w:val="nil"/>
              <w:right w:val="nil"/>
            </w:tcBorders>
            <w:hideMark/>
          </w:tcPr>
          <w:p w14:paraId="57419678" w14:textId="77777777" w:rsidR="0081596F" w:rsidRPr="0081596F" w:rsidRDefault="0081596F" w:rsidP="0081596F">
            <w:pPr>
              <w:spacing w:before="100" w:beforeAutospacing="1" w:after="100" w:afterAutospacing="1"/>
              <w:rPr>
                <w:sz w:val="20"/>
                <w:szCs w:val="20"/>
              </w:rPr>
            </w:pPr>
            <w:r w:rsidRPr="0081596F">
              <w:rPr>
                <w:rFonts w:eastAsia="Calibri"/>
                <w:b/>
                <w:bCs/>
                <w:color w:val="000000"/>
                <w:sz w:val="20"/>
                <w:szCs w:val="20"/>
                <w:lang w:val="en-US"/>
              </w:rPr>
              <w:t>Independent variables</w:t>
            </w:r>
          </w:p>
        </w:tc>
        <w:tc>
          <w:tcPr>
            <w:tcW w:w="1048" w:type="dxa"/>
            <w:tcBorders>
              <w:top w:val="single" w:sz="4" w:space="0" w:color="auto"/>
              <w:left w:val="nil"/>
              <w:bottom w:val="nil"/>
              <w:right w:val="nil"/>
            </w:tcBorders>
            <w:hideMark/>
          </w:tcPr>
          <w:p w14:paraId="0A36576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BHAR 12</w:t>
            </w:r>
          </w:p>
        </w:tc>
        <w:tc>
          <w:tcPr>
            <w:tcW w:w="1134" w:type="dxa"/>
            <w:tcBorders>
              <w:top w:val="single" w:sz="4" w:space="0" w:color="auto"/>
              <w:left w:val="nil"/>
              <w:bottom w:val="nil"/>
              <w:right w:val="nil"/>
            </w:tcBorders>
            <w:hideMark/>
          </w:tcPr>
          <w:p w14:paraId="61C3F424"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BHAR 24</w:t>
            </w:r>
          </w:p>
        </w:tc>
      </w:tr>
      <w:tr w:rsidR="0081596F" w:rsidRPr="0081596F" w14:paraId="16E22646" w14:textId="77777777" w:rsidTr="0081596F">
        <w:tc>
          <w:tcPr>
            <w:tcW w:w="4617" w:type="dxa"/>
            <w:hideMark/>
          </w:tcPr>
          <w:p w14:paraId="21B52F84"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Fraction of male directors</w:t>
            </w:r>
          </w:p>
        </w:tc>
        <w:tc>
          <w:tcPr>
            <w:tcW w:w="1048" w:type="dxa"/>
            <w:hideMark/>
          </w:tcPr>
          <w:p w14:paraId="3EECABE0"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-2.67**</w:t>
            </w:r>
          </w:p>
        </w:tc>
        <w:tc>
          <w:tcPr>
            <w:tcW w:w="1134" w:type="dxa"/>
            <w:hideMark/>
          </w:tcPr>
          <w:p w14:paraId="188A90CF"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-2.59**</w:t>
            </w:r>
          </w:p>
        </w:tc>
      </w:tr>
      <w:tr w:rsidR="0081596F" w:rsidRPr="0081596F" w14:paraId="1EA74DB1" w14:textId="77777777" w:rsidTr="0081596F">
        <w:tc>
          <w:tcPr>
            <w:tcW w:w="4617" w:type="dxa"/>
          </w:tcPr>
          <w:p w14:paraId="7CE3136F" w14:textId="77777777" w:rsidR="0081596F" w:rsidRPr="0081596F" w:rsidRDefault="0081596F" w:rsidP="0081596F">
            <w:pPr>
              <w:spacing w:before="100" w:beforeAutospacing="1" w:after="100" w:afterAutospacing="1"/>
              <w:rPr>
                <w:sz w:val="20"/>
                <w:szCs w:val="20"/>
              </w:rPr>
            </w:pPr>
          </w:p>
        </w:tc>
        <w:tc>
          <w:tcPr>
            <w:tcW w:w="1048" w:type="dxa"/>
            <w:hideMark/>
          </w:tcPr>
          <w:p w14:paraId="2E6D7885"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(-2.95)</w:t>
            </w:r>
          </w:p>
        </w:tc>
        <w:tc>
          <w:tcPr>
            <w:tcW w:w="1134" w:type="dxa"/>
            <w:hideMark/>
          </w:tcPr>
          <w:p w14:paraId="38B54F1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(-2.73)</w:t>
            </w:r>
          </w:p>
        </w:tc>
      </w:tr>
      <w:tr w:rsidR="0081596F" w:rsidRPr="0081596F" w14:paraId="17FFC35F" w14:textId="77777777" w:rsidTr="0081596F">
        <w:tc>
          <w:tcPr>
            <w:tcW w:w="4617" w:type="dxa"/>
            <w:hideMark/>
          </w:tcPr>
          <w:p w14:paraId="135C4536"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Multiple</w:t>
            </w:r>
          </w:p>
        </w:tc>
        <w:tc>
          <w:tcPr>
            <w:tcW w:w="1048" w:type="dxa"/>
            <w:hideMark/>
          </w:tcPr>
          <w:p w14:paraId="55D7EE26"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-1.42**</w:t>
            </w:r>
          </w:p>
        </w:tc>
        <w:tc>
          <w:tcPr>
            <w:tcW w:w="1134" w:type="dxa"/>
            <w:hideMark/>
          </w:tcPr>
          <w:p w14:paraId="57D8173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-1.51**</w:t>
            </w:r>
          </w:p>
        </w:tc>
      </w:tr>
      <w:tr w:rsidR="0081596F" w:rsidRPr="0081596F" w14:paraId="47BBEBD0" w14:textId="77777777" w:rsidTr="0081596F">
        <w:tc>
          <w:tcPr>
            <w:tcW w:w="4617" w:type="dxa"/>
          </w:tcPr>
          <w:p w14:paraId="49F6C8EF" w14:textId="77777777" w:rsidR="0081596F" w:rsidRPr="0081596F" w:rsidRDefault="0081596F" w:rsidP="0081596F">
            <w:pPr>
              <w:spacing w:before="100" w:beforeAutospacing="1" w:after="100" w:afterAutospacing="1"/>
              <w:rPr>
                <w:sz w:val="20"/>
                <w:szCs w:val="20"/>
              </w:rPr>
            </w:pPr>
          </w:p>
        </w:tc>
        <w:tc>
          <w:tcPr>
            <w:tcW w:w="1048" w:type="dxa"/>
            <w:hideMark/>
          </w:tcPr>
          <w:p w14:paraId="1B87663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(-2.89)</w:t>
            </w:r>
          </w:p>
        </w:tc>
        <w:tc>
          <w:tcPr>
            <w:tcW w:w="1134" w:type="dxa"/>
            <w:hideMark/>
          </w:tcPr>
          <w:p w14:paraId="346953A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(-2.93)</w:t>
            </w:r>
          </w:p>
        </w:tc>
      </w:tr>
      <w:tr w:rsidR="0081596F" w:rsidRPr="0081596F" w14:paraId="35AE2329" w14:textId="77777777" w:rsidTr="0081596F">
        <w:tc>
          <w:tcPr>
            <w:tcW w:w="4617" w:type="dxa"/>
            <w:hideMark/>
          </w:tcPr>
          <w:p w14:paraId="0F526DD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Fraction of male directors*Multiple</w:t>
            </w:r>
          </w:p>
        </w:tc>
        <w:tc>
          <w:tcPr>
            <w:tcW w:w="1048" w:type="dxa"/>
          </w:tcPr>
          <w:p w14:paraId="684CC4CB" w14:textId="77777777" w:rsidR="0081596F" w:rsidRPr="0081596F" w:rsidRDefault="0081596F" w:rsidP="0081596F">
            <w:pPr>
              <w:spacing w:before="100" w:beforeAutospacing="1" w:after="100" w:afterAutospacing="1"/>
              <w:rPr>
                <w:sz w:val="20"/>
                <w:szCs w:val="20"/>
              </w:rPr>
            </w:pPr>
          </w:p>
        </w:tc>
        <w:tc>
          <w:tcPr>
            <w:tcW w:w="1134" w:type="dxa"/>
            <w:hideMark/>
          </w:tcPr>
          <w:p w14:paraId="64268AF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-1.35**</w:t>
            </w:r>
          </w:p>
        </w:tc>
      </w:tr>
      <w:tr w:rsidR="0081596F" w:rsidRPr="0081596F" w14:paraId="2CE54F2B" w14:textId="77777777" w:rsidTr="0081596F">
        <w:tc>
          <w:tcPr>
            <w:tcW w:w="4617" w:type="dxa"/>
          </w:tcPr>
          <w:p w14:paraId="7487B847" w14:textId="77777777" w:rsidR="0081596F" w:rsidRPr="0081596F" w:rsidRDefault="0081596F" w:rsidP="0081596F">
            <w:pPr>
              <w:spacing w:before="100" w:beforeAutospacing="1" w:after="100" w:afterAutospacing="1"/>
              <w:rPr>
                <w:sz w:val="20"/>
                <w:szCs w:val="20"/>
              </w:rPr>
            </w:pPr>
          </w:p>
        </w:tc>
        <w:tc>
          <w:tcPr>
            <w:tcW w:w="1048" w:type="dxa"/>
          </w:tcPr>
          <w:p w14:paraId="15B57A93" w14:textId="77777777" w:rsidR="0081596F" w:rsidRPr="0081596F" w:rsidRDefault="0081596F" w:rsidP="0081596F">
            <w:pPr>
              <w:spacing w:before="100" w:beforeAutospacing="1" w:after="100" w:afterAutospacing="1"/>
              <w:rPr>
                <w:sz w:val="20"/>
                <w:szCs w:val="20"/>
              </w:rPr>
            </w:pPr>
          </w:p>
        </w:tc>
        <w:tc>
          <w:tcPr>
            <w:tcW w:w="1134" w:type="dxa"/>
            <w:hideMark/>
          </w:tcPr>
          <w:p w14:paraId="6E2C19C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(-2.75)</w:t>
            </w:r>
          </w:p>
        </w:tc>
      </w:tr>
      <w:tr w:rsidR="0081596F" w:rsidRPr="0081596F" w14:paraId="42DA715C" w14:textId="77777777" w:rsidTr="0081596F">
        <w:tc>
          <w:tcPr>
            <w:tcW w:w="4617" w:type="dxa"/>
            <w:hideMark/>
          </w:tcPr>
          <w:p w14:paraId="741AEBE0"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Cash</w:t>
            </w:r>
          </w:p>
        </w:tc>
        <w:tc>
          <w:tcPr>
            <w:tcW w:w="1048" w:type="dxa"/>
            <w:hideMark/>
          </w:tcPr>
          <w:p w14:paraId="47D7E69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-0.84</w:t>
            </w:r>
          </w:p>
        </w:tc>
        <w:tc>
          <w:tcPr>
            <w:tcW w:w="1134" w:type="dxa"/>
            <w:hideMark/>
          </w:tcPr>
          <w:p w14:paraId="40B6E0CA"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-0.93</w:t>
            </w:r>
          </w:p>
        </w:tc>
      </w:tr>
      <w:tr w:rsidR="0081596F" w:rsidRPr="0081596F" w14:paraId="2F4A780C" w14:textId="77777777" w:rsidTr="0081596F">
        <w:tc>
          <w:tcPr>
            <w:tcW w:w="4617" w:type="dxa"/>
          </w:tcPr>
          <w:p w14:paraId="513BB74E" w14:textId="77777777" w:rsidR="0081596F" w:rsidRPr="0081596F" w:rsidRDefault="0081596F" w:rsidP="0081596F">
            <w:pPr>
              <w:spacing w:before="100" w:beforeAutospacing="1" w:after="100" w:afterAutospacing="1"/>
              <w:rPr>
                <w:sz w:val="20"/>
                <w:szCs w:val="20"/>
              </w:rPr>
            </w:pPr>
          </w:p>
        </w:tc>
        <w:tc>
          <w:tcPr>
            <w:tcW w:w="1048" w:type="dxa"/>
            <w:hideMark/>
          </w:tcPr>
          <w:p w14:paraId="7AF3FFDA"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(-0.72)</w:t>
            </w:r>
          </w:p>
        </w:tc>
        <w:tc>
          <w:tcPr>
            <w:tcW w:w="1134" w:type="dxa"/>
            <w:hideMark/>
          </w:tcPr>
          <w:p w14:paraId="7DAB4A3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(-0.81)</w:t>
            </w:r>
          </w:p>
        </w:tc>
      </w:tr>
      <w:tr w:rsidR="0081596F" w:rsidRPr="0081596F" w14:paraId="6568F63E" w14:textId="77777777" w:rsidTr="0081596F">
        <w:tc>
          <w:tcPr>
            <w:tcW w:w="4617" w:type="dxa"/>
            <w:hideMark/>
          </w:tcPr>
          <w:p w14:paraId="56EC1F0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Stock</w:t>
            </w:r>
          </w:p>
        </w:tc>
        <w:tc>
          <w:tcPr>
            <w:tcW w:w="1048" w:type="dxa"/>
            <w:hideMark/>
          </w:tcPr>
          <w:p w14:paraId="3B6F3200"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0.16*</w:t>
            </w:r>
          </w:p>
        </w:tc>
        <w:tc>
          <w:tcPr>
            <w:tcW w:w="1134" w:type="dxa"/>
            <w:hideMark/>
          </w:tcPr>
          <w:p w14:paraId="33DDF76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0.22*</w:t>
            </w:r>
          </w:p>
        </w:tc>
      </w:tr>
      <w:tr w:rsidR="0081596F" w:rsidRPr="0081596F" w14:paraId="2D8A0494" w14:textId="77777777" w:rsidTr="0081596F">
        <w:tc>
          <w:tcPr>
            <w:tcW w:w="4617" w:type="dxa"/>
          </w:tcPr>
          <w:p w14:paraId="06BBA1D6" w14:textId="77777777" w:rsidR="0081596F" w:rsidRPr="0081596F" w:rsidRDefault="0081596F" w:rsidP="0081596F">
            <w:pPr>
              <w:spacing w:before="100" w:beforeAutospacing="1" w:after="100" w:afterAutospacing="1"/>
              <w:rPr>
                <w:sz w:val="20"/>
                <w:szCs w:val="20"/>
              </w:rPr>
            </w:pPr>
          </w:p>
        </w:tc>
        <w:tc>
          <w:tcPr>
            <w:tcW w:w="1048" w:type="dxa"/>
            <w:hideMark/>
          </w:tcPr>
          <w:p w14:paraId="673C452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(1.78)</w:t>
            </w:r>
          </w:p>
        </w:tc>
        <w:tc>
          <w:tcPr>
            <w:tcW w:w="1134" w:type="dxa"/>
            <w:hideMark/>
          </w:tcPr>
          <w:p w14:paraId="0E354AFA"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(1.82)</w:t>
            </w:r>
          </w:p>
        </w:tc>
      </w:tr>
      <w:tr w:rsidR="0081596F" w:rsidRPr="0081596F" w14:paraId="7DC445BC" w14:textId="77777777" w:rsidTr="0081596F">
        <w:tc>
          <w:tcPr>
            <w:tcW w:w="4617" w:type="dxa"/>
            <w:hideMark/>
          </w:tcPr>
          <w:p w14:paraId="22DE7E9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Related</w:t>
            </w:r>
          </w:p>
        </w:tc>
        <w:tc>
          <w:tcPr>
            <w:tcW w:w="1048" w:type="dxa"/>
            <w:hideMark/>
          </w:tcPr>
          <w:p w14:paraId="4CABB5CF"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0.24***</w:t>
            </w:r>
          </w:p>
        </w:tc>
        <w:tc>
          <w:tcPr>
            <w:tcW w:w="1134" w:type="dxa"/>
            <w:hideMark/>
          </w:tcPr>
          <w:p w14:paraId="726A9432"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0.27***</w:t>
            </w:r>
          </w:p>
        </w:tc>
      </w:tr>
      <w:tr w:rsidR="0081596F" w:rsidRPr="0081596F" w14:paraId="279174CF" w14:textId="77777777" w:rsidTr="0081596F">
        <w:tc>
          <w:tcPr>
            <w:tcW w:w="4617" w:type="dxa"/>
          </w:tcPr>
          <w:p w14:paraId="6DB43C00" w14:textId="77777777" w:rsidR="0081596F" w:rsidRPr="0081596F" w:rsidRDefault="0081596F" w:rsidP="0081596F">
            <w:pPr>
              <w:spacing w:before="100" w:beforeAutospacing="1" w:after="100" w:afterAutospacing="1"/>
              <w:rPr>
                <w:sz w:val="20"/>
                <w:szCs w:val="20"/>
              </w:rPr>
            </w:pPr>
          </w:p>
        </w:tc>
        <w:tc>
          <w:tcPr>
            <w:tcW w:w="1048" w:type="dxa"/>
            <w:hideMark/>
          </w:tcPr>
          <w:p w14:paraId="366EABD6"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(3.58)</w:t>
            </w:r>
          </w:p>
        </w:tc>
        <w:tc>
          <w:tcPr>
            <w:tcW w:w="1134" w:type="dxa"/>
            <w:hideMark/>
          </w:tcPr>
          <w:p w14:paraId="4EC2F081"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(3.61)</w:t>
            </w:r>
          </w:p>
        </w:tc>
      </w:tr>
      <w:tr w:rsidR="0081596F" w:rsidRPr="0081596F" w14:paraId="1EF53995" w14:textId="77777777" w:rsidTr="0081596F">
        <w:tc>
          <w:tcPr>
            <w:tcW w:w="4617" w:type="dxa"/>
            <w:hideMark/>
          </w:tcPr>
          <w:p w14:paraId="123AEAEA" w14:textId="77777777" w:rsidR="0081596F" w:rsidRPr="0081596F" w:rsidRDefault="0081596F" w:rsidP="0081596F">
            <w:pPr>
              <w:spacing w:before="100" w:beforeAutospacing="1" w:after="100" w:afterAutospacing="1"/>
              <w:rPr>
                <w:sz w:val="20"/>
                <w:szCs w:val="20"/>
              </w:rPr>
            </w:pPr>
            <w:r w:rsidRPr="0081596F">
              <w:rPr>
                <w:rFonts w:eastAsia="Calibri"/>
                <w:b/>
                <w:bCs/>
                <w:color w:val="000000"/>
                <w:sz w:val="20"/>
                <w:szCs w:val="20"/>
                <w:lang w:val="en-US"/>
              </w:rPr>
              <w:t>Control variables</w:t>
            </w:r>
          </w:p>
        </w:tc>
        <w:tc>
          <w:tcPr>
            <w:tcW w:w="1048" w:type="dxa"/>
          </w:tcPr>
          <w:p w14:paraId="7952D1F2" w14:textId="77777777" w:rsidR="0081596F" w:rsidRPr="0081596F" w:rsidRDefault="0081596F" w:rsidP="0081596F">
            <w:pPr>
              <w:spacing w:before="100" w:beforeAutospacing="1" w:after="100" w:afterAutospacing="1"/>
              <w:rPr>
                <w:sz w:val="20"/>
                <w:szCs w:val="20"/>
              </w:rPr>
            </w:pPr>
          </w:p>
        </w:tc>
        <w:tc>
          <w:tcPr>
            <w:tcW w:w="1134" w:type="dxa"/>
          </w:tcPr>
          <w:p w14:paraId="794D20EE" w14:textId="77777777" w:rsidR="0081596F" w:rsidRPr="0081596F" w:rsidRDefault="0081596F" w:rsidP="0081596F">
            <w:pPr>
              <w:spacing w:before="100" w:beforeAutospacing="1" w:after="100" w:afterAutospacing="1"/>
              <w:rPr>
                <w:sz w:val="20"/>
                <w:szCs w:val="20"/>
              </w:rPr>
            </w:pPr>
          </w:p>
        </w:tc>
      </w:tr>
      <w:tr w:rsidR="0081596F" w:rsidRPr="0081596F" w14:paraId="4DED298F" w14:textId="77777777" w:rsidTr="0081596F">
        <w:tc>
          <w:tcPr>
            <w:tcW w:w="4617" w:type="dxa"/>
            <w:hideMark/>
          </w:tcPr>
          <w:p w14:paraId="40AECAFE"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CEO duality</w:t>
            </w:r>
          </w:p>
        </w:tc>
        <w:tc>
          <w:tcPr>
            <w:tcW w:w="1048" w:type="dxa"/>
            <w:hideMark/>
          </w:tcPr>
          <w:p w14:paraId="0CAE3F2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-2.16**</w:t>
            </w:r>
          </w:p>
        </w:tc>
        <w:tc>
          <w:tcPr>
            <w:tcW w:w="1134" w:type="dxa"/>
            <w:hideMark/>
          </w:tcPr>
          <w:p w14:paraId="13B97C95"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-2.25**</w:t>
            </w:r>
          </w:p>
        </w:tc>
      </w:tr>
      <w:tr w:rsidR="0081596F" w:rsidRPr="0081596F" w14:paraId="00BB2C5C" w14:textId="77777777" w:rsidTr="0081596F">
        <w:tc>
          <w:tcPr>
            <w:tcW w:w="4617" w:type="dxa"/>
          </w:tcPr>
          <w:p w14:paraId="1E602D17" w14:textId="77777777" w:rsidR="0081596F" w:rsidRPr="0081596F" w:rsidRDefault="0081596F" w:rsidP="0081596F">
            <w:pPr>
              <w:spacing w:before="100" w:beforeAutospacing="1" w:after="100" w:afterAutospacing="1"/>
              <w:rPr>
                <w:sz w:val="20"/>
                <w:szCs w:val="20"/>
              </w:rPr>
            </w:pPr>
          </w:p>
        </w:tc>
        <w:tc>
          <w:tcPr>
            <w:tcW w:w="1048" w:type="dxa"/>
            <w:hideMark/>
          </w:tcPr>
          <w:p w14:paraId="6AAE9289"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(-2.46)</w:t>
            </w:r>
          </w:p>
        </w:tc>
        <w:tc>
          <w:tcPr>
            <w:tcW w:w="1134" w:type="dxa"/>
            <w:hideMark/>
          </w:tcPr>
          <w:p w14:paraId="4638810A"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(-2.51)</w:t>
            </w:r>
          </w:p>
        </w:tc>
      </w:tr>
      <w:tr w:rsidR="0081596F" w:rsidRPr="0081596F" w14:paraId="729E1FED" w14:textId="77777777" w:rsidTr="0081596F">
        <w:tc>
          <w:tcPr>
            <w:tcW w:w="4617" w:type="dxa"/>
            <w:hideMark/>
          </w:tcPr>
          <w:p w14:paraId="27A1831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Board Size</w:t>
            </w:r>
          </w:p>
        </w:tc>
        <w:tc>
          <w:tcPr>
            <w:tcW w:w="1048" w:type="dxa"/>
            <w:hideMark/>
          </w:tcPr>
          <w:p w14:paraId="7A2ECFA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0.021</w:t>
            </w:r>
          </w:p>
        </w:tc>
        <w:tc>
          <w:tcPr>
            <w:tcW w:w="1134" w:type="dxa"/>
            <w:hideMark/>
          </w:tcPr>
          <w:p w14:paraId="70E09417"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0.017</w:t>
            </w:r>
          </w:p>
        </w:tc>
      </w:tr>
      <w:tr w:rsidR="0081596F" w:rsidRPr="0081596F" w14:paraId="7CA70B19" w14:textId="77777777" w:rsidTr="0081596F">
        <w:tc>
          <w:tcPr>
            <w:tcW w:w="4617" w:type="dxa"/>
          </w:tcPr>
          <w:p w14:paraId="373BC4C1" w14:textId="77777777" w:rsidR="0081596F" w:rsidRPr="0081596F" w:rsidRDefault="0081596F" w:rsidP="0081596F">
            <w:pPr>
              <w:spacing w:before="100" w:beforeAutospacing="1" w:after="100" w:afterAutospacing="1"/>
              <w:rPr>
                <w:sz w:val="20"/>
                <w:szCs w:val="20"/>
              </w:rPr>
            </w:pPr>
          </w:p>
        </w:tc>
        <w:tc>
          <w:tcPr>
            <w:tcW w:w="1048" w:type="dxa"/>
            <w:hideMark/>
          </w:tcPr>
          <w:p w14:paraId="0AF7EB1F"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(0.43)</w:t>
            </w:r>
          </w:p>
        </w:tc>
        <w:tc>
          <w:tcPr>
            <w:tcW w:w="1134" w:type="dxa"/>
            <w:hideMark/>
          </w:tcPr>
          <w:p w14:paraId="6403B0E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(0.35)</w:t>
            </w:r>
          </w:p>
        </w:tc>
      </w:tr>
      <w:tr w:rsidR="0081596F" w:rsidRPr="0081596F" w14:paraId="2F64E646" w14:textId="77777777" w:rsidTr="0081596F">
        <w:tc>
          <w:tcPr>
            <w:tcW w:w="4617" w:type="dxa"/>
            <w:hideMark/>
          </w:tcPr>
          <w:p w14:paraId="2F61B53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Board Independence</w:t>
            </w:r>
          </w:p>
        </w:tc>
        <w:tc>
          <w:tcPr>
            <w:tcW w:w="1048" w:type="dxa"/>
            <w:hideMark/>
          </w:tcPr>
          <w:p w14:paraId="5271F7F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0.48**</w:t>
            </w:r>
          </w:p>
        </w:tc>
        <w:tc>
          <w:tcPr>
            <w:tcW w:w="1134" w:type="dxa"/>
            <w:hideMark/>
          </w:tcPr>
          <w:p w14:paraId="79438C2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0.51**</w:t>
            </w:r>
          </w:p>
        </w:tc>
      </w:tr>
      <w:tr w:rsidR="0081596F" w:rsidRPr="0081596F" w14:paraId="3B3A6536" w14:textId="77777777" w:rsidTr="0081596F">
        <w:tc>
          <w:tcPr>
            <w:tcW w:w="4617" w:type="dxa"/>
          </w:tcPr>
          <w:p w14:paraId="4CE2DC21" w14:textId="77777777" w:rsidR="0081596F" w:rsidRPr="0081596F" w:rsidRDefault="0081596F" w:rsidP="0081596F">
            <w:pPr>
              <w:spacing w:before="100" w:beforeAutospacing="1" w:after="100" w:afterAutospacing="1"/>
              <w:rPr>
                <w:sz w:val="20"/>
                <w:szCs w:val="20"/>
              </w:rPr>
            </w:pPr>
          </w:p>
        </w:tc>
        <w:tc>
          <w:tcPr>
            <w:tcW w:w="1048" w:type="dxa"/>
            <w:hideMark/>
          </w:tcPr>
          <w:p w14:paraId="3623A984"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(3.10)</w:t>
            </w:r>
          </w:p>
        </w:tc>
        <w:tc>
          <w:tcPr>
            <w:tcW w:w="1134" w:type="dxa"/>
            <w:hideMark/>
          </w:tcPr>
          <w:p w14:paraId="112B0A64"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(3.15)</w:t>
            </w:r>
          </w:p>
        </w:tc>
      </w:tr>
      <w:tr w:rsidR="0081596F" w:rsidRPr="0081596F" w14:paraId="1754DE73" w14:textId="77777777" w:rsidTr="0081596F">
        <w:tc>
          <w:tcPr>
            <w:tcW w:w="4617" w:type="dxa"/>
            <w:hideMark/>
          </w:tcPr>
          <w:p w14:paraId="4A499C0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Tobin's Q</w:t>
            </w:r>
          </w:p>
        </w:tc>
        <w:tc>
          <w:tcPr>
            <w:tcW w:w="1048" w:type="dxa"/>
            <w:hideMark/>
          </w:tcPr>
          <w:p w14:paraId="04F2FF4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0.98***</w:t>
            </w:r>
          </w:p>
        </w:tc>
        <w:tc>
          <w:tcPr>
            <w:tcW w:w="1134" w:type="dxa"/>
            <w:hideMark/>
          </w:tcPr>
          <w:p w14:paraId="7938E92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0.92***</w:t>
            </w:r>
          </w:p>
        </w:tc>
      </w:tr>
      <w:tr w:rsidR="0081596F" w:rsidRPr="0081596F" w14:paraId="71F12505" w14:textId="77777777" w:rsidTr="0081596F">
        <w:tc>
          <w:tcPr>
            <w:tcW w:w="4617" w:type="dxa"/>
          </w:tcPr>
          <w:p w14:paraId="2DE6A9A3" w14:textId="77777777" w:rsidR="0081596F" w:rsidRPr="0081596F" w:rsidRDefault="0081596F" w:rsidP="0081596F">
            <w:pPr>
              <w:spacing w:before="100" w:beforeAutospacing="1" w:after="100" w:afterAutospacing="1"/>
              <w:rPr>
                <w:sz w:val="20"/>
                <w:szCs w:val="20"/>
              </w:rPr>
            </w:pPr>
          </w:p>
        </w:tc>
        <w:tc>
          <w:tcPr>
            <w:tcW w:w="1048" w:type="dxa"/>
            <w:hideMark/>
          </w:tcPr>
          <w:p w14:paraId="05068D1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(3.47)</w:t>
            </w:r>
          </w:p>
        </w:tc>
        <w:tc>
          <w:tcPr>
            <w:tcW w:w="1134" w:type="dxa"/>
            <w:hideMark/>
          </w:tcPr>
          <w:p w14:paraId="67603C2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(3.39)</w:t>
            </w:r>
          </w:p>
        </w:tc>
      </w:tr>
      <w:tr w:rsidR="0081596F" w:rsidRPr="0081596F" w14:paraId="7E579FB6" w14:textId="77777777" w:rsidTr="0081596F">
        <w:tc>
          <w:tcPr>
            <w:tcW w:w="4617" w:type="dxa"/>
            <w:hideMark/>
          </w:tcPr>
          <w:p w14:paraId="4B262421"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Leverage</w:t>
            </w:r>
          </w:p>
        </w:tc>
        <w:tc>
          <w:tcPr>
            <w:tcW w:w="1048" w:type="dxa"/>
            <w:hideMark/>
          </w:tcPr>
          <w:p w14:paraId="1144F4CF"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-2.26**</w:t>
            </w:r>
          </w:p>
        </w:tc>
        <w:tc>
          <w:tcPr>
            <w:tcW w:w="1134" w:type="dxa"/>
            <w:hideMark/>
          </w:tcPr>
          <w:p w14:paraId="1D70757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-2.29**</w:t>
            </w:r>
          </w:p>
        </w:tc>
      </w:tr>
      <w:tr w:rsidR="0081596F" w:rsidRPr="0081596F" w14:paraId="293F6647" w14:textId="77777777" w:rsidTr="0081596F">
        <w:tc>
          <w:tcPr>
            <w:tcW w:w="4617" w:type="dxa"/>
          </w:tcPr>
          <w:p w14:paraId="0296F385" w14:textId="77777777" w:rsidR="0081596F" w:rsidRPr="0081596F" w:rsidRDefault="0081596F" w:rsidP="0081596F">
            <w:pPr>
              <w:spacing w:before="100" w:beforeAutospacing="1" w:after="100" w:afterAutospacing="1"/>
              <w:rPr>
                <w:sz w:val="20"/>
                <w:szCs w:val="20"/>
              </w:rPr>
            </w:pPr>
          </w:p>
        </w:tc>
        <w:tc>
          <w:tcPr>
            <w:tcW w:w="1048" w:type="dxa"/>
            <w:hideMark/>
          </w:tcPr>
          <w:p w14:paraId="7408E61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(-2.47)</w:t>
            </w:r>
          </w:p>
        </w:tc>
        <w:tc>
          <w:tcPr>
            <w:tcW w:w="1134" w:type="dxa"/>
            <w:hideMark/>
          </w:tcPr>
          <w:p w14:paraId="14700A14"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(-2.52)</w:t>
            </w:r>
          </w:p>
        </w:tc>
      </w:tr>
      <w:tr w:rsidR="0081596F" w:rsidRPr="0081596F" w14:paraId="1DE5DA8C" w14:textId="77777777" w:rsidTr="0081596F">
        <w:tc>
          <w:tcPr>
            <w:tcW w:w="4617" w:type="dxa"/>
            <w:hideMark/>
          </w:tcPr>
          <w:p w14:paraId="00437070"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Constant</w:t>
            </w:r>
          </w:p>
        </w:tc>
        <w:tc>
          <w:tcPr>
            <w:tcW w:w="1048" w:type="dxa"/>
            <w:hideMark/>
          </w:tcPr>
          <w:p w14:paraId="363D2678"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-0.66**</w:t>
            </w:r>
          </w:p>
        </w:tc>
        <w:tc>
          <w:tcPr>
            <w:tcW w:w="1134" w:type="dxa"/>
            <w:hideMark/>
          </w:tcPr>
          <w:p w14:paraId="62F9A2C2"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-0.83**</w:t>
            </w:r>
          </w:p>
        </w:tc>
      </w:tr>
      <w:tr w:rsidR="0081596F" w:rsidRPr="0081596F" w14:paraId="03F8F376" w14:textId="77777777" w:rsidTr="0081596F">
        <w:tc>
          <w:tcPr>
            <w:tcW w:w="4617" w:type="dxa"/>
          </w:tcPr>
          <w:p w14:paraId="15FE002F" w14:textId="77777777" w:rsidR="0081596F" w:rsidRPr="0081596F" w:rsidRDefault="0081596F" w:rsidP="0081596F">
            <w:pPr>
              <w:spacing w:before="100" w:beforeAutospacing="1" w:after="100" w:afterAutospacing="1"/>
              <w:rPr>
                <w:sz w:val="20"/>
                <w:szCs w:val="20"/>
              </w:rPr>
            </w:pPr>
          </w:p>
        </w:tc>
        <w:tc>
          <w:tcPr>
            <w:tcW w:w="1048" w:type="dxa"/>
            <w:hideMark/>
          </w:tcPr>
          <w:p w14:paraId="4C59BDF3"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(2.73)</w:t>
            </w:r>
          </w:p>
        </w:tc>
        <w:tc>
          <w:tcPr>
            <w:tcW w:w="1134" w:type="dxa"/>
            <w:hideMark/>
          </w:tcPr>
          <w:p w14:paraId="29D8F9EE"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(2.91)</w:t>
            </w:r>
          </w:p>
        </w:tc>
      </w:tr>
      <w:tr w:rsidR="0081596F" w:rsidRPr="0081596F" w14:paraId="0E043E49" w14:textId="77777777" w:rsidTr="0081596F">
        <w:tc>
          <w:tcPr>
            <w:tcW w:w="4617" w:type="dxa"/>
            <w:hideMark/>
          </w:tcPr>
          <w:p w14:paraId="00A09ABC"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R squared</w:t>
            </w:r>
          </w:p>
        </w:tc>
        <w:tc>
          <w:tcPr>
            <w:tcW w:w="1048" w:type="dxa"/>
            <w:hideMark/>
          </w:tcPr>
          <w:p w14:paraId="2C5CDFDC"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0.72</w:t>
            </w:r>
          </w:p>
        </w:tc>
        <w:tc>
          <w:tcPr>
            <w:tcW w:w="1134" w:type="dxa"/>
            <w:hideMark/>
          </w:tcPr>
          <w:p w14:paraId="0204D24B"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0.76</w:t>
            </w:r>
          </w:p>
        </w:tc>
      </w:tr>
      <w:tr w:rsidR="0081596F" w:rsidRPr="0081596F" w14:paraId="4A503142" w14:textId="77777777" w:rsidTr="0081596F">
        <w:trPr>
          <w:trHeight w:val="85"/>
        </w:trPr>
        <w:tc>
          <w:tcPr>
            <w:tcW w:w="4617" w:type="dxa"/>
            <w:tcBorders>
              <w:top w:val="nil"/>
              <w:left w:val="nil"/>
              <w:bottom w:val="single" w:sz="4" w:space="0" w:color="auto"/>
              <w:right w:val="nil"/>
            </w:tcBorders>
            <w:hideMark/>
          </w:tcPr>
          <w:p w14:paraId="53D626BD"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No. of observations</w:t>
            </w:r>
          </w:p>
        </w:tc>
        <w:tc>
          <w:tcPr>
            <w:tcW w:w="1048" w:type="dxa"/>
            <w:tcBorders>
              <w:top w:val="nil"/>
              <w:left w:val="nil"/>
              <w:bottom w:val="single" w:sz="4" w:space="0" w:color="auto"/>
              <w:right w:val="nil"/>
            </w:tcBorders>
            <w:hideMark/>
          </w:tcPr>
          <w:p w14:paraId="5998F9F0"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684</w:t>
            </w:r>
          </w:p>
        </w:tc>
        <w:tc>
          <w:tcPr>
            <w:tcW w:w="1134" w:type="dxa"/>
            <w:tcBorders>
              <w:top w:val="nil"/>
              <w:left w:val="nil"/>
              <w:bottom w:val="single" w:sz="4" w:space="0" w:color="auto"/>
              <w:right w:val="nil"/>
            </w:tcBorders>
            <w:hideMark/>
          </w:tcPr>
          <w:p w14:paraId="5CB9431A" w14:textId="77777777" w:rsidR="0081596F" w:rsidRPr="0081596F" w:rsidRDefault="0081596F" w:rsidP="0081596F">
            <w:pPr>
              <w:spacing w:before="100" w:beforeAutospacing="1" w:after="100" w:afterAutospacing="1"/>
              <w:rPr>
                <w:sz w:val="20"/>
                <w:szCs w:val="20"/>
              </w:rPr>
            </w:pPr>
            <w:r w:rsidRPr="0081596F">
              <w:rPr>
                <w:rFonts w:eastAsia="Calibri"/>
                <w:color w:val="000000"/>
                <w:sz w:val="20"/>
                <w:szCs w:val="20"/>
                <w:lang w:val="en-US"/>
              </w:rPr>
              <w:t>684</w:t>
            </w:r>
          </w:p>
        </w:tc>
      </w:tr>
    </w:tbl>
    <w:p w14:paraId="017E91A3" w14:textId="77777777" w:rsidR="0081596F" w:rsidRPr="0081596F" w:rsidRDefault="0081596F" w:rsidP="0081596F">
      <w:pPr>
        <w:autoSpaceDE w:val="0"/>
        <w:autoSpaceDN w:val="0"/>
        <w:adjustRightInd w:val="0"/>
        <w:ind w:left="360"/>
        <w:contextualSpacing/>
        <w:jc w:val="both"/>
        <w:rPr>
          <w:rFonts w:ascii="Calibri" w:eastAsia="Calibri" w:hAnsi="Calibri"/>
          <w:color w:val="000000" w:themeColor="text1"/>
          <w:sz w:val="20"/>
          <w:szCs w:val="20"/>
        </w:rPr>
      </w:pPr>
      <w:r w:rsidRPr="0081596F">
        <w:rPr>
          <w:rFonts w:eastAsia="Calibri"/>
          <w:sz w:val="20"/>
          <w:szCs w:val="20"/>
        </w:rPr>
        <w:t>Notes: The results show the determinants of short run announcement period returns and long run post-merger returns where the dependent variables 12-months and 24-months propensity score matched BHARs. The figures in parenthesis are the t-statistics. ***, ** and * represent 1%, 5% and 10% significance levels respectively.</w:t>
      </w:r>
    </w:p>
    <w:p w14:paraId="6FA5D9D4" w14:textId="77777777" w:rsidR="0081596F" w:rsidRPr="0081596F" w:rsidRDefault="0081596F" w:rsidP="0081596F">
      <w:pPr>
        <w:rPr>
          <w:rFonts w:ascii="Calibri" w:eastAsia="Calibri" w:hAnsi="Calibri"/>
        </w:rPr>
      </w:pPr>
    </w:p>
    <w:p w14:paraId="727A052D" w14:textId="2971DE2F" w:rsidR="001C05AC" w:rsidRPr="00917B10" w:rsidRDefault="001C05AC" w:rsidP="001C05AC">
      <w:pPr>
        <w:autoSpaceDE w:val="0"/>
        <w:autoSpaceDN w:val="0"/>
        <w:adjustRightInd w:val="0"/>
        <w:jc w:val="both"/>
        <w:rPr>
          <w:color w:val="FF0000"/>
        </w:rPr>
      </w:pPr>
      <w:bookmarkStart w:id="6" w:name="_GoBack"/>
      <w:bookmarkEnd w:id="6"/>
    </w:p>
    <w:p w14:paraId="12C88461" w14:textId="290601F6" w:rsidR="001B3056" w:rsidRPr="00FD3DB6" w:rsidRDefault="001B3056" w:rsidP="00E174BB">
      <w:pPr>
        <w:jc w:val="center"/>
        <w:rPr>
          <w:color w:val="000000" w:themeColor="text1"/>
          <w:sz w:val="20"/>
          <w:szCs w:val="20"/>
        </w:rPr>
      </w:pPr>
    </w:p>
    <w:sectPr w:rsidR="001B3056" w:rsidRPr="00FD3DB6" w:rsidSect="00944FF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8A56" w14:textId="77777777" w:rsidR="00CC59FF" w:rsidRDefault="00CC59FF" w:rsidP="008F42A6">
      <w:r>
        <w:separator/>
      </w:r>
    </w:p>
  </w:endnote>
  <w:endnote w:type="continuationSeparator" w:id="0">
    <w:p w14:paraId="226FE697" w14:textId="77777777" w:rsidR="00CC59FF" w:rsidRDefault="00CC59FF" w:rsidP="008F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455258"/>
      <w:docPartObj>
        <w:docPartGallery w:val="Page Numbers (Bottom of Page)"/>
        <w:docPartUnique/>
      </w:docPartObj>
    </w:sdtPr>
    <w:sdtEndPr>
      <w:rPr>
        <w:rStyle w:val="PageNumber"/>
      </w:rPr>
    </w:sdtEndPr>
    <w:sdtContent>
      <w:p w14:paraId="02EB99BF" w14:textId="77777777" w:rsidR="00990765" w:rsidRDefault="00990765" w:rsidP="00875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5D954" w14:textId="77777777" w:rsidR="00990765" w:rsidRDefault="00990765" w:rsidP="008751E9">
    <w:pPr>
      <w:pStyle w:val="Footer"/>
      <w:ind w:right="360"/>
    </w:pPr>
  </w:p>
  <w:p w14:paraId="7B1F340C" w14:textId="77777777" w:rsidR="00990765" w:rsidRDefault="00990765"/>
  <w:p w14:paraId="771C9A9B" w14:textId="77777777" w:rsidR="00990765" w:rsidRDefault="009907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393966"/>
      <w:docPartObj>
        <w:docPartGallery w:val="Page Numbers (Bottom of Page)"/>
        <w:docPartUnique/>
      </w:docPartObj>
    </w:sdtPr>
    <w:sdtEndPr>
      <w:rPr>
        <w:rStyle w:val="PageNumber"/>
      </w:rPr>
    </w:sdtEndPr>
    <w:sdtContent>
      <w:p w14:paraId="5E940BC9" w14:textId="77777777" w:rsidR="00990765" w:rsidRDefault="00990765" w:rsidP="00875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709516A7" w14:textId="77777777" w:rsidR="00990765" w:rsidRDefault="00990765" w:rsidP="008751E9">
    <w:pPr>
      <w:pStyle w:val="Footer"/>
      <w:ind w:right="360"/>
    </w:pPr>
  </w:p>
  <w:p w14:paraId="2292EF71" w14:textId="77777777" w:rsidR="00990765" w:rsidRDefault="00990765"/>
  <w:p w14:paraId="79F895BE" w14:textId="77777777" w:rsidR="00990765" w:rsidRDefault="00990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9278" w14:textId="77777777" w:rsidR="00CC59FF" w:rsidRDefault="00CC59FF" w:rsidP="008F42A6">
      <w:r>
        <w:separator/>
      </w:r>
    </w:p>
  </w:footnote>
  <w:footnote w:type="continuationSeparator" w:id="0">
    <w:p w14:paraId="2B8FBC7C" w14:textId="77777777" w:rsidR="00CC59FF" w:rsidRDefault="00CC59FF" w:rsidP="008F42A6">
      <w:r>
        <w:continuationSeparator/>
      </w:r>
    </w:p>
  </w:footnote>
  <w:footnote w:id="1">
    <w:p w14:paraId="104CB66E" w14:textId="77777777" w:rsidR="00990765" w:rsidRPr="0082613E" w:rsidRDefault="00990765" w:rsidP="000C5499">
      <w:pPr>
        <w:pStyle w:val="FootnoteText"/>
        <w:jc w:val="both"/>
        <w:rPr>
          <w:rFonts w:ascii="Times New Roman" w:hAnsi="Times New Roman" w:cs="Times New Roman"/>
        </w:rPr>
      </w:pPr>
      <w:r w:rsidRPr="0082613E">
        <w:rPr>
          <w:rStyle w:val="FootnoteReference"/>
          <w:rFonts w:ascii="Times New Roman" w:hAnsi="Times New Roman" w:cs="Times New Roman"/>
        </w:rPr>
        <w:footnoteRef/>
      </w:r>
      <w:r w:rsidRPr="0082613E">
        <w:rPr>
          <w:rFonts w:ascii="Times New Roman" w:hAnsi="Times New Roman" w:cs="Times New Roman"/>
        </w:rPr>
        <w:t xml:space="preserve"> In this study, the terms, acquisitions, mergers and takeovers have been used interchangeably.</w:t>
      </w:r>
    </w:p>
  </w:footnote>
  <w:footnote w:id="2">
    <w:p w14:paraId="033648C2" w14:textId="258A8506" w:rsidR="00990765" w:rsidRPr="0082613E" w:rsidRDefault="00990765" w:rsidP="000C5499">
      <w:pPr>
        <w:pStyle w:val="FootnoteText"/>
        <w:jc w:val="both"/>
        <w:rPr>
          <w:rFonts w:ascii="Times New Roman" w:hAnsi="Times New Roman" w:cs="Times New Roman"/>
        </w:rPr>
      </w:pPr>
      <w:r w:rsidRPr="0082613E">
        <w:rPr>
          <w:rStyle w:val="FootnoteReference"/>
          <w:rFonts w:ascii="Times New Roman" w:hAnsi="Times New Roman" w:cs="Times New Roman"/>
        </w:rPr>
        <w:footnoteRef/>
      </w:r>
      <w:r w:rsidRPr="0082613E">
        <w:rPr>
          <w:rFonts w:ascii="Times New Roman" w:hAnsi="Times New Roman" w:cs="Times New Roman"/>
        </w:rPr>
        <w:t xml:space="preserve"> See </w:t>
      </w:r>
      <w:r w:rsidRPr="0082613E">
        <w:rPr>
          <w:rFonts w:ascii="Times New Roman" w:hAnsi="Times New Roman" w:cs="Times New Roman"/>
          <w:color w:val="000000" w:themeColor="text1"/>
        </w:rPr>
        <w:t xml:space="preserve">Bradley et al. </w:t>
      </w:r>
      <w:r w:rsidRPr="0082613E">
        <w:rPr>
          <w:rFonts w:ascii="Times New Roman" w:hAnsi="Times New Roman" w:cs="Times New Roman"/>
          <w:lang w:val="en-US"/>
        </w:rPr>
        <w:t xml:space="preserve">(1988), </w:t>
      </w:r>
      <w:r w:rsidRPr="0082613E">
        <w:rPr>
          <w:rFonts w:ascii="Times New Roman" w:hAnsi="Times New Roman" w:cs="Times New Roman"/>
          <w:color w:val="000000" w:themeColor="text1"/>
        </w:rPr>
        <w:t xml:space="preserve">Moeller et al. </w:t>
      </w:r>
      <w:r w:rsidRPr="0082613E">
        <w:rPr>
          <w:rFonts w:ascii="Times New Roman" w:hAnsi="Times New Roman" w:cs="Times New Roman"/>
          <w:color w:val="231F20"/>
          <w:lang w:val="en-US"/>
        </w:rPr>
        <w:t xml:space="preserve">(2004) and </w:t>
      </w:r>
      <w:r w:rsidRPr="0082613E">
        <w:rPr>
          <w:rFonts w:ascii="Times New Roman" w:hAnsi="Times New Roman" w:cs="Times New Roman"/>
          <w:color w:val="000000" w:themeColor="text1"/>
        </w:rPr>
        <w:t>Antoniou et al.</w:t>
      </w:r>
      <w:r w:rsidRPr="0082613E">
        <w:rPr>
          <w:rFonts w:ascii="Times New Roman" w:hAnsi="Times New Roman" w:cs="Times New Roman"/>
          <w:color w:val="231F20"/>
          <w:lang w:val="en-US"/>
        </w:rPr>
        <w:t xml:space="preserve"> (2007).</w:t>
      </w:r>
    </w:p>
  </w:footnote>
  <w:footnote w:id="3">
    <w:p w14:paraId="5491F4D8" w14:textId="3BACC1B6" w:rsidR="00990765" w:rsidRPr="00B43D9C" w:rsidRDefault="00990765" w:rsidP="000C5499">
      <w:pPr>
        <w:pStyle w:val="FootnoteText"/>
        <w:jc w:val="both"/>
        <w:rPr>
          <w:rFonts w:ascii="Times New Roman" w:hAnsi="Times New Roman" w:cs="Times New Roman"/>
        </w:rPr>
      </w:pPr>
      <w:r w:rsidRPr="0082613E">
        <w:rPr>
          <w:rStyle w:val="FootnoteReference"/>
          <w:rFonts w:ascii="Times New Roman" w:hAnsi="Times New Roman" w:cs="Times New Roman"/>
        </w:rPr>
        <w:footnoteRef/>
      </w:r>
      <w:r w:rsidRPr="0082613E">
        <w:rPr>
          <w:rFonts w:ascii="Times New Roman" w:hAnsi="Times New Roman" w:cs="Times New Roman"/>
        </w:rPr>
        <w:t xml:space="preserve"> </w:t>
      </w:r>
      <w:r w:rsidRPr="00B43D9C">
        <w:rPr>
          <w:rFonts w:ascii="Times New Roman" w:hAnsi="Times New Roman" w:cs="Times New Roman"/>
          <w:color w:val="231F20"/>
          <w:lang w:val="en-US"/>
        </w:rPr>
        <w:t>See Rau and Vermaelen (1998)</w:t>
      </w:r>
      <w:r>
        <w:rPr>
          <w:rFonts w:ascii="Times New Roman" w:hAnsi="Times New Roman" w:cs="Times New Roman"/>
          <w:color w:val="231F20"/>
          <w:lang w:val="en-US"/>
        </w:rPr>
        <w:t>,</w:t>
      </w:r>
      <w:r w:rsidRPr="00B43D9C">
        <w:rPr>
          <w:rFonts w:ascii="Times New Roman" w:hAnsi="Times New Roman" w:cs="Times New Roman"/>
          <w:color w:val="231F20"/>
          <w:lang w:val="en-US"/>
        </w:rPr>
        <w:t xml:space="preserve"> </w:t>
      </w:r>
      <w:r w:rsidRPr="00B43D9C">
        <w:rPr>
          <w:rFonts w:ascii="Times New Roman" w:hAnsi="Times New Roman" w:cs="Times New Roman"/>
          <w:color w:val="000000" w:themeColor="text1"/>
        </w:rPr>
        <w:t>Megginson et al.</w:t>
      </w:r>
      <w:r w:rsidRPr="00B43D9C">
        <w:rPr>
          <w:rFonts w:ascii="Times New Roman" w:hAnsi="Times New Roman" w:cs="Times New Roman"/>
          <w:color w:val="231F20"/>
          <w:lang w:val="en-US"/>
        </w:rPr>
        <w:t xml:space="preserve"> (2004) and Datta et al. (2013).</w:t>
      </w:r>
    </w:p>
  </w:footnote>
  <w:footnote w:id="4">
    <w:p w14:paraId="11F3679C" w14:textId="77777777" w:rsidR="00990765" w:rsidRPr="00363666" w:rsidRDefault="00990765" w:rsidP="00DA0F49">
      <w:pPr>
        <w:pStyle w:val="FootnoteText"/>
        <w:jc w:val="both"/>
        <w:rPr>
          <w:rFonts w:ascii="Times New Roman" w:hAnsi="Times New Roman" w:cs="Times New Roman"/>
        </w:rPr>
      </w:pPr>
      <w:r w:rsidRPr="00CE4B81">
        <w:rPr>
          <w:rStyle w:val="FootnoteReference"/>
          <w:rFonts w:ascii="Times New Roman" w:hAnsi="Times New Roman" w:cs="Times New Roman"/>
        </w:rPr>
        <w:footnoteRef/>
      </w:r>
      <w:r w:rsidRPr="00CE4B81">
        <w:rPr>
          <w:rFonts w:ascii="Times New Roman" w:hAnsi="Times New Roman" w:cs="Times New Roman"/>
        </w:rPr>
        <w:t xml:space="preserve"> </w:t>
      </w:r>
      <w:r w:rsidRPr="00CE4B81">
        <w:rPr>
          <w:rFonts w:ascii="Times New Roman" w:hAnsi="Times New Roman" w:cs="Times New Roman"/>
          <w:color w:val="000033"/>
          <w:lang w:val="en-US"/>
        </w:rPr>
        <w:t>Agrawal, Jaffe, and Mandelker (1992), Loughran and Vijh (1997) and Mitchell and Stafford (2000) are based on US data whereas our study is based on the UK data.</w:t>
      </w:r>
    </w:p>
  </w:footnote>
  <w:footnote w:id="5">
    <w:p w14:paraId="676FAA65" w14:textId="77777777" w:rsidR="00990765" w:rsidRPr="00965E09" w:rsidRDefault="00990765" w:rsidP="00AE167B">
      <w:pPr>
        <w:pStyle w:val="FootnoteText"/>
        <w:jc w:val="both"/>
        <w:rPr>
          <w:rFonts w:ascii="Times New Roman" w:hAnsi="Times New Roman" w:cs="Times New Roman"/>
        </w:rPr>
      </w:pPr>
      <w:r w:rsidRPr="00965E09">
        <w:rPr>
          <w:rStyle w:val="FootnoteReference"/>
          <w:rFonts w:ascii="Times New Roman" w:hAnsi="Times New Roman" w:cs="Times New Roman"/>
        </w:rPr>
        <w:footnoteRef/>
      </w:r>
      <w:r w:rsidRPr="00965E09">
        <w:rPr>
          <w:rFonts w:ascii="Times New Roman" w:hAnsi="Times New Roman" w:cs="Times New Roman"/>
        </w:rPr>
        <w:t xml:space="preserve"> This belief is also </w:t>
      </w:r>
      <w:r>
        <w:rPr>
          <w:rFonts w:ascii="Times New Roman" w:hAnsi="Times New Roman" w:cs="Times New Roman"/>
        </w:rPr>
        <w:t>in line</w:t>
      </w:r>
      <w:r w:rsidRPr="00965E09">
        <w:rPr>
          <w:rFonts w:ascii="Times New Roman" w:hAnsi="Times New Roman" w:cs="Times New Roman"/>
        </w:rPr>
        <w:t xml:space="preserve"> with Heaton (2002),</w:t>
      </w:r>
      <w:r>
        <w:rPr>
          <w:rFonts w:ascii="Times New Roman" w:hAnsi="Times New Roman" w:cs="Times New Roman"/>
        </w:rPr>
        <w:t xml:space="preserve"> who asserts that managers conduct numerous projects due to their overconfidence. </w:t>
      </w:r>
    </w:p>
  </w:footnote>
  <w:footnote w:id="6">
    <w:p w14:paraId="45D928EA" w14:textId="77777777" w:rsidR="00990765" w:rsidRDefault="00990765" w:rsidP="00C91C84">
      <w:pPr>
        <w:pStyle w:val="FootnoteText"/>
      </w:pPr>
      <w:r>
        <w:rPr>
          <w:rStyle w:val="FootnoteReference"/>
        </w:rPr>
        <w:footnoteRef/>
      </w:r>
      <w:r>
        <w:t xml:space="preserve"> </w:t>
      </w:r>
      <w:hyperlink r:id="rId1" w:history="1">
        <w:r w:rsidRPr="008B6D10">
          <w:rPr>
            <w:rFonts w:ascii="Times New Roman" w:eastAsia="Times New Roman" w:hAnsi="Times New Roman" w:cs="Times New Roman"/>
            <w:color w:val="0000FF"/>
            <w:u w:val="single"/>
          </w:rPr>
          <w:t>Mergers and acquisitions involving UK companies, annual overview - Office for National Statistics</w:t>
        </w:r>
      </w:hyperlink>
    </w:p>
  </w:footnote>
  <w:footnote w:id="7">
    <w:p w14:paraId="37036FBD" w14:textId="77777777" w:rsidR="00990765" w:rsidRPr="0082613E" w:rsidRDefault="00990765" w:rsidP="00C91C84">
      <w:pPr>
        <w:pStyle w:val="FootnoteText"/>
        <w:rPr>
          <w:rFonts w:ascii="Times New Roman" w:hAnsi="Times New Roman" w:cs="Times New Roman"/>
        </w:rPr>
      </w:pPr>
      <w:r w:rsidRPr="0082613E">
        <w:rPr>
          <w:rStyle w:val="FootnoteReference"/>
          <w:rFonts w:ascii="Times New Roman" w:hAnsi="Times New Roman" w:cs="Times New Roman"/>
        </w:rPr>
        <w:footnoteRef/>
      </w:r>
      <w:r w:rsidRPr="0082613E">
        <w:rPr>
          <w:rFonts w:ascii="Times New Roman" w:hAnsi="Times New Roman" w:cs="Times New Roman"/>
        </w:rPr>
        <w:t xml:space="preserve"> </w:t>
      </w:r>
      <w:hyperlink r:id="rId2" w:history="1">
        <w:r w:rsidRPr="0082613E">
          <w:rPr>
            <w:rStyle w:val="Hyperlink"/>
            <w:rFonts w:ascii="Times New Roman" w:hAnsi="Times New Roman" w:cs="Times New Roman"/>
          </w:rPr>
          <w:t>https://www.ey.com/en_uk/ccb/united-kingdom-mergers-acquisitions</w:t>
        </w:r>
      </w:hyperlink>
      <w:r w:rsidRPr="0082613E">
        <w:rPr>
          <w:rFonts w:ascii="Times New Roman" w:hAnsi="Times New Roman" w:cs="Times New Roman"/>
        </w:rPr>
        <w:t xml:space="preserve"> </w:t>
      </w:r>
    </w:p>
  </w:footnote>
  <w:footnote w:id="8">
    <w:p w14:paraId="41E8CC51" w14:textId="77777777" w:rsidR="00990765" w:rsidRPr="0046320E" w:rsidRDefault="00990765" w:rsidP="00CE2C76">
      <w:pPr>
        <w:pStyle w:val="FootnoteText"/>
        <w:rPr>
          <w:rFonts w:ascii="Times New Roman" w:hAnsi="Times New Roman" w:cs="Times New Roman"/>
        </w:rPr>
      </w:pPr>
      <w:r w:rsidRPr="0046320E">
        <w:rPr>
          <w:rStyle w:val="FootnoteReference"/>
          <w:rFonts w:ascii="Times New Roman" w:hAnsi="Times New Roman" w:cs="Times New Roman"/>
        </w:rPr>
        <w:footnoteRef/>
      </w:r>
      <w:r w:rsidRPr="0046320E">
        <w:rPr>
          <w:rFonts w:ascii="Times New Roman" w:hAnsi="Times New Roman" w:cs="Times New Roman"/>
        </w:rPr>
        <w:t xml:space="preserve"> This result </w:t>
      </w:r>
      <w:r>
        <w:rPr>
          <w:rFonts w:ascii="Times New Roman" w:hAnsi="Times New Roman" w:cs="Times New Roman"/>
        </w:rPr>
        <w:t>supports</w:t>
      </w:r>
      <w:r w:rsidRPr="0046320E">
        <w:rPr>
          <w:rFonts w:ascii="Times New Roman" w:hAnsi="Times New Roman" w:cs="Times New Roman"/>
        </w:rPr>
        <w:t xml:space="preserve"> the findings of Billet </w:t>
      </w:r>
      <w:r>
        <w:rPr>
          <w:rFonts w:ascii="Times New Roman" w:hAnsi="Times New Roman" w:cs="Times New Roman"/>
        </w:rPr>
        <w:t>and</w:t>
      </w:r>
      <w:r w:rsidRPr="0046320E">
        <w:rPr>
          <w:rFonts w:ascii="Times New Roman" w:hAnsi="Times New Roman" w:cs="Times New Roman"/>
        </w:rPr>
        <w:t xml:space="preserve"> Qian (2008) on US M&amp;A.</w:t>
      </w:r>
    </w:p>
  </w:footnote>
  <w:footnote w:id="9">
    <w:p w14:paraId="4FCAC37C" w14:textId="794F0A14" w:rsidR="00990765" w:rsidRPr="00F42E14" w:rsidRDefault="00990765">
      <w:pPr>
        <w:pStyle w:val="FootnoteText"/>
        <w:rPr>
          <w:rFonts w:ascii="Times New Roman" w:hAnsi="Times New Roman" w:cs="Times New Roman"/>
        </w:rPr>
      </w:pPr>
      <w:r>
        <w:rPr>
          <w:rStyle w:val="FootnoteReference"/>
        </w:rPr>
        <w:footnoteRef/>
      </w:r>
      <w:r>
        <w:t xml:space="preserve"> </w:t>
      </w:r>
      <w:r w:rsidRPr="00F42E14">
        <w:rPr>
          <w:rFonts w:ascii="Times New Roman" w:hAnsi="Times New Roman" w:cs="Times New Roman"/>
        </w:rPr>
        <w:t>Doukas and Petmesaz (2007) measure overconfiden</w:t>
      </w:r>
      <w:r>
        <w:rPr>
          <w:rFonts w:ascii="Times New Roman" w:hAnsi="Times New Roman" w:cs="Times New Roman"/>
        </w:rPr>
        <w:t>t</w:t>
      </w:r>
      <w:r w:rsidRPr="00F42E14">
        <w:rPr>
          <w:rFonts w:ascii="Times New Roman" w:hAnsi="Times New Roman" w:cs="Times New Roman"/>
        </w:rPr>
        <w:t xml:space="preserve"> managers as those managers who engage in frequent acquisitions, that is five or more acquisitions within a span of five years.</w:t>
      </w:r>
    </w:p>
  </w:footnote>
  <w:footnote w:id="10">
    <w:p w14:paraId="1AF32149" w14:textId="77777777" w:rsidR="00990765" w:rsidRPr="00FA3682" w:rsidRDefault="00990765" w:rsidP="00CE2C76">
      <w:pPr>
        <w:autoSpaceDE w:val="0"/>
        <w:autoSpaceDN w:val="0"/>
        <w:adjustRightInd w:val="0"/>
        <w:jc w:val="both"/>
        <w:rPr>
          <w:sz w:val="20"/>
          <w:szCs w:val="20"/>
        </w:rPr>
      </w:pPr>
      <w:r w:rsidRPr="00FA3682">
        <w:rPr>
          <w:rStyle w:val="FootnoteReference"/>
          <w:sz w:val="20"/>
          <w:szCs w:val="20"/>
        </w:rPr>
        <w:footnoteRef/>
      </w:r>
      <w:r w:rsidRPr="00FA3682">
        <w:rPr>
          <w:sz w:val="20"/>
          <w:szCs w:val="20"/>
        </w:rPr>
        <w:t xml:space="preserve"> </w:t>
      </w:r>
      <w:r w:rsidRPr="00FA3682">
        <w:rPr>
          <w:sz w:val="20"/>
          <w:szCs w:val="20"/>
          <w:lang w:val="en-US"/>
        </w:rPr>
        <w:t xml:space="preserve">This </w:t>
      </w:r>
      <w:r>
        <w:rPr>
          <w:sz w:val="20"/>
          <w:szCs w:val="20"/>
          <w:lang w:val="en-US"/>
        </w:rPr>
        <w:t xml:space="preserve">supports the findings of </w:t>
      </w:r>
      <w:r w:rsidRPr="00FA3682">
        <w:rPr>
          <w:sz w:val="20"/>
          <w:szCs w:val="20"/>
          <w:lang w:val="en-US"/>
        </w:rPr>
        <w:t xml:space="preserve">Hansen (1987), </w:t>
      </w:r>
      <w:r>
        <w:rPr>
          <w:sz w:val="20"/>
          <w:szCs w:val="20"/>
          <w:lang w:val="en-US"/>
        </w:rPr>
        <w:t>who</w:t>
      </w:r>
      <w:r w:rsidRPr="00FA3682">
        <w:rPr>
          <w:sz w:val="20"/>
          <w:szCs w:val="20"/>
          <w:lang w:val="en-US"/>
        </w:rPr>
        <w:t xml:space="preserve"> showed </w:t>
      </w:r>
      <w:r>
        <w:rPr>
          <w:sz w:val="20"/>
          <w:szCs w:val="20"/>
          <w:lang w:val="en-US"/>
        </w:rPr>
        <w:t>that the</w:t>
      </w:r>
      <w:r w:rsidRPr="00FA3682">
        <w:rPr>
          <w:sz w:val="20"/>
          <w:szCs w:val="20"/>
          <w:lang w:val="en-US"/>
        </w:rPr>
        <w:t xml:space="preserve"> choice of </w:t>
      </w:r>
      <w:r>
        <w:rPr>
          <w:sz w:val="20"/>
          <w:szCs w:val="20"/>
          <w:lang w:val="en-US"/>
        </w:rPr>
        <w:t xml:space="preserve">cash </w:t>
      </w:r>
      <w:r w:rsidRPr="00FA3682">
        <w:rPr>
          <w:sz w:val="20"/>
          <w:szCs w:val="20"/>
          <w:lang w:val="en-US"/>
        </w:rPr>
        <w:t xml:space="preserve">payment indicates that acquirers presume to be more knowledgeable about gauging </w:t>
      </w:r>
      <w:r>
        <w:rPr>
          <w:sz w:val="20"/>
          <w:szCs w:val="20"/>
          <w:lang w:val="en-US"/>
        </w:rPr>
        <w:t>a target’s</w:t>
      </w:r>
      <w:r w:rsidRPr="00FA3682">
        <w:rPr>
          <w:sz w:val="20"/>
          <w:szCs w:val="20"/>
          <w:lang w:val="en-US"/>
        </w:rPr>
        <w:t xml:space="preserve">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5D5" w14:textId="77777777" w:rsidR="00990765" w:rsidRDefault="00990765">
    <w:pPr>
      <w:pStyle w:val="Header"/>
    </w:pPr>
  </w:p>
  <w:p w14:paraId="47BB50B6" w14:textId="77777777" w:rsidR="00990765" w:rsidRDefault="00990765">
    <w:pPr>
      <w:pStyle w:val="Header"/>
    </w:pPr>
  </w:p>
  <w:p w14:paraId="78142D85" w14:textId="77777777" w:rsidR="00990765" w:rsidRDefault="00990765"/>
  <w:p w14:paraId="39232FEB" w14:textId="77777777" w:rsidR="00990765" w:rsidRDefault="00990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7B9"/>
    <w:multiLevelType w:val="hybridMultilevel"/>
    <w:tmpl w:val="3B0E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20379"/>
    <w:multiLevelType w:val="hybridMultilevel"/>
    <w:tmpl w:val="3F2627A6"/>
    <w:lvl w:ilvl="0" w:tplc="61F690E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54960"/>
    <w:multiLevelType w:val="hybridMultilevel"/>
    <w:tmpl w:val="3EB288D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EB9078F"/>
    <w:multiLevelType w:val="hybridMultilevel"/>
    <w:tmpl w:val="6EE24A06"/>
    <w:lvl w:ilvl="0" w:tplc="6DAE3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23E2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BA44A5"/>
    <w:multiLevelType w:val="hybridMultilevel"/>
    <w:tmpl w:val="FCBA14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08A8"/>
    <w:multiLevelType w:val="multilevel"/>
    <w:tmpl w:val="7BE2FB28"/>
    <w:lvl w:ilvl="0">
      <w:start w:val="1"/>
      <w:numFmt w:val="decimal"/>
      <w:lvlText w:val="%1."/>
      <w:lvlJc w:val="left"/>
      <w:pPr>
        <w:ind w:left="360" w:hanging="360"/>
      </w:pPr>
      <w:rPr>
        <w:rFonts w:ascii="Times New Roman" w:hAnsi="Times New Roman" w:cs="Times New Roman" w:hint="default"/>
        <w:b/>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4016D5D"/>
    <w:multiLevelType w:val="hybridMultilevel"/>
    <w:tmpl w:val="A5AA09E8"/>
    <w:lvl w:ilvl="0" w:tplc="699AC992">
      <w:start w:val="1"/>
      <w:numFmt w:val="bullet"/>
      <w:lvlText w:val="•"/>
      <w:lvlJc w:val="left"/>
      <w:pPr>
        <w:tabs>
          <w:tab w:val="num" w:pos="720"/>
        </w:tabs>
        <w:ind w:left="720" w:hanging="360"/>
      </w:pPr>
      <w:rPr>
        <w:rFonts w:ascii="Arial" w:hAnsi="Arial" w:hint="default"/>
      </w:rPr>
    </w:lvl>
    <w:lvl w:ilvl="1" w:tplc="761C6B30" w:tentative="1">
      <w:start w:val="1"/>
      <w:numFmt w:val="bullet"/>
      <w:lvlText w:val="•"/>
      <w:lvlJc w:val="left"/>
      <w:pPr>
        <w:tabs>
          <w:tab w:val="num" w:pos="1440"/>
        </w:tabs>
        <w:ind w:left="1440" w:hanging="360"/>
      </w:pPr>
      <w:rPr>
        <w:rFonts w:ascii="Arial" w:hAnsi="Arial" w:hint="default"/>
      </w:rPr>
    </w:lvl>
    <w:lvl w:ilvl="2" w:tplc="876469A0" w:tentative="1">
      <w:start w:val="1"/>
      <w:numFmt w:val="bullet"/>
      <w:lvlText w:val="•"/>
      <w:lvlJc w:val="left"/>
      <w:pPr>
        <w:tabs>
          <w:tab w:val="num" w:pos="2160"/>
        </w:tabs>
        <w:ind w:left="2160" w:hanging="360"/>
      </w:pPr>
      <w:rPr>
        <w:rFonts w:ascii="Arial" w:hAnsi="Arial" w:hint="default"/>
      </w:rPr>
    </w:lvl>
    <w:lvl w:ilvl="3" w:tplc="7C14A3D0" w:tentative="1">
      <w:start w:val="1"/>
      <w:numFmt w:val="bullet"/>
      <w:lvlText w:val="•"/>
      <w:lvlJc w:val="left"/>
      <w:pPr>
        <w:tabs>
          <w:tab w:val="num" w:pos="2880"/>
        </w:tabs>
        <w:ind w:left="2880" w:hanging="360"/>
      </w:pPr>
      <w:rPr>
        <w:rFonts w:ascii="Arial" w:hAnsi="Arial" w:hint="default"/>
      </w:rPr>
    </w:lvl>
    <w:lvl w:ilvl="4" w:tplc="F0C4411E" w:tentative="1">
      <w:start w:val="1"/>
      <w:numFmt w:val="bullet"/>
      <w:lvlText w:val="•"/>
      <w:lvlJc w:val="left"/>
      <w:pPr>
        <w:tabs>
          <w:tab w:val="num" w:pos="3600"/>
        </w:tabs>
        <w:ind w:left="3600" w:hanging="360"/>
      </w:pPr>
      <w:rPr>
        <w:rFonts w:ascii="Arial" w:hAnsi="Arial" w:hint="default"/>
      </w:rPr>
    </w:lvl>
    <w:lvl w:ilvl="5" w:tplc="84203BAC" w:tentative="1">
      <w:start w:val="1"/>
      <w:numFmt w:val="bullet"/>
      <w:lvlText w:val="•"/>
      <w:lvlJc w:val="left"/>
      <w:pPr>
        <w:tabs>
          <w:tab w:val="num" w:pos="4320"/>
        </w:tabs>
        <w:ind w:left="4320" w:hanging="360"/>
      </w:pPr>
      <w:rPr>
        <w:rFonts w:ascii="Arial" w:hAnsi="Arial" w:hint="default"/>
      </w:rPr>
    </w:lvl>
    <w:lvl w:ilvl="6" w:tplc="960A7C5C" w:tentative="1">
      <w:start w:val="1"/>
      <w:numFmt w:val="bullet"/>
      <w:lvlText w:val="•"/>
      <w:lvlJc w:val="left"/>
      <w:pPr>
        <w:tabs>
          <w:tab w:val="num" w:pos="5040"/>
        </w:tabs>
        <w:ind w:left="5040" w:hanging="360"/>
      </w:pPr>
      <w:rPr>
        <w:rFonts w:ascii="Arial" w:hAnsi="Arial" w:hint="default"/>
      </w:rPr>
    </w:lvl>
    <w:lvl w:ilvl="7" w:tplc="65526018" w:tentative="1">
      <w:start w:val="1"/>
      <w:numFmt w:val="bullet"/>
      <w:lvlText w:val="•"/>
      <w:lvlJc w:val="left"/>
      <w:pPr>
        <w:tabs>
          <w:tab w:val="num" w:pos="5760"/>
        </w:tabs>
        <w:ind w:left="5760" w:hanging="360"/>
      </w:pPr>
      <w:rPr>
        <w:rFonts w:ascii="Arial" w:hAnsi="Arial" w:hint="default"/>
      </w:rPr>
    </w:lvl>
    <w:lvl w:ilvl="8" w:tplc="F886B8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C448F8"/>
    <w:multiLevelType w:val="hybridMultilevel"/>
    <w:tmpl w:val="808CF8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F2319"/>
    <w:multiLevelType w:val="hybridMultilevel"/>
    <w:tmpl w:val="2A52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017CC"/>
    <w:multiLevelType w:val="hybridMultilevel"/>
    <w:tmpl w:val="55809560"/>
    <w:lvl w:ilvl="0" w:tplc="FD76341E">
      <w:start w:val="1"/>
      <w:numFmt w:val="bullet"/>
      <w:lvlText w:val="•"/>
      <w:lvlJc w:val="left"/>
      <w:pPr>
        <w:tabs>
          <w:tab w:val="num" w:pos="720"/>
        </w:tabs>
        <w:ind w:left="720" w:hanging="360"/>
      </w:pPr>
      <w:rPr>
        <w:rFonts w:ascii="Arial" w:hAnsi="Arial" w:hint="default"/>
      </w:rPr>
    </w:lvl>
    <w:lvl w:ilvl="1" w:tplc="CC322C2A">
      <w:start w:val="1"/>
      <w:numFmt w:val="bullet"/>
      <w:lvlText w:val="•"/>
      <w:lvlJc w:val="left"/>
      <w:pPr>
        <w:tabs>
          <w:tab w:val="num" w:pos="1440"/>
        </w:tabs>
        <w:ind w:left="1440" w:hanging="360"/>
      </w:pPr>
      <w:rPr>
        <w:rFonts w:ascii="Arial" w:hAnsi="Arial" w:hint="default"/>
      </w:rPr>
    </w:lvl>
    <w:lvl w:ilvl="2" w:tplc="D19AA708" w:tentative="1">
      <w:start w:val="1"/>
      <w:numFmt w:val="bullet"/>
      <w:lvlText w:val="•"/>
      <w:lvlJc w:val="left"/>
      <w:pPr>
        <w:tabs>
          <w:tab w:val="num" w:pos="2160"/>
        </w:tabs>
        <w:ind w:left="2160" w:hanging="360"/>
      </w:pPr>
      <w:rPr>
        <w:rFonts w:ascii="Arial" w:hAnsi="Arial" w:hint="default"/>
      </w:rPr>
    </w:lvl>
    <w:lvl w:ilvl="3" w:tplc="822EA8A0" w:tentative="1">
      <w:start w:val="1"/>
      <w:numFmt w:val="bullet"/>
      <w:lvlText w:val="•"/>
      <w:lvlJc w:val="left"/>
      <w:pPr>
        <w:tabs>
          <w:tab w:val="num" w:pos="2880"/>
        </w:tabs>
        <w:ind w:left="2880" w:hanging="360"/>
      </w:pPr>
      <w:rPr>
        <w:rFonts w:ascii="Arial" w:hAnsi="Arial" w:hint="default"/>
      </w:rPr>
    </w:lvl>
    <w:lvl w:ilvl="4" w:tplc="977615B6" w:tentative="1">
      <w:start w:val="1"/>
      <w:numFmt w:val="bullet"/>
      <w:lvlText w:val="•"/>
      <w:lvlJc w:val="left"/>
      <w:pPr>
        <w:tabs>
          <w:tab w:val="num" w:pos="3600"/>
        </w:tabs>
        <w:ind w:left="3600" w:hanging="360"/>
      </w:pPr>
      <w:rPr>
        <w:rFonts w:ascii="Arial" w:hAnsi="Arial" w:hint="default"/>
      </w:rPr>
    </w:lvl>
    <w:lvl w:ilvl="5" w:tplc="6DDABD72" w:tentative="1">
      <w:start w:val="1"/>
      <w:numFmt w:val="bullet"/>
      <w:lvlText w:val="•"/>
      <w:lvlJc w:val="left"/>
      <w:pPr>
        <w:tabs>
          <w:tab w:val="num" w:pos="4320"/>
        </w:tabs>
        <w:ind w:left="4320" w:hanging="360"/>
      </w:pPr>
      <w:rPr>
        <w:rFonts w:ascii="Arial" w:hAnsi="Arial" w:hint="default"/>
      </w:rPr>
    </w:lvl>
    <w:lvl w:ilvl="6" w:tplc="4942BDE6" w:tentative="1">
      <w:start w:val="1"/>
      <w:numFmt w:val="bullet"/>
      <w:lvlText w:val="•"/>
      <w:lvlJc w:val="left"/>
      <w:pPr>
        <w:tabs>
          <w:tab w:val="num" w:pos="5040"/>
        </w:tabs>
        <w:ind w:left="5040" w:hanging="360"/>
      </w:pPr>
      <w:rPr>
        <w:rFonts w:ascii="Arial" w:hAnsi="Arial" w:hint="default"/>
      </w:rPr>
    </w:lvl>
    <w:lvl w:ilvl="7" w:tplc="93E43F82" w:tentative="1">
      <w:start w:val="1"/>
      <w:numFmt w:val="bullet"/>
      <w:lvlText w:val="•"/>
      <w:lvlJc w:val="left"/>
      <w:pPr>
        <w:tabs>
          <w:tab w:val="num" w:pos="5760"/>
        </w:tabs>
        <w:ind w:left="5760" w:hanging="360"/>
      </w:pPr>
      <w:rPr>
        <w:rFonts w:ascii="Arial" w:hAnsi="Arial" w:hint="default"/>
      </w:rPr>
    </w:lvl>
    <w:lvl w:ilvl="8" w:tplc="E68663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6D55F8"/>
    <w:multiLevelType w:val="hybridMultilevel"/>
    <w:tmpl w:val="A60A73B8"/>
    <w:lvl w:ilvl="0" w:tplc="C84A3C36">
      <w:start w:val="1"/>
      <w:numFmt w:val="bullet"/>
      <w:lvlText w:val="•"/>
      <w:lvlJc w:val="left"/>
      <w:pPr>
        <w:tabs>
          <w:tab w:val="num" w:pos="720"/>
        </w:tabs>
        <w:ind w:left="720" w:hanging="360"/>
      </w:pPr>
      <w:rPr>
        <w:rFonts w:ascii="Arial" w:hAnsi="Arial" w:hint="default"/>
      </w:rPr>
    </w:lvl>
    <w:lvl w:ilvl="1" w:tplc="53D0E164" w:tentative="1">
      <w:start w:val="1"/>
      <w:numFmt w:val="bullet"/>
      <w:lvlText w:val="•"/>
      <w:lvlJc w:val="left"/>
      <w:pPr>
        <w:tabs>
          <w:tab w:val="num" w:pos="1440"/>
        </w:tabs>
        <w:ind w:left="1440" w:hanging="360"/>
      </w:pPr>
      <w:rPr>
        <w:rFonts w:ascii="Arial" w:hAnsi="Arial" w:hint="default"/>
      </w:rPr>
    </w:lvl>
    <w:lvl w:ilvl="2" w:tplc="61CAD80C" w:tentative="1">
      <w:start w:val="1"/>
      <w:numFmt w:val="bullet"/>
      <w:lvlText w:val="•"/>
      <w:lvlJc w:val="left"/>
      <w:pPr>
        <w:tabs>
          <w:tab w:val="num" w:pos="2160"/>
        </w:tabs>
        <w:ind w:left="2160" w:hanging="360"/>
      </w:pPr>
      <w:rPr>
        <w:rFonts w:ascii="Arial" w:hAnsi="Arial" w:hint="default"/>
      </w:rPr>
    </w:lvl>
    <w:lvl w:ilvl="3" w:tplc="C0307608" w:tentative="1">
      <w:start w:val="1"/>
      <w:numFmt w:val="bullet"/>
      <w:lvlText w:val="•"/>
      <w:lvlJc w:val="left"/>
      <w:pPr>
        <w:tabs>
          <w:tab w:val="num" w:pos="2880"/>
        </w:tabs>
        <w:ind w:left="2880" w:hanging="360"/>
      </w:pPr>
      <w:rPr>
        <w:rFonts w:ascii="Arial" w:hAnsi="Arial" w:hint="default"/>
      </w:rPr>
    </w:lvl>
    <w:lvl w:ilvl="4" w:tplc="90FEFFBE" w:tentative="1">
      <w:start w:val="1"/>
      <w:numFmt w:val="bullet"/>
      <w:lvlText w:val="•"/>
      <w:lvlJc w:val="left"/>
      <w:pPr>
        <w:tabs>
          <w:tab w:val="num" w:pos="3600"/>
        </w:tabs>
        <w:ind w:left="3600" w:hanging="360"/>
      </w:pPr>
      <w:rPr>
        <w:rFonts w:ascii="Arial" w:hAnsi="Arial" w:hint="default"/>
      </w:rPr>
    </w:lvl>
    <w:lvl w:ilvl="5" w:tplc="AD8EBAF8" w:tentative="1">
      <w:start w:val="1"/>
      <w:numFmt w:val="bullet"/>
      <w:lvlText w:val="•"/>
      <w:lvlJc w:val="left"/>
      <w:pPr>
        <w:tabs>
          <w:tab w:val="num" w:pos="4320"/>
        </w:tabs>
        <w:ind w:left="4320" w:hanging="360"/>
      </w:pPr>
      <w:rPr>
        <w:rFonts w:ascii="Arial" w:hAnsi="Arial" w:hint="default"/>
      </w:rPr>
    </w:lvl>
    <w:lvl w:ilvl="6" w:tplc="37E84F0A" w:tentative="1">
      <w:start w:val="1"/>
      <w:numFmt w:val="bullet"/>
      <w:lvlText w:val="•"/>
      <w:lvlJc w:val="left"/>
      <w:pPr>
        <w:tabs>
          <w:tab w:val="num" w:pos="5040"/>
        </w:tabs>
        <w:ind w:left="5040" w:hanging="360"/>
      </w:pPr>
      <w:rPr>
        <w:rFonts w:ascii="Arial" w:hAnsi="Arial" w:hint="default"/>
      </w:rPr>
    </w:lvl>
    <w:lvl w:ilvl="7" w:tplc="C2163BD0" w:tentative="1">
      <w:start w:val="1"/>
      <w:numFmt w:val="bullet"/>
      <w:lvlText w:val="•"/>
      <w:lvlJc w:val="left"/>
      <w:pPr>
        <w:tabs>
          <w:tab w:val="num" w:pos="5760"/>
        </w:tabs>
        <w:ind w:left="5760" w:hanging="360"/>
      </w:pPr>
      <w:rPr>
        <w:rFonts w:ascii="Arial" w:hAnsi="Arial" w:hint="default"/>
      </w:rPr>
    </w:lvl>
    <w:lvl w:ilvl="8" w:tplc="EB34C3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8E6BAD"/>
    <w:multiLevelType w:val="hybridMultilevel"/>
    <w:tmpl w:val="3C2EFF94"/>
    <w:lvl w:ilvl="0" w:tplc="811A6864">
      <w:start w:val="1"/>
      <w:numFmt w:val="bullet"/>
      <w:lvlText w:val="•"/>
      <w:lvlJc w:val="left"/>
      <w:pPr>
        <w:tabs>
          <w:tab w:val="num" w:pos="720"/>
        </w:tabs>
        <w:ind w:left="720" w:hanging="360"/>
      </w:pPr>
      <w:rPr>
        <w:rFonts w:ascii="Arial" w:hAnsi="Arial" w:hint="default"/>
      </w:rPr>
    </w:lvl>
    <w:lvl w:ilvl="1" w:tplc="37C84732" w:tentative="1">
      <w:start w:val="1"/>
      <w:numFmt w:val="bullet"/>
      <w:lvlText w:val="•"/>
      <w:lvlJc w:val="left"/>
      <w:pPr>
        <w:tabs>
          <w:tab w:val="num" w:pos="1440"/>
        </w:tabs>
        <w:ind w:left="1440" w:hanging="360"/>
      </w:pPr>
      <w:rPr>
        <w:rFonts w:ascii="Arial" w:hAnsi="Arial" w:hint="default"/>
      </w:rPr>
    </w:lvl>
    <w:lvl w:ilvl="2" w:tplc="BF465978" w:tentative="1">
      <w:start w:val="1"/>
      <w:numFmt w:val="bullet"/>
      <w:lvlText w:val="•"/>
      <w:lvlJc w:val="left"/>
      <w:pPr>
        <w:tabs>
          <w:tab w:val="num" w:pos="2160"/>
        </w:tabs>
        <w:ind w:left="2160" w:hanging="360"/>
      </w:pPr>
      <w:rPr>
        <w:rFonts w:ascii="Arial" w:hAnsi="Arial" w:hint="default"/>
      </w:rPr>
    </w:lvl>
    <w:lvl w:ilvl="3" w:tplc="CBEA8AA8" w:tentative="1">
      <w:start w:val="1"/>
      <w:numFmt w:val="bullet"/>
      <w:lvlText w:val="•"/>
      <w:lvlJc w:val="left"/>
      <w:pPr>
        <w:tabs>
          <w:tab w:val="num" w:pos="2880"/>
        </w:tabs>
        <w:ind w:left="2880" w:hanging="360"/>
      </w:pPr>
      <w:rPr>
        <w:rFonts w:ascii="Arial" w:hAnsi="Arial" w:hint="default"/>
      </w:rPr>
    </w:lvl>
    <w:lvl w:ilvl="4" w:tplc="CD0E3BE6" w:tentative="1">
      <w:start w:val="1"/>
      <w:numFmt w:val="bullet"/>
      <w:lvlText w:val="•"/>
      <w:lvlJc w:val="left"/>
      <w:pPr>
        <w:tabs>
          <w:tab w:val="num" w:pos="3600"/>
        </w:tabs>
        <w:ind w:left="3600" w:hanging="360"/>
      </w:pPr>
      <w:rPr>
        <w:rFonts w:ascii="Arial" w:hAnsi="Arial" w:hint="default"/>
      </w:rPr>
    </w:lvl>
    <w:lvl w:ilvl="5" w:tplc="5F8CF858" w:tentative="1">
      <w:start w:val="1"/>
      <w:numFmt w:val="bullet"/>
      <w:lvlText w:val="•"/>
      <w:lvlJc w:val="left"/>
      <w:pPr>
        <w:tabs>
          <w:tab w:val="num" w:pos="4320"/>
        </w:tabs>
        <w:ind w:left="4320" w:hanging="360"/>
      </w:pPr>
      <w:rPr>
        <w:rFonts w:ascii="Arial" w:hAnsi="Arial" w:hint="default"/>
      </w:rPr>
    </w:lvl>
    <w:lvl w:ilvl="6" w:tplc="DC3EC192" w:tentative="1">
      <w:start w:val="1"/>
      <w:numFmt w:val="bullet"/>
      <w:lvlText w:val="•"/>
      <w:lvlJc w:val="left"/>
      <w:pPr>
        <w:tabs>
          <w:tab w:val="num" w:pos="5040"/>
        </w:tabs>
        <w:ind w:left="5040" w:hanging="360"/>
      </w:pPr>
      <w:rPr>
        <w:rFonts w:ascii="Arial" w:hAnsi="Arial" w:hint="default"/>
      </w:rPr>
    </w:lvl>
    <w:lvl w:ilvl="7" w:tplc="A1CA63D6" w:tentative="1">
      <w:start w:val="1"/>
      <w:numFmt w:val="bullet"/>
      <w:lvlText w:val="•"/>
      <w:lvlJc w:val="left"/>
      <w:pPr>
        <w:tabs>
          <w:tab w:val="num" w:pos="5760"/>
        </w:tabs>
        <w:ind w:left="5760" w:hanging="360"/>
      </w:pPr>
      <w:rPr>
        <w:rFonts w:ascii="Arial" w:hAnsi="Arial" w:hint="default"/>
      </w:rPr>
    </w:lvl>
    <w:lvl w:ilvl="8" w:tplc="A6AE0A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1675C2"/>
    <w:multiLevelType w:val="hybridMultilevel"/>
    <w:tmpl w:val="52A86FE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9"/>
  </w:num>
  <w:num w:numId="4">
    <w:abstractNumId w:val="1"/>
  </w:num>
  <w:num w:numId="5">
    <w:abstractNumId w:val="7"/>
  </w:num>
  <w:num w:numId="6">
    <w:abstractNumId w:val="10"/>
  </w:num>
  <w:num w:numId="7">
    <w:abstractNumId w:val="12"/>
  </w:num>
  <w:num w:numId="8">
    <w:abstractNumId w:val="0"/>
  </w:num>
  <w:num w:numId="9">
    <w:abstractNumId w:val="11"/>
  </w:num>
  <w:num w:numId="10">
    <w:abstractNumId w:val="13"/>
  </w:num>
  <w:num w:numId="11">
    <w:abstractNumId w:val="5"/>
  </w:num>
  <w:num w:numId="12">
    <w:abstractNumId w:val="8"/>
  </w:num>
  <w:num w:numId="13">
    <w:abstractNumId w:val="4"/>
  </w:num>
  <w:num w:numId="14">
    <w:abstractNumId w:val="3"/>
  </w:num>
  <w:num w:numId="15">
    <w:abstractNumId w:val="4"/>
    <w:lvlOverride w:ilvl="0">
      <w:startOverride w:val="4"/>
    </w:lvlOverride>
    <w:lvlOverride w:ilvl="1">
      <w:startOverride w:val="4"/>
    </w:lvlOverride>
  </w:num>
  <w:num w:numId="16">
    <w:abstractNumId w:val="4"/>
    <w:lvlOverride w:ilvl="0">
      <w:startOverride w:val="4"/>
    </w:lvlOverride>
    <w:lvlOverride w:ilvl="1">
      <w:startOverride w:val="3"/>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1"/>
    <w:rsid w:val="00002B59"/>
    <w:rsid w:val="00003580"/>
    <w:rsid w:val="00003C68"/>
    <w:rsid w:val="00005056"/>
    <w:rsid w:val="000053AD"/>
    <w:rsid w:val="00005652"/>
    <w:rsid w:val="00005949"/>
    <w:rsid w:val="00006137"/>
    <w:rsid w:val="000078E0"/>
    <w:rsid w:val="00007940"/>
    <w:rsid w:val="000109A8"/>
    <w:rsid w:val="00012544"/>
    <w:rsid w:val="000142F2"/>
    <w:rsid w:val="0001512F"/>
    <w:rsid w:val="00015B76"/>
    <w:rsid w:val="00022C93"/>
    <w:rsid w:val="000243CB"/>
    <w:rsid w:val="000252A6"/>
    <w:rsid w:val="000254ED"/>
    <w:rsid w:val="00025A91"/>
    <w:rsid w:val="000266BE"/>
    <w:rsid w:val="00030853"/>
    <w:rsid w:val="0003148F"/>
    <w:rsid w:val="00031C87"/>
    <w:rsid w:val="000329A0"/>
    <w:rsid w:val="000338B9"/>
    <w:rsid w:val="00035BD3"/>
    <w:rsid w:val="000362A4"/>
    <w:rsid w:val="00036C40"/>
    <w:rsid w:val="00036D11"/>
    <w:rsid w:val="000376EB"/>
    <w:rsid w:val="00037F2E"/>
    <w:rsid w:val="00041906"/>
    <w:rsid w:val="00041EB7"/>
    <w:rsid w:val="00042552"/>
    <w:rsid w:val="000431F6"/>
    <w:rsid w:val="00043705"/>
    <w:rsid w:val="00043941"/>
    <w:rsid w:val="00046917"/>
    <w:rsid w:val="00050526"/>
    <w:rsid w:val="000507CE"/>
    <w:rsid w:val="000520EF"/>
    <w:rsid w:val="000531EA"/>
    <w:rsid w:val="00056191"/>
    <w:rsid w:val="000611C2"/>
    <w:rsid w:val="00061942"/>
    <w:rsid w:val="000639A8"/>
    <w:rsid w:val="0007253B"/>
    <w:rsid w:val="00072A4D"/>
    <w:rsid w:val="0007342B"/>
    <w:rsid w:val="0007637A"/>
    <w:rsid w:val="00076907"/>
    <w:rsid w:val="00077DA7"/>
    <w:rsid w:val="00083907"/>
    <w:rsid w:val="00083B41"/>
    <w:rsid w:val="000859EF"/>
    <w:rsid w:val="00091150"/>
    <w:rsid w:val="0009120B"/>
    <w:rsid w:val="00091CA1"/>
    <w:rsid w:val="00095F34"/>
    <w:rsid w:val="000960EA"/>
    <w:rsid w:val="00096FAD"/>
    <w:rsid w:val="000A2F48"/>
    <w:rsid w:val="000A4BE4"/>
    <w:rsid w:val="000A6351"/>
    <w:rsid w:val="000A67B9"/>
    <w:rsid w:val="000B02E2"/>
    <w:rsid w:val="000B229F"/>
    <w:rsid w:val="000B2348"/>
    <w:rsid w:val="000B4DE1"/>
    <w:rsid w:val="000B52F0"/>
    <w:rsid w:val="000B6358"/>
    <w:rsid w:val="000C2A8B"/>
    <w:rsid w:val="000C50EC"/>
    <w:rsid w:val="000C5499"/>
    <w:rsid w:val="000C6FDC"/>
    <w:rsid w:val="000D09D4"/>
    <w:rsid w:val="000D1356"/>
    <w:rsid w:val="000D2225"/>
    <w:rsid w:val="000D2AB6"/>
    <w:rsid w:val="000D309B"/>
    <w:rsid w:val="000D33A3"/>
    <w:rsid w:val="000D4368"/>
    <w:rsid w:val="000D4B92"/>
    <w:rsid w:val="000D5F8B"/>
    <w:rsid w:val="000D63CB"/>
    <w:rsid w:val="000D7EEC"/>
    <w:rsid w:val="000D7F33"/>
    <w:rsid w:val="000E14C0"/>
    <w:rsid w:val="000E35D2"/>
    <w:rsid w:val="000E4240"/>
    <w:rsid w:val="000E42E1"/>
    <w:rsid w:val="000E48E8"/>
    <w:rsid w:val="000E6EBD"/>
    <w:rsid w:val="000F2953"/>
    <w:rsid w:val="000F3F99"/>
    <w:rsid w:val="00100A82"/>
    <w:rsid w:val="00101302"/>
    <w:rsid w:val="001052D6"/>
    <w:rsid w:val="001061AB"/>
    <w:rsid w:val="00111AFE"/>
    <w:rsid w:val="001127E8"/>
    <w:rsid w:val="00112AAB"/>
    <w:rsid w:val="00112AE8"/>
    <w:rsid w:val="00114F27"/>
    <w:rsid w:val="0011699C"/>
    <w:rsid w:val="001248DD"/>
    <w:rsid w:val="00126B7A"/>
    <w:rsid w:val="00127938"/>
    <w:rsid w:val="00133C7D"/>
    <w:rsid w:val="001342E5"/>
    <w:rsid w:val="00135CE0"/>
    <w:rsid w:val="00136897"/>
    <w:rsid w:val="00137811"/>
    <w:rsid w:val="00142533"/>
    <w:rsid w:val="00145B49"/>
    <w:rsid w:val="00147565"/>
    <w:rsid w:val="001479F6"/>
    <w:rsid w:val="0015049B"/>
    <w:rsid w:val="00150640"/>
    <w:rsid w:val="00151EB2"/>
    <w:rsid w:val="001547AC"/>
    <w:rsid w:val="001558B2"/>
    <w:rsid w:val="00157553"/>
    <w:rsid w:val="00157582"/>
    <w:rsid w:val="001576CA"/>
    <w:rsid w:val="00161CBB"/>
    <w:rsid w:val="00162BE6"/>
    <w:rsid w:val="00164798"/>
    <w:rsid w:val="00164A9F"/>
    <w:rsid w:val="001655F1"/>
    <w:rsid w:val="00166964"/>
    <w:rsid w:val="00172810"/>
    <w:rsid w:val="001752AE"/>
    <w:rsid w:val="00180432"/>
    <w:rsid w:val="00182E8C"/>
    <w:rsid w:val="00184F6F"/>
    <w:rsid w:val="00185746"/>
    <w:rsid w:val="00185BFF"/>
    <w:rsid w:val="00187597"/>
    <w:rsid w:val="001900AC"/>
    <w:rsid w:val="00193C8C"/>
    <w:rsid w:val="0019671F"/>
    <w:rsid w:val="00196E3E"/>
    <w:rsid w:val="001A1B72"/>
    <w:rsid w:val="001A38E8"/>
    <w:rsid w:val="001A3D14"/>
    <w:rsid w:val="001A3F47"/>
    <w:rsid w:val="001A41DA"/>
    <w:rsid w:val="001A43F9"/>
    <w:rsid w:val="001A4B56"/>
    <w:rsid w:val="001A725E"/>
    <w:rsid w:val="001A74F2"/>
    <w:rsid w:val="001B0615"/>
    <w:rsid w:val="001B0C7A"/>
    <w:rsid w:val="001B217F"/>
    <w:rsid w:val="001B3056"/>
    <w:rsid w:val="001B3113"/>
    <w:rsid w:val="001B3E6D"/>
    <w:rsid w:val="001B5016"/>
    <w:rsid w:val="001B5127"/>
    <w:rsid w:val="001B5142"/>
    <w:rsid w:val="001C05AC"/>
    <w:rsid w:val="001C097A"/>
    <w:rsid w:val="001C11FE"/>
    <w:rsid w:val="001C183C"/>
    <w:rsid w:val="001C1B81"/>
    <w:rsid w:val="001C5CC4"/>
    <w:rsid w:val="001C63CE"/>
    <w:rsid w:val="001C73A2"/>
    <w:rsid w:val="001D16F9"/>
    <w:rsid w:val="001D4B81"/>
    <w:rsid w:val="001D519A"/>
    <w:rsid w:val="001D6489"/>
    <w:rsid w:val="001E1C52"/>
    <w:rsid w:val="001E46B4"/>
    <w:rsid w:val="001E5A0E"/>
    <w:rsid w:val="001E681A"/>
    <w:rsid w:val="001E7353"/>
    <w:rsid w:val="001E7A57"/>
    <w:rsid w:val="001F1089"/>
    <w:rsid w:val="001F13A8"/>
    <w:rsid w:val="001F1446"/>
    <w:rsid w:val="001F1E4B"/>
    <w:rsid w:val="001F24F2"/>
    <w:rsid w:val="001F3CF2"/>
    <w:rsid w:val="001F51C3"/>
    <w:rsid w:val="001F6416"/>
    <w:rsid w:val="001F7419"/>
    <w:rsid w:val="001F77C3"/>
    <w:rsid w:val="00200A27"/>
    <w:rsid w:val="00202859"/>
    <w:rsid w:val="00204370"/>
    <w:rsid w:val="00204A56"/>
    <w:rsid w:val="00205AC2"/>
    <w:rsid w:val="00207B53"/>
    <w:rsid w:val="002109BD"/>
    <w:rsid w:val="002111A2"/>
    <w:rsid w:val="00211217"/>
    <w:rsid w:val="00212629"/>
    <w:rsid w:val="0021563A"/>
    <w:rsid w:val="002168DD"/>
    <w:rsid w:val="0021770C"/>
    <w:rsid w:val="00220921"/>
    <w:rsid w:val="00221BC9"/>
    <w:rsid w:val="002247B5"/>
    <w:rsid w:val="0022493F"/>
    <w:rsid w:val="00224FC1"/>
    <w:rsid w:val="00225436"/>
    <w:rsid w:val="00226267"/>
    <w:rsid w:val="00226BCD"/>
    <w:rsid w:val="00226EC0"/>
    <w:rsid w:val="002310F1"/>
    <w:rsid w:val="00233880"/>
    <w:rsid w:val="002359E0"/>
    <w:rsid w:val="00235B43"/>
    <w:rsid w:val="0023708E"/>
    <w:rsid w:val="002376CE"/>
    <w:rsid w:val="00237CA0"/>
    <w:rsid w:val="00240199"/>
    <w:rsid w:val="00240DCC"/>
    <w:rsid w:val="00246D8B"/>
    <w:rsid w:val="00250452"/>
    <w:rsid w:val="00252495"/>
    <w:rsid w:val="00255D8E"/>
    <w:rsid w:val="00256D2F"/>
    <w:rsid w:val="00256E4B"/>
    <w:rsid w:val="00257D9C"/>
    <w:rsid w:val="0026039A"/>
    <w:rsid w:val="0026187E"/>
    <w:rsid w:val="002637D4"/>
    <w:rsid w:val="00265068"/>
    <w:rsid w:val="00267B30"/>
    <w:rsid w:val="0027008F"/>
    <w:rsid w:val="002706CF"/>
    <w:rsid w:val="00272241"/>
    <w:rsid w:val="00275528"/>
    <w:rsid w:val="00275E3E"/>
    <w:rsid w:val="0027730B"/>
    <w:rsid w:val="0027753C"/>
    <w:rsid w:val="002775B0"/>
    <w:rsid w:val="00277CA4"/>
    <w:rsid w:val="00280FBB"/>
    <w:rsid w:val="002817EE"/>
    <w:rsid w:val="0028207E"/>
    <w:rsid w:val="002820A8"/>
    <w:rsid w:val="002833A3"/>
    <w:rsid w:val="002838F8"/>
    <w:rsid w:val="002855A8"/>
    <w:rsid w:val="00286B19"/>
    <w:rsid w:val="00286B71"/>
    <w:rsid w:val="00291FD1"/>
    <w:rsid w:val="00293673"/>
    <w:rsid w:val="002A205F"/>
    <w:rsid w:val="002A2096"/>
    <w:rsid w:val="002A2DAF"/>
    <w:rsid w:val="002A34AC"/>
    <w:rsid w:val="002A3B99"/>
    <w:rsid w:val="002A6FC5"/>
    <w:rsid w:val="002B1916"/>
    <w:rsid w:val="002B39FB"/>
    <w:rsid w:val="002B3B11"/>
    <w:rsid w:val="002B4393"/>
    <w:rsid w:val="002C039C"/>
    <w:rsid w:val="002C2D98"/>
    <w:rsid w:val="002C3851"/>
    <w:rsid w:val="002C4115"/>
    <w:rsid w:val="002C5BE2"/>
    <w:rsid w:val="002D2BEC"/>
    <w:rsid w:val="002D2D24"/>
    <w:rsid w:val="002D4714"/>
    <w:rsid w:val="002D5CB9"/>
    <w:rsid w:val="002D7A18"/>
    <w:rsid w:val="002D7F37"/>
    <w:rsid w:val="002D7F8A"/>
    <w:rsid w:val="002E04BF"/>
    <w:rsid w:val="002E1709"/>
    <w:rsid w:val="002E73E6"/>
    <w:rsid w:val="002F1164"/>
    <w:rsid w:val="002F15B7"/>
    <w:rsid w:val="002F18E8"/>
    <w:rsid w:val="002F4E4D"/>
    <w:rsid w:val="002F5BF7"/>
    <w:rsid w:val="002F60C8"/>
    <w:rsid w:val="002F7967"/>
    <w:rsid w:val="00301F04"/>
    <w:rsid w:val="003067A3"/>
    <w:rsid w:val="00310139"/>
    <w:rsid w:val="00310654"/>
    <w:rsid w:val="00311C01"/>
    <w:rsid w:val="00313299"/>
    <w:rsid w:val="00315C12"/>
    <w:rsid w:val="00321CA9"/>
    <w:rsid w:val="00323593"/>
    <w:rsid w:val="00323781"/>
    <w:rsid w:val="00324A75"/>
    <w:rsid w:val="0032503F"/>
    <w:rsid w:val="00326294"/>
    <w:rsid w:val="003316D4"/>
    <w:rsid w:val="00332694"/>
    <w:rsid w:val="00332C7A"/>
    <w:rsid w:val="0033521F"/>
    <w:rsid w:val="00337645"/>
    <w:rsid w:val="00337B3B"/>
    <w:rsid w:val="003422A5"/>
    <w:rsid w:val="00343E99"/>
    <w:rsid w:val="00344953"/>
    <w:rsid w:val="003460DE"/>
    <w:rsid w:val="0034675F"/>
    <w:rsid w:val="00346BB5"/>
    <w:rsid w:val="0035092B"/>
    <w:rsid w:val="0035182B"/>
    <w:rsid w:val="0035514E"/>
    <w:rsid w:val="00357BD7"/>
    <w:rsid w:val="003605C8"/>
    <w:rsid w:val="00361778"/>
    <w:rsid w:val="00361B1A"/>
    <w:rsid w:val="00361BCB"/>
    <w:rsid w:val="00363666"/>
    <w:rsid w:val="00363936"/>
    <w:rsid w:val="00365029"/>
    <w:rsid w:val="003717C5"/>
    <w:rsid w:val="00372F6C"/>
    <w:rsid w:val="00373F9F"/>
    <w:rsid w:val="00375A55"/>
    <w:rsid w:val="00377A1A"/>
    <w:rsid w:val="00380ADD"/>
    <w:rsid w:val="00382351"/>
    <w:rsid w:val="00382DD8"/>
    <w:rsid w:val="00383795"/>
    <w:rsid w:val="0038473C"/>
    <w:rsid w:val="00387936"/>
    <w:rsid w:val="00387AB6"/>
    <w:rsid w:val="00387AE1"/>
    <w:rsid w:val="00391334"/>
    <w:rsid w:val="00392E87"/>
    <w:rsid w:val="00394455"/>
    <w:rsid w:val="00394B6F"/>
    <w:rsid w:val="003959DB"/>
    <w:rsid w:val="00397C59"/>
    <w:rsid w:val="003A0484"/>
    <w:rsid w:val="003A7FA2"/>
    <w:rsid w:val="003B04D4"/>
    <w:rsid w:val="003B05CE"/>
    <w:rsid w:val="003B0B4A"/>
    <w:rsid w:val="003B0CC5"/>
    <w:rsid w:val="003B12BD"/>
    <w:rsid w:val="003B15E3"/>
    <w:rsid w:val="003B3B7E"/>
    <w:rsid w:val="003B6AE8"/>
    <w:rsid w:val="003B6AED"/>
    <w:rsid w:val="003C2855"/>
    <w:rsid w:val="003C5135"/>
    <w:rsid w:val="003C52D7"/>
    <w:rsid w:val="003C5C95"/>
    <w:rsid w:val="003C6277"/>
    <w:rsid w:val="003C787C"/>
    <w:rsid w:val="003D08D0"/>
    <w:rsid w:val="003D1995"/>
    <w:rsid w:val="003D2C30"/>
    <w:rsid w:val="003D2EFE"/>
    <w:rsid w:val="003D695B"/>
    <w:rsid w:val="003D6B91"/>
    <w:rsid w:val="003E0A21"/>
    <w:rsid w:val="003E1110"/>
    <w:rsid w:val="003E2AFF"/>
    <w:rsid w:val="003E372F"/>
    <w:rsid w:val="003E3D82"/>
    <w:rsid w:val="003E3F6D"/>
    <w:rsid w:val="003E52CD"/>
    <w:rsid w:val="003E64C5"/>
    <w:rsid w:val="003E7C2B"/>
    <w:rsid w:val="003F00FC"/>
    <w:rsid w:val="003F0F32"/>
    <w:rsid w:val="003F11DE"/>
    <w:rsid w:val="003F18C7"/>
    <w:rsid w:val="003F2458"/>
    <w:rsid w:val="003F3097"/>
    <w:rsid w:val="003F3181"/>
    <w:rsid w:val="003F7319"/>
    <w:rsid w:val="003F78F8"/>
    <w:rsid w:val="004014C6"/>
    <w:rsid w:val="00404EBC"/>
    <w:rsid w:val="00405D31"/>
    <w:rsid w:val="00406255"/>
    <w:rsid w:val="00410854"/>
    <w:rsid w:val="004120AB"/>
    <w:rsid w:val="00422651"/>
    <w:rsid w:val="00422DC5"/>
    <w:rsid w:val="00422FFA"/>
    <w:rsid w:val="00427BE2"/>
    <w:rsid w:val="00427D1D"/>
    <w:rsid w:val="00432727"/>
    <w:rsid w:val="00432C3F"/>
    <w:rsid w:val="004350C7"/>
    <w:rsid w:val="00436444"/>
    <w:rsid w:val="00437613"/>
    <w:rsid w:val="00437CD1"/>
    <w:rsid w:val="00437E89"/>
    <w:rsid w:val="004412FF"/>
    <w:rsid w:val="00441603"/>
    <w:rsid w:val="00442031"/>
    <w:rsid w:val="00450D00"/>
    <w:rsid w:val="00451007"/>
    <w:rsid w:val="004512DD"/>
    <w:rsid w:val="004513C1"/>
    <w:rsid w:val="00451943"/>
    <w:rsid w:val="004575DD"/>
    <w:rsid w:val="00457E72"/>
    <w:rsid w:val="0046002D"/>
    <w:rsid w:val="0046320E"/>
    <w:rsid w:val="004653FF"/>
    <w:rsid w:val="00465FF9"/>
    <w:rsid w:val="004676E6"/>
    <w:rsid w:val="0047407F"/>
    <w:rsid w:val="00474128"/>
    <w:rsid w:val="00477B69"/>
    <w:rsid w:val="00481B29"/>
    <w:rsid w:val="00482B2B"/>
    <w:rsid w:val="004833C8"/>
    <w:rsid w:val="00483F36"/>
    <w:rsid w:val="00484702"/>
    <w:rsid w:val="00484D5D"/>
    <w:rsid w:val="00485013"/>
    <w:rsid w:val="004855C7"/>
    <w:rsid w:val="004902B2"/>
    <w:rsid w:val="004906E0"/>
    <w:rsid w:val="00492590"/>
    <w:rsid w:val="00494387"/>
    <w:rsid w:val="004947BC"/>
    <w:rsid w:val="00496AE2"/>
    <w:rsid w:val="004978C7"/>
    <w:rsid w:val="00497FB8"/>
    <w:rsid w:val="004A3240"/>
    <w:rsid w:val="004A5B8F"/>
    <w:rsid w:val="004A7CBB"/>
    <w:rsid w:val="004B0C1D"/>
    <w:rsid w:val="004B2D30"/>
    <w:rsid w:val="004B54FE"/>
    <w:rsid w:val="004B6B3E"/>
    <w:rsid w:val="004C0C3D"/>
    <w:rsid w:val="004C1549"/>
    <w:rsid w:val="004C3382"/>
    <w:rsid w:val="004C4443"/>
    <w:rsid w:val="004C53C5"/>
    <w:rsid w:val="004C6F48"/>
    <w:rsid w:val="004C7544"/>
    <w:rsid w:val="004D1A69"/>
    <w:rsid w:val="004D1E04"/>
    <w:rsid w:val="004D5478"/>
    <w:rsid w:val="004D6212"/>
    <w:rsid w:val="004D6233"/>
    <w:rsid w:val="004D7025"/>
    <w:rsid w:val="004E0EB4"/>
    <w:rsid w:val="004E28A2"/>
    <w:rsid w:val="004E7854"/>
    <w:rsid w:val="004E7920"/>
    <w:rsid w:val="004F0358"/>
    <w:rsid w:val="004F03E5"/>
    <w:rsid w:val="004F041A"/>
    <w:rsid w:val="004F3951"/>
    <w:rsid w:val="004F68A9"/>
    <w:rsid w:val="004F7C6A"/>
    <w:rsid w:val="005003AE"/>
    <w:rsid w:val="00500D03"/>
    <w:rsid w:val="005013BD"/>
    <w:rsid w:val="0050331B"/>
    <w:rsid w:val="00503372"/>
    <w:rsid w:val="00503CEA"/>
    <w:rsid w:val="00505238"/>
    <w:rsid w:val="00505797"/>
    <w:rsid w:val="00506A88"/>
    <w:rsid w:val="005107A6"/>
    <w:rsid w:val="00512DBB"/>
    <w:rsid w:val="0051329C"/>
    <w:rsid w:val="005160F8"/>
    <w:rsid w:val="00517573"/>
    <w:rsid w:val="005205C5"/>
    <w:rsid w:val="0052223C"/>
    <w:rsid w:val="005266D2"/>
    <w:rsid w:val="005304E8"/>
    <w:rsid w:val="0053074A"/>
    <w:rsid w:val="00531868"/>
    <w:rsid w:val="00532131"/>
    <w:rsid w:val="00532AE5"/>
    <w:rsid w:val="00533957"/>
    <w:rsid w:val="00533D53"/>
    <w:rsid w:val="00535D36"/>
    <w:rsid w:val="005366B5"/>
    <w:rsid w:val="00537383"/>
    <w:rsid w:val="005374F4"/>
    <w:rsid w:val="005378EC"/>
    <w:rsid w:val="00537C49"/>
    <w:rsid w:val="00537D3D"/>
    <w:rsid w:val="005405DC"/>
    <w:rsid w:val="005407A5"/>
    <w:rsid w:val="00540FA2"/>
    <w:rsid w:val="00541217"/>
    <w:rsid w:val="00542777"/>
    <w:rsid w:val="00545319"/>
    <w:rsid w:val="0054575B"/>
    <w:rsid w:val="00547803"/>
    <w:rsid w:val="00553BF6"/>
    <w:rsid w:val="00554854"/>
    <w:rsid w:val="0055606F"/>
    <w:rsid w:val="00560DC9"/>
    <w:rsid w:val="005622F6"/>
    <w:rsid w:val="005629D4"/>
    <w:rsid w:val="00566A9F"/>
    <w:rsid w:val="005677C1"/>
    <w:rsid w:val="005700FC"/>
    <w:rsid w:val="005701FF"/>
    <w:rsid w:val="0057147F"/>
    <w:rsid w:val="00571568"/>
    <w:rsid w:val="005750A9"/>
    <w:rsid w:val="00576174"/>
    <w:rsid w:val="00577B03"/>
    <w:rsid w:val="00584F3F"/>
    <w:rsid w:val="005852FB"/>
    <w:rsid w:val="0059072E"/>
    <w:rsid w:val="00590ED9"/>
    <w:rsid w:val="00592B9A"/>
    <w:rsid w:val="00594339"/>
    <w:rsid w:val="00594EE8"/>
    <w:rsid w:val="00594F85"/>
    <w:rsid w:val="005965FB"/>
    <w:rsid w:val="005966C7"/>
    <w:rsid w:val="005A0772"/>
    <w:rsid w:val="005A1A40"/>
    <w:rsid w:val="005A2CCE"/>
    <w:rsid w:val="005A39F9"/>
    <w:rsid w:val="005A3D57"/>
    <w:rsid w:val="005A48B0"/>
    <w:rsid w:val="005A59F7"/>
    <w:rsid w:val="005A6720"/>
    <w:rsid w:val="005A695F"/>
    <w:rsid w:val="005B0B2E"/>
    <w:rsid w:val="005B136E"/>
    <w:rsid w:val="005B20EC"/>
    <w:rsid w:val="005B5059"/>
    <w:rsid w:val="005B72F2"/>
    <w:rsid w:val="005C18C2"/>
    <w:rsid w:val="005C1C0C"/>
    <w:rsid w:val="005C351C"/>
    <w:rsid w:val="005C5367"/>
    <w:rsid w:val="005C5952"/>
    <w:rsid w:val="005C5A05"/>
    <w:rsid w:val="005C6E53"/>
    <w:rsid w:val="005D1387"/>
    <w:rsid w:val="005D217C"/>
    <w:rsid w:val="005D3288"/>
    <w:rsid w:val="005D3CC1"/>
    <w:rsid w:val="005D5093"/>
    <w:rsid w:val="005D5403"/>
    <w:rsid w:val="005E2269"/>
    <w:rsid w:val="005F0988"/>
    <w:rsid w:val="005F5CE2"/>
    <w:rsid w:val="005F6475"/>
    <w:rsid w:val="005F6E91"/>
    <w:rsid w:val="005F717F"/>
    <w:rsid w:val="006002BC"/>
    <w:rsid w:val="00600BD6"/>
    <w:rsid w:val="00602745"/>
    <w:rsid w:val="006030F1"/>
    <w:rsid w:val="006061A0"/>
    <w:rsid w:val="00607A85"/>
    <w:rsid w:val="00614BAA"/>
    <w:rsid w:val="006166D4"/>
    <w:rsid w:val="00616F2C"/>
    <w:rsid w:val="00617023"/>
    <w:rsid w:val="0062053A"/>
    <w:rsid w:val="006236BB"/>
    <w:rsid w:val="00625941"/>
    <w:rsid w:val="00625A6C"/>
    <w:rsid w:val="00625AE6"/>
    <w:rsid w:val="00625E9D"/>
    <w:rsid w:val="00627F98"/>
    <w:rsid w:val="00633632"/>
    <w:rsid w:val="006342C5"/>
    <w:rsid w:val="00634BAF"/>
    <w:rsid w:val="00635BA2"/>
    <w:rsid w:val="0063772F"/>
    <w:rsid w:val="00642999"/>
    <w:rsid w:val="0064315E"/>
    <w:rsid w:val="00643F4F"/>
    <w:rsid w:val="00644898"/>
    <w:rsid w:val="00644D39"/>
    <w:rsid w:val="006467C5"/>
    <w:rsid w:val="00647CA9"/>
    <w:rsid w:val="00650454"/>
    <w:rsid w:val="006513A7"/>
    <w:rsid w:val="00652242"/>
    <w:rsid w:val="006528AB"/>
    <w:rsid w:val="00654099"/>
    <w:rsid w:val="00654DA6"/>
    <w:rsid w:val="00655F0E"/>
    <w:rsid w:val="00657343"/>
    <w:rsid w:val="00657BB5"/>
    <w:rsid w:val="00657F51"/>
    <w:rsid w:val="00660AD5"/>
    <w:rsid w:val="0066226F"/>
    <w:rsid w:val="00662CF0"/>
    <w:rsid w:val="006639EE"/>
    <w:rsid w:val="0066550D"/>
    <w:rsid w:val="006655A4"/>
    <w:rsid w:val="006662FF"/>
    <w:rsid w:val="00666AD3"/>
    <w:rsid w:val="00667899"/>
    <w:rsid w:val="00675217"/>
    <w:rsid w:val="00677131"/>
    <w:rsid w:val="0068044F"/>
    <w:rsid w:val="00681139"/>
    <w:rsid w:val="006818AA"/>
    <w:rsid w:val="00682CB6"/>
    <w:rsid w:val="00682E24"/>
    <w:rsid w:val="00684220"/>
    <w:rsid w:val="00684825"/>
    <w:rsid w:val="00686CAD"/>
    <w:rsid w:val="00693A9F"/>
    <w:rsid w:val="00694725"/>
    <w:rsid w:val="006966DB"/>
    <w:rsid w:val="00697007"/>
    <w:rsid w:val="00697F8F"/>
    <w:rsid w:val="006A1142"/>
    <w:rsid w:val="006A2290"/>
    <w:rsid w:val="006A242C"/>
    <w:rsid w:val="006A680E"/>
    <w:rsid w:val="006A75B2"/>
    <w:rsid w:val="006B17AA"/>
    <w:rsid w:val="006B441F"/>
    <w:rsid w:val="006B6FC0"/>
    <w:rsid w:val="006B7196"/>
    <w:rsid w:val="006C01E2"/>
    <w:rsid w:val="006C0E20"/>
    <w:rsid w:val="006C26F5"/>
    <w:rsid w:val="006C3246"/>
    <w:rsid w:val="006C6638"/>
    <w:rsid w:val="006C705E"/>
    <w:rsid w:val="006C71BC"/>
    <w:rsid w:val="006D089C"/>
    <w:rsid w:val="006D1973"/>
    <w:rsid w:val="006D19E3"/>
    <w:rsid w:val="006D5356"/>
    <w:rsid w:val="006D5EFB"/>
    <w:rsid w:val="006D5FE2"/>
    <w:rsid w:val="006D7C26"/>
    <w:rsid w:val="006E09F5"/>
    <w:rsid w:val="006E0BD1"/>
    <w:rsid w:val="006E0E54"/>
    <w:rsid w:val="006E20CA"/>
    <w:rsid w:val="006E3DC4"/>
    <w:rsid w:val="006E4598"/>
    <w:rsid w:val="006E4E8E"/>
    <w:rsid w:val="006E5C5E"/>
    <w:rsid w:val="006E5F3F"/>
    <w:rsid w:val="006F20FB"/>
    <w:rsid w:val="006F23B9"/>
    <w:rsid w:val="006F3AC0"/>
    <w:rsid w:val="006F5609"/>
    <w:rsid w:val="006F73EB"/>
    <w:rsid w:val="006F7D34"/>
    <w:rsid w:val="0070019C"/>
    <w:rsid w:val="00700C80"/>
    <w:rsid w:val="00701335"/>
    <w:rsid w:val="00702246"/>
    <w:rsid w:val="0070230C"/>
    <w:rsid w:val="00703AC9"/>
    <w:rsid w:val="007056D8"/>
    <w:rsid w:val="00705EBA"/>
    <w:rsid w:val="00706900"/>
    <w:rsid w:val="00706B86"/>
    <w:rsid w:val="00707078"/>
    <w:rsid w:val="00711068"/>
    <w:rsid w:val="00713935"/>
    <w:rsid w:val="00717062"/>
    <w:rsid w:val="0072079F"/>
    <w:rsid w:val="0072132F"/>
    <w:rsid w:val="00721D2A"/>
    <w:rsid w:val="00723567"/>
    <w:rsid w:val="00724A6F"/>
    <w:rsid w:val="00725732"/>
    <w:rsid w:val="007260FC"/>
    <w:rsid w:val="00726C46"/>
    <w:rsid w:val="00726D41"/>
    <w:rsid w:val="007334DD"/>
    <w:rsid w:val="0073625A"/>
    <w:rsid w:val="00736FF4"/>
    <w:rsid w:val="00737B56"/>
    <w:rsid w:val="00740199"/>
    <w:rsid w:val="007409CA"/>
    <w:rsid w:val="00741546"/>
    <w:rsid w:val="007426C5"/>
    <w:rsid w:val="0074299B"/>
    <w:rsid w:val="00742C84"/>
    <w:rsid w:val="00742E7F"/>
    <w:rsid w:val="00745B7F"/>
    <w:rsid w:val="007460CE"/>
    <w:rsid w:val="00746350"/>
    <w:rsid w:val="00747BEF"/>
    <w:rsid w:val="007508B0"/>
    <w:rsid w:val="00752491"/>
    <w:rsid w:val="007530AD"/>
    <w:rsid w:val="00753218"/>
    <w:rsid w:val="00753D99"/>
    <w:rsid w:val="00755E82"/>
    <w:rsid w:val="00760C98"/>
    <w:rsid w:val="00760D8B"/>
    <w:rsid w:val="0076513A"/>
    <w:rsid w:val="007655A3"/>
    <w:rsid w:val="00767EAB"/>
    <w:rsid w:val="00773A06"/>
    <w:rsid w:val="00775285"/>
    <w:rsid w:val="00775E31"/>
    <w:rsid w:val="00776A8A"/>
    <w:rsid w:val="00776D1C"/>
    <w:rsid w:val="00780554"/>
    <w:rsid w:val="00780B0D"/>
    <w:rsid w:val="00780C38"/>
    <w:rsid w:val="007810B3"/>
    <w:rsid w:val="007813B5"/>
    <w:rsid w:val="0078211D"/>
    <w:rsid w:val="0078335D"/>
    <w:rsid w:val="00784563"/>
    <w:rsid w:val="0078536D"/>
    <w:rsid w:val="0078643A"/>
    <w:rsid w:val="00786637"/>
    <w:rsid w:val="00786B3E"/>
    <w:rsid w:val="00792A88"/>
    <w:rsid w:val="00793E11"/>
    <w:rsid w:val="00793E63"/>
    <w:rsid w:val="007A05A6"/>
    <w:rsid w:val="007A11DC"/>
    <w:rsid w:val="007A26E8"/>
    <w:rsid w:val="007A2E2A"/>
    <w:rsid w:val="007A37FA"/>
    <w:rsid w:val="007A5C02"/>
    <w:rsid w:val="007A77BA"/>
    <w:rsid w:val="007B009E"/>
    <w:rsid w:val="007B047E"/>
    <w:rsid w:val="007B1840"/>
    <w:rsid w:val="007B303C"/>
    <w:rsid w:val="007B6704"/>
    <w:rsid w:val="007B6EB5"/>
    <w:rsid w:val="007C1099"/>
    <w:rsid w:val="007D0B50"/>
    <w:rsid w:val="007D2448"/>
    <w:rsid w:val="007D46F4"/>
    <w:rsid w:val="007D5CBF"/>
    <w:rsid w:val="007E1CC2"/>
    <w:rsid w:val="007E3621"/>
    <w:rsid w:val="007E3E8C"/>
    <w:rsid w:val="007E52CA"/>
    <w:rsid w:val="007E59A8"/>
    <w:rsid w:val="007E607F"/>
    <w:rsid w:val="007E76F2"/>
    <w:rsid w:val="007E78A6"/>
    <w:rsid w:val="007E7DA8"/>
    <w:rsid w:val="007F268E"/>
    <w:rsid w:val="007F2BBB"/>
    <w:rsid w:val="007F2C7F"/>
    <w:rsid w:val="007F3C8C"/>
    <w:rsid w:val="007F48D1"/>
    <w:rsid w:val="007F7ABE"/>
    <w:rsid w:val="0080145F"/>
    <w:rsid w:val="00802FF7"/>
    <w:rsid w:val="0080304F"/>
    <w:rsid w:val="00804291"/>
    <w:rsid w:val="00804505"/>
    <w:rsid w:val="008075EB"/>
    <w:rsid w:val="0081056D"/>
    <w:rsid w:val="008118B9"/>
    <w:rsid w:val="00812E43"/>
    <w:rsid w:val="0081596F"/>
    <w:rsid w:val="00815D42"/>
    <w:rsid w:val="00817C73"/>
    <w:rsid w:val="00821879"/>
    <w:rsid w:val="00821B15"/>
    <w:rsid w:val="0082368D"/>
    <w:rsid w:val="008237FB"/>
    <w:rsid w:val="008259A2"/>
    <w:rsid w:val="0082613E"/>
    <w:rsid w:val="00827ABB"/>
    <w:rsid w:val="00830196"/>
    <w:rsid w:val="0083051C"/>
    <w:rsid w:val="00833A6B"/>
    <w:rsid w:val="00835CCC"/>
    <w:rsid w:val="00836207"/>
    <w:rsid w:val="00840671"/>
    <w:rsid w:val="00840A77"/>
    <w:rsid w:val="00841630"/>
    <w:rsid w:val="00841D0D"/>
    <w:rsid w:val="008423E5"/>
    <w:rsid w:val="00842FB2"/>
    <w:rsid w:val="00846069"/>
    <w:rsid w:val="008465F9"/>
    <w:rsid w:val="008502D5"/>
    <w:rsid w:val="0085126A"/>
    <w:rsid w:val="0085204E"/>
    <w:rsid w:val="008531F1"/>
    <w:rsid w:val="00853DDE"/>
    <w:rsid w:val="00854DE2"/>
    <w:rsid w:val="00855F92"/>
    <w:rsid w:val="00856F5E"/>
    <w:rsid w:val="00860312"/>
    <w:rsid w:val="00862358"/>
    <w:rsid w:val="0086293B"/>
    <w:rsid w:val="0087089A"/>
    <w:rsid w:val="00872DDC"/>
    <w:rsid w:val="00873D3D"/>
    <w:rsid w:val="00874F14"/>
    <w:rsid w:val="008751E9"/>
    <w:rsid w:val="00875CAF"/>
    <w:rsid w:val="00876B42"/>
    <w:rsid w:val="00877D0E"/>
    <w:rsid w:val="00877FA1"/>
    <w:rsid w:val="00881B76"/>
    <w:rsid w:val="008825AA"/>
    <w:rsid w:val="008860DC"/>
    <w:rsid w:val="00886192"/>
    <w:rsid w:val="00892A6E"/>
    <w:rsid w:val="00893740"/>
    <w:rsid w:val="008956C1"/>
    <w:rsid w:val="00895924"/>
    <w:rsid w:val="00895DDA"/>
    <w:rsid w:val="0089603A"/>
    <w:rsid w:val="00896893"/>
    <w:rsid w:val="00897730"/>
    <w:rsid w:val="008A0EE1"/>
    <w:rsid w:val="008A13B9"/>
    <w:rsid w:val="008A22DC"/>
    <w:rsid w:val="008A23CB"/>
    <w:rsid w:val="008A552D"/>
    <w:rsid w:val="008A63A3"/>
    <w:rsid w:val="008A682F"/>
    <w:rsid w:val="008A7CD8"/>
    <w:rsid w:val="008B1F1D"/>
    <w:rsid w:val="008B42AA"/>
    <w:rsid w:val="008B5F12"/>
    <w:rsid w:val="008B69D8"/>
    <w:rsid w:val="008B6B15"/>
    <w:rsid w:val="008B78CE"/>
    <w:rsid w:val="008B7F29"/>
    <w:rsid w:val="008C1519"/>
    <w:rsid w:val="008C3F6B"/>
    <w:rsid w:val="008C7318"/>
    <w:rsid w:val="008D04CE"/>
    <w:rsid w:val="008D0D08"/>
    <w:rsid w:val="008D138B"/>
    <w:rsid w:val="008D1887"/>
    <w:rsid w:val="008D18A1"/>
    <w:rsid w:val="008D18EC"/>
    <w:rsid w:val="008E0127"/>
    <w:rsid w:val="008E37D6"/>
    <w:rsid w:val="008E3D0B"/>
    <w:rsid w:val="008E475A"/>
    <w:rsid w:val="008F0A3B"/>
    <w:rsid w:val="008F220A"/>
    <w:rsid w:val="008F42A6"/>
    <w:rsid w:val="008F450E"/>
    <w:rsid w:val="008F67DB"/>
    <w:rsid w:val="008F6CEA"/>
    <w:rsid w:val="00900F3C"/>
    <w:rsid w:val="00902345"/>
    <w:rsid w:val="009023B2"/>
    <w:rsid w:val="00902700"/>
    <w:rsid w:val="00910322"/>
    <w:rsid w:val="00913FAF"/>
    <w:rsid w:val="00920829"/>
    <w:rsid w:val="009208F9"/>
    <w:rsid w:val="00921434"/>
    <w:rsid w:val="00921F81"/>
    <w:rsid w:val="009221B4"/>
    <w:rsid w:val="00924F30"/>
    <w:rsid w:val="0092606F"/>
    <w:rsid w:val="009274C6"/>
    <w:rsid w:val="009308C3"/>
    <w:rsid w:val="009341DD"/>
    <w:rsid w:val="009341F8"/>
    <w:rsid w:val="0093545E"/>
    <w:rsid w:val="00937328"/>
    <w:rsid w:val="009374F3"/>
    <w:rsid w:val="0093767C"/>
    <w:rsid w:val="00941822"/>
    <w:rsid w:val="009418E3"/>
    <w:rsid w:val="009443FD"/>
    <w:rsid w:val="009447E9"/>
    <w:rsid w:val="00944D80"/>
    <w:rsid w:val="00944FF4"/>
    <w:rsid w:val="00945781"/>
    <w:rsid w:val="0094579D"/>
    <w:rsid w:val="00945915"/>
    <w:rsid w:val="00947178"/>
    <w:rsid w:val="00947CB6"/>
    <w:rsid w:val="00947F0E"/>
    <w:rsid w:val="00950A0E"/>
    <w:rsid w:val="009531E6"/>
    <w:rsid w:val="00953384"/>
    <w:rsid w:val="00956E19"/>
    <w:rsid w:val="00957536"/>
    <w:rsid w:val="00961BE5"/>
    <w:rsid w:val="009628A3"/>
    <w:rsid w:val="00963B54"/>
    <w:rsid w:val="009649FA"/>
    <w:rsid w:val="00965E09"/>
    <w:rsid w:val="00966DBE"/>
    <w:rsid w:val="00967679"/>
    <w:rsid w:val="0096784B"/>
    <w:rsid w:val="009700E3"/>
    <w:rsid w:val="00973878"/>
    <w:rsid w:val="00976C7C"/>
    <w:rsid w:val="009804BE"/>
    <w:rsid w:val="0098151A"/>
    <w:rsid w:val="0098375E"/>
    <w:rsid w:val="00983E3F"/>
    <w:rsid w:val="00983F38"/>
    <w:rsid w:val="00984B93"/>
    <w:rsid w:val="00984EB3"/>
    <w:rsid w:val="00986041"/>
    <w:rsid w:val="00990765"/>
    <w:rsid w:val="00995425"/>
    <w:rsid w:val="00997636"/>
    <w:rsid w:val="00997A68"/>
    <w:rsid w:val="009A3DBE"/>
    <w:rsid w:val="009A4816"/>
    <w:rsid w:val="009A4982"/>
    <w:rsid w:val="009A7FB2"/>
    <w:rsid w:val="009B2F88"/>
    <w:rsid w:val="009B5528"/>
    <w:rsid w:val="009C129D"/>
    <w:rsid w:val="009C1BC6"/>
    <w:rsid w:val="009C2BB4"/>
    <w:rsid w:val="009C37FF"/>
    <w:rsid w:val="009C3847"/>
    <w:rsid w:val="009C3D90"/>
    <w:rsid w:val="009C4797"/>
    <w:rsid w:val="009C4CAA"/>
    <w:rsid w:val="009C5507"/>
    <w:rsid w:val="009C5A20"/>
    <w:rsid w:val="009D0F71"/>
    <w:rsid w:val="009D302D"/>
    <w:rsid w:val="009D3684"/>
    <w:rsid w:val="009E4737"/>
    <w:rsid w:val="009E5503"/>
    <w:rsid w:val="009E68C8"/>
    <w:rsid w:val="009E6D2A"/>
    <w:rsid w:val="009E6F52"/>
    <w:rsid w:val="009F1E4C"/>
    <w:rsid w:val="009F3539"/>
    <w:rsid w:val="009F52B0"/>
    <w:rsid w:val="009F6352"/>
    <w:rsid w:val="009F672F"/>
    <w:rsid w:val="009F7413"/>
    <w:rsid w:val="009F75E3"/>
    <w:rsid w:val="009F7B28"/>
    <w:rsid w:val="009F7B88"/>
    <w:rsid w:val="009F7ED2"/>
    <w:rsid w:val="00A00690"/>
    <w:rsid w:val="00A055D7"/>
    <w:rsid w:val="00A06CC5"/>
    <w:rsid w:val="00A06F5D"/>
    <w:rsid w:val="00A10437"/>
    <w:rsid w:val="00A106E2"/>
    <w:rsid w:val="00A12315"/>
    <w:rsid w:val="00A1742C"/>
    <w:rsid w:val="00A17B41"/>
    <w:rsid w:val="00A17ED2"/>
    <w:rsid w:val="00A20905"/>
    <w:rsid w:val="00A21628"/>
    <w:rsid w:val="00A23904"/>
    <w:rsid w:val="00A2454E"/>
    <w:rsid w:val="00A30501"/>
    <w:rsid w:val="00A31F8F"/>
    <w:rsid w:val="00A327BD"/>
    <w:rsid w:val="00A3337E"/>
    <w:rsid w:val="00A35E65"/>
    <w:rsid w:val="00A36A0A"/>
    <w:rsid w:val="00A37A33"/>
    <w:rsid w:val="00A43DEA"/>
    <w:rsid w:val="00A451D8"/>
    <w:rsid w:val="00A46181"/>
    <w:rsid w:val="00A504F4"/>
    <w:rsid w:val="00A50907"/>
    <w:rsid w:val="00A51019"/>
    <w:rsid w:val="00A514F2"/>
    <w:rsid w:val="00A51569"/>
    <w:rsid w:val="00A521C3"/>
    <w:rsid w:val="00A52E30"/>
    <w:rsid w:val="00A53EA3"/>
    <w:rsid w:val="00A5443B"/>
    <w:rsid w:val="00A564C3"/>
    <w:rsid w:val="00A564CF"/>
    <w:rsid w:val="00A600FE"/>
    <w:rsid w:val="00A61D29"/>
    <w:rsid w:val="00A711C1"/>
    <w:rsid w:val="00A71FB4"/>
    <w:rsid w:val="00A72239"/>
    <w:rsid w:val="00A73075"/>
    <w:rsid w:val="00A73772"/>
    <w:rsid w:val="00A73BF2"/>
    <w:rsid w:val="00A7459D"/>
    <w:rsid w:val="00A74CFF"/>
    <w:rsid w:val="00A755CE"/>
    <w:rsid w:val="00A7635F"/>
    <w:rsid w:val="00A76713"/>
    <w:rsid w:val="00A807A8"/>
    <w:rsid w:val="00A8451B"/>
    <w:rsid w:val="00A94B95"/>
    <w:rsid w:val="00A94F15"/>
    <w:rsid w:val="00A969F4"/>
    <w:rsid w:val="00AA09A1"/>
    <w:rsid w:val="00AA2091"/>
    <w:rsid w:val="00AA32A6"/>
    <w:rsid w:val="00AA6B3F"/>
    <w:rsid w:val="00AA7E47"/>
    <w:rsid w:val="00AB0D01"/>
    <w:rsid w:val="00AB6642"/>
    <w:rsid w:val="00AB6A06"/>
    <w:rsid w:val="00AB7AD9"/>
    <w:rsid w:val="00AC1B44"/>
    <w:rsid w:val="00AC2BD8"/>
    <w:rsid w:val="00AC5D8A"/>
    <w:rsid w:val="00AC7600"/>
    <w:rsid w:val="00AD007B"/>
    <w:rsid w:val="00AD70AD"/>
    <w:rsid w:val="00AD7B5F"/>
    <w:rsid w:val="00AE1063"/>
    <w:rsid w:val="00AE167B"/>
    <w:rsid w:val="00AE2D6B"/>
    <w:rsid w:val="00AE5030"/>
    <w:rsid w:val="00AE50F1"/>
    <w:rsid w:val="00AE76CC"/>
    <w:rsid w:val="00AE76E9"/>
    <w:rsid w:val="00AF1F6F"/>
    <w:rsid w:val="00AF2111"/>
    <w:rsid w:val="00AF6382"/>
    <w:rsid w:val="00AF66C1"/>
    <w:rsid w:val="00AF7C1B"/>
    <w:rsid w:val="00AF7DAB"/>
    <w:rsid w:val="00B04A5B"/>
    <w:rsid w:val="00B0553A"/>
    <w:rsid w:val="00B05D37"/>
    <w:rsid w:val="00B0641D"/>
    <w:rsid w:val="00B065F3"/>
    <w:rsid w:val="00B07540"/>
    <w:rsid w:val="00B10CB6"/>
    <w:rsid w:val="00B117E5"/>
    <w:rsid w:val="00B11D91"/>
    <w:rsid w:val="00B15629"/>
    <w:rsid w:val="00B15FC1"/>
    <w:rsid w:val="00B167CC"/>
    <w:rsid w:val="00B168F7"/>
    <w:rsid w:val="00B205A2"/>
    <w:rsid w:val="00B20605"/>
    <w:rsid w:val="00B206B6"/>
    <w:rsid w:val="00B216F1"/>
    <w:rsid w:val="00B2238D"/>
    <w:rsid w:val="00B2284E"/>
    <w:rsid w:val="00B23293"/>
    <w:rsid w:val="00B234C0"/>
    <w:rsid w:val="00B235BC"/>
    <w:rsid w:val="00B247EE"/>
    <w:rsid w:val="00B24E85"/>
    <w:rsid w:val="00B27C95"/>
    <w:rsid w:val="00B306C3"/>
    <w:rsid w:val="00B33E86"/>
    <w:rsid w:val="00B354A8"/>
    <w:rsid w:val="00B36AF9"/>
    <w:rsid w:val="00B36DF1"/>
    <w:rsid w:val="00B43ACF"/>
    <w:rsid w:val="00B43D9C"/>
    <w:rsid w:val="00B45E08"/>
    <w:rsid w:val="00B46152"/>
    <w:rsid w:val="00B470FC"/>
    <w:rsid w:val="00B47A6F"/>
    <w:rsid w:val="00B47B32"/>
    <w:rsid w:val="00B52750"/>
    <w:rsid w:val="00B52D56"/>
    <w:rsid w:val="00B54D7D"/>
    <w:rsid w:val="00B5604C"/>
    <w:rsid w:val="00B57DC4"/>
    <w:rsid w:val="00B606FF"/>
    <w:rsid w:val="00B607EA"/>
    <w:rsid w:val="00B615F5"/>
    <w:rsid w:val="00B61632"/>
    <w:rsid w:val="00B63B74"/>
    <w:rsid w:val="00B6415F"/>
    <w:rsid w:val="00B645CA"/>
    <w:rsid w:val="00B67973"/>
    <w:rsid w:val="00B7249C"/>
    <w:rsid w:val="00B73DE3"/>
    <w:rsid w:val="00B76F75"/>
    <w:rsid w:val="00B800EE"/>
    <w:rsid w:val="00B8037D"/>
    <w:rsid w:val="00B81552"/>
    <w:rsid w:val="00B84C4C"/>
    <w:rsid w:val="00B90E9E"/>
    <w:rsid w:val="00B94EDC"/>
    <w:rsid w:val="00B95B97"/>
    <w:rsid w:val="00B96D64"/>
    <w:rsid w:val="00BA39B6"/>
    <w:rsid w:val="00BA4047"/>
    <w:rsid w:val="00BA4841"/>
    <w:rsid w:val="00BA5218"/>
    <w:rsid w:val="00BA5AF3"/>
    <w:rsid w:val="00BA625D"/>
    <w:rsid w:val="00BB0970"/>
    <w:rsid w:val="00BB0D4F"/>
    <w:rsid w:val="00BB17AF"/>
    <w:rsid w:val="00BB1CA1"/>
    <w:rsid w:val="00BB4014"/>
    <w:rsid w:val="00BB4636"/>
    <w:rsid w:val="00BB4F19"/>
    <w:rsid w:val="00BB6B8B"/>
    <w:rsid w:val="00BC10C9"/>
    <w:rsid w:val="00BC1830"/>
    <w:rsid w:val="00BC3166"/>
    <w:rsid w:val="00BC7AD4"/>
    <w:rsid w:val="00BD00D8"/>
    <w:rsid w:val="00BD4D92"/>
    <w:rsid w:val="00BD64ED"/>
    <w:rsid w:val="00BE359D"/>
    <w:rsid w:val="00BF1275"/>
    <w:rsid w:val="00BF16A7"/>
    <w:rsid w:val="00BF3915"/>
    <w:rsid w:val="00BF3EFB"/>
    <w:rsid w:val="00BF3F57"/>
    <w:rsid w:val="00BF5907"/>
    <w:rsid w:val="00BF60ED"/>
    <w:rsid w:val="00BF6376"/>
    <w:rsid w:val="00C004B7"/>
    <w:rsid w:val="00C00A3B"/>
    <w:rsid w:val="00C01D74"/>
    <w:rsid w:val="00C01E2A"/>
    <w:rsid w:val="00C04782"/>
    <w:rsid w:val="00C04841"/>
    <w:rsid w:val="00C0691C"/>
    <w:rsid w:val="00C07031"/>
    <w:rsid w:val="00C072B4"/>
    <w:rsid w:val="00C102D5"/>
    <w:rsid w:val="00C138DC"/>
    <w:rsid w:val="00C15C8E"/>
    <w:rsid w:val="00C22018"/>
    <w:rsid w:val="00C22979"/>
    <w:rsid w:val="00C23975"/>
    <w:rsid w:val="00C2655C"/>
    <w:rsid w:val="00C265DC"/>
    <w:rsid w:val="00C27120"/>
    <w:rsid w:val="00C31828"/>
    <w:rsid w:val="00C34304"/>
    <w:rsid w:val="00C356AA"/>
    <w:rsid w:val="00C36B37"/>
    <w:rsid w:val="00C37845"/>
    <w:rsid w:val="00C37CE5"/>
    <w:rsid w:val="00C402C3"/>
    <w:rsid w:val="00C41CAA"/>
    <w:rsid w:val="00C427A4"/>
    <w:rsid w:val="00C42FA2"/>
    <w:rsid w:val="00C46768"/>
    <w:rsid w:val="00C5066F"/>
    <w:rsid w:val="00C507AC"/>
    <w:rsid w:val="00C52320"/>
    <w:rsid w:val="00C5449B"/>
    <w:rsid w:val="00C549AD"/>
    <w:rsid w:val="00C54EA6"/>
    <w:rsid w:val="00C57732"/>
    <w:rsid w:val="00C57EA9"/>
    <w:rsid w:val="00C60763"/>
    <w:rsid w:val="00C60C8A"/>
    <w:rsid w:val="00C631D3"/>
    <w:rsid w:val="00C64540"/>
    <w:rsid w:val="00C64F63"/>
    <w:rsid w:val="00C66F35"/>
    <w:rsid w:val="00C70499"/>
    <w:rsid w:val="00C70DB1"/>
    <w:rsid w:val="00C71C0D"/>
    <w:rsid w:val="00C733AF"/>
    <w:rsid w:val="00C73C97"/>
    <w:rsid w:val="00C7470C"/>
    <w:rsid w:val="00C7538F"/>
    <w:rsid w:val="00C7680F"/>
    <w:rsid w:val="00C7685F"/>
    <w:rsid w:val="00C76F92"/>
    <w:rsid w:val="00C8125F"/>
    <w:rsid w:val="00C81672"/>
    <w:rsid w:val="00C82690"/>
    <w:rsid w:val="00C8419B"/>
    <w:rsid w:val="00C849FB"/>
    <w:rsid w:val="00C904A8"/>
    <w:rsid w:val="00C90AA3"/>
    <w:rsid w:val="00C91C84"/>
    <w:rsid w:val="00C937ED"/>
    <w:rsid w:val="00C967E8"/>
    <w:rsid w:val="00CA11AD"/>
    <w:rsid w:val="00CA1728"/>
    <w:rsid w:val="00CA25EB"/>
    <w:rsid w:val="00CA343F"/>
    <w:rsid w:val="00CA4571"/>
    <w:rsid w:val="00CA5AAA"/>
    <w:rsid w:val="00CA6E01"/>
    <w:rsid w:val="00CA7353"/>
    <w:rsid w:val="00CB1432"/>
    <w:rsid w:val="00CB3272"/>
    <w:rsid w:val="00CB4437"/>
    <w:rsid w:val="00CB4BE9"/>
    <w:rsid w:val="00CB6A49"/>
    <w:rsid w:val="00CC18DA"/>
    <w:rsid w:val="00CC1C96"/>
    <w:rsid w:val="00CC59FF"/>
    <w:rsid w:val="00CD08F6"/>
    <w:rsid w:val="00CD0EC9"/>
    <w:rsid w:val="00CD2713"/>
    <w:rsid w:val="00CD5AE6"/>
    <w:rsid w:val="00CD634D"/>
    <w:rsid w:val="00CE026C"/>
    <w:rsid w:val="00CE162E"/>
    <w:rsid w:val="00CE2C76"/>
    <w:rsid w:val="00CE2CD4"/>
    <w:rsid w:val="00CE3088"/>
    <w:rsid w:val="00CE4B81"/>
    <w:rsid w:val="00CE51AB"/>
    <w:rsid w:val="00CE5EDE"/>
    <w:rsid w:val="00CE65D9"/>
    <w:rsid w:val="00CF01CD"/>
    <w:rsid w:val="00CF436F"/>
    <w:rsid w:val="00CF589B"/>
    <w:rsid w:val="00CF5915"/>
    <w:rsid w:val="00D0227D"/>
    <w:rsid w:val="00D02565"/>
    <w:rsid w:val="00D03343"/>
    <w:rsid w:val="00D05C20"/>
    <w:rsid w:val="00D07746"/>
    <w:rsid w:val="00D1474B"/>
    <w:rsid w:val="00D1476E"/>
    <w:rsid w:val="00D14AF1"/>
    <w:rsid w:val="00D15A1B"/>
    <w:rsid w:val="00D203C0"/>
    <w:rsid w:val="00D22217"/>
    <w:rsid w:val="00D243D8"/>
    <w:rsid w:val="00D244F6"/>
    <w:rsid w:val="00D24D1F"/>
    <w:rsid w:val="00D2791C"/>
    <w:rsid w:val="00D27A85"/>
    <w:rsid w:val="00D41C46"/>
    <w:rsid w:val="00D421CC"/>
    <w:rsid w:val="00D435BB"/>
    <w:rsid w:val="00D440D6"/>
    <w:rsid w:val="00D44111"/>
    <w:rsid w:val="00D451BC"/>
    <w:rsid w:val="00D45643"/>
    <w:rsid w:val="00D45CDE"/>
    <w:rsid w:val="00D478EA"/>
    <w:rsid w:val="00D505CD"/>
    <w:rsid w:val="00D521E4"/>
    <w:rsid w:val="00D52AAB"/>
    <w:rsid w:val="00D547F4"/>
    <w:rsid w:val="00D5775D"/>
    <w:rsid w:val="00D60112"/>
    <w:rsid w:val="00D634EF"/>
    <w:rsid w:val="00D65230"/>
    <w:rsid w:val="00D6602F"/>
    <w:rsid w:val="00D6623C"/>
    <w:rsid w:val="00D67BD6"/>
    <w:rsid w:val="00D67FBA"/>
    <w:rsid w:val="00D71EAC"/>
    <w:rsid w:val="00D72D45"/>
    <w:rsid w:val="00D7334E"/>
    <w:rsid w:val="00D74E4D"/>
    <w:rsid w:val="00D75905"/>
    <w:rsid w:val="00D759B3"/>
    <w:rsid w:val="00D75A08"/>
    <w:rsid w:val="00D75DB4"/>
    <w:rsid w:val="00D77E0A"/>
    <w:rsid w:val="00D80BCC"/>
    <w:rsid w:val="00D811D2"/>
    <w:rsid w:val="00D82ABB"/>
    <w:rsid w:val="00D83989"/>
    <w:rsid w:val="00D83EFD"/>
    <w:rsid w:val="00D85647"/>
    <w:rsid w:val="00D86514"/>
    <w:rsid w:val="00D90E17"/>
    <w:rsid w:val="00D92584"/>
    <w:rsid w:val="00D92C3C"/>
    <w:rsid w:val="00D96169"/>
    <w:rsid w:val="00D96434"/>
    <w:rsid w:val="00D96C3A"/>
    <w:rsid w:val="00D96DAB"/>
    <w:rsid w:val="00DA04E5"/>
    <w:rsid w:val="00DA0B90"/>
    <w:rsid w:val="00DA0F49"/>
    <w:rsid w:val="00DA31F1"/>
    <w:rsid w:val="00DA5435"/>
    <w:rsid w:val="00DA5E0B"/>
    <w:rsid w:val="00DA724C"/>
    <w:rsid w:val="00DB01CF"/>
    <w:rsid w:val="00DB0680"/>
    <w:rsid w:val="00DB22E4"/>
    <w:rsid w:val="00DB3E7C"/>
    <w:rsid w:val="00DC2091"/>
    <w:rsid w:val="00DC3296"/>
    <w:rsid w:val="00DC3D0A"/>
    <w:rsid w:val="00DC3F89"/>
    <w:rsid w:val="00DC5578"/>
    <w:rsid w:val="00DC77B6"/>
    <w:rsid w:val="00DD235E"/>
    <w:rsid w:val="00DD4D70"/>
    <w:rsid w:val="00DD4D96"/>
    <w:rsid w:val="00DD50BD"/>
    <w:rsid w:val="00DD5DE0"/>
    <w:rsid w:val="00DD5E89"/>
    <w:rsid w:val="00DD6782"/>
    <w:rsid w:val="00DD68BB"/>
    <w:rsid w:val="00DD68E2"/>
    <w:rsid w:val="00DE01A6"/>
    <w:rsid w:val="00DE0841"/>
    <w:rsid w:val="00DE0C1D"/>
    <w:rsid w:val="00DE40F3"/>
    <w:rsid w:val="00DE6A7A"/>
    <w:rsid w:val="00DE7025"/>
    <w:rsid w:val="00DE7B45"/>
    <w:rsid w:val="00DF2F3B"/>
    <w:rsid w:val="00E00614"/>
    <w:rsid w:val="00E01E9C"/>
    <w:rsid w:val="00E02359"/>
    <w:rsid w:val="00E03911"/>
    <w:rsid w:val="00E03965"/>
    <w:rsid w:val="00E04147"/>
    <w:rsid w:val="00E04B41"/>
    <w:rsid w:val="00E06F9B"/>
    <w:rsid w:val="00E0776D"/>
    <w:rsid w:val="00E101C2"/>
    <w:rsid w:val="00E128C4"/>
    <w:rsid w:val="00E13834"/>
    <w:rsid w:val="00E171B2"/>
    <w:rsid w:val="00E174BB"/>
    <w:rsid w:val="00E21A8D"/>
    <w:rsid w:val="00E24BEB"/>
    <w:rsid w:val="00E2595F"/>
    <w:rsid w:val="00E31344"/>
    <w:rsid w:val="00E3416F"/>
    <w:rsid w:val="00E34610"/>
    <w:rsid w:val="00E41B04"/>
    <w:rsid w:val="00E41DDF"/>
    <w:rsid w:val="00E43031"/>
    <w:rsid w:val="00E4384F"/>
    <w:rsid w:val="00E439F5"/>
    <w:rsid w:val="00E44A35"/>
    <w:rsid w:val="00E44AE3"/>
    <w:rsid w:val="00E46624"/>
    <w:rsid w:val="00E4792E"/>
    <w:rsid w:val="00E50F88"/>
    <w:rsid w:val="00E5281D"/>
    <w:rsid w:val="00E52FB0"/>
    <w:rsid w:val="00E53205"/>
    <w:rsid w:val="00E53393"/>
    <w:rsid w:val="00E55621"/>
    <w:rsid w:val="00E557E0"/>
    <w:rsid w:val="00E55B06"/>
    <w:rsid w:val="00E5667B"/>
    <w:rsid w:val="00E60200"/>
    <w:rsid w:val="00E6024F"/>
    <w:rsid w:val="00E63BB3"/>
    <w:rsid w:val="00E654E1"/>
    <w:rsid w:val="00E66F07"/>
    <w:rsid w:val="00E71A07"/>
    <w:rsid w:val="00E71E30"/>
    <w:rsid w:val="00E72636"/>
    <w:rsid w:val="00E729B1"/>
    <w:rsid w:val="00E73282"/>
    <w:rsid w:val="00E746FC"/>
    <w:rsid w:val="00E753D0"/>
    <w:rsid w:val="00E7789B"/>
    <w:rsid w:val="00E8064C"/>
    <w:rsid w:val="00E8194C"/>
    <w:rsid w:val="00E9073B"/>
    <w:rsid w:val="00E91411"/>
    <w:rsid w:val="00E91EB1"/>
    <w:rsid w:val="00E92722"/>
    <w:rsid w:val="00E97875"/>
    <w:rsid w:val="00E97E14"/>
    <w:rsid w:val="00EA0BCB"/>
    <w:rsid w:val="00EA32AE"/>
    <w:rsid w:val="00EA4847"/>
    <w:rsid w:val="00EA62F6"/>
    <w:rsid w:val="00EA6B41"/>
    <w:rsid w:val="00EB0A15"/>
    <w:rsid w:val="00EB172C"/>
    <w:rsid w:val="00EB2184"/>
    <w:rsid w:val="00EB3ECB"/>
    <w:rsid w:val="00EB420D"/>
    <w:rsid w:val="00EB4BC6"/>
    <w:rsid w:val="00EB66AB"/>
    <w:rsid w:val="00EB7732"/>
    <w:rsid w:val="00EC0E8D"/>
    <w:rsid w:val="00EC259C"/>
    <w:rsid w:val="00EC2683"/>
    <w:rsid w:val="00EC3DA9"/>
    <w:rsid w:val="00EC439C"/>
    <w:rsid w:val="00EC55A8"/>
    <w:rsid w:val="00EC62A8"/>
    <w:rsid w:val="00ED1E41"/>
    <w:rsid w:val="00ED2E02"/>
    <w:rsid w:val="00ED742D"/>
    <w:rsid w:val="00ED749B"/>
    <w:rsid w:val="00ED7E39"/>
    <w:rsid w:val="00EE1EF8"/>
    <w:rsid w:val="00EE26C9"/>
    <w:rsid w:val="00EE3334"/>
    <w:rsid w:val="00EE73EA"/>
    <w:rsid w:val="00EF055F"/>
    <w:rsid w:val="00EF17E3"/>
    <w:rsid w:val="00EF32A2"/>
    <w:rsid w:val="00EF3774"/>
    <w:rsid w:val="00EF4DF4"/>
    <w:rsid w:val="00EF501D"/>
    <w:rsid w:val="00EF54FF"/>
    <w:rsid w:val="00EF561A"/>
    <w:rsid w:val="00EF5B88"/>
    <w:rsid w:val="00EF789D"/>
    <w:rsid w:val="00F00F97"/>
    <w:rsid w:val="00F024BB"/>
    <w:rsid w:val="00F03236"/>
    <w:rsid w:val="00F053D5"/>
    <w:rsid w:val="00F06086"/>
    <w:rsid w:val="00F07CB8"/>
    <w:rsid w:val="00F12C3F"/>
    <w:rsid w:val="00F134A1"/>
    <w:rsid w:val="00F13EEC"/>
    <w:rsid w:val="00F140A5"/>
    <w:rsid w:val="00F152E7"/>
    <w:rsid w:val="00F1714E"/>
    <w:rsid w:val="00F17FAB"/>
    <w:rsid w:val="00F20442"/>
    <w:rsid w:val="00F23080"/>
    <w:rsid w:val="00F252D0"/>
    <w:rsid w:val="00F26539"/>
    <w:rsid w:val="00F321F1"/>
    <w:rsid w:val="00F34565"/>
    <w:rsid w:val="00F3466C"/>
    <w:rsid w:val="00F348CB"/>
    <w:rsid w:val="00F37000"/>
    <w:rsid w:val="00F37CED"/>
    <w:rsid w:val="00F4122E"/>
    <w:rsid w:val="00F41E52"/>
    <w:rsid w:val="00F42E14"/>
    <w:rsid w:val="00F4492F"/>
    <w:rsid w:val="00F44B17"/>
    <w:rsid w:val="00F4633B"/>
    <w:rsid w:val="00F46435"/>
    <w:rsid w:val="00F4793D"/>
    <w:rsid w:val="00F52897"/>
    <w:rsid w:val="00F54E20"/>
    <w:rsid w:val="00F559B2"/>
    <w:rsid w:val="00F5720E"/>
    <w:rsid w:val="00F57C32"/>
    <w:rsid w:val="00F6423D"/>
    <w:rsid w:val="00F67A0B"/>
    <w:rsid w:val="00F706DF"/>
    <w:rsid w:val="00F73046"/>
    <w:rsid w:val="00F75460"/>
    <w:rsid w:val="00F75ACE"/>
    <w:rsid w:val="00F76B0A"/>
    <w:rsid w:val="00F76CE9"/>
    <w:rsid w:val="00F76F7B"/>
    <w:rsid w:val="00F80039"/>
    <w:rsid w:val="00F80E29"/>
    <w:rsid w:val="00F82662"/>
    <w:rsid w:val="00F827B8"/>
    <w:rsid w:val="00F835BE"/>
    <w:rsid w:val="00F83A33"/>
    <w:rsid w:val="00F841B5"/>
    <w:rsid w:val="00F8449E"/>
    <w:rsid w:val="00F84812"/>
    <w:rsid w:val="00F8556F"/>
    <w:rsid w:val="00F85FA6"/>
    <w:rsid w:val="00F9114A"/>
    <w:rsid w:val="00F91DD7"/>
    <w:rsid w:val="00F93424"/>
    <w:rsid w:val="00F93D34"/>
    <w:rsid w:val="00F947D9"/>
    <w:rsid w:val="00F9601E"/>
    <w:rsid w:val="00F97EC6"/>
    <w:rsid w:val="00FA3682"/>
    <w:rsid w:val="00FA4F66"/>
    <w:rsid w:val="00FA5534"/>
    <w:rsid w:val="00FA6BFA"/>
    <w:rsid w:val="00FA7152"/>
    <w:rsid w:val="00FB0E6C"/>
    <w:rsid w:val="00FB2690"/>
    <w:rsid w:val="00FB48E2"/>
    <w:rsid w:val="00FB66FD"/>
    <w:rsid w:val="00FC08E6"/>
    <w:rsid w:val="00FC0E4E"/>
    <w:rsid w:val="00FC0FB3"/>
    <w:rsid w:val="00FC3E95"/>
    <w:rsid w:val="00FC4AE2"/>
    <w:rsid w:val="00FC4D13"/>
    <w:rsid w:val="00FC75B3"/>
    <w:rsid w:val="00FC75CE"/>
    <w:rsid w:val="00FC7681"/>
    <w:rsid w:val="00FD1692"/>
    <w:rsid w:val="00FD34E8"/>
    <w:rsid w:val="00FD3DB6"/>
    <w:rsid w:val="00FD51A5"/>
    <w:rsid w:val="00FD670D"/>
    <w:rsid w:val="00FD7811"/>
    <w:rsid w:val="00FD7B19"/>
    <w:rsid w:val="00FE078C"/>
    <w:rsid w:val="00FE09D7"/>
    <w:rsid w:val="00FE3620"/>
    <w:rsid w:val="00FE37B9"/>
    <w:rsid w:val="00FE382F"/>
    <w:rsid w:val="00FE3F18"/>
    <w:rsid w:val="00FE645E"/>
    <w:rsid w:val="00FE694E"/>
    <w:rsid w:val="00FE6AB4"/>
    <w:rsid w:val="00FE6CC9"/>
    <w:rsid w:val="00FF0E3E"/>
    <w:rsid w:val="00FF219D"/>
    <w:rsid w:val="00FF33DF"/>
    <w:rsid w:val="00FF3879"/>
    <w:rsid w:val="00FF4F82"/>
    <w:rsid w:val="00FF5265"/>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B5FA0"/>
  <w14:defaultImageDpi w14:val="32767"/>
  <w15:docId w15:val="{7A93BAA5-7CAD-8D4B-A4AE-05EAED26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DBE"/>
    <w:rPr>
      <w:rFonts w:ascii="Times New Roman" w:eastAsia="Times New Roman" w:hAnsi="Times New Roman" w:cs="Times New Roman"/>
    </w:rPr>
  </w:style>
  <w:style w:type="paragraph" w:styleId="Heading1">
    <w:name w:val="heading 1"/>
    <w:basedOn w:val="Normal"/>
    <w:next w:val="Normal"/>
    <w:link w:val="Heading1Char"/>
    <w:uiPriority w:val="9"/>
    <w:qFormat/>
    <w:rsid w:val="000C5499"/>
    <w:pPr>
      <w:keepNext/>
      <w:keepLines/>
      <w:numPr>
        <w:numId w:val="13"/>
      </w:numPr>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C5499"/>
    <w:pPr>
      <w:keepNext/>
      <w:keepLines/>
      <w:numPr>
        <w:ilvl w:val="1"/>
        <w:numId w:val="13"/>
      </w:numPr>
      <w:spacing w:before="40" w:after="24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0C5499"/>
    <w:pPr>
      <w:keepNext/>
      <w:keepLines/>
      <w:numPr>
        <w:ilvl w:val="2"/>
        <w:numId w:val="13"/>
      </w:numPr>
      <w:spacing w:before="40" w:after="240"/>
      <w:outlineLvl w:val="2"/>
    </w:pPr>
    <w:rPr>
      <w:rFonts w:eastAsiaTheme="majorEastAsia" w:cstheme="majorBidi"/>
      <w:b/>
      <w:i/>
    </w:rPr>
  </w:style>
  <w:style w:type="paragraph" w:styleId="Heading4">
    <w:name w:val="heading 4"/>
    <w:basedOn w:val="Normal"/>
    <w:next w:val="Normal"/>
    <w:link w:val="Heading4Char"/>
    <w:uiPriority w:val="9"/>
    <w:unhideWhenUsed/>
    <w:qFormat/>
    <w:rsid w:val="000C5499"/>
    <w:pPr>
      <w:keepNext/>
      <w:keepLines/>
      <w:numPr>
        <w:ilvl w:val="3"/>
        <w:numId w:val="13"/>
      </w:numPr>
      <w:spacing w:before="40" w:after="2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0C5499"/>
    <w:pPr>
      <w:keepNext/>
      <w:keepLines/>
      <w:numPr>
        <w:ilvl w:val="4"/>
        <w:numId w:val="13"/>
      </w:numPr>
      <w:spacing w:before="40" w:after="2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5499"/>
    <w:pPr>
      <w:keepNext/>
      <w:keepLines/>
      <w:numPr>
        <w:ilvl w:val="5"/>
        <w:numId w:val="13"/>
      </w:numPr>
      <w:spacing w:before="40" w:after="2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499"/>
    <w:pPr>
      <w:keepNext/>
      <w:keepLines/>
      <w:numPr>
        <w:ilvl w:val="6"/>
        <w:numId w:val="13"/>
      </w:numPr>
      <w:spacing w:before="40" w:after="2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5499"/>
    <w:pPr>
      <w:keepNext/>
      <w:keepLines/>
      <w:numPr>
        <w:ilvl w:val="7"/>
        <w:numId w:val="13"/>
      </w:numPr>
      <w:spacing w:before="40" w:after="2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499"/>
    <w:pPr>
      <w:keepNext/>
      <w:keepLines/>
      <w:numPr>
        <w:ilvl w:val="8"/>
        <w:numId w:val="13"/>
      </w:numPr>
      <w:spacing w:before="40" w:after="2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42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F42A6"/>
    <w:rPr>
      <w:sz w:val="20"/>
      <w:szCs w:val="20"/>
    </w:rPr>
  </w:style>
  <w:style w:type="character" w:styleId="FootnoteReference">
    <w:name w:val="footnote reference"/>
    <w:basedOn w:val="DefaultParagraphFont"/>
    <w:uiPriority w:val="99"/>
    <w:semiHidden/>
    <w:unhideWhenUsed/>
    <w:rsid w:val="008F42A6"/>
    <w:rPr>
      <w:vertAlign w:val="superscript"/>
    </w:rPr>
  </w:style>
  <w:style w:type="paragraph" w:styleId="ListParagraph">
    <w:name w:val="List Paragraph"/>
    <w:basedOn w:val="Normal"/>
    <w:uiPriority w:val="34"/>
    <w:qFormat/>
    <w:rsid w:val="00A006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46069"/>
    <w:rPr>
      <w:sz w:val="16"/>
      <w:szCs w:val="16"/>
    </w:rPr>
  </w:style>
  <w:style w:type="paragraph" w:styleId="CommentText">
    <w:name w:val="annotation text"/>
    <w:basedOn w:val="Normal"/>
    <w:link w:val="CommentTextChar"/>
    <w:uiPriority w:val="99"/>
    <w:semiHidden/>
    <w:unhideWhenUsed/>
    <w:rsid w:val="00846069"/>
    <w:rPr>
      <w:sz w:val="20"/>
      <w:szCs w:val="20"/>
    </w:rPr>
  </w:style>
  <w:style w:type="character" w:customStyle="1" w:styleId="CommentTextChar">
    <w:name w:val="Comment Text Char"/>
    <w:basedOn w:val="DefaultParagraphFont"/>
    <w:link w:val="CommentText"/>
    <w:uiPriority w:val="99"/>
    <w:semiHidden/>
    <w:rsid w:val="00846069"/>
    <w:rPr>
      <w:sz w:val="20"/>
      <w:szCs w:val="20"/>
    </w:rPr>
  </w:style>
  <w:style w:type="paragraph" w:styleId="CommentSubject">
    <w:name w:val="annotation subject"/>
    <w:basedOn w:val="CommentText"/>
    <w:next w:val="CommentText"/>
    <w:link w:val="CommentSubjectChar"/>
    <w:uiPriority w:val="99"/>
    <w:semiHidden/>
    <w:unhideWhenUsed/>
    <w:rsid w:val="00846069"/>
    <w:rPr>
      <w:b/>
      <w:bCs/>
    </w:rPr>
  </w:style>
  <w:style w:type="character" w:customStyle="1" w:styleId="CommentSubjectChar">
    <w:name w:val="Comment Subject Char"/>
    <w:basedOn w:val="CommentTextChar"/>
    <w:link w:val="CommentSubject"/>
    <w:uiPriority w:val="99"/>
    <w:semiHidden/>
    <w:rsid w:val="00846069"/>
    <w:rPr>
      <w:b/>
      <w:bCs/>
      <w:sz w:val="20"/>
      <w:szCs w:val="20"/>
    </w:rPr>
  </w:style>
  <w:style w:type="paragraph" w:styleId="BalloonText">
    <w:name w:val="Balloon Text"/>
    <w:basedOn w:val="Normal"/>
    <w:link w:val="BalloonTextChar"/>
    <w:uiPriority w:val="99"/>
    <w:semiHidden/>
    <w:unhideWhenUsed/>
    <w:rsid w:val="00846069"/>
    <w:rPr>
      <w:sz w:val="18"/>
      <w:szCs w:val="18"/>
    </w:rPr>
  </w:style>
  <w:style w:type="character" w:customStyle="1" w:styleId="BalloonTextChar">
    <w:name w:val="Balloon Text Char"/>
    <w:basedOn w:val="DefaultParagraphFont"/>
    <w:link w:val="BalloonText"/>
    <w:uiPriority w:val="99"/>
    <w:semiHidden/>
    <w:rsid w:val="00846069"/>
    <w:rPr>
      <w:rFonts w:ascii="Times New Roman" w:hAnsi="Times New Roman" w:cs="Times New Roman"/>
      <w:sz w:val="18"/>
      <w:szCs w:val="18"/>
    </w:rPr>
  </w:style>
  <w:style w:type="paragraph" w:styleId="Footer">
    <w:name w:val="footer"/>
    <w:basedOn w:val="Normal"/>
    <w:link w:val="FooterChar"/>
    <w:uiPriority w:val="99"/>
    <w:unhideWhenUsed/>
    <w:rsid w:val="00482B2B"/>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2B2B"/>
  </w:style>
  <w:style w:type="character" w:styleId="PageNumber">
    <w:name w:val="page number"/>
    <w:basedOn w:val="DefaultParagraphFont"/>
    <w:uiPriority w:val="99"/>
    <w:semiHidden/>
    <w:unhideWhenUsed/>
    <w:rsid w:val="00482B2B"/>
  </w:style>
  <w:style w:type="character" w:styleId="PlaceholderText">
    <w:name w:val="Placeholder Text"/>
    <w:basedOn w:val="DefaultParagraphFont"/>
    <w:uiPriority w:val="99"/>
    <w:semiHidden/>
    <w:rsid w:val="00225436"/>
    <w:rPr>
      <w:color w:val="808080"/>
    </w:rPr>
  </w:style>
  <w:style w:type="paragraph" w:styleId="NormalWeb">
    <w:name w:val="Normal (Web)"/>
    <w:basedOn w:val="Normal"/>
    <w:uiPriority w:val="99"/>
    <w:semiHidden/>
    <w:unhideWhenUsed/>
    <w:rsid w:val="00792A88"/>
    <w:pPr>
      <w:spacing w:before="100" w:beforeAutospacing="1" w:after="100" w:afterAutospacing="1"/>
    </w:pPr>
  </w:style>
  <w:style w:type="character" w:styleId="Hyperlink">
    <w:name w:val="Hyperlink"/>
    <w:basedOn w:val="DefaultParagraphFont"/>
    <w:uiPriority w:val="99"/>
    <w:unhideWhenUsed/>
    <w:rsid w:val="002A205F"/>
    <w:rPr>
      <w:color w:val="0000FF"/>
      <w:u w:val="single"/>
    </w:rPr>
  </w:style>
  <w:style w:type="character" w:customStyle="1" w:styleId="doi">
    <w:name w:val="doi"/>
    <w:basedOn w:val="DefaultParagraphFont"/>
    <w:rsid w:val="002A205F"/>
  </w:style>
  <w:style w:type="character" w:customStyle="1" w:styleId="epub-sectionitem">
    <w:name w:val="epub-section__item"/>
    <w:basedOn w:val="DefaultParagraphFont"/>
    <w:rsid w:val="00B354A8"/>
  </w:style>
  <w:style w:type="character" w:customStyle="1" w:styleId="UnresolvedMention1">
    <w:name w:val="Unresolved Mention1"/>
    <w:basedOn w:val="DefaultParagraphFont"/>
    <w:uiPriority w:val="99"/>
    <w:rsid w:val="00B354A8"/>
    <w:rPr>
      <w:color w:val="605E5C"/>
      <w:shd w:val="clear" w:color="auto" w:fill="E1DFDD"/>
    </w:rPr>
  </w:style>
  <w:style w:type="character" w:styleId="FollowedHyperlink">
    <w:name w:val="FollowedHyperlink"/>
    <w:basedOn w:val="DefaultParagraphFont"/>
    <w:uiPriority w:val="99"/>
    <w:semiHidden/>
    <w:unhideWhenUsed/>
    <w:rsid w:val="005C18C2"/>
    <w:rPr>
      <w:color w:val="954F72" w:themeColor="followedHyperlink"/>
      <w:u w:val="single"/>
    </w:rPr>
  </w:style>
  <w:style w:type="character" w:styleId="Emphasis">
    <w:name w:val="Emphasis"/>
    <w:basedOn w:val="DefaultParagraphFont"/>
    <w:uiPriority w:val="20"/>
    <w:qFormat/>
    <w:rsid w:val="00D1474B"/>
    <w:rPr>
      <w:i/>
      <w:iCs/>
    </w:rPr>
  </w:style>
  <w:style w:type="paragraph" w:styleId="Header">
    <w:name w:val="header"/>
    <w:basedOn w:val="Normal"/>
    <w:link w:val="HeaderChar"/>
    <w:uiPriority w:val="99"/>
    <w:unhideWhenUsed/>
    <w:rsid w:val="005629D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29D4"/>
  </w:style>
  <w:style w:type="character" w:customStyle="1" w:styleId="pagecontents">
    <w:name w:val="pagecontents"/>
    <w:basedOn w:val="DefaultParagraphFont"/>
    <w:rsid w:val="00492590"/>
  </w:style>
  <w:style w:type="paragraph" w:customStyle="1" w:styleId="Default">
    <w:name w:val="Default"/>
    <w:uiPriority w:val="99"/>
    <w:rsid w:val="001342E5"/>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6342C5"/>
    <w:rPr>
      <w:rFonts w:ascii="Times New Roman" w:eastAsia="Times New Roman" w:hAnsi="Times New Roman" w:cs="Times New Roman"/>
    </w:rPr>
  </w:style>
  <w:style w:type="character" w:styleId="SubtleReference">
    <w:name w:val="Subtle Reference"/>
    <w:basedOn w:val="DefaultParagraphFont"/>
    <w:uiPriority w:val="31"/>
    <w:qFormat/>
    <w:rsid w:val="00046917"/>
    <w:rPr>
      <w:smallCaps/>
      <w:color w:val="ED7D31" w:themeColor="accent2"/>
      <w:u w:val="single"/>
    </w:rPr>
  </w:style>
  <w:style w:type="table" w:styleId="TableGrid">
    <w:name w:val="Table Grid"/>
    <w:basedOn w:val="TableNormal"/>
    <w:uiPriority w:val="39"/>
    <w:rsid w:val="006E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499"/>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C5499"/>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0C5499"/>
    <w:rPr>
      <w:rFonts w:ascii="Times New Roman" w:eastAsiaTheme="majorEastAsia" w:hAnsi="Times New Roman" w:cstheme="majorBidi"/>
      <w:b/>
      <w:i/>
    </w:rPr>
  </w:style>
  <w:style w:type="character" w:customStyle="1" w:styleId="Heading4Char">
    <w:name w:val="Heading 4 Char"/>
    <w:basedOn w:val="DefaultParagraphFont"/>
    <w:link w:val="Heading4"/>
    <w:uiPriority w:val="9"/>
    <w:rsid w:val="000C5499"/>
    <w:rPr>
      <w:rFonts w:ascii="Times New Roman" w:eastAsiaTheme="majorEastAsia" w:hAnsi="Times New Roman" w:cstheme="majorBidi"/>
      <w:i/>
      <w:iCs/>
    </w:rPr>
  </w:style>
  <w:style w:type="character" w:customStyle="1" w:styleId="Heading5Char">
    <w:name w:val="Heading 5 Char"/>
    <w:basedOn w:val="DefaultParagraphFont"/>
    <w:link w:val="Heading5"/>
    <w:uiPriority w:val="9"/>
    <w:semiHidden/>
    <w:rsid w:val="000C54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54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54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5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499"/>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E03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171B2"/>
    <w:rPr>
      <w:color w:val="605E5C"/>
      <w:shd w:val="clear" w:color="auto" w:fill="E1DFDD"/>
    </w:rPr>
  </w:style>
  <w:style w:type="character" w:customStyle="1" w:styleId="text">
    <w:name w:val="text"/>
    <w:basedOn w:val="DefaultParagraphFont"/>
    <w:rsid w:val="00B234C0"/>
  </w:style>
  <w:style w:type="character" w:customStyle="1" w:styleId="page-headercitation-item-label">
    <w:name w:val="page-header__citation-item-label"/>
    <w:basedOn w:val="DefaultParagraphFont"/>
    <w:rsid w:val="00966DBE"/>
  </w:style>
  <w:style w:type="character" w:customStyle="1" w:styleId="markedcontent">
    <w:name w:val="markedcontent"/>
    <w:basedOn w:val="DefaultParagraphFont"/>
    <w:rsid w:val="00363936"/>
  </w:style>
  <w:style w:type="numbering" w:customStyle="1" w:styleId="NoList1">
    <w:name w:val="No List1"/>
    <w:next w:val="NoList"/>
    <w:uiPriority w:val="99"/>
    <w:semiHidden/>
    <w:unhideWhenUsed/>
    <w:rsid w:val="0081596F"/>
  </w:style>
  <w:style w:type="paragraph" w:customStyle="1" w:styleId="msonormal0">
    <w:name w:val="msonormal"/>
    <w:basedOn w:val="Normal"/>
    <w:uiPriority w:val="99"/>
    <w:semiHidden/>
    <w:rsid w:val="0081596F"/>
    <w:pPr>
      <w:spacing w:before="100" w:beforeAutospacing="1" w:after="100" w:afterAutospacing="1"/>
    </w:pPr>
  </w:style>
  <w:style w:type="table" w:customStyle="1" w:styleId="TableGrid2">
    <w:name w:val="Table Grid2"/>
    <w:basedOn w:val="TableNormal"/>
    <w:next w:val="TableGrid"/>
    <w:uiPriority w:val="39"/>
    <w:rsid w:val="0081596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1596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967">
      <w:bodyDiv w:val="1"/>
      <w:marLeft w:val="0"/>
      <w:marRight w:val="0"/>
      <w:marTop w:val="0"/>
      <w:marBottom w:val="0"/>
      <w:divBdr>
        <w:top w:val="none" w:sz="0" w:space="0" w:color="auto"/>
        <w:left w:val="none" w:sz="0" w:space="0" w:color="auto"/>
        <w:bottom w:val="none" w:sz="0" w:space="0" w:color="auto"/>
        <w:right w:val="none" w:sz="0" w:space="0" w:color="auto"/>
      </w:divBdr>
      <w:divsChild>
        <w:div w:id="112330312">
          <w:marLeft w:val="0"/>
          <w:marRight w:val="0"/>
          <w:marTop w:val="0"/>
          <w:marBottom w:val="0"/>
          <w:divBdr>
            <w:top w:val="none" w:sz="0" w:space="0" w:color="auto"/>
            <w:left w:val="none" w:sz="0" w:space="0" w:color="auto"/>
            <w:bottom w:val="none" w:sz="0" w:space="0" w:color="auto"/>
            <w:right w:val="none" w:sz="0" w:space="0" w:color="auto"/>
          </w:divBdr>
        </w:div>
      </w:divsChild>
    </w:div>
    <w:div w:id="42563393">
      <w:bodyDiv w:val="1"/>
      <w:marLeft w:val="0"/>
      <w:marRight w:val="0"/>
      <w:marTop w:val="0"/>
      <w:marBottom w:val="0"/>
      <w:divBdr>
        <w:top w:val="none" w:sz="0" w:space="0" w:color="auto"/>
        <w:left w:val="none" w:sz="0" w:space="0" w:color="auto"/>
        <w:bottom w:val="none" w:sz="0" w:space="0" w:color="auto"/>
        <w:right w:val="none" w:sz="0" w:space="0" w:color="auto"/>
      </w:divBdr>
    </w:div>
    <w:div w:id="49690628">
      <w:bodyDiv w:val="1"/>
      <w:marLeft w:val="0"/>
      <w:marRight w:val="0"/>
      <w:marTop w:val="0"/>
      <w:marBottom w:val="0"/>
      <w:divBdr>
        <w:top w:val="none" w:sz="0" w:space="0" w:color="auto"/>
        <w:left w:val="none" w:sz="0" w:space="0" w:color="auto"/>
        <w:bottom w:val="none" w:sz="0" w:space="0" w:color="auto"/>
        <w:right w:val="none" w:sz="0" w:space="0" w:color="auto"/>
      </w:divBdr>
    </w:div>
    <w:div w:id="51081357">
      <w:bodyDiv w:val="1"/>
      <w:marLeft w:val="0"/>
      <w:marRight w:val="0"/>
      <w:marTop w:val="0"/>
      <w:marBottom w:val="0"/>
      <w:divBdr>
        <w:top w:val="none" w:sz="0" w:space="0" w:color="auto"/>
        <w:left w:val="none" w:sz="0" w:space="0" w:color="auto"/>
        <w:bottom w:val="none" w:sz="0" w:space="0" w:color="auto"/>
        <w:right w:val="none" w:sz="0" w:space="0" w:color="auto"/>
      </w:divBdr>
    </w:div>
    <w:div w:id="55201482">
      <w:bodyDiv w:val="1"/>
      <w:marLeft w:val="0"/>
      <w:marRight w:val="0"/>
      <w:marTop w:val="0"/>
      <w:marBottom w:val="0"/>
      <w:divBdr>
        <w:top w:val="none" w:sz="0" w:space="0" w:color="auto"/>
        <w:left w:val="none" w:sz="0" w:space="0" w:color="auto"/>
        <w:bottom w:val="none" w:sz="0" w:space="0" w:color="auto"/>
        <w:right w:val="none" w:sz="0" w:space="0" w:color="auto"/>
      </w:divBdr>
    </w:div>
    <w:div w:id="70008902">
      <w:bodyDiv w:val="1"/>
      <w:marLeft w:val="0"/>
      <w:marRight w:val="0"/>
      <w:marTop w:val="0"/>
      <w:marBottom w:val="0"/>
      <w:divBdr>
        <w:top w:val="none" w:sz="0" w:space="0" w:color="auto"/>
        <w:left w:val="none" w:sz="0" w:space="0" w:color="auto"/>
        <w:bottom w:val="none" w:sz="0" w:space="0" w:color="auto"/>
        <w:right w:val="none" w:sz="0" w:space="0" w:color="auto"/>
      </w:divBdr>
    </w:div>
    <w:div w:id="77556098">
      <w:bodyDiv w:val="1"/>
      <w:marLeft w:val="0"/>
      <w:marRight w:val="0"/>
      <w:marTop w:val="0"/>
      <w:marBottom w:val="0"/>
      <w:divBdr>
        <w:top w:val="none" w:sz="0" w:space="0" w:color="auto"/>
        <w:left w:val="none" w:sz="0" w:space="0" w:color="auto"/>
        <w:bottom w:val="none" w:sz="0" w:space="0" w:color="auto"/>
        <w:right w:val="none" w:sz="0" w:space="0" w:color="auto"/>
      </w:divBdr>
    </w:div>
    <w:div w:id="86579920">
      <w:bodyDiv w:val="1"/>
      <w:marLeft w:val="0"/>
      <w:marRight w:val="0"/>
      <w:marTop w:val="0"/>
      <w:marBottom w:val="0"/>
      <w:divBdr>
        <w:top w:val="none" w:sz="0" w:space="0" w:color="auto"/>
        <w:left w:val="none" w:sz="0" w:space="0" w:color="auto"/>
        <w:bottom w:val="none" w:sz="0" w:space="0" w:color="auto"/>
        <w:right w:val="none" w:sz="0" w:space="0" w:color="auto"/>
      </w:divBdr>
    </w:div>
    <w:div w:id="116531069">
      <w:bodyDiv w:val="1"/>
      <w:marLeft w:val="0"/>
      <w:marRight w:val="0"/>
      <w:marTop w:val="0"/>
      <w:marBottom w:val="0"/>
      <w:divBdr>
        <w:top w:val="none" w:sz="0" w:space="0" w:color="auto"/>
        <w:left w:val="none" w:sz="0" w:space="0" w:color="auto"/>
        <w:bottom w:val="none" w:sz="0" w:space="0" w:color="auto"/>
        <w:right w:val="none" w:sz="0" w:space="0" w:color="auto"/>
      </w:divBdr>
    </w:div>
    <w:div w:id="127407112">
      <w:bodyDiv w:val="1"/>
      <w:marLeft w:val="0"/>
      <w:marRight w:val="0"/>
      <w:marTop w:val="0"/>
      <w:marBottom w:val="0"/>
      <w:divBdr>
        <w:top w:val="none" w:sz="0" w:space="0" w:color="auto"/>
        <w:left w:val="none" w:sz="0" w:space="0" w:color="auto"/>
        <w:bottom w:val="none" w:sz="0" w:space="0" w:color="auto"/>
        <w:right w:val="none" w:sz="0" w:space="0" w:color="auto"/>
      </w:divBdr>
    </w:div>
    <w:div w:id="152765662">
      <w:bodyDiv w:val="1"/>
      <w:marLeft w:val="0"/>
      <w:marRight w:val="0"/>
      <w:marTop w:val="0"/>
      <w:marBottom w:val="0"/>
      <w:divBdr>
        <w:top w:val="none" w:sz="0" w:space="0" w:color="auto"/>
        <w:left w:val="none" w:sz="0" w:space="0" w:color="auto"/>
        <w:bottom w:val="none" w:sz="0" w:space="0" w:color="auto"/>
        <w:right w:val="none" w:sz="0" w:space="0" w:color="auto"/>
      </w:divBdr>
      <w:divsChild>
        <w:div w:id="1427385064">
          <w:marLeft w:val="0"/>
          <w:marRight w:val="0"/>
          <w:marTop w:val="0"/>
          <w:marBottom w:val="0"/>
          <w:divBdr>
            <w:top w:val="none" w:sz="0" w:space="0" w:color="auto"/>
            <w:left w:val="none" w:sz="0" w:space="0" w:color="auto"/>
            <w:bottom w:val="none" w:sz="0" w:space="0" w:color="auto"/>
            <w:right w:val="none" w:sz="0" w:space="0" w:color="auto"/>
          </w:divBdr>
        </w:div>
      </w:divsChild>
    </w:div>
    <w:div w:id="164979454">
      <w:bodyDiv w:val="1"/>
      <w:marLeft w:val="0"/>
      <w:marRight w:val="0"/>
      <w:marTop w:val="0"/>
      <w:marBottom w:val="0"/>
      <w:divBdr>
        <w:top w:val="none" w:sz="0" w:space="0" w:color="auto"/>
        <w:left w:val="none" w:sz="0" w:space="0" w:color="auto"/>
        <w:bottom w:val="none" w:sz="0" w:space="0" w:color="auto"/>
        <w:right w:val="none" w:sz="0" w:space="0" w:color="auto"/>
      </w:divBdr>
    </w:div>
    <w:div w:id="189417414">
      <w:bodyDiv w:val="1"/>
      <w:marLeft w:val="0"/>
      <w:marRight w:val="0"/>
      <w:marTop w:val="0"/>
      <w:marBottom w:val="0"/>
      <w:divBdr>
        <w:top w:val="none" w:sz="0" w:space="0" w:color="auto"/>
        <w:left w:val="none" w:sz="0" w:space="0" w:color="auto"/>
        <w:bottom w:val="none" w:sz="0" w:space="0" w:color="auto"/>
        <w:right w:val="none" w:sz="0" w:space="0" w:color="auto"/>
      </w:divBdr>
    </w:div>
    <w:div w:id="224803181">
      <w:bodyDiv w:val="1"/>
      <w:marLeft w:val="0"/>
      <w:marRight w:val="0"/>
      <w:marTop w:val="0"/>
      <w:marBottom w:val="0"/>
      <w:divBdr>
        <w:top w:val="none" w:sz="0" w:space="0" w:color="auto"/>
        <w:left w:val="none" w:sz="0" w:space="0" w:color="auto"/>
        <w:bottom w:val="none" w:sz="0" w:space="0" w:color="auto"/>
        <w:right w:val="none" w:sz="0" w:space="0" w:color="auto"/>
      </w:divBdr>
    </w:div>
    <w:div w:id="231502950">
      <w:bodyDiv w:val="1"/>
      <w:marLeft w:val="0"/>
      <w:marRight w:val="0"/>
      <w:marTop w:val="0"/>
      <w:marBottom w:val="0"/>
      <w:divBdr>
        <w:top w:val="none" w:sz="0" w:space="0" w:color="auto"/>
        <w:left w:val="none" w:sz="0" w:space="0" w:color="auto"/>
        <w:bottom w:val="none" w:sz="0" w:space="0" w:color="auto"/>
        <w:right w:val="none" w:sz="0" w:space="0" w:color="auto"/>
      </w:divBdr>
      <w:divsChild>
        <w:div w:id="1774475053">
          <w:marLeft w:val="0"/>
          <w:marRight w:val="0"/>
          <w:marTop w:val="0"/>
          <w:marBottom w:val="0"/>
          <w:divBdr>
            <w:top w:val="none" w:sz="0" w:space="0" w:color="auto"/>
            <w:left w:val="none" w:sz="0" w:space="0" w:color="auto"/>
            <w:bottom w:val="none" w:sz="0" w:space="0" w:color="auto"/>
            <w:right w:val="none" w:sz="0" w:space="0" w:color="auto"/>
          </w:divBdr>
        </w:div>
      </w:divsChild>
    </w:div>
    <w:div w:id="234170412">
      <w:bodyDiv w:val="1"/>
      <w:marLeft w:val="0"/>
      <w:marRight w:val="0"/>
      <w:marTop w:val="0"/>
      <w:marBottom w:val="0"/>
      <w:divBdr>
        <w:top w:val="none" w:sz="0" w:space="0" w:color="auto"/>
        <w:left w:val="none" w:sz="0" w:space="0" w:color="auto"/>
        <w:bottom w:val="none" w:sz="0" w:space="0" w:color="auto"/>
        <w:right w:val="none" w:sz="0" w:space="0" w:color="auto"/>
      </w:divBdr>
    </w:div>
    <w:div w:id="259073303">
      <w:bodyDiv w:val="1"/>
      <w:marLeft w:val="0"/>
      <w:marRight w:val="0"/>
      <w:marTop w:val="0"/>
      <w:marBottom w:val="0"/>
      <w:divBdr>
        <w:top w:val="none" w:sz="0" w:space="0" w:color="auto"/>
        <w:left w:val="none" w:sz="0" w:space="0" w:color="auto"/>
        <w:bottom w:val="none" w:sz="0" w:space="0" w:color="auto"/>
        <w:right w:val="none" w:sz="0" w:space="0" w:color="auto"/>
      </w:divBdr>
    </w:div>
    <w:div w:id="266811522">
      <w:bodyDiv w:val="1"/>
      <w:marLeft w:val="0"/>
      <w:marRight w:val="0"/>
      <w:marTop w:val="0"/>
      <w:marBottom w:val="0"/>
      <w:divBdr>
        <w:top w:val="none" w:sz="0" w:space="0" w:color="auto"/>
        <w:left w:val="none" w:sz="0" w:space="0" w:color="auto"/>
        <w:bottom w:val="none" w:sz="0" w:space="0" w:color="auto"/>
        <w:right w:val="none" w:sz="0" w:space="0" w:color="auto"/>
      </w:divBdr>
    </w:div>
    <w:div w:id="266817978">
      <w:bodyDiv w:val="1"/>
      <w:marLeft w:val="0"/>
      <w:marRight w:val="0"/>
      <w:marTop w:val="0"/>
      <w:marBottom w:val="0"/>
      <w:divBdr>
        <w:top w:val="none" w:sz="0" w:space="0" w:color="auto"/>
        <w:left w:val="none" w:sz="0" w:space="0" w:color="auto"/>
        <w:bottom w:val="none" w:sz="0" w:space="0" w:color="auto"/>
        <w:right w:val="none" w:sz="0" w:space="0" w:color="auto"/>
      </w:divBdr>
    </w:div>
    <w:div w:id="276838054">
      <w:bodyDiv w:val="1"/>
      <w:marLeft w:val="0"/>
      <w:marRight w:val="0"/>
      <w:marTop w:val="0"/>
      <w:marBottom w:val="0"/>
      <w:divBdr>
        <w:top w:val="none" w:sz="0" w:space="0" w:color="auto"/>
        <w:left w:val="none" w:sz="0" w:space="0" w:color="auto"/>
        <w:bottom w:val="none" w:sz="0" w:space="0" w:color="auto"/>
        <w:right w:val="none" w:sz="0" w:space="0" w:color="auto"/>
      </w:divBdr>
    </w:div>
    <w:div w:id="279260306">
      <w:bodyDiv w:val="1"/>
      <w:marLeft w:val="0"/>
      <w:marRight w:val="0"/>
      <w:marTop w:val="0"/>
      <w:marBottom w:val="0"/>
      <w:divBdr>
        <w:top w:val="none" w:sz="0" w:space="0" w:color="auto"/>
        <w:left w:val="none" w:sz="0" w:space="0" w:color="auto"/>
        <w:bottom w:val="none" w:sz="0" w:space="0" w:color="auto"/>
        <w:right w:val="none" w:sz="0" w:space="0" w:color="auto"/>
      </w:divBdr>
      <w:divsChild>
        <w:div w:id="248975712">
          <w:marLeft w:val="0"/>
          <w:marRight w:val="0"/>
          <w:marTop w:val="0"/>
          <w:marBottom w:val="0"/>
          <w:divBdr>
            <w:top w:val="none" w:sz="0" w:space="0" w:color="auto"/>
            <w:left w:val="none" w:sz="0" w:space="0" w:color="auto"/>
            <w:bottom w:val="none" w:sz="0" w:space="0" w:color="auto"/>
            <w:right w:val="none" w:sz="0" w:space="0" w:color="auto"/>
          </w:divBdr>
        </w:div>
      </w:divsChild>
    </w:div>
    <w:div w:id="294914906">
      <w:bodyDiv w:val="1"/>
      <w:marLeft w:val="0"/>
      <w:marRight w:val="0"/>
      <w:marTop w:val="0"/>
      <w:marBottom w:val="0"/>
      <w:divBdr>
        <w:top w:val="none" w:sz="0" w:space="0" w:color="auto"/>
        <w:left w:val="none" w:sz="0" w:space="0" w:color="auto"/>
        <w:bottom w:val="none" w:sz="0" w:space="0" w:color="auto"/>
        <w:right w:val="none" w:sz="0" w:space="0" w:color="auto"/>
      </w:divBdr>
    </w:div>
    <w:div w:id="294993441">
      <w:bodyDiv w:val="1"/>
      <w:marLeft w:val="0"/>
      <w:marRight w:val="0"/>
      <w:marTop w:val="0"/>
      <w:marBottom w:val="0"/>
      <w:divBdr>
        <w:top w:val="none" w:sz="0" w:space="0" w:color="auto"/>
        <w:left w:val="none" w:sz="0" w:space="0" w:color="auto"/>
        <w:bottom w:val="none" w:sz="0" w:space="0" w:color="auto"/>
        <w:right w:val="none" w:sz="0" w:space="0" w:color="auto"/>
      </w:divBdr>
    </w:div>
    <w:div w:id="306933731">
      <w:bodyDiv w:val="1"/>
      <w:marLeft w:val="0"/>
      <w:marRight w:val="0"/>
      <w:marTop w:val="0"/>
      <w:marBottom w:val="0"/>
      <w:divBdr>
        <w:top w:val="none" w:sz="0" w:space="0" w:color="auto"/>
        <w:left w:val="none" w:sz="0" w:space="0" w:color="auto"/>
        <w:bottom w:val="none" w:sz="0" w:space="0" w:color="auto"/>
        <w:right w:val="none" w:sz="0" w:space="0" w:color="auto"/>
      </w:divBdr>
    </w:div>
    <w:div w:id="310411040">
      <w:bodyDiv w:val="1"/>
      <w:marLeft w:val="0"/>
      <w:marRight w:val="0"/>
      <w:marTop w:val="0"/>
      <w:marBottom w:val="0"/>
      <w:divBdr>
        <w:top w:val="none" w:sz="0" w:space="0" w:color="auto"/>
        <w:left w:val="none" w:sz="0" w:space="0" w:color="auto"/>
        <w:bottom w:val="none" w:sz="0" w:space="0" w:color="auto"/>
        <w:right w:val="none" w:sz="0" w:space="0" w:color="auto"/>
      </w:divBdr>
    </w:div>
    <w:div w:id="321470285">
      <w:bodyDiv w:val="1"/>
      <w:marLeft w:val="0"/>
      <w:marRight w:val="0"/>
      <w:marTop w:val="0"/>
      <w:marBottom w:val="0"/>
      <w:divBdr>
        <w:top w:val="none" w:sz="0" w:space="0" w:color="auto"/>
        <w:left w:val="none" w:sz="0" w:space="0" w:color="auto"/>
        <w:bottom w:val="none" w:sz="0" w:space="0" w:color="auto"/>
        <w:right w:val="none" w:sz="0" w:space="0" w:color="auto"/>
      </w:divBdr>
      <w:divsChild>
        <w:div w:id="320042123">
          <w:marLeft w:val="0"/>
          <w:marRight w:val="0"/>
          <w:marTop w:val="0"/>
          <w:marBottom w:val="0"/>
          <w:divBdr>
            <w:top w:val="none" w:sz="0" w:space="0" w:color="auto"/>
            <w:left w:val="none" w:sz="0" w:space="0" w:color="auto"/>
            <w:bottom w:val="none" w:sz="0" w:space="0" w:color="auto"/>
            <w:right w:val="none" w:sz="0" w:space="0" w:color="auto"/>
          </w:divBdr>
        </w:div>
      </w:divsChild>
    </w:div>
    <w:div w:id="323896574">
      <w:bodyDiv w:val="1"/>
      <w:marLeft w:val="0"/>
      <w:marRight w:val="0"/>
      <w:marTop w:val="0"/>
      <w:marBottom w:val="0"/>
      <w:divBdr>
        <w:top w:val="none" w:sz="0" w:space="0" w:color="auto"/>
        <w:left w:val="none" w:sz="0" w:space="0" w:color="auto"/>
        <w:bottom w:val="none" w:sz="0" w:space="0" w:color="auto"/>
        <w:right w:val="none" w:sz="0" w:space="0" w:color="auto"/>
      </w:divBdr>
    </w:div>
    <w:div w:id="328676147">
      <w:bodyDiv w:val="1"/>
      <w:marLeft w:val="0"/>
      <w:marRight w:val="0"/>
      <w:marTop w:val="0"/>
      <w:marBottom w:val="0"/>
      <w:divBdr>
        <w:top w:val="none" w:sz="0" w:space="0" w:color="auto"/>
        <w:left w:val="none" w:sz="0" w:space="0" w:color="auto"/>
        <w:bottom w:val="none" w:sz="0" w:space="0" w:color="auto"/>
        <w:right w:val="none" w:sz="0" w:space="0" w:color="auto"/>
      </w:divBdr>
    </w:div>
    <w:div w:id="350038201">
      <w:bodyDiv w:val="1"/>
      <w:marLeft w:val="0"/>
      <w:marRight w:val="0"/>
      <w:marTop w:val="0"/>
      <w:marBottom w:val="0"/>
      <w:divBdr>
        <w:top w:val="none" w:sz="0" w:space="0" w:color="auto"/>
        <w:left w:val="none" w:sz="0" w:space="0" w:color="auto"/>
        <w:bottom w:val="none" w:sz="0" w:space="0" w:color="auto"/>
        <w:right w:val="none" w:sz="0" w:space="0" w:color="auto"/>
      </w:divBdr>
    </w:div>
    <w:div w:id="354888651">
      <w:bodyDiv w:val="1"/>
      <w:marLeft w:val="0"/>
      <w:marRight w:val="0"/>
      <w:marTop w:val="0"/>
      <w:marBottom w:val="0"/>
      <w:divBdr>
        <w:top w:val="none" w:sz="0" w:space="0" w:color="auto"/>
        <w:left w:val="none" w:sz="0" w:space="0" w:color="auto"/>
        <w:bottom w:val="none" w:sz="0" w:space="0" w:color="auto"/>
        <w:right w:val="none" w:sz="0" w:space="0" w:color="auto"/>
      </w:divBdr>
    </w:div>
    <w:div w:id="364453525">
      <w:bodyDiv w:val="1"/>
      <w:marLeft w:val="0"/>
      <w:marRight w:val="0"/>
      <w:marTop w:val="0"/>
      <w:marBottom w:val="0"/>
      <w:divBdr>
        <w:top w:val="none" w:sz="0" w:space="0" w:color="auto"/>
        <w:left w:val="none" w:sz="0" w:space="0" w:color="auto"/>
        <w:bottom w:val="none" w:sz="0" w:space="0" w:color="auto"/>
        <w:right w:val="none" w:sz="0" w:space="0" w:color="auto"/>
      </w:divBdr>
    </w:div>
    <w:div w:id="365906393">
      <w:bodyDiv w:val="1"/>
      <w:marLeft w:val="0"/>
      <w:marRight w:val="0"/>
      <w:marTop w:val="0"/>
      <w:marBottom w:val="0"/>
      <w:divBdr>
        <w:top w:val="none" w:sz="0" w:space="0" w:color="auto"/>
        <w:left w:val="none" w:sz="0" w:space="0" w:color="auto"/>
        <w:bottom w:val="none" w:sz="0" w:space="0" w:color="auto"/>
        <w:right w:val="none" w:sz="0" w:space="0" w:color="auto"/>
      </w:divBdr>
    </w:div>
    <w:div w:id="387190713">
      <w:bodyDiv w:val="1"/>
      <w:marLeft w:val="0"/>
      <w:marRight w:val="0"/>
      <w:marTop w:val="0"/>
      <w:marBottom w:val="0"/>
      <w:divBdr>
        <w:top w:val="none" w:sz="0" w:space="0" w:color="auto"/>
        <w:left w:val="none" w:sz="0" w:space="0" w:color="auto"/>
        <w:bottom w:val="none" w:sz="0" w:space="0" w:color="auto"/>
        <w:right w:val="none" w:sz="0" w:space="0" w:color="auto"/>
      </w:divBdr>
    </w:div>
    <w:div w:id="403842351">
      <w:bodyDiv w:val="1"/>
      <w:marLeft w:val="0"/>
      <w:marRight w:val="0"/>
      <w:marTop w:val="0"/>
      <w:marBottom w:val="0"/>
      <w:divBdr>
        <w:top w:val="none" w:sz="0" w:space="0" w:color="auto"/>
        <w:left w:val="none" w:sz="0" w:space="0" w:color="auto"/>
        <w:bottom w:val="none" w:sz="0" w:space="0" w:color="auto"/>
        <w:right w:val="none" w:sz="0" w:space="0" w:color="auto"/>
      </w:divBdr>
    </w:div>
    <w:div w:id="405883993">
      <w:bodyDiv w:val="1"/>
      <w:marLeft w:val="0"/>
      <w:marRight w:val="0"/>
      <w:marTop w:val="0"/>
      <w:marBottom w:val="0"/>
      <w:divBdr>
        <w:top w:val="none" w:sz="0" w:space="0" w:color="auto"/>
        <w:left w:val="none" w:sz="0" w:space="0" w:color="auto"/>
        <w:bottom w:val="none" w:sz="0" w:space="0" w:color="auto"/>
        <w:right w:val="none" w:sz="0" w:space="0" w:color="auto"/>
      </w:divBdr>
    </w:div>
    <w:div w:id="412746217">
      <w:bodyDiv w:val="1"/>
      <w:marLeft w:val="0"/>
      <w:marRight w:val="0"/>
      <w:marTop w:val="0"/>
      <w:marBottom w:val="0"/>
      <w:divBdr>
        <w:top w:val="none" w:sz="0" w:space="0" w:color="auto"/>
        <w:left w:val="none" w:sz="0" w:space="0" w:color="auto"/>
        <w:bottom w:val="none" w:sz="0" w:space="0" w:color="auto"/>
        <w:right w:val="none" w:sz="0" w:space="0" w:color="auto"/>
      </w:divBdr>
      <w:divsChild>
        <w:div w:id="2110732813">
          <w:marLeft w:val="0"/>
          <w:marRight w:val="0"/>
          <w:marTop w:val="0"/>
          <w:marBottom w:val="0"/>
          <w:divBdr>
            <w:top w:val="none" w:sz="0" w:space="0" w:color="auto"/>
            <w:left w:val="none" w:sz="0" w:space="0" w:color="auto"/>
            <w:bottom w:val="none" w:sz="0" w:space="0" w:color="auto"/>
            <w:right w:val="none" w:sz="0" w:space="0" w:color="auto"/>
          </w:divBdr>
        </w:div>
      </w:divsChild>
    </w:div>
    <w:div w:id="456531491">
      <w:bodyDiv w:val="1"/>
      <w:marLeft w:val="0"/>
      <w:marRight w:val="0"/>
      <w:marTop w:val="0"/>
      <w:marBottom w:val="0"/>
      <w:divBdr>
        <w:top w:val="none" w:sz="0" w:space="0" w:color="auto"/>
        <w:left w:val="none" w:sz="0" w:space="0" w:color="auto"/>
        <w:bottom w:val="none" w:sz="0" w:space="0" w:color="auto"/>
        <w:right w:val="none" w:sz="0" w:space="0" w:color="auto"/>
      </w:divBdr>
    </w:div>
    <w:div w:id="465851897">
      <w:bodyDiv w:val="1"/>
      <w:marLeft w:val="0"/>
      <w:marRight w:val="0"/>
      <w:marTop w:val="0"/>
      <w:marBottom w:val="0"/>
      <w:divBdr>
        <w:top w:val="none" w:sz="0" w:space="0" w:color="auto"/>
        <w:left w:val="none" w:sz="0" w:space="0" w:color="auto"/>
        <w:bottom w:val="none" w:sz="0" w:space="0" w:color="auto"/>
        <w:right w:val="none" w:sz="0" w:space="0" w:color="auto"/>
      </w:divBdr>
      <w:divsChild>
        <w:div w:id="2020278690">
          <w:marLeft w:val="0"/>
          <w:marRight w:val="0"/>
          <w:marTop w:val="0"/>
          <w:marBottom w:val="0"/>
          <w:divBdr>
            <w:top w:val="none" w:sz="0" w:space="0" w:color="auto"/>
            <w:left w:val="none" w:sz="0" w:space="0" w:color="auto"/>
            <w:bottom w:val="none" w:sz="0" w:space="0" w:color="auto"/>
            <w:right w:val="none" w:sz="0" w:space="0" w:color="auto"/>
          </w:divBdr>
          <w:divsChild>
            <w:div w:id="72511655">
              <w:marLeft w:val="0"/>
              <w:marRight w:val="0"/>
              <w:marTop w:val="0"/>
              <w:marBottom w:val="0"/>
              <w:divBdr>
                <w:top w:val="none" w:sz="0" w:space="0" w:color="auto"/>
                <w:left w:val="none" w:sz="0" w:space="0" w:color="auto"/>
                <w:bottom w:val="none" w:sz="0" w:space="0" w:color="auto"/>
                <w:right w:val="none" w:sz="0" w:space="0" w:color="auto"/>
              </w:divBdr>
            </w:div>
            <w:div w:id="14193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8833">
      <w:bodyDiv w:val="1"/>
      <w:marLeft w:val="0"/>
      <w:marRight w:val="0"/>
      <w:marTop w:val="0"/>
      <w:marBottom w:val="0"/>
      <w:divBdr>
        <w:top w:val="none" w:sz="0" w:space="0" w:color="auto"/>
        <w:left w:val="none" w:sz="0" w:space="0" w:color="auto"/>
        <w:bottom w:val="none" w:sz="0" w:space="0" w:color="auto"/>
        <w:right w:val="none" w:sz="0" w:space="0" w:color="auto"/>
      </w:divBdr>
    </w:div>
    <w:div w:id="471561642">
      <w:bodyDiv w:val="1"/>
      <w:marLeft w:val="0"/>
      <w:marRight w:val="0"/>
      <w:marTop w:val="0"/>
      <w:marBottom w:val="0"/>
      <w:divBdr>
        <w:top w:val="none" w:sz="0" w:space="0" w:color="auto"/>
        <w:left w:val="none" w:sz="0" w:space="0" w:color="auto"/>
        <w:bottom w:val="none" w:sz="0" w:space="0" w:color="auto"/>
        <w:right w:val="none" w:sz="0" w:space="0" w:color="auto"/>
      </w:divBdr>
      <w:divsChild>
        <w:div w:id="642126069">
          <w:marLeft w:val="0"/>
          <w:marRight w:val="0"/>
          <w:marTop w:val="0"/>
          <w:marBottom w:val="0"/>
          <w:divBdr>
            <w:top w:val="none" w:sz="0" w:space="0" w:color="auto"/>
            <w:left w:val="none" w:sz="0" w:space="0" w:color="auto"/>
            <w:bottom w:val="none" w:sz="0" w:space="0" w:color="auto"/>
            <w:right w:val="none" w:sz="0" w:space="0" w:color="auto"/>
          </w:divBdr>
        </w:div>
      </w:divsChild>
    </w:div>
    <w:div w:id="472068174">
      <w:bodyDiv w:val="1"/>
      <w:marLeft w:val="0"/>
      <w:marRight w:val="0"/>
      <w:marTop w:val="0"/>
      <w:marBottom w:val="0"/>
      <w:divBdr>
        <w:top w:val="none" w:sz="0" w:space="0" w:color="auto"/>
        <w:left w:val="none" w:sz="0" w:space="0" w:color="auto"/>
        <w:bottom w:val="none" w:sz="0" w:space="0" w:color="auto"/>
        <w:right w:val="none" w:sz="0" w:space="0" w:color="auto"/>
      </w:divBdr>
      <w:divsChild>
        <w:div w:id="753161449">
          <w:marLeft w:val="0"/>
          <w:marRight w:val="0"/>
          <w:marTop w:val="0"/>
          <w:marBottom w:val="0"/>
          <w:divBdr>
            <w:top w:val="none" w:sz="0" w:space="0" w:color="auto"/>
            <w:left w:val="none" w:sz="0" w:space="0" w:color="auto"/>
            <w:bottom w:val="none" w:sz="0" w:space="0" w:color="auto"/>
            <w:right w:val="none" w:sz="0" w:space="0" w:color="auto"/>
          </w:divBdr>
        </w:div>
      </w:divsChild>
    </w:div>
    <w:div w:id="480342955">
      <w:bodyDiv w:val="1"/>
      <w:marLeft w:val="0"/>
      <w:marRight w:val="0"/>
      <w:marTop w:val="0"/>
      <w:marBottom w:val="0"/>
      <w:divBdr>
        <w:top w:val="none" w:sz="0" w:space="0" w:color="auto"/>
        <w:left w:val="none" w:sz="0" w:space="0" w:color="auto"/>
        <w:bottom w:val="none" w:sz="0" w:space="0" w:color="auto"/>
        <w:right w:val="none" w:sz="0" w:space="0" w:color="auto"/>
      </w:divBdr>
      <w:divsChild>
        <w:div w:id="62990253">
          <w:marLeft w:val="0"/>
          <w:marRight w:val="0"/>
          <w:marTop w:val="0"/>
          <w:marBottom w:val="0"/>
          <w:divBdr>
            <w:top w:val="none" w:sz="0" w:space="0" w:color="auto"/>
            <w:left w:val="none" w:sz="0" w:space="0" w:color="auto"/>
            <w:bottom w:val="none" w:sz="0" w:space="0" w:color="auto"/>
            <w:right w:val="none" w:sz="0" w:space="0" w:color="auto"/>
          </w:divBdr>
        </w:div>
      </w:divsChild>
    </w:div>
    <w:div w:id="499127069">
      <w:bodyDiv w:val="1"/>
      <w:marLeft w:val="0"/>
      <w:marRight w:val="0"/>
      <w:marTop w:val="0"/>
      <w:marBottom w:val="0"/>
      <w:divBdr>
        <w:top w:val="none" w:sz="0" w:space="0" w:color="auto"/>
        <w:left w:val="none" w:sz="0" w:space="0" w:color="auto"/>
        <w:bottom w:val="none" w:sz="0" w:space="0" w:color="auto"/>
        <w:right w:val="none" w:sz="0" w:space="0" w:color="auto"/>
      </w:divBdr>
      <w:divsChild>
        <w:div w:id="80874377">
          <w:marLeft w:val="0"/>
          <w:marRight w:val="0"/>
          <w:marTop w:val="0"/>
          <w:marBottom w:val="0"/>
          <w:divBdr>
            <w:top w:val="none" w:sz="0" w:space="0" w:color="auto"/>
            <w:left w:val="none" w:sz="0" w:space="0" w:color="auto"/>
            <w:bottom w:val="none" w:sz="0" w:space="0" w:color="auto"/>
            <w:right w:val="none" w:sz="0" w:space="0" w:color="auto"/>
          </w:divBdr>
        </w:div>
      </w:divsChild>
    </w:div>
    <w:div w:id="530607963">
      <w:bodyDiv w:val="1"/>
      <w:marLeft w:val="0"/>
      <w:marRight w:val="0"/>
      <w:marTop w:val="0"/>
      <w:marBottom w:val="0"/>
      <w:divBdr>
        <w:top w:val="none" w:sz="0" w:space="0" w:color="auto"/>
        <w:left w:val="none" w:sz="0" w:space="0" w:color="auto"/>
        <w:bottom w:val="none" w:sz="0" w:space="0" w:color="auto"/>
        <w:right w:val="none" w:sz="0" w:space="0" w:color="auto"/>
      </w:divBdr>
    </w:div>
    <w:div w:id="537472053">
      <w:bodyDiv w:val="1"/>
      <w:marLeft w:val="0"/>
      <w:marRight w:val="0"/>
      <w:marTop w:val="0"/>
      <w:marBottom w:val="0"/>
      <w:divBdr>
        <w:top w:val="none" w:sz="0" w:space="0" w:color="auto"/>
        <w:left w:val="none" w:sz="0" w:space="0" w:color="auto"/>
        <w:bottom w:val="none" w:sz="0" w:space="0" w:color="auto"/>
        <w:right w:val="none" w:sz="0" w:space="0" w:color="auto"/>
      </w:divBdr>
      <w:divsChild>
        <w:div w:id="125508851">
          <w:marLeft w:val="0"/>
          <w:marRight w:val="0"/>
          <w:marTop w:val="0"/>
          <w:marBottom w:val="0"/>
          <w:divBdr>
            <w:top w:val="none" w:sz="0" w:space="0" w:color="auto"/>
            <w:left w:val="none" w:sz="0" w:space="0" w:color="auto"/>
            <w:bottom w:val="none" w:sz="0" w:space="0" w:color="auto"/>
            <w:right w:val="none" w:sz="0" w:space="0" w:color="auto"/>
          </w:divBdr>
        </w:div>
      </w:divsChild>
    </w:div>
    <w:div w:id="551423554">
      <w:bodyDiv w:val="1"/>
      <w:marLeft w:val="0"/>
      <w:marRight w:val="0"/>
      <w:marTop w:val="0"/>
      <w:marBottom w:val="0"/>
      <w:divBdr>
        <w:top w:val="none" w:sz="0" w:space="0" w:color="auto"/>
        <w:left w:val="none" w:sz="0" w:space="0" w:color="auto"/>
        <w:bottom w:val="none" w:sz="0" w:space="0" w:color="auto"/>
        <w:right w:val="none" w:sz="0" w:space="0" w:color="auto"/>
      </w:divBdr>
    </w:div>
    <w:div w:id="551813969">
      <w:bodyDiv w:val="1"/>
      <w:marLeft w:val="0"/>
      <w:marRight w:val="0"/>
      <w:marTop w:val="0"/>
      <w:marBottom w:val="0"/>
      <w:divBdr>
        <w:top w:val="none" w:sz="0" w:space="0" w:color="auto"/>
        <w:left w:val="none" w:sz="0" w:space="0" w:color="auto"/>
        <w:bottom w:val="none" w:sz="0" w:space="0" w:color="auto"/>
        <w:right w:val="none" w:sz="0" w:space="0" w:color="auto"/>
      </w:divBdr>
      <w:divsChild>
        <w:div w:id="633216877">
          <w:marLeft w:val="0"/>
          <w:marRight w:val="0"/>
          <w:marTop w:val="0"/>
          <w:marBottom w:val="0"/>
          <w:divBdr>
            <w:top w:val="none" w:sz="0" w:space="0" w:color="auto"/>
            <w:left w:val="none" w:sz="0" w:space="0" w:color="auto"/>
            <w:bottom w:val="none" w:sz="0" w:space="0" w:color="auto"/>
            <w:right w:val="none" w:sz="0" w:space="0" w:color="auto"/>
          </w:divBdr>
        </w:div>
      </w:divsChild>
    </w:div>
    <w:div w:id="564994213">
      <w:bodyDiv w:val="1"/>
      <w:marLeft w:val="0"/>
      <w:marRight w:val="0"/>
      <w:marTop w:val="0"/>
      <w:marBottom w:val="0"/>
      <w:divBdr>
        <w:top w:val="none" w:sz="0" w:space="0" w:color="auto"/>
        <w:left w:val="none" w:sz="0" w:space="0" w:color="auto"/>
        <w:bottom w:val="none" w:sz="0" w:space="0" w:color="auto"/>
        <w:right w:val="none" w:sz="0" w:space="0" w:color="auto"/>
      </w:divBdr>
    </w:div>
    <w:div w:id="575750065">
      <w:bodyDiv w:val="1"/>
      <w:marLeft w:val="0"/>
      <w:marRight w:val="0"/>
      <w:marTop w:val="0"/>
      <w:marBottom w:val="0"/>
      <w:divBdr>
        <w:top w:val="none" w:sz="0" w:space="0" w:color="auto"/>
        <w:left w:val="none" w:sz="0" w:space="0" w:color="auto"/>
        <w:bottom w:val="none" w:sz="0" w:space="0" w:color="auto"/>
        <w:right w:val="none" w:sz="0" w:space="0" w:color="auto"/>
      </w:divBdr>
      <w:divsChild>
        <w:div w:id="1513228940">
          <w:marLeft w:val="0"/>
          <w:marRight w:val="0"/>
          <w:marTop w:val="0"/>
          <w:marBottom w:val="0"/>
          <w:divBdr>
            <w:top w:val="none" w:sz="0" w:space="0" w:color="auto"/>
            <w:left w:val="none" w:sz="0" w:space="0" w:color="auto"/>
            <w:bottom w:val="none" w:sz="0" w:space="0" w:color="auto"/>
            <w:right w:val="none" w:sz="0" w:space="0" w:color="auto"/>
          </w:divBdr>
        </w:div>
      </w:divsChild>
    </w:div>
    <w:div w:id="579482471">
      <w:bodyDiv w:val="1"/>
      <w:marLeft w:val="0"/>
      <w:marRight w:val="0"/>
      <w:marTop w:val="0"/>
      <w:marBottom w:val="0"/>
      <w:divBdr>
        <w:top w:val="none" w:sz="0" w:space="0" w:color="auto"/>
        <w:left w:val="none" w:sz="0" w:space="0" w:color="auto"/>
        <w:bottom w:val="none" w:sz="0" w:space="0" w:color="auto"/>
        <w:right w:val="none" w:sz="0" w:space="0" w:color="auto"/>
      </w:divBdr>
    </w:div>
    <w:div w:id="604580004">
      <w:bodyDiv w:val="1"/>
      <w:marLeft w:val="0"/>
      <w:marRight w:val="0"/>
      <w:marTop w:val="0"/>
      <w:marBottom w:val="0"/>
      <w:divBdr>
        <w:top w:val="none" w:sz="0" w:space="0" w:color="auto"/>
        <w:left w:val="none" w:sz="0" w:space="0" w:color="auto"/>
        <w:bottom w:val="none" w:sz="0" w:space="0" w:color="auto"/>
        <w:right w:val="none" w:sz="0" w:space="0" w:color="auto"/>
      </w:divBdr>
      <w:divsChild>
        <w:div w:id="1194928866">
          <w:marLeft w:val="0"/>
          <w:marRight w:val="0"/>
          <w:marTop w:val="0"/>
          <w:marBottom w:val="0"/>
          <w:divBdr>
            <w:top w:val="none" w:sz="0" w:space="0" w:color="auto"/>
            <w:left w:val="none" w:sz="0" w:space="0" w:color="auto"/>
            <w:bottom w:val="none" w:sz="0" w:space="0" w:color="auto"/>
            <w:right w:val="none" w:sz="0" w:space="0" w:color="auto"/>
          </w:divBdr>
        </w:div>
      </w:divsChild>
    </w:div>
    <w:div w:id="612789008">
      <w:bodyDiv w:val="1"/>
      <w:marLeft w:val="0"/>
      <w:marRight w:val="0"/>
      <w:marTop w:val="0"/>
      <w:marBottom w:val="0"/>
      <w:divBdr>
        <w:top w:val="none" w:sz="0" w:space="0" w:color="auto"/>
        <w:left w:val="none" w:sz="0" w:space="0" w:color="auto"/>
        <w:bottom w:val="none" w:sz="0" w:space="0" w:color="auto"/>
        <w:right w:val="none" w:sz="0" w:space="0" w:color="auto"/>
      </w:divBdr>
    </w:div>
    <w:div w:id="616568990">
      <w:bodyDiv w:val="1"/>
      <w:marLeft w:val="0"/>
      <w:marRight w:val="0"/>
      <w:marTop w:val="0"/>
      <w:marBottom w:val="0"/>
      <w:divBdr>
        <w:top w:val="none" w:sz="0" w:space="0" w:color="auto"/>
        <w:left w:val="none" w:sz="0" w:space="0" w:color="auto"/>
        <w:bottom w:val="none" w:sz="0" w:space="0" w:color="auto"/>
        <w:right w:val="none" w:sz="0" w:space="0" w:color="auto"/>
      </w:divBdr>
    </w:div>
    <w:div w:id="623577930">
      <w:bodyDiv w:val="1"/>
      <w:marLeft w:val="0"/>
      <w:marRight w:val="0"/>
      <w:marTop w:val="0"/>
      <w:marBottom w:val="0"/>
      <w:divBdr>
        <w:top w:val="none" w:sz="0" w:space="0" w:color="auto"/>
        <w:left w:val="none" w:sz="0" w:space="0" w:color="auto"/>
        <w:bottom w:val="none" w:sz="0" w:space="0" w:color="auto"/>
        <w:right w:val="none" w:sz="0" w:space="0" w:color="auto"/>
      </w:divBdr>
    </w:div>
    <w:div w:id="633563169">
      <w:bodyDiv w:val="1"/>
      <w:marLeft w:val="0"/>
      <w:marRight w:val="0"/>
      <w:marTop w:val="0"/>
      <w:marBottom w:val="0"/>
      <w:divBdr>
        <w:top w:val="none" w:sz="0" w:space="0" w:color="auto"/>
        <w:left w:val="none" w:sz="0" w:space="0" w:color="auto"/>
        <w:bottom w:val="none" w:sz="0" w:space="0" w:color="auto"/>
        <w:right w:val="none" w:sz="0" w:space="0" w:color="auto"/>
      </w:divBdr>
    </w:div>
    <w:div w:id="636452540">
      <w:bodyDiv w:val="1"/>
      <w:marLeft w:val="0"/>
      <w:marRight w:val="0"/>
      <w:marTop w:val="0"/>
      <w:marBottom w:val="0"/>
      <w:divBdr>
        <w:top w:val="none" w:sz="0" w:space="0" w:color="auto"/>
        <w:left w:val="none" w:sz="0" w:space="0" w:color="auto"/>
        <w:bottom w:val="none" w:sz="0" w:space="0" w:color="auto"/>
        <w:right w:val="none" w:sz="0" w:space="0" w:color="auto"/>
      </w:divBdr>
    </w:div>
    <w:div w:id="638613971">
      <w:bodyDiv w:val="1"/>
      <w:marLeft w:val="0"/>
      <w:marRight w:val="0"/>
      <w:marTop w:val="0"/>
      <w:marBottom w:val="0"/>
      <w:divBdr>
        <w:top w:val="none" w:sz="0" w:space="0" w:color="auto"/>
        <w:left w:val="none" w:sz="0" w:space="0" w:color="auto"/>
        <w:bottom w:val="none" w:sz="0" w:space="0" w:color="auto"/>
        <w:right w:val="none" w:sz="0" w:space="0" w:color="auto"/>
      </w:divBdr>
    </w:div>
    <w:div w:id="675573278">
      <w:bodyDiv w:val="1"/>
      <w:marLeft w:val="0"/>
      <w:marRight w:val="0"/>
      <w:marTop w:val="0"/>
      <w:marBottom w:val="0"/>
      <w:divBdr>
        <w:top w:val="none" w:sz="0" w:space="0" w:color="auto"/>
        <w:left w:val="none" w:sz="0" w:space="0" w:color="auto"/>
        <w:bottom w:val="none" w:sz="0" w:space="0" w:color="auto"/>
        <w:right w:val="none" w:sz="0" w:space="0" w:color="auto"/>
      </w:divBdr>
    </w:div>
    <w:div w:id="679624266">
      <w:bodyDiv w:val="1"/>
      <w:marLeft w:val="0"/>
      <w:marRight w:val="0"/>
      <w:marTop w:val="0"/>
      <w:marBottom w:val="0"/>
      <w:divBdr>
        <w:top w:val="none" w:sz="0" w:space="0" w:color="auto"/>
        <w:left w:val="none" w:sz="0" w:space="0" w:color="auto"/>
        <w:bottom w:val="none" w:sz="0" w:space="0" w:color="auto"/>
        <w:right w:val="none" w:sz="0" w:space="0" w:color="auto"/>
      </w:divBdr>
    </w:div>
    <w:div w:id="683900198">
      <w:bodyDiv w:val="1"/>
      <w:marLeft w:val="0"/>
      <w:marRight w:val="0"/>
      <w:marTop w:val="0"/>
      <w:marBottom w:val="0"/>
      <w:divBdr>
        <w:top w:val="none" w:sz="0" w:space="0" w:color="auto"/>
        <w:left w:val="none" w:sz="0" w:space="0" w:color="auto"/>
        <w:bottom w:val="none" w:sz="0" w:space="0" w:color="auto"/>
        <w:right w:val="none" w:sz="0" w:space="0" w:color="auto"/>
      </w:divBdr>
    </w:div>
    <w:div w:id="685326134">
      <w:bodyDiv w:val="1"/>
      <w:marLeft w:val="0"/>
      <w:marRight w:val="0"/>
      <w:marTop w:val="0"/>
      <w:marBottom w:val="0"/>
      <w:divBdr>
        <w:top w:val="none" w:sz="0" w:space="0" w:color="auto"/>
        <w:left w:val="none" w:sz="0" w:space="0" w:color="auto"/>
        <w:bottom w:val="none" w:sz="0" w:space="0" w:color="auto"/>
        <w:right w:val="none" w:sz="0" w:space="0" w:color="auto"/>
      </w:divBdr>
      <w:divsChild>
        <w:div w:id="650988797">
          <w:marLeft w:val="0"/>
          <w:marRight w:val="0"/>
          <w:marTop w:val="0"/>
          <w:marBottom w:val="0"/>
          <w:divBdr>
            <w:top w:val="none" w:sz="0" w:space="0" w:color="auto"/>
            <w:left w:val="none" w:sz="0" w:space="0" w:color="auto"/>
            <w:bottom w:val="none" w:sz="0" w:space="0" w:color="auto"/>
            <w:right w:val="none" w:sz="0" w:space="0" w:color="auto"/>
          </w:divBdr>
        </w:div>
      </w:divsChild>
    </w:div>
    <w:div w:id="699478146">
      <w:bodyDiv w:val="1"/>
      <w:marLeft w:val="0"/>
      <w:marRight w:val="0"/>
      <w:marTop w:val="0"/>
      <w:marBottom w:val="0"/>
      <w:divBdr>
        <w:top w:val="none" w:sz="0" w:space="0" w:color="auto"/>
        <w:left w:val="none" w:sz="0" w:space="0" w:color="auto"/>
        <w:bottom w:val="none" w:sz="0" w:space="0" w:color="auto"/>
        <w:right w:val="none" w:sz="0" w:space="0" w:color="auto"/>
      </w:divBdr>
    </w:div>
    <w:div w:id="699665476">
      <w:bodyDiv w:val="1"/>
      <w:marLeft w:val="0"/>
      <w:marRight w:val="0"/>
      <w:marTop w:val="0"/>
      <w:marBottom w:val="0"/>
      <w:divBdr>
        <w:top w:val="none" w:sz="0" w:space="0" w:color="auto"/>
        <w:left w:val="none" w:sz="0" w:space="0" w:color="auto"/>
        <w:bottom w:val="none" w:sz="0" w:space="0" w:color="auto"/>
        <w:right w:val="none" w:sz="0" w:space="0" w:color="auto"/>
      </w:divBdr>
    </w:div>
    <w:div w:id="699890768">
      <w:bodyDiv w:val="1"/>
      <w:marLeft w:val="0"/>
      <w:marRight w:val="0"/>
      <w:marTop w:val="0"/>
      <w:marBottom w:val="0"/>
      <w:divBdr>
        <w:top w:val="none" w:sz="0" w:space="0" w:color="auto"/>
        <w:left w:val="none" w:sz="0" w:space="0" w:color="auto"/>
        <w:bottom w:val="none" w:sz="0" w:space="0" w:color="auto"/>
        <w:right w:val="none" w:sz="0" w:space="0" w:color="auto"/>
      </w:divBdr>
    </w:div>
    <w:div w:id="706757628">
      <w:bodyDiv w:val="1"/>
      <w:marLeft w:val="0"/>
      <w:marRight w:val="0"/>
      <w:marTop w:val="0"/>
      <w:marBottom w:val="0"/>
      <w:divBdr>
        <w:top w:val="none" w:sz="0" w:space="0" w:color="auto"/>
        <w:left w:val="none" w:sz="0" w:space="0" w:color="auto"/>
        <w:bottom w:val="none" w:sz="0" w:space="0" w:color="auto"/>
        <w:right w:val="none" w:sz="0" w:space="0" w:color="auto"/>
      </w:divBdr>
    </w:div>
    <w:div w:id="713038700">
      <w:bodyDiv w:val="1"/>
      <w:marLeft w:val="0"/>
      <w:marRight w:val="0"/>
      <w:marTop w:val="0"/>
      <w:marBottom w:val="0"/>
      <w:divBdr>
        <w:top w:val="none" w:sz="0" w:space="0" w:color="auto"/>
        <w:left w:val="none" w:sz="0" w:space="0" w:color="auto"/>
        <w:bottom w:val="none" w:sz="0" w:space="0" w:color="auto"/>
        <w:right w:val="none" w:sz="0" w:space="0" w:color="auto"/>
      </w:divBdr>
    </w:div>
    <w:div w:id="713967911">
      <w:bodyDiv w:val="1"/>
      <w:marLeft w:val="0"/>
      <w:marRight w:val="0"/>
      <w:marTop w:val="0"/>
      <w:marBottom w:val="0"/>
      <w:divBdr>
        <w:top w:val="none" w:sz="0" w:space="0" w:color="auto"/>
        <w:left w:val="none" w:sz="0" w:space="0" w:color="auto"/>
        <w:bottom w:val="none" w:sz="0" w:space="0" w:color="auto"/>
        <w:right w:val="none" w:sz="0" w:space="0" w:color="auto"/>
      </w:divBdr>
      <w:divsChild>
        <w:div w:id="1680961625">
          <w:marLeft w:val="0"/>
          <w:marRight w:val="0"/>
          <w:marTop w:val="0"/>
          <w:marBottom w:val="0"/>
          <w:divBdr>
            <w:top w:val="none" w:sz="0" w:space="0" w:color="auto"/>
            <w:left w:val="none" w:sz="0" w:space="0" w:color="auto"/>
            <w:bottom w:val="none" w:sz="0" w:space="0" w:color="auto"/>
            <w:right w:val="none" w:sz="0" w:space="0" w:color="auto"/>
          </w:divBdr>
        </w:div>
      </w:divsChild>
    </w:div>
    <w:div w:id="714767928">
      <w:bodyDiv w:val="1"/>
      <w:marLeft w:val="0"/>
      <w:marRight w:val="0"/>
      <w:marTop w:val="0"/>
      <w:marBottom w:val="0"/>
      <w:divBdr>
        <w:top w:val="none" w:sz="0" w:space="0" w:color="auto"/>
        <w:left w:val="none" w:sz="0" w:space="0" w:color="auto"/>
        <w:bottom w:val="none" w:sz="0" w:space="0" w:color="auto"/>
        <w:right w:val="none" w:sz="0" w:space="0" w:color="auto"/>
      </w:divBdr>
      <w:divsChild>
        <w:div w:id="1500732463">
          <w:marLeft w:val="0"/>
          <w:marRight w:val="0"/>
          <w:marTop w:val="0"/>
          <w:marBottom w:val="0"/>
          <w:divBdr>
            <w:top w:val="none" w:sz="0" w:space="0" w:color="auto"/>
            <w:left w:val="none" w:sz="0" w:space="0" w:color="auto"/>
            <w:bottom w:val="none" w:sz="0" w:space="0" w:color="auto"/>
            <w:right w:val="none" w:sz="0" w:space="0" w:color="auto"/>
          </w:divBdr>
        </w:div>
      </w:divsChild>
    </w:div>
    <w:div w:id="720059363">
      <w:bodyDiv w:val="1"/>
      <w:marLeft w:val="0"/>
      <w:marRight w:val="0"/>
      <w:marTop w:val="0"/>
      <w:marBottom w:val="0"/>
      <w:divBdr>
        <w:top w:val="none" w:sz="0" w:space="0" w:color="auto"/>
        <w:left w:val="none" w:sz="0" w:space="0" w:color="auto"/>
        <w:bottom w:val="none" w:sz="0" w:space="0" w:color="auto"/>
        <w:right w:val="none" w:sz="0" w:space="0" w:color="auto"/>
      </w:divBdr>
    </w:div>
    <w:div w:id="775515454">
      <w:bodyDiv w:val="1"/>
      <w:marLeft w:val="0"/>
      <w:marRight w:val="0"/>
      <w:marTop w:val="0"/>
      <w:marBottom w:val="0"/>
      <w:divBdr>
        <w:top w:val="none" w:sz="0" w:space="0" w:color="auto"/>
        <w:left w:val="none" w:sz="0" w:space="0" w:color="auto"/>
        <w:bottom w:val="none" w:sz="0" w:space="0" w:color="auto"/>
        <w:right w:val="none" w:sz="0" w:space="0" w:color="auto"/>
      </w:divBdr>
      <w:divsChild>
        <w:div w:id="991300847">
          <w:marLeft w:val="0"/>
          <w:marRight w:val="0"/>
          <w:marTop w:val="0"/>
          <w:marBottom w:val="0"/>
          <w:divBdr>
            <w:top w:val="none" w:sz="0" w:space="0" w:color="auto"/>
            <w:left w:val="none" w:sz="0" w:space="0" w:color="auto"/>
            <w:bottom w:val="none" w:sz="0" w:space="0" w:color="auto"/>
            <w:right w:val="none" w:sz="0" w:space="0" w:color="auto"/>
          </w:divBdr>
        </w:div>
      </w:divsChild>
    </w:div>
    <w:div w:id="790785764">
      <w:bodyDiv w:val="1"/>
      <w:marLeft w:val="0"/>
      <w:marRight w:val="0"/>
      <w:marTop w:val="0"/>
      <w:marBottom w:val="0"/>
      <w:divBdr>
        <w:top w:val="none" w:sz="0" w:space="0" w:color="auto"/>
        <w:left w:val="none" w:sz="0" w:space="0" w:color="auto"/>
        <w:bottom w:val="none" w:sz="0" w:space="0" w:color="auto"/>
        <w:right w:val="none" w:sz="0" w:space="0" w:color="auto"/>
      </w:divBdr>
    </w:div>
    <w:div w:id="818306365">
      <w:bodyDiv w:val="1"/>
      <w:marLeft w:val="0"/>
      <w:marRight w:val="0"/>
      <w:marTop w:val="0"/>
      <w:marBottom w:val="0"/>
      <w:divBdr>
        <w:top w:val="none" w:sz="0" w:space="0" w:color="auto"/>
        <w:left w:val="none" w:sz="0" w:space="0" w:color="auto"/>
        <w:bottom w:val="none" w:sz="0" w:space="0" w:color="auto"/>
        <w:right w:val="none" w:sz="0" w:space="0" w:color="auto"/>
      </w:divBdr>
    </w:div>
    <w:div w:id="882056887">
      <w:bodyDiv w:val="1"/>
      <w:marLeft w:val="0"/>
      <w:marRight w:val="0"/>
      <w:marTop w:val="0"/>
      <w:marBottom w:val="0"/>
      <w:divBdr>
        <w:top w:val="none" w:sz="0" w:space="0" w:color="auto"/>
        <w:left w:val="none" w:sz="0" w:space="0" w:color="auto"/>
        <w:bottom w:val="none" w:sz="0" w:space="0" w:color="auto"/>
        <w:right w:val="none" w:sz="0" w:space="0" w:color="auto"/>
      </w:divBdr>
    </w:div>
    <w:div w:id="932275626">
      <w:bodyDiv w:val="1"/>
      <w:marLeft w:val="0"/>
      <w:marRight w:val="0"/>
      <w:marTop w:val="0"/>
      <w:marBottom w:val="0"/>
      <w:divBdr>
        <w:top w:val="none" w:sz="0" w:space="0" w:color="auto"/>
        <w:left w:val="none" w:sz="0" w:space="0" w:color="auto"/>
        <w:bottom w:val="none" w:sz="0" w:space="0" w:color="auto"/>
        <w:right w:val="none" w:sz="0" w:space="0" w:color="auto"/>
      </w:divBdr>
    </w:div>
    <w:div w:id="951401541">
      <w:bodyDiv w:val="1"/>
      <w:marLeft w:val="0"/>
      <w:marRight w:val="0"/>
      <w:marTop w:val="0"/>
      <w:marBottom w:val="0"/>
      <w:divBdr>
        <w:top w:val="none" w:sz="0" w:space="0" w:color="auto"/>
        <w:left w:val="none" w:sz="0" w:space="0" w:color="auto"/>
        <w:bottom w:val="none" w:sz="0" w:space="0" w:color="auto"/>
        <w:right w:val="none" w:sz="0" w:space="0" w:color="auto"/>
      </w:divBdr>
    </w:div>
    <w:div w:id="966859272">
      <w:bodyDiv w:val="1"/>
      <w:marLeft w:val="0"/>
      <w:marRight w:val="0"/>
      <w:marTop w:val="0"/>
      <w:marBottom w:val="0"/>
      <w:divBdr>
        <w:top w:val="none" w:sz="0" w:space="0" w:color="auto"/>
        <w:left w:val="none" w:sz="0" w:space="0" w:color="auto"/>
        <w:bottom w:val="none" w:sz="0" w:space="0" w:color="auto"/>
        <w:right w:val="none" w:sz="0" w:space="0" w:color="auto"/>
      </w:divBdr>
    </w:div>
    <w:div w:id="988629405">
      <w:bodyDiv w:val="1"/>
      <w:marLeft w:val="0"/>
      <w:marRight w:val="0"/>
      <w:marTop w:val="0"/>
      <w:marBottom w:val="0"/>
      <w:divBdr>
        <w:top w:val="none" w:sz="0" w:space="0" w:color="auto"/>
        <w:left w:val="none" w:sz="0" w:space="0" w:color="auto"/>
        <w:bottom w:val="none" w:sz="0" w:space="0" w:color="auto"/>
        <w:right w:val="none" w:sz="0" w:space="0" w:color="auto"/>
      </w:divBdr>
    </w:div>
    <w:div w:id="989138731">
      <w:bodyDiv w:val="1"/>
      <w:marLeft w:val="0"/>
      <w:marRight w:val="0"/>
      <w:marTop w:val="0"/>
      <w:marBottom w:val="0"/>
      <w:divBdr>
        <w:top w:val="none" w:sz="0" w:space="0" w:color="auto"/>
        <w:left w:val="none" w:sz="0" w:space="0" w:color="auto"/>
        <w:bottom w:val="none" w:sz="0" w:space="0" w:color="auto"/>
        <w:right w:val="none" w:sz="0" w:space="0" w:color="auto"/>
      </w:divBdr>
    </w:div>
    <w:div w:id="993263784">
      <w:bodyDiv w:val="1"/>
      <w:marLeft w:val="0"/>
      <w:marRight w:val="0"/>
      <w:marTop w:val="0"/>
      <w:marBottom w:val="0"/>
      <w:divBdr>
        <w:top w:val="none" w:sz="0" w:space="0" w:color="auto"/>
        <w:left w:val="none" w:sz="0" w:space="0" w:color="auto"/>
        <w:bottom w:val="none" w:sz="0" w:space="0" w:color="auto"/>
        <w:right w:val="none" w:sz="0" w:space="0" w:color="auto"/>
      </w:divBdr>
    </w:div>
    <w:div w:id="998309987">
      <w:bodyDiv w:val="1"/>
      <w:marLeft w:val="0"/>
      <w:marRight w:val="0"/>
      <w:marTop w:val="0"/>
      <w:marBottom w:val="0"/>
      <w:divBdr>
        <w:top w:val="none" w:sz="0" w:space="0" w:color="auto"/>
        <w:left w:val="none" w:sz="0" w:space="0" w:color="auto"/>
        <w:bottom w:val="none" w:sz="0" w:space="0" w:color="auto"/>
        <w:right w:val="none" w:sz="0" w:space="0" w:color="auto"/>
      </w:divBdr>
    </w:div>
    <w:div w:id="1012417294">
      <w:bodyDiv w:val="1"/>
      <w:marLeft w:val="0"/>
      <w:marRight w:val="0"/>
      <w:marTop w:val="0"/>
      <w:marBottom w:val="0"/>
      <w:divBdr>
        <w:top w:val="none" w:sz="0" w:space="0" w:color="auto"/>
        <w:left w:val="none" w:sz="0" w:space="0" w:color="auto"/>
        <w:bottom w:val="none" w:sz="0" w:space="0" w:color="auto"/>
        <w:right w:val="none" w:sz="0" w:space="0" w:color="auto"/>
      </w:divBdr>
      <w:divsChild>
        <w:div w:id="260457331">
          <w:marLeft w:val="0"/>
          <w:marRight w:val="0"/>
          <w:marTop w:val="0"/>
          <w:marBottom w:val="0"/>
          <w:divBdr>
            <w:top w:val="none" w:sz="0" w:space="0" w:color="auto"/>
            <w:left w:val="none" w:sz="0" w:space="0" w:color="auto"/>
            <w:bottom w:val="none" w:sz="0" w:space="0" w:color="auto"/>
            <w:right w:val="none" w:sz="0" w:space="0" w:color="auto"/>
          </w:divBdr>
        </w:div>
      </w:divsChild>
    </w:div>
    <w:div w:id="1025139077">
      <w:bodyDiv w:val="1"/>
      <w:marLeft w:val="0"/>
      <w:marRight w:val="0"/>
      <w:marTop w:val="0"/>
      <w:marBottom w:val="0"/>
      <w:divBdr>
        <w:top w:val="none" w:sz="0" w:space="0" w:color="auto"/>
        <w:left w:val="none" w:sz="0" w:space="0" w:color="auto"/>
        <w:bottom w:val="none" w:sz="0" w:space="0" w:color="auto"/>
        <w:right w:val="none" w:sz="0" w:space="0" w:color="auto"/>
      </w:divBdr>
    </w:div>
    <w:div w:id="1049843082">
      <w:bodyDiv w:val="1"/>
      <w:marLeft w:val="0"/>
      <w:marRight w:val="0"/>
      <w:marTop w:val="0"/>
      <w:marBottom w:val="0"/>
      <w:divBdr>
        <w:top w:val="none" w:sz="0" w:space="0" w:color="auto"/>
        <w:left w:val="none" w:sz="0" w:space="0" w:color="auto"/>
        <w:bottom w:val="none" w:sz="0" w:space="0" w:color="auto"/>
        <w:right w:val="none" w:sz="0" w:space="0" w:color="auto"/>
      </w:divBdr>
      <w:divsChild>
        <w:div w:id="667564661">
          <w:marLeft w:val="0"/>
          <w:marRight w:val="0"/>
          <w:marTop w:val="0"/>
          <w:marBottom w:val="0"/>
          <w:divBdr>
            <w:top w:val="none" w:sz="0" w:space="0" w:color="auto"/>
            <w:left w:val="none" w:sz="0" w:space="0" w:color="auto"/>
            <w:bottom w:val="none" w:sz="0" w:space="0" w:color="auto"/>
            <w:right w:val="none" w:sz="0" w:space="0" w:color="auto"/>
          </w:divBdr>
        </w:div>
      </w:divsChild>
    </w:div>
    <w:div w:id="1052539056">
      <w:bodyDiv w:val="1"/>
      <w:marLeft w:val="0"/>
      <w:marRight w:val="0"/>
      <w:marTop w:val="0"/>
      <w:marBottom w:val="0"/>
      <w:divBdr>
        <w:top w:val="none" w:sz="0" w:space="0" w:color="auto"/>
        <w:left w:val="none" w:sz="0" w:space="0" w:color="auto"/>
        <w:bottom w:val="none" w:sz="0" w:space="0" w:color="auto"/>
        <w:right w:val="none" w:sz="0" w:space="0" w:color="auto"/>
      </w:divBdr>
    </w:div>
    <w:div w:id="1061060269">
      <w:bodyDiv w:val="1"/>
      <w:marLeft w:val="0"/>
      <w:marRight w:val="0"/>
      <w:marTop w:val="0"/>
      <w:marBottom w:val="0"/>
      <w:divBdr>
        <w:top w:val="none" w:sz="0" w:space="0" w:color="auto"/>
        <w:left w:val="none" w:sz="0" w:space="0" w:color="auto"/>
        <w:bottom w:val="none" w:sz="0" w:space="0" w:color="auto"/>
        <w:right w:val="none" w:sz="0" w:space="0" w:color="auto"/>
      </w:divBdr>
    </w:div>
    <w:div w:id="1067993561">
      <w:bodyDiv w:val="1"/>
      <w:marLeft w:val="0"/>
      <w:marRight w:val="0"/>
      <w:marTop w:val="0"/>
      <w:marBottom w:val="0"/>
      <w:divBdr>
        <w:top w:val="none" w:sz="0" w:space="0" w:color="auto"/>
        <w:left w:val="none" w:sz="0" w:space="0" w:color="auto"/>
        <w:bottom w:val="none" w:sz="0" w:space="0" w:color="auto"/>
        <w:right w:val="none" w:sz="0" w:space="0" w:color="auto"/>
      </w:divBdr>
      <w:divsChild>
        <w:div w:id="1637298841">
          <w:marLeft w:val="360"/>
          <w:marRight w:val="0"/>
          <w:marTop w:val="200"/>
          <w:marBottom w:val="0"/>
          <w:divBdr>
            <w:top w:val="none" w:sz="0" w:space="0" w:color="auto"/>
            <w:left w:val="none" w:sz="0" w:space="0" w:color="auto"/>
            <w:bottom w:val="none" w:sz="0" w:space="0" w:color="auto"/>
            <w:right w:val="none" w:sz="0" w:space="0" w:color="auto"/>
          </w:divBdr>
        </w:div>
      </w:divsChild>
    </w:div>
    <w:div w:id="1101992977">
      <w:bodyDiv w:val="1"/>
      <w:marLeft w:val="0"/>
      <w:marRight w:val="0"/>
      <w:marTop w:val="0"/>
      <w:marBottom w:val="0"/>
      <w:divBdr>
        <w:top w:val="none" w:sz="0" w:space="0" w:color="auto"/>
        <w:left w:val="none" w:sz="0" w:space="0" w:color="auto"/>
        <w:bottom w:val="none" w:sz="0" w:space="0" w:color="auto"/>
        <w:right w:val="none" w:sz="0" w:space="0" w:color="auto"/>
      </w:divBdr>
    </w:div>
    <w:div w:id="1119685442">
      <w:bodyDiv w:val="1"/>
      <w:marLeft w:val="0"/>
      <w:marRight w:val="0"/>
      <w:marTop w:val="0"/>
      <w:marBottom w:val="0"/>
      <w:divBdr>
        <w:top w:val="none" w:sz="0" w:space="0" w:color="auto"/>
        <w:left w:val="none" w:sz="0" w:space="0" w:color="auto"/>
        <w:bottom w:val="none" w:sz="0" w:space="0" w:color="auto"/>
        <w:right w:val="none" w:sz="0" w:space="0" w:color="auto"/>
      </w:divBdr>
    </w:div>
    <w:div w:id="1148936723">
      <w:bodyDiv w:val="1"/>
      <w:marLeft w:val="0"/>
      <w:marRight w:val="0"/>
      <w:marTop w:val="0"/>
      <w:marBottom w:val="0"/>
      <w:divBdr>
        <w:top w:val="none" w:sz="0" w:space="0" w:color="auto"/>
        <w:left w:val="none" w:sz="0" w:space="0" w:color="auto"/>
        <w:bottom w:val="none" w:sz="0" w:space="0" w:color="auto"/>
        <w:right w:val="none" w:sz="0" w:space="0" w:color="auto"/>
      </w:divBdr>
      <w:divsChild>
        <w:div w:id="1731616953">
          <w:marLeft w:val="0"/>
          <w:marRight w:val="0"/>
          <w:marTop w:val="0"/>
          <w:marBottom w:val="0"/>
          <w:divBdr>
            <w:top w:val="none" w:sz="0" w:space="0" w:color="auto"/>
            <w:left w:val="none" w:sz="0" w:space="0" w:color="auto"/>
            <w:bottom w:val="none" w:sz="0" w:space="0" w:color="auto"/>
            <w:right w:val="none" w:sz="0" w:space="0" w:color="auto"/>
          </w:divBdr>
        </w:div>
      </w:divsChild>
    </w:div>
    <w:div w:id="1159614261">
      <w:bodyDiv w:val="1"/>
      <w:marLeft w:val="0"/>
      <w:marRight w:val="0"/>
      <w:marTop w:val="0"/>
      <w:marBottom w:val="0"/>
      <w:divBdr>
        <w:top w:val="none" w:sz="0" w:space="0" w:color="auto"/>
        <w:left w:val="none" w:sz="0" w:space="0" w:color="auto"/>
        <w:bottom w:val="none" w:sz="0" w:space="0" w:color="auto"/>
        <w:right w:val="none" w:sz="0" w:space="0" w:color="auto"/>
      </w:divBdr>
      <w:divsChild>
        <w:div w:id="69885457">
          <w:marLeft w:val="0"/>
          <w:marRight w:val="0"/>
          <w:marTop w:val="0"/>
          <w:marBottom w:val="0"/>
          <w:divBdr>
            <w:top w:val="none" w:sz="0" w:space="0" w:color="auto"/>
            <w:left w:val="none" w:sz="0" w:space="0" w:color="auto"/>
            <w:bottom w:val="none" w:sz="0" w:space="0" w:color="auto"/>
            <w:right w:val="none" w:sz="0" w:space="0" w:color="auto"/>
          </w:divBdr>
        </w:div>
      </w:divsChild>
    </w:div>
    <w:div w:id="1159924090">
      <w:bodyDiv w:val="1"/>
      <w:marLeft w:val="0"/>
      <w:marRight w:val="0"/>
      <w:marTop w:val="0"/>
      <w:marBottom w:val="0"/>
      <w:divBdr>
        <w:top w:val="none" w:sz="0" w:space="0" w:color="auto"/>
        <w:left w:val="none" w:sz="0" w:space="0" w:color="auto"/>
        <w:bottom w:val="none" w:sz="0" w:space="0" w:color="auto"/>
        <w:right w:val="none" w:sz="0" w:space="0" w:color="auto"/>
      </w:divBdr>
    </w:div>
    <w:div w:id="1192645902">
      <w:bodyDiv w:val="1"/>
      <w:marLeft w:val="0"/>
      <w:marRight w:val="0"/>
      <w:marTop w:val="0"/>
      <w:marBottom w:val="0"/>
      <w:divBdr>
        <w:top w:val="none" w:sz="0" w:space="0" w:color="auto"/>
        <w:left w:val="none" w:sz="0" w:space="0" w:color="auto"/>
        <w:bottom w:val="none" w:sz="0" w:space="0" w:color="auto"/>
        <w:right w:val="none" w:sz="0" w:space="0" w:color="auto"/>
      </w:divBdr>
    </w:div>
    <w:div w:id="1197430324">
      <w:bodyDiv w:val="1"/>
      <w:marLeft w:val="0"/>
      <w:marRight w:val="0"/>
      <w:marTop w:val="0"/>
      <w:marBottom w:val="0"/>
      <w:divBdr>
        <w:top w:val="none" w:sz="0" w:space="0" w:color="auto"/>
        <w:left w:val="none" w:sz="0" w:space="0" w:color="auto"/>
        <w:bottom w:val="none" w:sz="0" w:space="0" w:color="auto"/>
        <w:right w:val="none" w:sz="0" w:space="0" w:color="auto"/>
      </w:divBdr>
    </w:div>
    <w:div w:id="1205368991">
      <w:bodyDiv w:val="1"/>
      <w:marLeft w:val="0"/>
      <w:marRight w:val="0"/>
      <w:marTop w:val="0"/>
      <w:marBottom w:val="0"/>
      <w:divBdr>
        <w:top w:val="none" w:sz="0" w:space="0" w:color="auto"/>
        <w:left w:val="none" w:sz="0" w:space="0" w:color="auto"/>
        <w:bottom w:val="none" w:sz="0" w:space="0" w:color="auto"/>
        <w:right w:val="none" w:sz="0" w:space="0" w:color="auto"/>
      </w:divBdr>
    </w:div>
    <w:div w:id="1205944764">
      <w:bodyDiv w:val="1"/>
      <w:marLeft w:val="0"/>
      <w:marRight w:val="0"/>
      <w:marTop w:val="0"/>
      <w:marBottom w:val="0"/>
      <w:divBdr>
        <w:top w:val="none" w:sz="0" w:space="0" w:color="auto"/>
        <w:left w:val="none" w:sz="0" w:space="0" w:color="auto"/>
        <w:bottom w:val="none" w:sz="0" w:space="0" w:color="auto"/>
        <w:right w:val="none" w:sz="0" w:space="0" w:color="auto"/>
      </w:divBdr>
    </w:div>
    <w:div w:id="1211113403">
      <w:bodyDiv w:val="1"/>
      <w:marLeft w:val="0"/>
      <w:marRight w:val="0"/>
      <w:marTop w:val="0"/>
      <w:marBottom w:val="0"/>
      <w:divBdr>
        <w:top w:val="none" w:sz="0" w:space="0" w:color="auto"/>
        <w:left w:val="none" w:sz="0" w:space="0" w:color="auto"/>
        <w:bottom w:val="none" w:sz="0" w:space="0" w:color="auto"/>
        <w:right w:val="none" w:sz="0" w:space="0" w:color="auto"/>
      </w:divBdr>
      <w:divsChild>
        <w:div w:id="1551376541">
          <w:marLeft w:val="0"/>
          <w:marRight w:val="0"/>
          <w:marTop w:val="0"/>
          <w:marBottom w:val="0"/>
          <w:divBdr>
            <w:top w:val="none" w:sz="0" w:space="0" w:color="auto"/>
            <w:left w:val="none" w:sz="0" w:space="0" w:color="auto"/>
            <w:bottom w:val="none" w:sz="0" w:space="0" w:color="auto"/>
            <w:right w:val="none" w:sz="0" w:space="0" w:color="auto"/>
          </w:divBdr>
        </w:div>
      </w:divsChild>
    </w:div>
    <w:div w:id="1219708691">
      <w:bodyDiv w:val="1"/>
      <w:marLeft w:val="0"/>
      <w:marRight w:val="0"/>
      <w:marTop w:val="0"/>
      <w:marBottom w:val="0"/>
      <w:divBdr>
        <w:top w:val="none" w:sz="0" w:space="0" w:color="auto"/>
        <w:left w:val="none" w:sz="0" w:space="0" w:color="auto"/>
        <w:bottom w:val="none" w:sz="0" w:space="0" w:color="auto"/>
        <w:right w:val="none" w:sz="0" w:space="0" w:color="auto"/>
      </w:divBdr>
      <w:divsChild>
        <w:div w:id="809598063">
          <w:marLeft w:val="0"/>
          <w:marRight w:val="0"/>
          <w:marTop w:val="0"/>
          <w:marBottom w:val="0"/>
          <w:divBdr>
            <w:top w:val="none" w:sz="0" w:space="0" w:color="auto"/>
            <w:left w:val="none" w:sz="0" w:space="0" w:color="auto"/>
            <w:bottom w:val="none" w:sz="0" w:space="0" w:color="auto"/>
            <w:right w:val="none" w:sz="0" w:space="0" w:color="auto"/>
          </w:divBdr>
        </w:div>
      </w:divsChild>
    </w:div>
    <w:div w:id="1221014406">
      <w:bodyDiv w:val="1"/>
      <w:marLeft w:val="0"/>
      <w:marRight w:val="0"/>
      <w:marTop w:val="0"/>
      <w:marBottom w:val="0"/>
      <w:divBdr>
        <w:top w:val="none" w:sz="0" w:space="0" w:color="auto"/>
        <w:left w:val="none" w:sz="0" w:space="0" w:color="auto"/>
        <w:bottom w:val="none" w:sz="0" w:space="0" w:color="auto"/>
        <w:right w:val="none" w:sz="0" w:space="0" w:color="auto"/>
      </w:divBdr>
      <w:divsChild>
        <w:div w:id="196166769">
          <w:marLeft w:val="0"/>
          <w:marRight w:val="0"/>
          <w:marTop w:val="0"/>
          <w:marBottom w:val="0"/>
          <w:divBdr>
            <w:top w:val="none" w:sz="0" w:space="0" w:color="auto"/>
            <w:left w:val="none" w:sz="0" w:space="0" w:color="auto"/>
            <w:bottom w:val="none" w:sz="0" w:space="0" w:color="auto"/>
            <w:right w:val="none" w:sz="0" w:space="0" w:color="auto"/>
          </w:divBdr>
        </w:div>
      </w:divsChild>
    </w:div>
    <w:div w:id="1244992949">
      <w:bodyDiv w:val="1"/>
      <w:marLeft w:val="0"/>
      <w:marRight w:val="0"/>
      <w:marTop w:val="0"/>
      <w:marBottom w:val="0"/>
      <w:divBdr>
        <w:top w:val="none" w:sz="0" w:space="0" w:color="auto"/>
        <w:left w:val="none" w:sz="0" w:space="0" w:color="auto"/>
        <w:bottom w:val="none" w:sz="0" w:space="0" w:color="auto"/>
        <w:right w:val="none" w:sz="0" w:space="0" w:color="auto"/>
      </w:divBdr>
    </w:div>
    <w:div w:id="1258175102">
      <w:bodyDiv w:val="1"/>
      <w:marLeft w:val="0"/>
      <w:marRight w:val="0"/>
      <w:marTop w:val="0"/>
      <w:marBottom w:val="0"/>
      <w:divBdr>
        <w:top w:val="none" w:sz="0" w:space="0" w:color="auto"/>
        <w:left w:val="none" w:sz="0" w:space="0" w:color="auto"/>
        <w:bottom w:val="none" w:sz="0" w:space="0" w:color="auto"/>
        <w:right w:val="none" w:sz="0" w:space="0" w:color="auto"/>
      </w:divBdr>
    </w:div>
    <w:div w:id="1261835794">
      <w:bodyDiv w:val="1"/>
      <w:marLeft w:val="0"/>
      <w:marRight w:val="0"/>
      <w:marTop w:val="0"/>
      <w:marBottom w:val="0"/>
      <w:divBdr>
        <w:top w:val="none" w:sz="0" w:space="0" w:color="auto"/>
        <w:left w:val="none" w:sz="0" w:space="0" w:color="auto"/>
        <w:bottom w:val="none" w:sz="0" w:space="0" w:color="auto"/>
        <w:right w:val="none" w:sz="0" w:space="0" w:color="auto"/>
      </w:divBdr>
    </w:div>
    <w:div w:id="1264269004">
      <w:bodyDiv w:val="1"/>
      <w:marLeft w:val="0"/>
      <w:marRight w:val="0"/>
      <w:marTop w:val="0"/>
      <w:marBottom w:val="0"/>
      <w:divBdr>
        <w:top w:val="none" w:sz="0" w:space="0" w:color="auto"/>
        <w:left w:val="none" w:sz="0" w:space="0" w:color="auto"/>
        <w:bottom w:val="none" w:sz="0" w:space="0" w:color="auto"/>
        <w:right w:val="none" w:sz="0" w:space="0" w:color="auto"/>
      </w:divBdr>
    </w:div>
    <w:div w:id="1276445826">
      <w:bodyDiv w:val="1"/>
      <w:marLeft w:val="0"/>
      <w:marRight w:val="0"/>
      <w:marTop w:val="0"/>
      <w:marBottom w:val="0"/>
      <w:divBdr>
        <w:top w:val="none" w:sz="0" w:space="0" w:color="auto"/>
        <w:left w:val="none" w:sz="0" w:space="0" w:color="auto"/>
        <w:bottom w:val="none" w:sz="0" w:space="0" w:color="auto"/>
        <w:right w:val="none" w:sz="0" w:space="0" w:color="auto"/>
      </w:divBdr>
    </w:div>
    <w:div w:id="1277788041">
      <w:bodyDiv w:val="1"/>
      <w:marLeft w:val="0"/>
      <w:marRight w:val="0"/>
      <w:marTop w:val="0"/>
      <w:marBottom w:val="0"/>
      <w:divBdr>
        <w:top w:val="none" w:sz="0" w:space="0" w:color="auto"/>
        <w:left w:val="none" w:sz="0" w:space="0" w:color="auto"/>
        <w:bottom w:val="none" w:sz="0" w:space="0" w:color="auto"/>
        <w:right w:val="none" w:sz="0" w:space="0" w:color="auto"/>
      </w:divBdr>
    </w:div>
    <w:div w:id="1280453280">
      <w:bodyDiv w:val="1"/>
      <w:marLeft w:val="0"/>
      <w:marRight w:val="0"/>
      <w:marTop w:val="0"/>
      <w:marBottom w:val="0"/>
      <w:divBdr>
        <w:top w:val="none" w:sz="0" w:space="0" w:color="auto"/>
        <w:left w:val="none" w:sz="0" w:space="0" w:color="auto"/>
        <w:bottom w:val="none" w:sz="0" w:space="0" w:color="auto"/>
        <w:right w:val="none" w:sz="0" w:space="0" w:color="auto"/>
      </w:divBdr>
    </w:div>
    <w:div w:id="1307933701">
      <w:bodyDiv w:val="1"/>
      <w:marLeft w:val="0"/>
      <w:marRight w:val="0"/>
      <w:marTop w:val="0"/>
      <w:marBottom w:val="0"/>
      <w:divBdr>
        <w:top w:val="none" w:sz="0" w:space="0" w:color="auto"/>
        <w:left w:val="none" w:sz="0" w:space="0" w:color="auto"/>
        <w:bottom w:val="none" w:sz="0" w:space="0" w:color="auto"/>
        <w:right w:val="none" w:sz="0" w:space="0" w:color="auto"/>
      </w:divBdr>
    </w:div>
    <w:div w:id="1313675209">
      <w:bodyDiv w:val="1"/>
      <w:marLeft w:val="0"/>
      <w:marRight w:val="0"/>
      <w:marTop w:val="0"/>
      <w:marBottom w:val="0"/>
      <w:divBdr>
        <w:top w:val="none" w:sz="0" w:space="0" w:color="auto"/>
        <w:left w:val="none" w:sz="0" w:space="0" w:color="auto"/>
        <w:bottom w:val="none" w:sz="0" w:space="0" w:color="auto"/>
        <w:right w:val="none" w:sz="0" w:space="0" w:color="auto"/>
      </w:divBdr>
    </w:div>
    <w:div w:id="1329091602">
      <w:bodyDiv w:val="1"/>
      <w:marLeft w:val="0"/>
      <w:marRight w:val="0"/>
      <w:marTop w:val="0"/>
      <w:marBottom w:val="0"/>
      <w:divBdr>
        <w:top w:val="none" w:sz="0" w:space="0" w:color="auto"/>
        <w:left w:val="none" w:sz="0" w:space="0" w:color="auto"/>
        <w:bottom w:val="none" w:sz="0" w:space="0" w:color="auto"/>
        <w:right w:val="none" w:sz="0" w:space="0" w:color="auto"/>
      </w:divBdr>
    </w:div>
    <w:div w:id="1329942656">
      <w:bodyDiv w:val="1"/>
      <w:marLeft w:val="0"/>
      <w:marRight w:val="0"/>
      <w:marTop w:val="0"/>
      <w:marBottom w:val="0"/>
      <w:divBdr>
        <w:top w:val="none" w:sz="0" w:space="0" w:color="auto"/>
        <w:left w:val="none" w:sz="0" w:space="0" w:color="auto"/>
        <w:bottom w:val="none" w:sz="0" w:space="0" w:color="auto"/>
        <w:right w:val="none" w:sz="0" w:space="0" w:color="auto"/>
      </w:divBdr>
    </w:div>
    <w:div w:id="1332879570">
      <w:bodyDiv w:val="1"/>
      <w:marLeft w:val="0"/>
      <w:marRight w:val="0"/>
      <w:marTop w:val="0"/>
      <w:marBottom w:val="0"/>
      <w:divBdr>
        <w:top w:val="none" w:sz="0" w:space="0" w:color="auto"/>
        <w:left w:val="none" w:sz="0" w:space="0" w:color="auto"/>
        <w:bottom w:val="none" w:sz="0" w:space="0" w:color="auto"/>
        <w:right w:val="none" w:sz="0" w:space="0" w:color="auto"/>
      </w:divBdr>
    </w:div>
    <w:div w:id="1335378924">
      <w:bodyDiv w:val="1"/>
      <w:marLeft w:val="0"/>
      <w:marRight w:val="0"/>
      <w:marTop w:val="0"/>
      <w:marBottom w:val="0"/>
      <w:divBdr>
        <w:top w:val="none" w:sz="0" w:space="0" w:color="auto"/>
        <w:left w:val="none" w:sz="0" w:space="0" w:color="auto"/>
        <w:bottom w:val="none" w:sz="0" w:space="0" w:color="auto"/>
        <w:right w:val="none" w:sz="0" w:space="0" w:color="auto"/>
      </w:divBdr>
    </w:div>
    <w:div w:id="1345471561">
      <w:bodyDiv w:val="1"/>
      <w:marLeft w:val="0"/>
      <w:marRight w:val="0"/>
      <w:marTop w:val="0"/>
      <w:marBottom w:val="0"/>
      <w:divBdr>
        <w:top w:val="none" w:sz="0" w:space="0" w:color="auto"/>
        <w:left w:val="none" w:sz="0" w:space="0" w:color="auto"/>
        <w:bottom w:val="none" w:sz="0" w:space="0" w:color="auto"/>
        <w:right w:val="none" w:sz="0" w:space="0" w:color="auto"/>
      </w:divBdr>
    </w:div>
    <w:div w:id="1357346432">
      <w:bodyDiv w:val="1"/>
      <w:marLeft w:val="0"/>
      <w:marRight w:val="0"/>
      <w:marTop w:val="0"/>
      <w:marBottom w:val="0"/>
      <w:divBdr>
        <w:top w:val="none" w:sz="0" w:space="0" w:color="auto"/>
        <w:left w:val="none" w:sz="0" w:space="0" w:color="auto"/>
        <w:bottom w:val="none" w:sz="0" w:space="0" w:color="auto"/>
        <w:right w:val="none" w:sz="0" w:space="0" w:color="auto"/>
      </w:divBdr>
      <w:divsChild>
        <w:div w:id="1677882178">
          <w:marLeft w:val="0"/>
          <w:marRight w:val="0"/>
          <w:marTop w:val="0"/>
          <w:marBottom w:val="0"/>
          <w:divBdr>
            <w:top w:val="none" w:sz="0" w:space="0" w:color="auto"/>
            <w:left w:val="none" w:sz="0" w:space="0" w:color="auto"/>
            <w:bottom w:val="none" w:sz="0" w:space="0" w:color="auto"/>
            <w:right w:val="none" w:sz="0" w:space="0" w:color="auto"/>
          </w:divBdr>
        </w:div>
      </w:divsChild>
    </w:div>
    <w:div w:id="1357658965">
      <w:bodyDiv w:val="1"/>
      <w:marLeft w:val="0"/>
      <w:marRight w:val="0"/>
      <w:marTop w:val="0"/>
      <w:marBottom w:val="0"/>
      <w:divBdr>
        <w:top w:val="none" w:sz="0" w:space="0" w:color="auto"/>
        <w:left w:val="none" w:sz="0" w:space="0" w:color="auto"/>
        <w:bottom w:val="none" w:sz="0" w:space="0" w:color="auto"/>
        <w:right w:val="none" w:sz="0" w:space="0" w:color="auto"/>
      </w:divBdr>
      <w:divsChild>
        <w:div w:id="1329090971">
          <w:marLeft w:val="0"/>
          <w:marRight w:val="0"/>
          <w:marTop w:val="0"/>
          <w:marBottom w:val="0"/>
          <w:divBdr>
            <w:top w:val="none" w:sz="0" w:space="0" w:color="auto"/>
            <w:left w:val="none" w:sz="0" w:space="0" w:color="auto"/>
            <w:bottom w:val="none" w:sz="0" w:space="0" w:color="auto"/>
            <w:right w:val="none" w:sz="0" w:space="0" w:color="auto"/>
          </w:divBdr>
        </w:div>
      </w:divsChild>
    </w:div>
    <w:div w:id="1359352968">
      <w:bodyDiv w:val="1"/>
      <w:marLeft w:val="0"/>
      <w:marRight w:val="0"/>
      <w:marTop w:val="0"/>
      <w:marBottom w:val="0"/>
      <w:divBdr>
        <w:top w:val="none" w:sz="0" w:space="0" w:color="auto"/>
        <w:left w:val="none" w:sz="0" w:space="0" w:color="auto"/>
        <w:bottom w:val="none" w:sz="0" w:space="0" w:color="auto"/>
        <w:right w:val="none" w:sz="0" w:space="0" w:color="auto"/>
      </w:divBdr>
    </w:div>
    <w:div w:id="1372727042">
      <w:bodyDiv w:val="1"/>
      <w:marLeft w:val="0"/>
      <w:marRight w:val="0"/>
      <w:marTop w:val="0"/>
      <w:marBottom w:val="0"/>
      <w:divBdr>
        <w:top w:val="none" w:sz="0" w:space="0" w:color="auto"/>
        <w:left w:val="none" w:sz="0" w:space="0" w:color="auto"/>
        <w:bottom w:val="none" w:sz="0" w:space="0" w:color="auto"/>
        <w:right w:val="none" w:sz="0" w:space="0" w:color="auto"/>
      </w:divBdr>
    </w:div>
    <w:div w:id="1376003871">
      <w:bodyDiv w:val="1"/>
      <w:marLeft w:val="0"/>
      <w:marRight w:val="0"/>
      <w:marTop w:val="0"/>
      <w:marBottom w:val="0"/>
      <w:divBdr>
        <w:top w:val="none" w:sz="0" w:space="0" w:color="auto"/>
        <w:left w:val="none" w:sz="0" w:space="0" w:color="auto"/>
        <w:bottom w:val="none" w:sz="0" w:space="0" w:color="auto"/>
        <w:right w:val="none" w:sz="0" w:space="0" w:color="auto"/>
      </w:divBdr>
    </w:div>
    <w:div w:id="1388845746">
      <w:bodyDiv w:val="1"/>
      <w:marLeft w:val="0"/>
      <w:marRight w:val="0"/>
      <w:marTop w:val="0"/>
      <w:marBottom w:val="0"/>
      <w:divBdr>
        <w:top w:val="none" w:sz="0" w:space="0" w:color="auto"/>
        <w:left w:val="none" w:sz="0" w:space="0" w:color="auto"/>
        <w:bottom w:val="none" w:sz="0" w:space="0" w:color="auto"/>
        <w:right w:val="none" w:sz="0" w:space="0" w:color="auto"/>
      </w:divBdr>
      <w:divsChild>
        <w:div w:id="735126546">
          <w:marLeft w:val="0"/>
          <w:marRight w:val="0"/>
          <w:marTop w:val="0"/>
          <w:marBottom w:val="0"/>
          <w:divBdr>
            <w:top w:val="none" w:sz="0" w:space="0" w:color="auto"/>
            <w:left w:val="none" w:sz="0" w:space="0" w:color="auto"/>
            <w:bottom w:val="none" w:sz="0" w:space="0" w:color="auto"/>
            <w:right w:val="none" w:sz="0" w:space="0" w:color="auto"/>
          </w:divBdr>
        </w:div>
      </w:divsChild>
    </w:div>
    <w:div w:id="1389108728">
      <w:bodyDiv w:val="1"/>
      <w:marLeft w:val="0"/>
      <w:marRight w:val="0"/>
      <w:marTop w:val="0"/>
      <w:marBottom w:val="0"/>
      <w:divBdr>
        <w:top w:val="none" w:sz="0" w:space="0" w:color="auto"/>
        <w:left w:val="none" w:sz="0" w:space="0" w:color="auto"/>
        <w:bottom w:val="none" w:sz="0" w:space="0" w:color="auto"/>
        <w:right w:val="none" w:sz="0" w:space="0" w:color="auto"/>
      </w:divBdr>
      <w:divsChild>
        <w:div w:id="1038746066">
          <w:marLeft w:val="0"/>
          <w:marRight w:val="0"/>
          <w:marTop w:val="0"/>
          <w:marBottom w:val="0"/>
          <w:divBdr>
            <w:top w:val="none" w:sz="0" w:space="0" w:color="auto"/>
            <w:left w:val="none" w:sz="0" w:space="0" w:color="auto"/>
            <w:bottom w:val="none" w:sz="0" w:space="0" w:color="auto"/>
            <w:right w:val="none" w:sz="0" w:space="0" w:color="auto"/>
          </w:divBdr>
        </w:div>
      </w:divsChild>
    </w:div>
    <w:div w:id="1393195695">
      <w:bodyDiv w:val="1"/>
      <w:marLeft w:val="0"/>
      <w:marRight w:val="0"/>
      <w:marTop w:val="0"/>
      <w:marBottom w:val="0"/>
      <w:divBdr>
        <w:top w:val="none" w:sz="0" w:space="0" w:color="auto"/>
        <w:left w:val="none" w:sz="0" w:space="0" w:color="auto"/>
        <w:bottom w:val="none" w:sz="0" w:space="0" w:color="auto"/>
        <w:right w:val="none" w:sz="0" w:space="0" w:color="auto"/>
      </w:divBdr>
    </w:div>
    <w:div w:id="1402364257">
      <w:bodyDiv w:val="1"/>
      <w:marLeft w:val="0"/>
      <w:marRight w:val="0"/>
      <w:marTop w:val="0"/>
      <w:marBottom w:val="0"/>
      <w:divBdr>
        <w:top w:val="none" w:sz="0" w:space="0" w:color="auto"/>
        <w:left w:val="none" w:sz="0" w:space="0" w:color="auto"/>
        <w:bottom w:val="none" w:sz="0" w:space="0" w:color="auto"/>
        <w:right w:val="none" w:sz="0" w:space="0" w:color="auto"/>
      </w:divBdr>
    </w:div>
    <w:div w:id="1414399151">
      <w:bodyDiv w:val="1"/>
      <w:marLeft w:val="0"/>
      <w:marRight w:val="0"/>
      <w:marTop w:val="0"/>
      <w:marBottom w:val="0"/>
      <w:divBdr>
        <w:top w:val="none" w:sz="0" w:space="0" w:color="auto"/>
        <w:left w:val="none" w:sz="0" w:space="0" w:color="auto"/>
        <w:bottom w:val="none" w:sz="0" w:space="0" w:color="auto"/>
        <w:right w:val="none" w:sz="0" w:space="0" w:color="auto"/>
      </w:divBdr>
    </w:div>
    <w:div w:id="1417283853">
      <w:bodyDiv w:val="1"/>
      <w:marLeft w:val="0"/>
      <w:marRight w:val="0"/>
      <w:marTop w:val="0"/>
      <w:marBottom w:val="0"/>
      <w:divBdr>
        <w:top w:val="none" w:sz="0" w:space="0" w:color="auto"/>
        <w:left w:val="none" w:sz="0" w:space="0" w:color="auto"/>
        <w:bottom w:val="none" w:sz="0" w:space="0" w:color="auto"/>
        <w:right w:val="none" w:sz="0" w:space="0" w:color="auto"/>
      </w:divBdr>
    </w:div>
    <w:div w:id="1422797725">
      <w:bodyDiv w:val="1"/>
      <w:marLeft w:val="0"/>
      <w:marRight w:val="0"/>
      <w:marTop w:val="0"/>
      <w:marBottom w:val="0"/>
      <w:divBdr>
        <w:top w:val="none" w:sz="0" w:space="0" w:color="auto"/>
        <w:left w:val="none" w:sz="0" w:space="0" w:color="auto"/>
        <w:bottom w:val="none" w:sz="0" w:space="0" w:color="auto"/>
        <w:right w:val="none" w:sz="0" w:space="0" w:color="auto"/>
      </w:divBdr>
    </w:div>
    <w:div w:id="1453746473">
      <w:bodyDiv w:val="1"/>
      <w:marLeft w:val="0"/>
      <w:marRight w:val="0"/>
      <w:marTop w:val="0"/>
      <w:marBottom w:val="0"/>
      <w:divBdr>
        <w:top w:val="none" w:sz="0" w:space="0" w:color="auto"/>
        <w:left w:val="none" w:sz="0" w:space="0" w:color="auto"/>
        <w:bottom w:val="none" w:sz="0" w:space="0" w:color="auto"/>
        <w:right w:val="none" w:sz="0" w:space="0" w:color="auto"/>
      </w:divBdr>
    </w:div>
    <w:div w:id="1490902613">
      <w:bodyDiv w:val="1"/>
      <w:marLeft w:val="0"/>
      <w:marRight w:val="0"/>
      <w:marTop w:val="0"/>
      <w:marBottom w:val="0"/>
      <w:divBdr>
        <w:top w:val="none" w:sz="0" w:space="0" w:color="auto"/>
        <w:left w:val="none" w:sz="0" w:space="0" w:color="auto"/>
        <w:bottom w:val="none" w:sz="0" w:space="0" w:color="auto"/>
        <w:right w:val="none" w:sz="0" w:space="0" w:color="auto"/>
      </w:divBdr>
    </w:div>
    <w:div w:id="1491100473">
      <w:bodyDiv w:val="1"/>
      <w:marLeft w:val="0"/>
      <w:marRight w:val="0"/>
      <w:marTop w:val="0"/>
      <w:marBottom w:val="0"/>
      <w:divBdr>
        <w:top w:val="none" w:sz="0" w:space="0" w:color="auto"/>
        <w:left w:val="none" w:sz="0" w:space="0" w:color="auto"/>
        <w:bottom w:val="none" w:sz="0" w:space="0" w:color="auto"/>
        <w:right w:val="none" w:sz="0" w:space="0" w:color="auto"/>
      </w:divBdr>
    </w:div>
    <w:div w:id="1500467247">
      <w:bodyDiv w:val="1"/>
      <w:marLeft w:val="0"/>
      <w:marRight w:val="0"/>
      <w:marTop w:val="0"/>
      <w:marBottom w:val="0"/>
      <w:divBdr>
        <w:top w:val="none" w:sz="0" w:space="0" w:color="auto"/>
        <w:left w:val="none" w:sz="0" w:space="0" w:color="auto"/>
        <w:bottom w:val="none" w:sz="0" w:space="0" w:color="auto"/>
        <w:right w:val="none" w:sz="0" w:space="0" w:color="auto"/>
      </w:divBdr>
    </w:div>
    <w:div w:id="1510874741">
      <w:bodyDiv w:val="1"/>
      <w:marLeft w:val="0"/>
      <w:marRight w:val="0"/>
      <w:marTop w:val="0"/>
      <w:marBottom w:val="0"/>
      <w:divBdr>
        <w:top w:val="none" w:sz="0" w:space="0" w:color="auto"/>
        <w:left w:val="none" w:sz="0" w:space="0" w:color="auto"/>
        <w:bottom w:val="none" w:sz="0" w:space="0" w:color="auto"/>
        <w:right w:val="none" w:sz="0" w:space="0" w:color="auto"/>
      </w:divBdr>
    </w:div>
    <w:div w:id="1511024074">
      <w:bodyDiv w:val="1"/>
      <w:marLeft w:val="0"/>
      <w:marRight w:val="0"/>
      <w:marTop w:val="0"/>
      <w:marBottom w:val="0"/>
      <w:divBdr>
        <w:top w:val="none" w:sz="0" w:space="0" w:color="auto"/>
        <w:left w:val="none" w:sz="0" w:space="0" w:color="auto"/>
        <w:bottom w:val="none" w:sz="0" w:space="0" w:color="auto"/>
        <w:right w:val="none" w:sz="0" w:space="0" w:color="auto"/>
      </w:divBdr>
    </w:div>
    <w:div w:id="1515728145">
      <w:bodyDiv w:val="1"/>
      <w:marLeft w:val="0"/>
      <w:marRight w:val="0"/>
      <w:marTop w:val="0"/>
      <w:marBottom w:val="0"/>
      <w:divBdr>
        <w:top w:val="none" w:sz="0" w:space="0" w:color="auto"/>
        <w:left w:val="none" w:sz="0" w:space="0" w:color="auto"/>
        <w:bottom w:val="none" w:sz="0" w:space="0" w:color="auto"/>
        <w:right w:val="none" w:sz="0" w:space="0" w:color="auto"/>
      </w:divBdr>
      <w:divsChild>
        <w:div w:id="538399976">
          <w:marLeft w:val="0"/>
          <w:marRight w:val="0"/>
          <w:marTop w:val="0"/>
          <w:marBottom w:val="0"/>
          <w:divBdr>
            <w:top w:val="none" w:sz="0" w:space="0" w:color="auto"/>
            <w:left w:val="none" w:sz="0" w:space="0" w:color="auto"/>
            <w:bottom w:val="none" w:sz="0" w:space="0" w:color="auto"/>
            <w:right w:val="none" w:sz="0" w:space="0" w:color="auto"/>
          </w:divBdr>
        </w:div>
      </w:divsChild>
    </w:div>
    <w:div w:id="1520002354">
      <w:bodyDiv w:val="1"/>
      <w:marLeft w:val="0"/>
      <w:marRight w:val="0"/>
      <w:marTop w:val="0"/>
      <w:marBottom w:val="0"/>
      <w:divBdr>
        <w:top w:val="none" w:sz="0" w:space="0" w:color="auto"/>
        <w:left w:val="none" w:sz="0" w:space="0" w:color="auto"/>
        <w:bottom w:val="none" w:sz="0" w:space="0" w:color="auto"/>
        <w:right w:val="none" w:sz="0" w:space="0" w:color="auto"/>
      </w:divBdr>
      <w:divsChild>
        <w:div w:id="1926722150">
          <w:marLeft w:val="0"/>
          <w:marRight w:val="0"/>
          <w:marTop w:val="0"/>
          <w:marBottom w:val="0"/>
          <w:divBdr>
            <w:top w:val="none" w:sz="0" w:space="0" w:color="auto"/>
            <w:left w:val="none" w:sz="0" w:space="0" w:color="auto"/>
            <w:bottom w:val="none" w:sz="0" w:space="0" w:color="auto"/>
            <w:right w:val="none" w:sz="0" w:space="0" w:color="auto"/>
          </w:divBdr>
        </w:div>
      </w:divsChild>
    </w:div>
    <w:div w:id="1520653946">
      <w:bodyDiv w:val="1"/>
      <w:marLeft w:val="0"/>
      <w:marRight w:val="0"/>
      <w:marTop w:val="0"/>
      <w:marBottom w:val="0"/>
      <w:divBdr>
        <w:top w:val="none" w:sz="0" w:space="0" w:color="auto"/>
        <w:left w:val="none" w:sz="0" w:space="0" w:color="auto"/>
        <w:bottom w:val="none" w:sz="0" w:space="0" w:color="auto"/>
        <w:right w:val="none" w:sz="0" w:space="0" w:color="auto"/>
      </w:divBdr>
    </w:div>
    <w:div w:id="1525942993">
      <w:bodyDiv w:val="1"/>
      <w:marLeft w:val="0"/>
      <w:marRight w:val="0"/>
      <w:marTop w:val="0"/>
      <w:marBottom w:val="0"/>
      <w:divBdr>
        <w:top w:val="none" w:sz="0" w:space="0" w:color="auto"/>
        <w:left w:val="none" w:sz="0" w:space="0" w:color="auto"/>
        <w:bottom w:val="none" w:sz="0" w:space="0" w:color="auto"/>
        <w:right w:val="none" w:sz="0" w:space="0" w:color="auto"/>
      </w:divBdr>
    </w:div>
    <w:div w:id="1530951917">
      <w:bodyDiv w:val="1"/>
      <w:marLeft w:val="0"/>
      <w:marRight w:val="0"/>
      <w:marTop w:val="0"/>
      <w:marBottom w:val="0"/>
      <w:divBdr>
        <w:top w:val="none" w:sz="0" w:space="0" w:color="auto"/>
        <w:left w:val="none" w:sz="0" w:space="0" w:color="auto"/>
        <w:bottom w:val="none" w:sz="0" w:space="0" w:color="auto"/>
        <w:right w:val="none" w:sz="0" w:space="0" w:color="auto"/>
      </w:divBdr>
    </w:div>
    <w:div w:id="1571844706">
      <w:bodyDiv w:val="1"/>
      <w:marLeft w:val="0"/>
      <w:marRight w:val="0"/>
      <w:marTop w:val="0"/>
      <w:marBottom w:val="0"/>
      <w:divBdr>
        <w:top w:val="none" w:sz="0" w:space="0" w:color="auto"/>
        <w:left w:val="none" w:sz="0" w:space="0" w:color="auto"/>
        <w:bottom w:val="none" w:sz="0" w:space="0" w:color="auto"/>
        <w:right w:val="none" w:sz="0" w:space="0" w:color="auto"/>
      </w:divBdr>
    </w:div>
    <w:div w:id="1581334492">
      <w:bodyDiv w:val="1"/>
      <w:marLeft w:val="0"/>
      <w:marRight w:val="0"/>
      <w:marTop w:val="0"/>
      <w:marBottom w:val="0"/>
      <w:divBdr>
        <w:top w:val="none" w:sz="0" w:space="0" w:color="auto"/>
        <w:left w:val="none" w:sz="0" w:space="0" w:color="auto"/>
        <w:bottom w:val="none" w:sz="0" w:space="0" w:color="auto"/>
        <w:right w:val="none" w:sz="0" w:space="0" w:color="auto"/>
      </w:divBdr>
    </w:div>
    <w:div w:id="1599406940">
      <w:bodyDiv w:val="1"/>
      <w:marLeft w:val="0"/>
      <w:marRight w:val="0"/>
      <w:marTop w:val="0"/>
      <w:marBottom w:val="0"/>
      <w:divBdr>
        <w:top w:val="none" w:sz="0" w:space="0" w:color="auto"/>
        <w:left w:val="none" w:sz="0" w:space="0" w:color="auto"/>
        <w:bottom w:val="none" w:sz="0" w:space="0" w:color="auto"/>
        <w:right w:val="none" w:sz="0" w:space="0" w:color="auto"/>
      </w:divBdr>
      <w:divsChild>
        <w:div w:id="1604655141">
          <w:marLeft w:val="0"/>
          <w:marRight w:val="0"/>
          <w:marTop w:val="0"/>
          <w:marBottom w:val="0"/>
          <w:divBdr>
            <w:top w:val="none" w:sz="0" w:space="0" w:color="auto"/>
            <w:left w:val="none" w:sz="0" w:space="0" w:color="auto"/>
            <w:bottom w:val="none" w:sz="0" w:space="0" w:color="auto"/>
            <w:right w:val="none" w:sz="0" w:space="0" w:color="auto"/>
          </w:divBdr>
        </w:div>
      </w:divsChild>
    </w:div>
    <w:div w:id="1601522324">
      <w:bodyDiv w:val="1"/>
      <w:marLeft w:val="0"/>
      <w:marRight w:val="0"/>
      <w:marTop w:val="0"/>
      <w:marBottom w:val="0"/>
      <w:divBdr>
        <w:top w:val="none" w:sz="0" w:space="0" w:color="auto"/>
        <w:left w:val="none" w:sz="0" w:space="0" w:color="auto"/>
        <w:bottom w:val="none" w:sz="0" w:space="0" w:color="auto"/>
        <w:right w:val="none" w:sz="0" w:space="0" w:color="auto"/>
      </w:divBdr>
    </w:div>
    <w:div w:id="1619145845">
      <w:bodyDiv w:val="1"/>
      <w:marLeft w:val="0"/>
      <w:marRight w:val="0"/>
      <w:marTop w:val="0"/>
      <w:marBottom w:val="0"/>
      <w:divBdr>
        <w:top w:val="none" w:sz="0" w:space="0" w:color="auto"/>
        <w:left w:val="none" w:sz="0" w:space="0" w:color="auto"/>
        <w:bottom w:val="none" w:sz="0" w:space="0" w:color="auto"/>
        <w:right w:val="none" w:sz="0" w:space="0" w:color="auto"/>
      </w:divBdr>
    </w:div>
    <w:div w:id="1627274293">
      <w:bodyDiv w:val="1"/>
      <w:marLeft w:val="0"/>
      <w:marRight w:val="0"/>
      <w:marTop w:val="0"/>
      <w:marBottom w:val="0"/>
      <w:divBdr>
        <w:top w:val="none" w:sz="0" w:space="0" w:color="auto"/>
        <w:left w:val="none" w:sz="0" w:space="0" w:color="auto"/>
        <w:bottom w:val="none" w:sz="0" w:space="0" w:color="auto"/>
        <w:right w:val="none" w:sz="0" w:space="0" w:color="auto"/>
      </w:divBdr>
      <w:divsChild>
        <w:div w:id="48723332">
          <w:marLeft w:val="0"/>
          <w:marRight w:val="0"/>
          <w:marTop w:val="0"/>
          <w:marBottom w:val="0"/>
          <w:divBdr>
            <w:top w:val="none" w:sz="0" w:space="0" w:color="auto"/>
            <w:left w:val="none" w:sz="0" w:space="0" w:color="auto"/>
            <w:bottom w:val="none" w:sz="0" w:space="0" w:color="auto"/>
            <w:right w:val="none" w:sz="0" w:space="0" w:color="auto"/>
          </w:divBdr>
        </w:div>
      </w:divsChild>
    </w:div>
    <w:div w:id="1630435399">
      <w:bodyDiv w:val="1"/>
      <w:marLeft w:val="0"/>
      <w:marRight w:val="0"/>
      <w:marTop w:val="0"/>
      <w:marBottom w:val="0"/>
      <w:divBdr>
        <w:top w:val="none" w:sz="0" w:space="0" w:color="auto"/>
        <w:left w:val="none" w:sz="0" w:space="0" w:color="auto"/>
        <w:bottom w:val="none" w:sz="0" w:space="0" w:color="auto"/>
        <w:right w:val="none" w:sz="0" w:space="0" w:color="auto"/>
      </w:divBdr>
    </w:div>
    <w:div w:id="1636985884">
      <w:bodyDiv w:val="1"/>
      <w:marLeft w:val="0"/>
      <w:marRight w:val="0"/>
      <w:marTop w:val="0"/>
      <w:marBottom w:val="0"/>
      <w:divBdr>
        <w:top w:val="none" w:sz="0" w:space="0" w:color="auto"/>
        <w:left w:val="none" w:sz="0" w:space="0" w:color="auto"/>
        <w:bottom w:val="none" w:sz="0" w:space="0" w:color="auto"/>
        <w:right w:val="none" w:sz="0" w:space="0" w:color="auto"/>
      </w:divBdr>
    </w:div>
    <w:div w:id="1638294729">
      <w:bodyDiv w:val="1"/>
      <w:marLeft w:val="0"/>
      <w:marRight w:val="0"/>
      <w:marTop w:val="0"/>
      <w:marBottom w:val="0"/>
      <w:divBdr>
        <w:top w:val="none" w:sz="0" w:space="0" w:color="auto"/>
        <w:left w:val="none" w:sz="0" w:space="0" w:color="auto"/>
        <w:bottom w:val="none" w:sz="0" w:space="0" w:color="auto"/>
        <w:right w:val="none" w:sz="0" w:space="0" w:color="auto"/>
      </w:divBdr>
    </w:div>
    <w:div w:id="1646544498">
      <w:bodyDiv w:val="1"/>
      <w:marLeft w:val="0"/>
      <w:marRight w:val="0"/>
      <w:marTop w:val="0"/>
      <w:marBottom w:val="0"/>
      <w:divBdr>
        <w:top w:val="none" w:sz="0" w:space="0" w:color="auto"/>
        <w:left w:val="none" w:sz="0" w:space="0" w:color="auto"/>
        <w:bottom w:val="none" w:sz="0" w:space="0" w:color="auto"/>
        <w:right w:val="none" w:sz="0" w:space="0" w:color="auto"/>
      </w:divBdr>
    </w:div>
    <w:div w:id="1656760131">
      <w:bodyDiv w:val="1"/>
      <w:marLeft w:val="0"/>
      <w:marRight w:val="0"/>
      <w:marTop w:val="0"/>
      <w:marBottom w:val="0"/>
      <w:divBdr>
        <w:top w:val="none" w:sz="0" w:space="0" w:color="auto"/>
        <w:left w:val="none" w:sz="0" w:space="0" w:color="auto"/>
        <w:bottom w:val="none" w:sz="0" w:space="0" w:color="auto"/>
        <w:right w:val="none" w:sz="0" w:space="0" w:color="auto"/>
      </w:divBdr>
      <w:divsChild>
        <w:div w:id="2076246289">
          <w:marLeft w:val="0"/>
          <w:marRight w:val="0"/>
          <w:marTop w:val="0"/>
          <w:marBottom w:val="0"/>
          <w:divBdr>
            <w:top w:val="none" w:sz="0" w:space="0" w:color="auto"/>
            <w:left w:val="none" w:sz="0" w:space="0" w:color="auto"/>
            <w:bottom w:val="none" w:sz="0" w:space="0" w:color="auto"/>
            <w:right w:val="none" w:sz="0" w:space="0" w:color="auto"/>
          </w:divBdr>
        </w:div>
      </w:divsChild>
    </w:div>
    <w:div w:id="1658924006">
      <w:bodyDiv w:val="1"/>
      <w:marLeft w:val="0"/>
      <w:marRight w:val="0"/>
      <w:marTop w:val="0"/>
      <w:marBottom w:val="0"/>
      <w:divBdr>
        <w:top w:val="none" w:sz="0" w:space="0" w:color="auto"/>
        <w:left w:val="none" w:sz="0" w:space="0" w:color="auto"/>
        <w:bottom w:val="none" w:sz="0" w:space="0" w:color="auto"/>
        <w:right w:val="none" w:sz="0" w:space="0" w:color="auto"/>
      </w:divBdr>
    </w:div>
    <w:div w:id="1661612254">
      <w:bodyDiv w:val="1"/>
      <w:marLeft w:val="0"/>
      <w:marRight w:val="0"/>
      <w:marTop w:val="0"/>
      <w:marBottom w:val="0"/>
      <w:divBdr>
        <w:top w:val="none" w:sz="0" w:space="0" w:color="auto"/>
        <w:left w:val="none" w:sz="0" w:space="0" w:color="auto"/>
        <w:bottom w:val="none" w:sz="0" w:space="0" w:color="auto"/>
        <w:right w:val="none" w:sz="0" w:space="0" w:color="auto"/>
      </w:divBdr>
    </w:div>
    <w:div w:id="1675913157">
      <w:bodyDiv w:val="1"/>
      <w:marLeft w:val="0"/>
      <w:marRight w:val="0"/>
      <w:marTop w:val="0"/>
      <w:marBottom w:val="0"/>
      <w:divBdr>
        <w:top w:val="none" w:sz="0" w:space="0" w:color="auto"/>
        <w:left w:val="none" w:sz="0" w:space="0" w:color="auto"/>
        <w:bottom w:val="none" w:sz="0" w:space="0" w:color="auto"/>
        <w:right w:val="none" w:sz="0" w:space="0" w:color="auto"/>
      </w:divBdr>
      <w:divsChild>
        <w:div w:id="738552655">
          <w:marLeft w:val="1080"/>
          <w:marRight w:val="0"/>
          <w:marTop w:val="100"/>
          <w:marBottom w:val="0"/>
          <w:divBdr>
            <w:top w:val="none" w:sz="0" w:space="0" w:color="auto"/>
            <w:left w:val="none" w:sz="0" w:space="0" w:color="auto"/>
            <w:bottom w:val="none" w:sz="0" w:space="0" w:color="auto"/>
            <w:right w:val="none" w:sz="0" w:space="0" w:color="auto"/>
          </w:divBdr>
        </w:div>
      </w:divsChild>
    </w:div>
    <w:div w:id="1678465091">
      <w:bodyDiv w:val="1"/>
      <w:marLeft w:val="0"/>
      <w:marRight w:val="0"/>
      <w:marTop w:val="0"/>
      <w:marBottom w:val="0"/>
      <w:divBdr>
        <w:top w:val="none" w:sz="0" w:space="0" w:color="auto"/>
        <w:left w:val="none" w:sz="0" w:space="0" w:color="auto"/>
        <w:bottom w:val="none" w:sz="0" w:space="0" w:color="auto"/>
        <w:right w:val="none" w:sz="0" w:space="0" w:color="auto"/>
      </w:divBdr>
    </w:div>
    <w:div w:id="1681619931">
      <w:bodyDiv w:val="1"/>
      <w:marLeft w:val="0"/>
      <w:marRight w:val="0"/>
      <w:marTop w:val="0"/>
      <w:marBottom w:val="0"/>
      <w:divBdr>
        <w:top w:val="none" w:sz="0" w:space="0" w:color="auto"/>
        <w:left w:val="none" w:sz="0" w:space="0" w:color="auto"/>
        <w:bottom w:val="none" w:sz="0" w:space="0" w:color="auto"/>
        <w:right w:val="none" w:sz="0" w:space="0" w:color="auto"/>
      </w:divBdr>
      <w:divsChild>
        <w:div w:id="341054468">
          <w:marLeft w:val="360"/>
          <w:marRight w:val="0"/>
          <w:marTop w:val="0"/>
          <w:marBottom w:val="0"/>
          <w:divBdr>
            <w:top w:val="none" w:sz="0" w:space="0" w:color="auto"/>
            <w:left w:val="none" w:sz="0" w:space="0" w:color="auto"/>
            <w:bottom w:val="none" w:sz="0" w:space="0" w:color="auto"/>
            <w:right w:val="none" w:sz="0" w:space="0" w:color="auto"/>
          </w:divBdr>
        </w:div>
        <w:div w:id="636880325">
          <w:marLeft w:val="360"/>
          <w:marRight w:val="0"/>
          <w:marTop w:val="200"/>
          <w:marBottom w:val="0"/>
          <w:divBdr>
            <w:top w:val="none" w:sz="0" w:space="0" w:color="auto"/>
            <w:left w:val="none" w:sz="0" w:space="0" w:color="auto"/>
            <w:bottom w:val="none" w:sz="0" w:space="0" w:color="auto"/>
            <w:right w:val="none" w:sz="0" w:space="0" w:color="auto"/>
          </w:divBdr>
        </w:div>
        <w:div w:id="675419305">
          <w:marLeft w:val="360"/>
          <w:marRight w:val="0"/>
          <w:marTop w:val="0"/>
          <w:marBottom w:val="0"/>
          <w:divBdr>
            <w:top w:val="none" w:sz="0" w:space="0" w:color="auto"/>
            <w:left w:val="none" w:sz="0" w:space="0" w:color="auto"/>
            <w:bottom w:val="none" w:sz="0" w:space="0" w:color="auto"/>
            <w:right w:val="none" w:sz="0" w:space="0" w:color="auto"/>
          </w:divBdr>
        </w:div>
        <w:div w:id="1722973449">
          <w:marLeft w:val="360"/>
          <w:marRight w:val="0"/>
          <w:marTop w:val="200"/>
          <w:marBottom w:val="0"/>
          <w:divBdr>
            <w:top w:val="none" w:sz="0" w:space="0" w:color="auto"/>
            <w:left w:val="none" w:sz="0" w:space="0" w:color="auto"/>
            <w:bottom w:val="none" w:sz="0" w:space="0" w:color="auto"/>
            <w:right w:val="none" w:sz="0" w:space="0" w:color="auto"/>
          </w:divBdr>
        </w:div>
      </w:divsChild>
    </w:div>
    <w:div w:id="1683163741">
      <w:bodyDiv w:val="1"/>
      <w:marLeft w:val="0"/>
      <w:marRight w:val="0"/>
      <w:marTop w:val="0"/>
      <w:marBottom w:val="0"/>
      <w:divBdr>
        <w:top w:val="none" w:sz="0" w:space="0" w:color="auto"/>
        <w:left w:val="none" w:sz="0" w:space="0" w:color="auto"/>
        <w:bottom w:val="none" w:sz="0" w:space="0" w:color="auto"/>
        <w:right w:val="none" w:sz="0" w:space="0" w:color="auto"/>
      </w:divBdr>
    </w:div>
    <w:div w:id="1713075612">
      <w:bodyDiv w:val="1"/>
      <w:marLeft w:val="0"/>
      <w:marRight w:val="0"/>
      <w:marTop w:val="0"/>
      <w:marBottom w:val="0"/>
      <w:divBdr>
        <w:top w:val="none" w:sz="0" w:space="0" w:color="auto"/>
        <w:left w:val="none" w:sz="0" w:space="0" w:color="auto"/>
        <w:bottom w:val="none" w:sz="0" w:space="0" w:color="auto"/>
        <w:right w:val="none" w:sz="0" w:space="0" w:color="auto"/>
      </w:divBdr>
    </w:div>
    <w:div w:id="1719552430">
      <w:bodyDiv w:val="1"/>
      <w:marLeft w:val="0"/>
      <w:marRight w:val="0"/>
      <w:marTop w:val="0"/>
      <w:marBottom w:val="0"/>
      <w:divBdr>
        <w:top w:val="none" w:sz="0" w:space="0" w:color="auto"/>
        <w:left w:val="none" w:sz="0" w:space="0" w:color="auto"/>
        <w:bottom w:val="none" w:sz="0" w:space="0" w:color="auto"/>
        <w:right w:val="none" w:sz="0" w:space="0" w:color="auto"/>
      </w:divBdr>
    </w:div>
    <w:div w:id="1730416887">
      <w:bodyDiv w:val="1"/>
      <w:marLeft w:val="0"/>
      <w:marRight w:val="0"/>
      <w:marTop w:val="0"/>
      <w:marBottom w:val="0"/>
      <w:divBdr>
        <w:top w:val="none" w:sz="0" w:space="0" w:color="auto"/>
        <w:left w:val="none" w:sz="0" w:space="0" w:color="auto"/>
        <w:bottom w:val="none" w:sz="0" w:space="0" w:color="auto"/>
        <w:right w:val="none" w:sz="0" w:space="0" w:color="auto"/>
      </w:divBdr>
    </w:div>
    <w:div w:id="1730880291">
      <w:bodyDiv w:val="1"/>
      <w:marLeft w:val="0"/>
      <w:marRight w:val="0"/>
      <w:marTop w:val="0"/>
      <w:marBottom w:val="0"/>
      <w:divBdr>
        <w:top w:val="none" w:sz="0" w:space="0" w:color="auto"/>
        <w:left w:val="none" w:sz="0" w:space="0" w:color="auto"/>
        <w:bottom w:val="none" w:sz="0" w:space="0" w:color="auto"/>
        <w:right w:val="none" w:sz="0" w:space="0" w:color="auto"/>
      </w:divBdr>
      <w:divsChild>
        <w:div w:id="920791873">
          <w:marLeft w:val="0"/>
          <w:marRight w:val="0"/>
          <w:marTop w:val="0"/>
          <w:marBottom w:val="0"/>
          <w:divBdr>
            <w:top w:val="none" w:sz="0" w:space="0" w:color="auto"/>
            <w:left w:val="none" w:sz="0" w:space="0" w:color="auto"/>
            <w:bottom w:val="none" w:sz="0" w:space="0" w:color="auto"/>
            <w:right w:val="none" w:sz="0" w:space="0" w:color="auto"/>
          </w:divBdr>
        </w:div>
      </w:divsChild>
    </w:div>
    <w:div w:id="1736127413">
      <w:bodyDiv w:val="1"/>
      <w:marLeft w:val="0"/>
      <w:marRight w:val="0"/>
      <w:marTop w:val="0"/>
      <w:marBottom w:val="0"/>
      <w:divBdr>
        <w:top w:val="none" w:sz="0" w:space="0" w:color="auto"/>
        <w:left w:val="none" w:sz="0" w:space="0" w:color="auto"/>
        <w:bottom w:val="none" w:sz="0" w:space="0" w:color="auto"/>
        <w:right w:val="none" w:sz="0" w:space="0" w:color="auto"/>
      </w:divBdr>
    </w:div>
    <w:div w:id="1755012194">
      <w:bodyDiv w:val="1"/>
      <w:marLeft w:val="0"/>
      <w:marRight w:val="0"/>
      <w:marTop w:val="0"/>
      <w:marBottom w:val="0"/>
      <w:divBdr>
        <w:top w:val="none" w:sz="0" w:space="0" w:color="auto"/>
        <w:left w:val="none" w:sz="0" w:space="0" w:color="auto"/>
        <w:bottom w:val="none" w:sz="0" w:space="0" w:color="auto"/>
        <w:right w:val="none" w:sz="0" w:space="0" w:color="auto"/>
      </w:divBdr>
      <w:divsChild>
        <w:div w:id="758795609">
          <w:marLeft w:val="1080"/>
          <w:marRight w:val="0"/>
          <w:marTop w:val="100"/>
          <w:marBottom w:val="0"/>
          <w:divBdr>
            <w:top w:val="none" w:sz="0" w:space="0" w:color="auto"/>
            <w:left w:val="none" w:sz="0" w:space="0" w:color="auto"/>
            <w:bottom w:val="none" w:sz="0" w:space="0" w:color="auto"/>
            <w:right w:val="none" w:sz="0" w:space="0" w:color="auto"/>
          </w:divBdr>
        </w:div>
      </w:divsChild>
    </w:div>
    <w:div w:id="1756440019">
      <w:bodyDiv w:val="1"/>
      <w:marLeft w:val="0"/>
      <w:marRight w:val="0"/>
      <w:marTop w:val="0"/>
      <w:marBottom w:val="0"/>
      <w:divBdr>
        <w:top w:val="none" w:sz="0" w:space="0" w:color="auto"/>
        <w:left w:val="none" w:sz="0" w:space="0" w:color="auto"/>
        <w:bottom w:val="none" w:sz="0" w:space="0" w:color="auto"/>
        <w:right w:val="none" w:sz="0" w:space="0" w:color="auto"/>
      </w:divBdr>
    </w:div>
    <w:div w:id="1758332286">
      <w:bodyDiv w:val="1"/>
      <w:marLeft w:val="0"/>
      <w:marRight w:val="0"/>
      <w:marTop w:val="0"/>
      <w:marBottom w:val="0"/>
      <w:divBdr>
        <w:top w:val="none" w:sz="0" w:space="0" w:color="auto"/>
        <w:left w:val="none" w:sz="0" w:space="0" w:color="auto"/>
        <w:bottom w:val="none" w:sz="0" w:space="0" w:color="auto"/>
        <w:right w:val="none" w:sz="0" w:space="0" w:color="auto"/>
      </w:divBdr>
    </w:div>
    <w:div w:id="1762604462">
      <w:bodyDiv w:val="1"/>
      <w:marLeft w:val="0"/>
      <w:marRight w:val="0"/>
      <w:marTop w:val="0"/>
      <w:marBottom w:val="0"/>
      <w:divBdr>
        <w:top w:val="none" w:sz="0" w:space="0" w:color="auto"/>
        <w:left w:val="none" w:sz="0" w:space="0" w:color="auto"/>
        <w:bottom w:val="none" w:sz="0" w:space="0" w:color="auto"/>
        <w:right w:val="none" w:sz="0" w:space="0" w:color="auto"/>
      </w:divBdr>
    </w:div>
    <w:div w:id="1766227382">
      <w:bodyDiv w:val="1"/>
      <w:marLeft w:val="0"/>
      <w:marRight w:val="0"/>
      <w:marTop w:val="0"/>
      <w:marBottom w:val="0"/>
      <w:divBdr>
        <w:top w:val="none" w:sz="0" w:space="0" w:color="auto"/>
        <w:left w:val="none" w:sz="0" w:space="0" w:color="auto"/>
        <w:bottom w:val="none" w:sz="0" w:space="0" w:color="auto"/>
        <w:right w:val="none" w:sz="0" w:space="0" w:color="auto"/>
      </w:divBdr>
    </w:div>
    <w:div w:id="1781604860">
      <w:bodyDiv w:val="1"/>
      <w:marLeft w:val="0"/>
      <w:marRight w:val="0"/>
      <w:marTop w:val="0"/>
      <w:marBottom w:val="0"/>
      <w:divBdr>
        <w:top w:val="none" w:sz="0" w:space="0" w:color="auto"/>
        <w:left w:val="none" w:sz="0" w:space="0" w:color="auto"/>
        <w:bottom w:val="none" w:sz="0" w:space="0" w:color="auto"/>
        <w:right w:val="none" w:sz="0" w:space="0" w:color="auto"/>
      </w:divBdr>
    </w:div>
    <w:div w:id="1784350285">
      <w:bodyDiv w:val="1"/>
      <w:marLeft w:val="0"/>
      <w:marRight w:val="0"/>
      <w:marTop w:val="0"/>
      <w:marBottom w:val="0"/>
      <w:divBdr>
        <w:top w:val="none" w:sz="0" w:space="0" w:color="auto"/>
        <w:left w:val="none" w:sz="0" w:space="0" w:color="auto"/>
        <w:bottom w:val="none" w:sz="0" w:space="0" w:color="auto"/>
        <w:right w:val="none" w:sz="0" w:space="0" w:color="auto"/>
      </w:divBdr>
    </w:div>
    <w:div w:id="1789735195">
      <w:bodyDiv w:val="1"/>
      <w:marLeft w:val="0"/>
      <w:marRight w:val="0"/>
      <w:marTop w:val="0"/>
      <w:marBottom w:val="0"/>
      <w:divBdr>
        <w:top w:val="none" w:sz="0" w:space="0" w:color="auto"/>
        <w:left w:val="none" w:sz="0" w:space="0" w:color="auto"/>
        <w:bottom w:val="none" w:sz="0" w:space="0" w:color="auto"/>
        <w:right w:val="none" w:sz="0" w:space="0" w:color="auto"/>
      </w:divBdr>
      <w:divsChild>
        <w:div w:id="283731064">
          <w:marLeft w:val="0"/>
          <w:marRight w:val="0"/>
          <w:marTop w:val="0"/>
          <w:marBottom w:val="0"/>
          <w:divBdr>
            <w:top w:val="none" w:sz="0" w:space="0" w:color="auto"/>
            <w:left w:val="none" w:sz="0" w:space="0" w:color="auto"/>
            <w:bottom w:val="none" w:sz="0" w:space="0" w:color="auto"/>
            <w:right w:val="none" w:sz="0" w:space="0" w:color="auto"/>
          </w:divBdr>
        </w:div>
      </w:divsChild>
    </w:div>
    <w:div w:id="1815563222">
      <w:bodyDiv w:val="1"/>
      <w:marLeft w:val="0"/>
      <w:marRight w:val="0"/>
      <w:marTop w:val="0"/>
      <w:marBottom w:val="0"/>
      <w:divBdr>
        <w:top w:val="none" w:sz="0" w:space="0" w:color="auto"/>
        <w:left w:val="none" w:sz="0" w:space="0" w:color="auto"/>
        <w:bottom w:val="none" w:sz="0" w:space="0" w:color="auto"/>
        <w:right w:val="none" w:sz="0" w:space="0" w:color="auto"/>
      </w:divBdr>
    </w:div>
    <w:div w:id="1825046908">
      <w:bodyDiv w:val="1"/>
      <w:marLeft w:val="0"/>
      <w:marRight w:val="0"/>
      <w:marTop w:val="0"/>
      <w:marBottom w:val="0"/>
      <w:divBdr>
        <w:top w:val="none" w:sz="0" w:space="0" w:color="auto"/>
        <w:left w:val="none" w:sz="0" w:space="0" w:color="auto"/>
        <w:bottom w:val="none" w:sz="0" w:space="0" w:color="auto"/>
        <w:right w:val="none" w:sz="0" w:space="0" w:color="auto"/>
      </w:divBdr>
    </w:div>
    <w:div w:id="1834881107">
      <w:bodyDiv w:val="1"/>
      <w:marLeft w:val="0"/>
      <w:marRight w:val="0"/>
      <w:marTop w:val="0"/>
      <w:marBottom w:val="0"/>
      <w:divBdr>
        <w:top w:val="none" w:sz="0" w:space="0" w:color="auto"/>
        <w:left w:val="none" w:sz="0" w:space="0" w:color="auto"/>
        <w:bottom w:val="none" w:sz="0" w:space="0" w:color="auto"/>
        <w:right w:val="none" w:sz="0" w:space="0" w:color="auto"/>
      </w:divBdr>
    </w:div>
    <w:div w:id="1853257991">
      <w:bodyDiv w:val="1"/>
      <w:marLeft w:val="0"/>
      <w:marRight w:val="0"/>
      <w:marTop w:val="0"/>
      <w:marBottom w:val="0"/>
      <w:divBdr>
        <w:top w:val="none" w:sz="0" w:space="0" w:color="auto"/>
        <w:left w:val="none" w:sz="0" w:space="0" w:color="auto"/>
        <w:bottom w:val="none" w:sz="0" w:space="0" w:color="auto"/>
        <w:right w:val="none" w:sz="0" w:space="0" w:color="auto"/>
      </w:divBdr>
    </w:div>
    <w:div w:id="1856535935">
      <w:bodyDiv w:val="1"/>
      <w:marLeft w:val="0"/>
      <w:marRight w:val="0"/>
      <w:marTop w:val="0"/>
      <w:marBottom w:val="0"/>
      <w:divBdr>
        <w:top w:val="none" w:sz="0" w:space="0" w:color="auto"/>
        <w:left w:val="none" w:sz="0" w:space="0" w:color="auto"/>
        <w:bottom w:val="none" w:sz="0" w:space="0" w:color="auto"/>
        <w:right w:val="none" w:sz="0" w:space="0" w:color="auto"/>
      </w:divBdr>
      <w:divsChild>
        <w:div w:id="1767774049">
          <w:marLeft w:val="0"/>
          <w:marRight w:val="0"/>
          <w:marTop w:val="0"/>
          <w:marBottom w:val="0"/>
          <w:divBdr>
            <w:top w:val="none" w:sz="0" w:space="0" w:color="auto"/>
            <w:left w:val="none" w:sz="0" w:space="0" w:color="auto"/>
            <w:bottom w:val="none" w:sz="0" w:space="0" w:color="auto"/>
            <w:right w:val="none" w:sz="0" w:space="0" w:color="auto"/>
          </w:divBdr>
        </w:div>
      </w:divsChild>
    </w:div>
    <w:div w:id="1867864965">
      <w:bodyDiv w:val="1"/>
      <w:marLeft w:val="0"/>
      <w:marRight w:val="0"/>
      <w:marTop w:val="0"/>
      <w:marBottom w:val="0"/>
      <w:divBdr>
        <w:top w:val="none" w:sz="0" w:space="0" w:color="auto"/>
        <w:left w:val="none" w:sz="0" w:space="0" w:color="auto"/>
        <w:bottom w:val="none" w:sz="0" w:space="0" w:color="auto"/>
        <w:right w:val="none" w:sz="0" w:space="0" w:color="auto"/>
      </w:divBdr>
    </w:div>
    <w:div w:id="1870797031">
      <w:bodyDiv w:val="1"/>
      <w:marLeft w:val="0"/>
      <w:marRight w:val="0"/>
      <w:marTop w:val="0"/>
      <w:marBottom w:val="0"/>
      <w:divBdr>
        <w:top w:val="none" w:sz="0" w:space="0" w:color="auto"/>
        <w:left w:val="none" w:sz="0" w:space="0" w:color="auto"/>
        <w:bottom w:val="none" w:sz="0" w:space="0" w:color="auto"/>
        <w:right w:val="none" w:sz="0" w:space="0" w:color="auto"/>
      </w:divBdr>
      <w:divsChild>
        <w:div w:id="2077968682">
          <w:marLeft w:val="360"/>
          <w:marRight w:val="0"/>
          <w:marTop w:val="200"/>
          <w:marBottom w:val="0"/>
          <w:divBdr>
            <w:top w:val="none" w:sz="0" w:space="0" w:color="auto"/>
            <w:left w:val="none" w:sz="0" w:space="0" w:color="auto"/>
            <w:bottom w:val="none" w:sz="0" w:space="0" w:color="auto"/>
            <w:right w:val="none" w:sz="0" w:space="0" w:color="auto"/>
          </w:divBdr>
        </w:div>
      </w:divsChild>
    </w:div>
    <w:div w:id="1901400025">
      <w:bodyDiv w:val="1"/>
      <w:marLeft w:val="0"/>
      <w:marRight w:val="0"/>
      <w:marTop w:val="0"/>
      <w:marBottom w:val="0"/>
      <w:divBdr>
        <w:top w:val="none" w:sz="0" w:space="0" w:color="auto"/>
        <w:left w:val="none" w:sz="0" w:space="0" w:color="auto"/>
        <w:bottom w:val="none" w:sz="0" w:space="0" w:color="auto"/>
        <w:right w:val="none" w:sz="0" w:space="0" w:color="auto"/>
      </w:divBdr>
      <w:divsChild>
        <w:div w:id="483552009">
          <w:marLeft w:val="0"/>
          <w:marRight w:val="0"/>
          <w:marTop w:val="0"/>
          <w:marBottom w:val="0"/>
          <w:divBdr>
            <w:top w:val="none" w:sz="0" w:space="0" w:color="auto"/>
            <w:left w:val="none" w:sz="0" w:space="0" w:color="auto"/>
            <w:bottom w:val="none" w:sz="0" w:space="0" w:color="auto"/>
            <w:right w:val="none" w:sz="0" w:space="0" w:color="auto"/>
          </w:divBdr>
        </w:div>
      </w:divsChild>
    </w:div>
    <w:div w:id="1905093900">
      <w:bodyDiv w:val="1"/>
      <w:marLeft w:val="0"/>
      <w:marRight w:val="0"/>
      <w:marTop w:val="0"/>
      <w:marBottom w:val="0"/>
      <w:divBdr>
        <w:top w:val="none" w:sz="0" w:space="0" w:color="auto"/>
        <w:left w:val="none" w:sz="0" w:space="0" w:color="auto"/>
        <w:bottom w:val="none" w:sz="0" w:space="0" w:color="auto"/>
        <w:right w:val="none" w:sz="0" w:space="0" w:color="auto"/>
      </w:divBdr>
      <w:divsChild>
        <w:div w:id="1783303258">
          <w:marLeft w:val="0"/>
          <w:marRight w:val="0"/>
          <w:marTop w:val="0"/>
          <w:marBottom w:val="0"/>
          <w:divBdr>
            <w:top w:val="none" w:sz="0" w:space="0" w:color="auto"/>
            <w:left w:val="none" w:sz="0" w:space="0" w:color="auto"/>
            <w:bottom w:val="none" w:sz="0" w:space="0" w:color="auto"/>
            <w:right w:val="none" w:sz="0" w:space="0" w:color="auto"/>
          </w:divBdr>
        </w:div>
      </w:divsChild>
    </w:div>
    <w:div w:id="1924676596">
      <w:bodyDiv w:val="1"/>
      <w:marLeft w:val="0"/>
      <w:marRight w:val="0"/>
      <w:marTop w:val="0"/>
      <w:marBottom w:val="0"/>
      <w:divBdr>
        <w:top w:val="none" w:sz="0" w:space="0" w:color="auto"/>
        <w:left w:val="none" w:sz="0" w:space="0" w:color="auto"/>
        <w:bottom w:val="none" w:sz="0" w:space="0" w:color="auto"/>
        <w:right w:val="none" w:sz="0" w:space="0" w:color="auto"/>
      </w:divBdr>
      <w:divsChild>
        <w:div w:id="822427992">
          <w:marLeft w:val="0"/>
          <w:marRight w:val="0"/>
          <w:marTop w:val="0"/>
          <w:marBottom w:val="0"/>
          <w:divBdr>
            <w:top w:val="none" w:sz="0" w:space="0" w:color="auto"/>
            <w:left w:val="none" w:sz="0" w:space="0" w:color="auto"/>
            <w:bottom w:val="none" w:sz="0" w:space="0" w:color="auto"/>
            <w:right w:val="none" w:sz="0" w:space="0" w:color="auto"/>
          </w:divBdr>
        </w:div>
      </w:divsChild>
    </w:div>
    <w:div w:id="1927500361">
      <w:bodyDiv w:val="1"/>
      <w:marLeft w:val="0"/>
      <w:marRight w:val="0"/>
      <w:marTop w:val="0"/>
      <w:marBottom w:val="0"/>
      <w:divBdr>
        <w:top w:val="none" w:sz="0" w:space="0" w:color="auto"/>
        <w:left w:val="none" w:sz="0" w:space="0" w:color="auto"/>
        <w:bottom w:val="none" w:sz="0" w:space="0" w:color="auto"/>
        <w:right w:val="none" w:sz="0" w:space="0" w:color="auto"/>
      </w:divBdr>
    </w:div>
    <w:div w:id="1927692806">
      <w:bodyDiv w:val="1"/>
      <w:marLeft w:val="0"/>
      <w:marRight w:val="0"/>
      <w:marTop w:val="0"/>
      <w:marBottom w:val="0"/>
      <w:divBdr>
        <w:top w:val="none" w:sz="0" w:space="0" w:color="auto"/>
        <w:left w:val="none" w:sz="0" w:space="0" w:color="auto"/>
        <w:bottom w:val="none" w:sz="0" w:space="0" w:color="auto"/>
        <w:right w:val="none" w:sz="0" w:space="0" w:color="auto"/>
      </w:divBdr>
      <w:divsChild>
        <w:div w:id="2056542390">
          <w:marLeft w:val="0"/>
          <w:marRight w:val="0"/>
          <w:marTop w:val="0"/>
          <w:marBottom w:val="0"/>
          <w:divBdr>
            <w:top w:val="none" w:sz="0" w:space="0" w:color="auto"/>
            <w:left w:val="none" w:sz="0" w:space="0" w:color="auto"/>
            <w:bottom w:val="none" w:sz="0" w:space="0" w:color="auto"/>
            <w:right w:val="none" w:sz="0" w:space="0" w:color="auto"/>
          </w:divBdr>
        </w:div>
      </w:divsChild>
    </w:div>
    <w:div w:id="1929345565">
      <w:bodyDiv w:val="1"/>
      <w:marLeft w:val="0"/>
      <w:marRight w:val="0"/>
      <w:marTop w:val="0"/>
      <w:marBottom w:val="0"/>
      <w:divBdr>
        <w:top w:val="none" w:sz="0" w:space="0" w:color="auto"/>
        <w:left w:val="none" w:sz="0" w:space="0" w:color="auto"/>
        <w:bottom w:val="none" w:sz="0" w:space="0" w:color="auto"/>
        <w:right w:val="none" w:sz="0" w:space="0" w:color="auto"/>
      </w:divBdr>
    </w:div>
    <w:div w:id="1930429115">
      <w:bodyDiv w:val="1"/>
      <w:marLeft w:val="0"/>
      <w:marRight w:val="0"/>
      <w:marTop w:val="0"/>
      <w:marBottom w:val="0"/>
      <w:divBdr>
        <w:top w:val="none" w:sz="0" w:space="0" w:color="auto"/>
        <w:left w:val="none" w:sz="0" w:space="0" w:color="auto"/>
        <w:bottom w:val="none" w:sz="0" w:space="0" w:color="auto"/>
        <w:right w:val="none" w:sz="0" w:space="0" w:color="auto"/>
      </w:divBdr>
    </w:div>
    <w:div w:id="1934388366">
      <w:bodyDiv w:val="1"/>
      <w:marLeft w:val="0"/>
      <w:marRight w:val="0"/>
      <w:marTop w:val="0"/>
      <w:marBottom w:val="0"/>
      <w:divBdr>
        <w:top w:val="none" w:sz="0" w:space="0" w:color="auto"/>
        <w:left w:val="none" w:sz="0" w:space="0" w:color="auto"/>
        <w:bottom w:val="none" w:sz="0" w:space="0" w:color="auto"/>
        <w:right w:val="none" w:sz="0" w:space="0" w:color="auto"/>
      </w:divBdr>
    </w:div>
    <w:div w:id="1936134307">
      <w:bodyDiv w:val="1"/>
      <w:marLeft w:val="0"/>
      <w:marRight w:val="0"/>
      <w:marTop w:val="0"/>
      <w:marBottom w:val="0"/>
      <w:divBdr>
        <w:top w:val="none" w:sz="0" w:space="0" w:color="auto"/>
        <w:left w:val="none" w:sz="0" w:space="0" w:color="auto"/>
        <w:bottom w:val="none" w:sz="0" w:space="0" w:color="auto"/>
        <w:right w:val="none" w:sz="0" w:space="0" w:color="auto"/>
      </w:divBdr>
    </w:div>
    <w:div w:id="1941639187">
      <w:bodyDiv w:val="1"/>
      <w:marLeft w:val="0"/>
      <w:marRight w:val="0"/>
      <w:marTop w:val="0"/>
      <w:marBottom w:val="0"/>
      <w:divBdr>
        <w:top w:val="none" w:sz="0" w:space="0" w:color="auto"/>
        <w:left w:val="none" w:sz="0" w:space="0" w:color="auto"/>
        <w:bottom w:val="none" w:sz="0" w:space="0" w:color="auto"/>
        <w:right w:val="none" w:sz="0" w:space="0" w:color="auto"/>
      </w:divBdr>
    </w:div>
    <w:div w:id="1947035193">
      <w:bodyDiv w:val="1"/>
      <w:marLeft w:val="0"/>
      <w:marRight w:val="0"/>
      <w:marTop w:val="0"/>
      <w:marBottom w:val="0"/>
      <w:divBdr>
        <w:top w:val="none" w:sz="0" w:space="0" w:color="auto"/>
        <w:left w:val="none" w:sz="0" w:space="0" w:color="auto"/>
        <w:bottom w:val="none" w:sz="0" w:space="0" w:color="auto"/>
        <w:right w:val="none" w:sz="0" w:space="0" w:color="auto"/>
      </w:divBdr>
    </w:div>
    <w:div w:id="1978684390">
      <w:bodyDiv w:val="1"/>
      <w:marLeft w:val="0"/>
      <w:marRight w:val="0"/>
      <w:marTop w:val="0"/>
      <w:marBottom w:val="0"/>
      <w:divBdr>
        <w:top w:val="none" w:sz="0" w:space="0" w:color="auto"/>
        <w:left w:val="none" w:sz="0" w:space="0" w:color="auto"/>
        <w:bottom w:val="none" w:sz="0" w:space="0" w:color="auto"/>
        <w:right w:val="none" w:sz="0" w:space="0" w:color="auto"/>
      </w:divBdr>
    </w:div>
    <w:div w:id="1982228522">
      <w:bodyDiv w:val="1"/>
      <w:marLeft w:val="0"/>
      <w:marRight w:val="0"/>
      <w:marTop w:val="0"/>
      <w:marBottom w:val="0"/>
      <w:divBdr>
        <w:top w:val="none" w:sz="0" w:space="0" w:color="auto"/>
        <w:left w:val="none" w:sz="0" w:space="0" w:color="auto"/>
        <w:bottom w:val="none" w:sz="0" w:space="0" w:color="auto"/>
        <w:right w:val="none" w:sz="0" w:space="0" w:color="auto"/>
      </w:divBdr>
    </w:div>
    <w:div w:id="2005818167">
      <w:bodyDiv w:val="1"/>
      <w:marLeft w:val="0"/>
      <w:marRight w:val="0"/>
      <w:marTop w:val="0"/>
      <w:marBottom w:val="0"/>
      <w:divBdr>
        <w:top w:val="none" w:sz="0" w:space="0" w:color="auto"/>
        <w:left w:val="none" w:sz="0" w:space="0" w:color="auto"/>
        <w:bottom w:val="none" w:sz="0" w:space="0" w:color="auto"/>
        <w:right w:val="none" w:sz="0" w:space="0" w:color="auto"/>
      </w:divBdr>
      <w:divsChild>
        <w:div w:id="467431975">
          <w:marLeft w:val="0"/>
          <w:marRight w:val="0"/>
          <w:marTop w:val="0"/>
          <w:marBottom w:val="0"/>
          <w:divBdr>
            <w:top w:val="none" w:sz="0" w:space="0" w:color="auto"/>
            <w:left w:val="none" w:sz="0" w:space="0" w:color="auto"/>
            <w:bottom w:val="none" w:sz="0" w:space="0" w:color="auto"/>
            <w:right w:val="none" w:sz="0" w:space="0" w:color="auto"/>
          </w:divBdr>
        </w:div>
      </w:divsChild>
    </w:div>
    <w:div w:id="2041733462">
      <w:bodyDiv w:val="1"/>
      <w:marLeft w:val="0"/>
      <w:marRight w:val="0"/>
      <w:marTop w:val="0"/>
      <w:marBottom w:val="0"/>
      <w:divBdr>
        <w:top w:val="none" w:sz="0" w:space="0" w:color="auto"/>
        <w:left w:val="none" w:sz="0" w:space="0" w:color="auto"/>
        <w:bottom w:val="none" w:sz="0" w:space="0" w:color="auto"/>
        <w:right w:val="none" w:sz="0" w:space="0" w:color="auto"/>
      </w:divBdr>
      <w:divsChild>
        <w:div w:id="637998388">
          <w:marLeft w:val="0"/>
          <w:marRight w:val="0"/>
          <w:marTop w:val="0"/>
          <w:marBottom w:val="0"/>
          <w:divBdr>
            <w:top w:val="none" w:sz="0" w:space="0" w:color="auto"/>
            <w:left w:val="none" w:sz="0" w:space="0" w:color="auto"/>
            <w:bottom w:val="none" w:sz="0" w:space="0" w:color="auto"/>
            <w:right w:val="none" w:sz="0" w:space="0" w:color="auto"/>
          </w:divBdr>
        </w:div>
      </w:divsChild>
    </w:div>
    <w:div w:id="2057386536">
      <w:bodyDiv w:val="1"/>
      <w:marLeft w:val="0"/>
      <w:marRight w:val="0"/>
      <w:marTop w:val="0"/>
      <w:marBottom w:val="0"/>
      <w:divBdr>
        <w:top w:val="none" w:sz="0" w:space="0" w:color="auto"/>
        <w:left w:val="none" w:sz="0" w:space="0" w:color="auto"/>
        <w:bottom w:val="none" w:sz="0" w:space="0" w:color="auto"/>
        <w:right w:val="none" w:sz="0" w:space="0" w:color="auto"/>
      </w:divBdr>
      <w:divsChild>
        <w:div w:id="107434260">
          <w:marLeft w:val="0"/>
          <w:marRight w:val="0"/>
          <w:marTop w:val="0"/>
          <w:marBottom w:val="0"/>
          <w:divBdr>
            <w:top w:val="none" w:sz="0" w:space="0" w:color="auto"/>
            <w:left w:val="none" w:sz="0" w:space="0" w:color="auto"/>
            <w:bottom w:val="none" w:sz="0" w:space="0" w:color="auto"/>
            <w:right w:val="none" w:sz="0" w:space="0" w:color="auto"/>
          </w:divBdr>
        </w:div>
      </w:divsChild>
    </w:div>
    <w:div w:id="2072072375">
      <w:bodyDiv w:val="1"/>
      <w:marLeft w:val="0"/>
      <w:marRight w:val="0"/>
      <w:marTop w:val="0"/>
      <w:marBottom w:val="0"/>
      <w:divBdr>
        <w:top w:val="none" w:sz="0" w:space="0" w:color="auto"/>
        <w:left w:val="none" w:sz="0" w:space="0" w:color="auto"/>
        <w:bottom w:val="none" w:sz="0" w:space="0" w:color="auto"/>
        <w:right w:val="none" w:sz="0" w:space="0" w:color="auto"/>
      </w:divBdr>
      <w:divsChild>
        <w:div w:id="1343893357">
          <w:marLeft w:val="0"/>
          <w:marRight w:val="0"/>
          <w:marTop w:val="0"/>
          <w:marBottom w:val="0"/>
          <w:divBdr>
            <w:top w:val="none" w:sz="0" w:space="0" w:color="auto"/>
            <w:left w:val="none" w:sz="0" w:space="0" w:color="auto"/>
            <w:bottom w:val="none" w:sz="0" w:space="0" w:color="auto"/>
            <w:right w:val="none" w:sz="0" w:space="0" w:color="auto"/>
          </w:divBdr>
        </w:div>
      </w:divsChild>
    </w:div>
    <w:div w:id="2088722068">
      <w:bodyDiv w:val="1"/>
      <w:marLeft w:val="0"/>
      <w:marRight w:val="0"/>
      <w:marTop w:val="0"/>
      <w:marBottom w:val="0"/>
      <w:divBdr>
        <w:top w:val="none" w:sz="0" w:space="0" w:color="auto"/>
        <w:left w:val="none" w:sz="0" w:space="0" w:color="auto"/>
        <w:bottom w:val="none" w:sz="0" w:space="0" w:color="auto"/>
        <w:right w:val="none" w:sz="0" w:space="0" w:color="auto"/>
      </w:divBdr>
    </w:div>
    <w:div w:id="2093700945">
      <w:bodyDiv w:val="1"/>
      <w:marLeft w:val="0"/>
      <w:marRight w:val="0"/>
      <w:marTop w:val="0"/>
      <w:marBottom w:val="0"/>
      <w:divBdr>
        <w:top w:val="none" w:sz="0" w:space="0" w:color="auto"/>
        <w:left w:val="none" w:sz="0" w:space="0" w:color="auto"/>
        <w:bottom w:val="none" w:sz="0" w:space="0" w:color="auto"/>
        <w:right w:val="none" w:sz="0" w:space="0" w:color="auto"/>
      </w:divBdr>
    </w:div>
    <w:div w:id="2096826295">
      <w:bodyDiv w:val="1"/>
      <w:marLeft w:val="0"/>
      <w:marRight w:val="0"/>
      <w:marTop w:val="0"/>
      <w:marBottom w:val="0"/>
      <w:divBdr>
        <w:top w:val="none" w:sz="0" w:space="0" w:color="auto"/>
        <w:left w:val="none" w:sz="0" w:space="0" w:color="auto"/>
        <w:bottom w:val="none" w:sz="0" w:space="0" w:color="auto"/>
        <w:right w:val="none" w:sz="0" w:space="0" w:color="auto"/>
      </w:divBdr>
    </w:div>
    <w:div w:id="2098595647">
      <w:bodyDiv w:val="1"/>
      <w:marLeft w:val="0"/>
      <w:marRight w:val="0"/>
      <w:marTop w:val="0"/>
      <w:marBottom w:val="0"/>
      <w:divBdr>
        <w:top w:val="none" w:sz="0" w:space="0" w:color="auto"/>
        <w:left w:val="none" w:sz="0" w:space="0" w:color="auto"/>
        <w:bottom w:val="none" w:sz="0" w:space="0" w:color="auto"/>
        <w:right w:val="none" w:sz="0" w:space="0" w:color="auto"/>
      </w:divBdr>
    </w:div>
    <w:div w:id="2102289920">
      <w:bodyDiv w:val="1"/>
      <w:marLeft w:val="0"/>
      <w:marRight w:val="0"/>
      <w:marTop w:val="0"/>
      <w:marBottom w:val="0"/>
      <w:divBdr>
        <w:top w:val="none" w:sz="0" w:space="0" w:color="auto"/>
        <w:left w:val="none" w:sz="0" w:space="0" w:color="auto"/>
        <w:bottom w:val="none" w:sz="0" w:space="0" w:color="auto"/>
        <w:right w:val="none" w:sz="0" w:space="0" w:color="auto"/>
      </w:divBdr>
    </w:div>
    <w:div w:id="2114396444">
      <w:bodyDiv w:val="1"/>
      <w:marLeft w:val="0"/>
      <w:marRight w:val="0"/>
      <w:marTop w:val="0"/>
      <w:marBottom w:val="0"/>
      <w:divBdr>
        <w:top w:val="none" w:sz="0" w:space="0" w:color="auto"/>
        <w:left w:val="none" w:sz="0" w:space="0" w:color="auto"/>
        <w:bottom w:val="none" w:sz="0" w:space="0" w:color="auto"/>
        <w:right w:val="none" w:sz="0" w:space="0" w:color="auto"/>
      </w:divBdr>
    </w:div>
    <w:div w:id="2115006225">
      <w:bodyDiv w:val="1"/>
      <w:marLeft w:val="0"/>
      <w:marRight w:val="0"/>
      <w:marTop w:val="0"/>
      <w:marBottom w:val="0"/>
      <w:divBdr>
        <w:top w:val="none" w:sz="0" w:space="0" w:color="auto"/>
        <w:left w:val="none" w:sz="0" w:space="0" w:color="auto"/>
        <w:bottom w:val="none" w:sz="0" w:space="0" w:color="auto"/>
        <w:right w:val="none" w:sz="0" w:space="0" w:color="auto"/>
      </w:divBdr>
    </w:div>
    <w:div w:id="2118745887">
      <w:bodyDiv w:val="1"/>
      <w:marLeft w:val="0"/>
      <w:marRight w:val="0"/>
      <w:marTop w:val="0"/>
      <w:marBottom w:val="0"/>
      <w:divBdr>
        <w:top w:val="none" w:sz="0" w:space="0" w:color="auto"/>
        <w:left w:val="none" w:sz="0" w:space="0" w:color="auto"/>
        <w:bottom w:val="none" w:sz="0" w:space="0" w:color="auto"/>
        <w:right w:val="none" w:sz="0" w:space="0" w:color="auto"/>
      </w:divBdr>
    </w:div>
    <w:div w:id="2123261478">
      <w:bodyDiv w:val="1"/>
      <w:marLeft w:val="0"/>
      <w:marRight w:val="0"/>
      <w:marTop w:val="0"/>
      <w:marBottom w:val="0"/>
      <w:divBdr>
        <w:top w:val="none" w:sz="0" w:space="0" w:color="auto"/>
        <w:left w:val="none" w:sz="0" w:space="0" w:color="auto"/>
        <w:bottom w:val="none" w:sz="0" w:space="0" w:color="auto"/>
        <w:right w:val="none" w:sz="0" w:space="0" w:color="auto"/>
      </w:divBdr>
    </w:div>
    <w:div w:id="2134595784">
      <w:bodyDiv w:val="1"/>
      <w:marLeft w:val="0"/>
      <w:marRight w:val="0"/>
      <w:marTop w:val="0"/>
      <w:marBottom w:val="0"/>
      <w:divBdr>
        <w:top w:val="none" w:sz="0" w:space="0" w:color="auto"/>
        <w:left w:val="none" w:sz="0" w:space="0" w:color="auto"/>
        <w:bottom w:val="none" w:sz="0" w:space="0" w:color="auto"/>
        <w:right w:val="none" w:sz="0" w:space="0" w:color="auto"/>
      </w:divBdr>
    </w:div>
    <w:div w:id="21423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0304-405X(96)00890-2" TargetMode="External"/><Relationship Id="rId21" Type="http://schemas.openxmlformats.org/officeDocument/2006/relationships/hyperlink" Target="https://doi.org/10.1016/j.jfineco.2008.10.007" TargetMode="External"/><Relationship Id="rId42" Type="http://schemas.openxmlformats.org/officeDocument/2006/relationships/hyperlink" Target="https://doi.org/10.1016/j.irfa.2013.04.004" TargetMode="External"/><Relationship Id="rId47" Type="http://schemas.openxmlformats.org/officeDocument/2006/relationships/hyperlink" Target="https://doi.org/10.1093/rfs/14.1.1" TargetMode="External"/><Relationship Id="rId63" Type="http://schemas.openxmlformats.org/officeDocument/2006/relationships/hyperlink" Target="https://doi.org/10.1111/0022-1082.00101" TargetMode="External"/><Relationship Id="rId68" Type="http://schemas.openxmlformats.org/officeDocument/2006/relationships/hyperlink" Target="https://doi.org/10.1016/S0378-4266(02)00412-0" TargetMode="External"/><Relationship Id="rId16" Type="http://schemas.openxmlformats.org/officeDocument/2006/relationships/oleObject" Target="embeddings/oleObject3.bin"/><Relationship Id="rId11" Type="http://schemas.openxmlformats.org/officeDocument/2006/relationships/image" Target="media/image1.emf"/><Relationship Id="rId32" Type="http://schemas.openxmlformats.org/officeDocument/2006/relationships/hyperlink" Target="https://doi.org/10.1002/ijfe.2089" TargetMode="External"/><Relationship Id="rId37" Type="http://schemas.openxmlformats.org/officeDocument/2006/relationships/hyperlink" Target="https://doi.org/10.1002/smj.612" TargetMode="External"/><Relationship Id="rId53" Type="http://schemas.openxmlformats.org/officeDocument/2006/relationships/hyperlink" Target="https://doi.org/10.1016/j.jfineco.2012.12.005" TargetMode="External"/><Relationship Id="rId58" Type="http://schemas.openxmlformats.org/officeDocument/2006/relationships/hyperlink" Target="https://psycnet.apa.org/doi/10.1037/0033-2909.84.1.1" TargetMode="External"/><Relationship Id="rId74" Type="http://schemas.openxmlformats.org/officeDocument/2006/relationships/hyperlink" Target="https://doi.org/10.1108/NBRI-04-2019-0016"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doi.org/10.1016/j.jempfin.2005.10.003" TargetMode="External"/><Relationship Id="rId82"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oleObject" Target="embeddings/oleObject2.bin"/><Relationship Id="rId22" Type="http://schemas.openxmlformats.org/officeDocument/2006/relationships/hyperlink" Target="https://doi.org/10.1111/j.1540-6261.1992.tb04674.x" TargetMode="External"/><Relationship Id="rId27" Type="http://schemas.openxmlformats.org/officeDocument/2006/relationships/hyperlink" Target="https://doi.org/10.1162/003355301556400" TargetMode="External"/><Relationship Id="rId30" Type="http://schemas.openxmlformats.org/officeDocument/2006/relationships/hyperlink" Target="https://doi.org/10.1287/mnsc.1070.0830" TargetMode="External"/><Relationship Id="rId35" Type="http://schemas.openxmlformats.org/officeDocument/2006/relationships/hyperlink" Target="https://doi.org/10.1016/0304-405X(85)90042-X" TargetMode="External"/><Relationship Id="rId43" Type="http://schemas.openxmlformats.org/officeDocument/2006/relationships/hyperlink" Target="https://doi.org/10.1016/j.jcae.2015.05.001" TargetMode="External"/><Relationship Id="rId48" Type="http://schemas.openxmlformats.org/officeDocument/2006/relationships/hyperlink" Target="https://doi.org/10.1016/j.jacceco.2011.01.005" TargetMode="External"/><Relationship Id="rId56" Type="http://schemas.openxmlformats.org/officeDocument/2006/relationships/hyperlink" Target="https://doi.org/10.1111/j.1465-7295.1998.tb01740.x" TargetMode="External"/><Relationship Id="rId64" Type="http://schemas.openxmlformats.org/officeDocument/2006/relationships/hyperlink" Target="https://doi.org/10.1111/1467-8551.12691" TargetMode="External"/><Relationship Id="rId69" Type="http://schemas.openxmlformats.org/officeDocument/2006/relationships/hyperlink" Target="https://doi.org/10.5465/amr.1996.9605060217" TargetMode="External"/><Relationship Id="rId77" Type="http://schemas.openxmlformats.org/officeDocument/2006/relationships/hyperlink" Target="https://doi.org/10.1093/biomet/70.1.41" TargetMode="External"/><Relationship Id="rId8" Type="http://schemas.openxmlformats.org/officeDocument/2006/relationships/webSettings" Target="webSettings.xml"/><Relationship Id="rId51" Type="http://schemas.openxmlformats.org/officeDocument/2006/relationships/hyperlink" Target="https://doi.org/10.1111/j.1540-6261.2007.01227.x" TargetMode="External"/><Relationship Id="rId72" Type="http://schemas.openxmlformats.org/officeDocument/2006/relationships/hyperlink" Target="https://doi.org/10.1162/qjec.122.3.1067"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hyperlink" Target="https://doi.org/10.1016/0304-405X(83)90007-7" TargetMode="External"/><Relationship Id="rId33" Type="http://schemas.openxmlformats.org/officeDocument/2006/relationships/hyperlink" Target="https://doi.org/10.1016/j.jeconbus.2007.04.002" TargetMode="External"/><Relationship Id="rId38" Type="http://schemas.openxmlformats.org/officeDocument/2006/relationships/hyperlink" Target="https://doi.org/10.1016/j.jcorpfin.2022.102278" TargetMode="External"/><Relationship Id="rId46" Type="http://schemas.openxmlformats.org/officeDocument/2006/relationships/hyperlink" Target="https://doi.org/10.1017/S0022109013000069" TargetMode="External"/><Relationship Id="rId59" Type="http://schemas.openxmlformats.org/officeDocument/2006/relationships/hyperlink" Target="https://doi.org/10.1016/j.jcorpfin.2013.11.005" TargetMode="External"/><Relationship Id="rId67" Type="http://schemas.openxmlformats.org/officeDocument/2006/relationships/hyperlink" Target="https://doi.org/10.1287/mnsc.33.11.1404" TargetMode="External"/><Relationship Id="rId20" Type="http://schemas.openxmlformats.org/officeDocument/2006/relationships/oleObject" Target="embeddings/oleObject5.bin"/><Relationship Id="rId41" Type="http://schemas.openxmlformats.org/officeDocument/2006/relationships/hyperlink" Target="https://doi.org/10.1111/j.1468-036X.2007.00371.x" TargetMode="External"/><Relationship Id="rId54" Type="http://schemas.openxmlformats.org/officeDocument/2006/relationships/hyperlink" Target="https://doi.org/10.1016/j.jcorpfin.2015.10.009" TargetMode="External"/><Relationship Id="rId62" Type="http://schemas.openxmlformats.org/officeDocument/2006/relationships/hyperlink" Target="https://doi.org/10.1111/j.1540-6261.1997.tb02741.x" TargetMode="External"/><Relationship Id="rId70" Type="http://schemas.openxmlformats.org/officeDocument/2006/relationships/hyperlink" Target="https://doi.org/10.1016/j.jfineco.2003.07.002" TargetMode="External"/><Relationship Id="rId75" Type="http://schemas.openxmlformats.org/officeDocument/2006/relationships/hyperlink" Target="https://doi.org/10.1108/MD-03-2014-014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doi.org/10.1111/j.1475-679X.2012.00467.x" TargetMode="External"/><Relationship Id="rId28" Type="http://schemas.openxmlformats.org/officeDocument/2006/relationships/hyperlink" Target="https://doi.org/10.1111/j.1467-8551.2011.00789.x" TargetMode="External"/><Relationship Id="rId36" Type="http://schemas.openxmlformats.org/officeDocument/2006/relationships/hyperlink" Target="https://doi.org/10.1007/s11156-018-0774-x" TargetMode="External"/><Relationship Id="rId49" Type="http://schemas.openxmlformats.org/officeDocument/2006/relationships/hyperlink" Target="https://doi.org/10.1016/j.jbankfin.2018.02.004" TargetMode="External"/><Relationship Id="rId57" Type="http://schemas.openxmlformats.org/officeDocument/2006/relationships/hyperlink" Target="https://psycnet.apa.org/doi/10.1037/0022-3514.32.2.311" TargetMode="External"/><Relationship Id="rId10" Type="http://schemas.openxmlformats.org/officeDocument/2006/relationships/endnotes" Target="endnotes.xml"/><Relationship Id="rId31" Type="http://schemas.openxmlformats.org/officeDocument/2006/relationships/hyperlink" Target="https://doi.org/10.1016/0304-405X(88)90030-X" TargetMode="External"/><Relationship Id="rId44" Type="http://schemas.openxmlformats.org/officeDocument/2006/relationships/hyperlink" Target="https://doi.org/10.1111/j.1540-6261.1992.tb04398.x" TargetMode="External"/><Relationship Id="rId52" Type="http://schemas.openxmlformats.org/officeDocument/2006/relationships/hyperlink" Target="https://doi.org/10.1287/mnsc.1050.0485" TargetMode="External"/><Relationship Id="rId60" Type="http://schemas.openxmlformats.org/officeDocument/2006/relationships/hyperlink" Target="https://doi.org/10.1111/jbfa.12607" TargetMode="External"/><Relationship Id="rId65" Type="http://schemas.openxmlformats.org/officeDocument/2006/relationships/hyperlink" Target="https://doi.org/10.1111/j.1540-6261.2005.00813.x" TargetMode="External"/><Relationship Id="rId73" Type="http://schemas.openxmlformats.org/officeDocument/2006/relationships/hyperlink" Target="https://doi.org/10.1111/0022-1082.00078" TargetMode="External"/><Relationship Id="rId78" Type="http://schemas.openxmlformats.org/officeDocument/2006/relationships/hyperlink" Target="https://doi.org/10.1142/S0219091520500034"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4.bin"/><Relationship Id="rId39" Type="http://schemas.openxmlformats.org/officeDocument/2006/relationships/hyperlink" Target="https://doi.org/10.1111/0022-1082.00077" TargetMode="External"/><Relationship Id="rId34" Type="http://schemas.openxmlformats.org/officeDocument/2006/relationships/hyperlink" Target="https://doi.org/10.1016/0304-405X(80)90002-1" TargetMode="External"/><Relationship Id="rId50" Type="http://schemas.openxmlformats.org/officeDocument/2006/relationships/hyperlink" Target="https://doi.org/10.1504/IJBAAF.2020.10028269" TargetMode="External"/><Relationship Id="rId55" Type="http://schemas.openxmlformats.org/officeDocument/2006/relationships/hyperlink" Target="https://doi.org/10.1016/j.irfa.2021.101964" TargetMode="External"/><Relationship Id="rId76" Type="http://schemas.openxmlformats.org/officeDocument/2006/relationships/hyperlink" Target="https://doi.org/10.1016/S0304-405X(98)00023-3" TargetMode="External"/><Relationship Id="rId7" Type="http://schemas.openxmlformats.org/officeDocument/2006/relationships/settings" Target="settings.xml"/><Relationship Id="rId71" Type="http://schemas.openxmlformats.org/officeDocument/2006/relationships/hyperlink" Target="https://doi.org/10.1111/j.1540-6261.1990.tb05079.x" TargetMode="External"/><Relationship Id="rId2" Type="http://schemas.openxmlformats.org/officeDocument/2006/relationships/customXml" Target="../customXml/item2.xml"/><Relationship Id="rId29" Type="http://schemas.openxmlformats.org/officeDocument/2006/relationships/hyperlink" Target="https://psycnet.apa.org/doi/10.1037/0022-3514.59.5.960" TargetMode="External"/><Relationship Id="rId24" Type="http://schemas.openxmlformats.org/officeDocument/2006/relationships/hyperlink" Target="https://doi.org/10.1111/j.1468-5957.2007.02012.x" TargetMode="External"/><Relationship Id="rId40" Type="http://schemas.openxmlformats.org/officeDocument/2006/relationships/hyperlink" Target="https://doi.org/10.1080/09603107.2013.778943" TargetMode="External"/><Relationship Id="rId45" Type="http://schemas.openxmlformats.org/officeDocument/2006/relationships/hyperlink" Target="https://doi.org/10.1016/j.jcorpfin.2003.12.001" TargetMode="External"/><Relationship Id="rId66" Type="http://schemas.openxmlformats.org/officeDocument/2006/relationships/hyperlink" Target="https://doi.org/10.1016/j.jfineco.2007.07.0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y.com/en_uk/ccb/united-kingdom-mergers-acquisitions" TargetMode="External"/><Relationship Id="rId1" Type="http://schemas.openxmlformats.org/officeDocument/2006/relationships/hyperlink" Target="https://www.ons.gov.uk/businessindustryandtrade/changestobusiness/mergersandacquisitions/articles/ukmergersandacquisitionsactivityincontex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B1AE7A585E4B8806820E61B50AB3" ma:contentTypeVersion="14" ma:contentTypeDescription="Create a new document." ma:contentTypeScope="" ma:versionID="6fc654fe3bb7b2794f677832c3a2b24a">
  <xsd:schema xmlns:xsd="http://www.w3.org/2001/XMLSchema" xmlns:xs="http://www.w3.org/2001/XMLSchema" xmlns:p="http://schemas.microsoft.com/office/2006/metadata/properties" xmlns:ns3="19a0660c-5140-457b-8ef5-12ab442ac4e4" xmlns:ns4="6b8e82db-7cea-4b2f-90ac-65556c6d4660" targetNamespace="http://schemas.microsoft.com/office/2006/metadata/properties" ma:root="true" ma:fieldsID="61cab02ead690d2792cd938db44d7171" ns3:_="" ns4:_="">
    <xsd:import namespace="19a0660c-5140-457b-8ef5-12ab442ac4e4"/>
    <xsd:import namespace="6b8e82db-7cea-4b2f-90ac-65556c6d46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660c-5140-457b-8ef5-12ab442a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e82db-7cea-4b2f-90ac-65556c6d46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F0FE-7E47-4E8D-BC0D-266F8106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660c-5140-457b-8ef5-12ab442ac4e4"/>
    <ds:schemaRef ds:uri="6b8e82db-7cea-4b2f-90ac-65556c6d4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D5AA7-4F47-4064-A58E-AAE65034ABEC}">
  <ds:schemaRefs>
    <ds:schemaRef ds:uri="http://schemas.microsoft.com/sharepoint/v3/contenttype/forms"/>
  </ds:schemaRefs>
</ds:datastoreItem>
</file>

<file path=customXml/itemProps3.xml><?xml version="1.0" encoding="utf-8"?>
<ds:datastoreItem xmlns:ds="http://schemas.openxmlformats.org/officeDocument/2006/customXml" ds:itemID="{F6AC1B3D-4268-4BFD-B469-5782589ADF3F}">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b8e82db-7cea-4b2f-90ac-65556c6d4660"/>
    <ds:schemaRef ds:uri="19a0660c-5140-457b-8ef5-12ab442ac4e4"/>
  </ds:schemaRefs>
</ds:datastoreItem>
</file>

<file path=customXml/itemProps4.xml><?xml version="1.0" encoding="utf-8"?>
<ds:datastoreItem xmlns:ds="http://schemas.openxmlformats.org/officeDocument/2006/customXml" ds:itemID="{FE697DC4-F01A-4399-8508-C578AE3F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12588</Words>
  <Characters>71754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Sanjukta Brahma</dc:creator>
  <cp:lastModifiedBy>Ahmad, Sardar</cp:lastModifiedBy>
  <cp:revision>2</cp:revision>
  <cp:lastPrinted>2022-02-05T13:42:00Z</cp:lastPrinted>
  <dcterms:created xsi:type="dcterms:W3CDTF">2023-01-13T14:44:00Z</dcterms:created>
  <dcterms:modified xsi:type="dcterms:W3CDTF">2023-01-13T14:44:00Z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0x010100EA6EB1AE7A585E4B8806820E61B50AB3</vt:lpwstr>
  </property>
</Properties>
</file>