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049"/>
        <w:gridCol w:w="118"/>
        <w:gridCol w:w="133"/>
      </w:tblGrid>
      <w:tr w:rsidR="00565118" w:rsidRPr="00565118" w14:paraId="24A77272" w14:textId="77777777" w:rsidTr="00565118">
        <w:trPr>
          <w:tblCellSpacing w:w="15" w:type="dxa"/>
        </w:trPr>
        <w:tc>
          <w:tcPr>
            <w:tcW w:w="0" w:type="auto"/>
            <w:shd w:val="clear" w:color="auto" w:fill="FFFFFF"/>
            <w:vAlign w:val="center"/>
            <w:hideMark/>
          </w:tcPr>
          <w:p w14:paraId="4B3BFD8A"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b/>
                <w:bCs/>
                <w:color w:val="000000"/>
                <w:lang w:val="en-US"/>
              </w:rPr>
              <w:t>Submitting Author:</w:t>
            </w:r>
            <w:r w:rsidRPr="00565118">
              <w:rPr>
                <w:rFonts w:ascii="Open Sans" w:eastAsia="Times New Roman" w:hAnsi="Open Sans" w:cs="Open Sans"/>
                <w:color w:val="000000"/>
                <w:lang w:val="en-US"/>
              </w:rPr>
              <w:br/>
              <w:t>Dr Gabriella Melis</w:t>
            </w:r>
            <w:r w:rsidRPr="00565118">
              <w:rPr>
                <w:rFonts w:ascii="Open Sans" w:eastAsia="Times New Roman" w:hAnsi="Open Sans" w:cs="Open Sans"/>
                <w:color w:val="000000"/>
                <w:lang w:val="en-US"/>
              </w:rPr>
              <w:br/>
            </w:r>
            <w:r w:rsidRPr="00565118">
              <w:rPr>
                <w:rFonts w:ascii="Open Sans" w:eastAsia="Times New Roman" w:hAnsi="Open Sans" w:cs="Open Sans"/>
                <w:color w:val="000000"/>
                <w:lang w:val="en-US"/>
              </w:rPr>
              <w:br/>
            </w:r>
            <w:r w:rsidRPr="00565118">
              <w:rPr>
                <w:rFonts w:ascii="Open Sans" w:eastAsia="Times New Roman" w:hAnsi="Open Sans" w:cs="Open Sans"/>
                <w:b/>
                <w:bCs/>
                <w:color w:val="000000"/>
                <w:lang w:val="en-US"/>
              </w:rPr>
              <w:t>Email Address:</w:t>
            </w:r>
            <w:r w:rsidRPr="00565118">
              <w:rPr>
                <w:rFonts w:ascii="Open Sans" w:eastAsia="Times New Roman" w:hAnsi="Open Sans" w:cs="Open Sans"/>
                <w:color w:val="000000"/>
                <w:lang w:val="en-US"/>
              </w:rPr>
              <w:br/>
              <w:t>g.melis@liverpool.ac.uk</w:t>
            </w:r>
            <w:r w:rsidRPr="00565118">
              <w:rPr>
                <w:rFonts w:ascii="Open Sans" w:eastAsia="Times New Roman" w:hAnsi="Open Sans" w:cs="Open Sans"/>
                <w:color w:val="000000"/>
                <w:lang w:val="en-US"/>
              </w:rPr>
              <w:br/>
            </w:r>
            <w:r w:rsidRPr="00565118">
              <w:rPr>
                <w:rFonts w:ascii="Open Sans" w:eastAsia="Times New Roman" w:hAnsi="Open Sans" w:cs="Open Sans"/>
                <w:color w:val="000000"/>
                <w:lang w:val="en-US"/>
              </w:rPr>
              <w:br/>
            </w:r>
            <w:r w:rsidRPr="00565118">
              <w:rPr>
                <w:rFonts w:ascii="Open Sans" w:eastAsia="Times New Roman" w:hAnsi="Open Sans" w:cs="Open Sans"/>
                <w:b/>
                <w:bCs/>
                <w:color w:val="000000"/>
                <w:lang w:val="en-US"/>
              </w:rPr>
              <w:t>Authors:</w:t>
            </w:r>
            <w:r w:rsidRPr="00565118">
              <w:rPr>
                <w:rFonts w:ascii="Open Sans" w:eastAsia="Times New Roman" w:hAnsi="Open Sans" w:cs="Open Sans"/>
                <w:color w:val="000000"/>
                <w:lang w:val="en-US"/>
              </w:rPr>
              <w:br/>
              <w:t>Dr Gabriella Melis*</w:t>
            </w:r>
            <w:r w:rsidRPr="00565118">
              <w:rPr>
                <w:rFonts w:ascii="Open Sans" w:eastAsia="Times New Roman" w:hAnsi="Open Sans" w:cs="Open Sans"/>
                <w:color w:val="000000"/>
                <w:vertAlign w:val="superscript"/>
                <w:lang w:val="en-US"/>
              </w:rPr>
              <w:t>1</w:t>
            </w:r>
            <w:r w:rsidRPr="00565118">
              <w:rPr>
                <w:rFonts w:ascii="Open Sans" w:eastAsia="Times New Roman" w:hAnsi="Open Sans" w:cs="Open Sans"/>
                <w:color w:val="000000"/>
                <w:lang w:val="en-US"/>
              </w:rPr>
              <w:t>, Dr Stuart Bedston</w:t>
            </w:r>
            <w:r w:rsidRPr="00565118">
              <w:rPr>
                <w:rFonts w:ascii="Open Sans" w:eastAsia="Times New Roman" w:hAnsi="Open Sans" w:cs="Open Sans"/>
                <w:color w:val="000000"/>
                <w:vertAlign w:val="superscript"/>
                <w:lang w:val="en-US"/>
              </w:rPr>
              <w:t>2</w:t>
            </w:r>
            <w:r w:rsidRPr="00565118">
              <w:rPr>
                <w:rFonts w:ascii="Open Sans" w:eastAsia="Times New Roman" w:hAnsi="Open Sans" w:cs="Open Sans"/>
                <w:color w:val="000000"/>
                <w:lang w:val="en-US"/>
              </w:rPr>
              <w:t>, Dr Daniela Schlüter</w:t>
            </w:r>
            <w:r w:rsidRPr="00565118">
              <w:rPr>
                <w:rFonts w:ascii="Open Sans" w:eastAsia="Times New Roman" w:hAnsi="Open Sans" w:cs="Open Sans"/>
                <w:color w:val="000000"/>
                <w:vertAlign w:val="superscript"/>
                <w:lang w:val="en-US"/>
              </w:rPr>
              <w:t>1</w:t>
            </w:r>
            <w:r w:rsidRPr="00565118">
              <w:rPr>
                <w:rFonts w:ascii="Open Sans" w:eastAsia="Times New Roman" w:hAnsi="Open Sans" w:cs="Open Sans"/>
                <w:color w:val="000000"/>
                <w:lang w:val="en-US"/>
              </w:rPr>
              <w:t>, Prof David Taylor-Robinson</w:t>
            </w:r>
            <w:r w:rsidRPr="00565118">
              <w:rPr>
                <w:rFonts w:ascii="Open Sans" w:eastAsia="Times New Roman" w:hAnsi="Open Sans" w:cs="Open Sans"/>
                <w:color w:val="000000"/>
                <w:vertAlign w:val="superscript"/>
                <w:lang w:val="en-US"/>
              </w:rPr>
              <w:t>1</w:t>
            </w:r>
            <w:r w:rsidRPr="00565118">
              <w:rPr>
                <w:rFonts w:ascii="Open Sans" w:eastAsia="Times New Roman" w:hAnsi="Open Sans" w:cs="Open Sans"/>
                <w:color w:val="000000"/>
                <w:lang w:val="en-US"/>
              </w:rPr>
              <w:t>, Dr Ashley Akbari</w:t>
            </w:r>
            <w:r w:rsidRPr="00565118">
              <w:rPr>
                <w:rFonts w:ascii="Open Sans" w:eastAsia="Times New Roman" w:hAnsi="Open Sans" w:cs="Open Sans"/>
                <w:color w:val="000000"/>
                <w:vertAlign w:val="superscript"/>
                <w:lang w:val="en-US"/>
              </w:rPr>
              <w:t>2</w:t>
            </w:r>
            <w:r w:rsidRPr="00565118">
              <w:rPr>
                <w:rFonts w:ascii="Open Sans" w:eastAsia="Times New Roman" w:hAnsi="Open Sans" w:cs="Open Sans"/>
                <w:color w:val="000000"/>
                <w:lang w:val="en-US"/>
              </w:rPr>
              <w:t>, Dr Emily Lowthian</w:t>
            </w:r>
            <w:r w:rsidRPr="00565118">
              <w:rPr>
                <w:rFonts w:ascii="Open Sans" w:eastAsia="Times New Roman" w:hAnsi="Open Sans" w:cs="Open Sans"/>
                <w:color w:val="000000"/>
                <w:vertAlign w:val="superscript"/>
                <w:lang w:val="en-US"/>
              </w:rPr>
              <w:t>2</w:t>
            </w:r>
            <w:r w:rsidRPr="00565118">
              <w:rPr>
                <w:rFonts w:ascii="Open Sans" w:eastAsia="Times New Roman" w:hAnsi="Open Sans" w:cs="Open Sans"/>
                <w:color w:val="000000"/>
                <w:lang w:val="en-US"/>
              </w:rPr>
              <w:t xml:space="preserve">, </w:t>
            </w:r>
            <w:proofErr w:type="spellStart"/>
            <w:r w:rsidRPr="00565118">
              <w:rPr>
                <w:rFonts w:ascii="Open Sans" w:eastAsia="Times New Roman" w:hAnsi="Open Sans" w:cs="Open Sans"/>
                <w:color w:val="000000"/>
                <w:lang w:val="en-US"/>
              </w:rPr>
              <w:t>Ms</w:t>
            </w:r>
            <w:proofErr w:type="spellEnd"/>
            <w:r w:rsidRPr="00565118">
              <w:rPr>
                <w:rFonts w:ascii="Open Sans" w:eastAsia="Times New Roman" w:hAnsi="Open Sans" w:cs="Open Sans"/>
                <w:color w:val="000000"/>
                <w:lang w:val="en-US"/>
              </w:rPr>
              <w:t xml:space="preserve"> Davara Bennett</w:t>
            </w:r>
            <w:r w:rsidRPr="00565118">
              <w:rPr>
                <w:rFonts w:ascii="Open Sans" w:eastAsia="Times New Roman" w:hAnsi="Open Sans" w:cs="Open Sans"/>
                <w:color w:val="000000"/>
                <w:vertAlign w:val="superscript"/>
                <w:lang w:val="en-US"/>
              </w:rPr>
              <w:t>1</w:t>
            </w:r>
            <w:r w:rsidRPr="00565118">
              <w:rPr>
                <w:rFonts w:ascii="Open Sans" w:eastAsia="Times New Roman" w:hAnsi="Open Sans" w:cs="Open Sans"/>
                <w:color w:val="000000"/>
                <w:lang w:val="en-US"/>
              </w:rPr>
              <w:br/>
            </w:r>
            <w:r w:rsidRPr="00565118">
              <w:rPr>
                <w:rFonts w:ascii="Open Sans" w:eastAsia="Times New Roman" w:hAnsi="Open Sans" w:cs="Open Sans"/>
                <w:color w:val="000000"/>
                <w:lang w:val="en-US"/>
              </w:rPr>
              <w:br/>
            </w:r>
            <w:r w:rsidRPr="00565118">
              <w:rPr>
                <w:rFonts w:ascii="Open Sans" w:eastAsia="Times New Roman" w:hAnsi="Open Sans" w:cs="Open Sans"/>
                <w:b/>
                <w:bCs/>
                <w:color w:val="000000"/>
                <w:lang w:val="en-US"/>
              </w:rPr>
              <w:t>Affiliations:</w:t>
            </w:r>
            <w:r w:rsidRPr="00565118">
              <w:rPr>
                <w:rFonts w:ascii="Open Sans" w:eastAsia="Times New Roman" w:hAnsi="Open Sans" w:cs="Open Sans"/>
                <w:color w:val="000000"/>
                <w:lang w:val="en-US"/>
              </w:rPr>
              <w:br/>
            </w:r>
            <w:r w:rsidRPr="00565118">
              <w:rPr>
                <w:rFonts w:ascii="Open Sans" w:eastAsia="Times New Roman" w:hAnsi="Open Sans" w:cs="Open Sans"/>
                <w:color w:val="000000"/>
                <w:vertAlign w:val="superscript"/>
                <w:lang w:val="en-US"/>
              </w:rPr>
              <w:t>1</w:t>
            </w:r>
            <w:r w:rsidRPr="00565118">
              <w:rPr>
                <w:rFonts w:ascii="Open Sans" w:eastAsia="Times New Roman" w:hAnsi="Open Sans" w:cs="Open Sans"/>
                <w:color w:val="000000"/>
                <w:lang w:val="en-US"/>
              </w:rPr>
              <w:t>Department of Public Health, Policy and Systems, University of Liverpool, Liverpool, UK,</w:t>
            </w:r>
            <w:r w:rsidRPr="00565118">
              <w:rPr>
                <w:rFonts w:ascii="Open Sans" w:eastAsia="Times New Roman" w:hAnsi="Open Sans" w:cs="Open Sans"/>
                <w:color w:val="000000"/>
                <w:vertAlign w:val="superscript"/>
                <w:lang w:val="en-US"/>
              </w:rPr>
              <w:t>2</w:t>
            </w:r>
            <w:r w:rsidRPr="00565118">
              <w:rPr>
                <w:rFonts w:ascii="Open Sans" w:eastAsia="Times New Roman" w:hAnsi="Open Sans" w:cs="Open Sans"/>
                <w:color w:val="000000"/>
                <w:lang w:val="en-US"/>
              </w:rPr>
              <w:t>Population Data Science, Swansea University Medical School, Swansea University, Swansea, UK  </w:t>
            </w:r>
          </w:p>
        </w:tc>
        <w:tc>
          <w:tcPr>
            <w:tcW w:w="0" w:type="auto"/>
            <w:shd w:val="clear" w:color="auto" w:fill="FFFFFF"/>
            <w:vAlign w:val="center"/>
            <w:hideMark/>
          </w:tcPr>
          <w:p w14:paraId="577A7877"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color w:val="000000"/>
                <w:lang w:val="en-US"/>
              </w:rPr>
              <w:t> </w:t>
            </w:r>
          </w:p>
        </w:tc>
        <w:tc>
          <w:tcPr>
            <w:tcW w:w="0" w:type="auto"/>
            <w:shd w:val="clear" w:color="auto" w:fill="FFFFFF"/>
            <w:vAlign w:val="center"/>
            <w:hideMark/>
          </w:tcPr>
          <w:p w14:paraId="106C4533"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color w:val="000000"/>
                <w:lang w:val="en-US"/>
              </w:rPr>
              <w:t> </w:t>
            </w:r>
          </w:p>
        </w:tc>
      </w:tr>
      <w:tr w:rsidR="00565118" w:rsidRPr="00565118" w14:paraId="640A7001" w14:textId="77777777" w:rsidTr="00565118">
        <w:trPr>
          <w:tblCellSpacing w:w="15" w:type="dxa"/>
        </w:trPr>
        <w:tc>
          <w:tcPr>
            <w:tcW w:w="0" w:type="auto"/>
            <w:shd w:val="clear" w:color="auto" w:fill="FFFFFF"/>
            <w:vAlign w:val="center"/>
            <w:hideMark/>
          </w:tcPr>
          <w:p w14:paraId="46DE4CBD"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color w:val="000000"/>
                <w:lang w:val="en-US"/>
              </w:rPr>
              <w:t> </w:t>
            </w:r>
          </w:p>
        </w:tc>
        <w:tc>
          <w:tcPr>
            <w:tcW w:w="0" w:type="auto"/>
            <w:shd w:val="clear" w:color="auto" w:fill="FFFFFF"/>
            <w:vAlign w:val="center"/>
            <w:hideMark/>
          </w:tcPr>
          <w:p w14:paraId="5932D9E2"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color w:val="000000"/>
                <w:lang w:val="en-US"/>
              </w:rPr>
              <w:t> </w:t>
            </w:r>
          </w:p>
        </w:tc>
        <w:tc>
          <w:tcPr>
            <w:tcW w:w="0" w:type="auto"/>
            <w:shd w:val="clear" w:color="auto" w:fill="FFFFFF"/>
            <w:vAlign w:val="center"/>
            <w:hideMark/>
          </w:tcPr>
          <w:p w14:paraId="0EDD8A2C"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color w:val="000000"/>
                <w:lang w:val="en-US"/>
              </w:rPr>
              <w:t> </w:t>
            </w:r>
          </w:p>
        </w:tc>
      </w:tr>
      <w:tr w:rsidR="00565118" w:rsidRPr="00565118" w14:paraId="5A01A073" w14:textId="77777777" w:rsidTr="00565118">
        <w:trPr>
          <w:tblCellSpacing w:w="15" w:type="dxa"/>
        </w:trPr>
        <w:tc>
          <w:tcPr>
            <w:tcW w:w="0" w:type="auto"/>
            <w:shd w:val="clear" w:color="auto" w:fill="FFFFFF"/>
            <w:vAlign w:val="center"/>
            <w:hideMark/>
          </w:tcPr>
          <w:p w14:paraId="7F77D523"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b/>
                <w:bCs/>
                <w:color w:val="000000"/>
                <w:lang w:val="en-US"/>
              </w:rPr>
              <w:t>Abstract Title</w:t>
            </w:r>
          </w:p>
        </w:tc>
        <w:tc>
          <w:tcPr>
            <w:tcW w:w="0" w:type="auto"/>
            <w:shd w:val="clear" w:color="auto" w:fill="FFFFFF"/>
            <w:vAlign w:val="center"/>
            <w:hideMark/>
          </w:tcPr>
          <w:p w14:paraId="3338ACCE"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color w:val="000000"/>
                <w:lang w:val="en-US"/>
              </w:rPr>
              <w:t> </w:t>
            </w:r>
          </w:p>
        </w:tc>
        <w:tc>
          <w:tcPr>
            <w:tcW w:w="0" w:type="auto"/>
            <w:shd w:val="clear" w:color="auto" w:fill="FFFFFF"/>
            <w:vAlign w:val="center"/>
            <w:hideMark/>
          </w:tcPr>
          <w:p w14:paraId="204A35E0"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color w:val="000000"/>
                <w:lang w:val="en-US"/>
              </w:rPr>
              <w:t> </w:t>
            </w:r>
          </w:p>
        </w:tc>
      </w:tr>
      <w:tr w:rsidR="00565118" w:rsidRPr="00565118" w14:paraId="01B7F3AC" w14:textId="77777777" w:rsidTr="00565118">
        <w:trPr>
          <w:tblCellSpacing w:w="15" w:type="dxa"/>
        </w:trPr>
        <w:tc>
          <w:tcPr>
            <w:tcW w:w="0" w:type="auto"/>
            <w:shd w:val="clear" w:color="auto" w:fill="FFFFFF"/>
            <w:vAlign w:val="center"/>
            <w:hideMark/>
          </w:tcPr>
          <w:p w14:paraId="0B753FF6" w14:textId="77777777" w:rsidR="00565118" w:rsidRPr="00565118" w:rsidRDefault="00565118" w:rsidP="00565118">
            <w:pPr>
              <w:spacing w:before="100" w:beforeAutospacing="1" w:after="100" w:afterAutospacing="1" w:line="240" w:lineRule="auto"/>
              <w:rPr>
                <w:rFonts w:ascii="Open Sans" w:eastAsia="Times New Roman" w:hAnsi="Open Sans" w:cs="Open Sans"/>
                <w:color w:val="000000"/>
                <w:sz w:val="18"/>
                <w:szCs w:val="18"/>
                <w:lang w:val="en-US"/>
              </w:rPr>
            </w:pPr>
            <w:r w:rsidRPr="00565118">
              <w:rPr>
                <w:rFonts w:ascii="Open Sans" w:eastAsia="Times New Roman" w:hAnsi="Open Sans" w:cs="Open Sans"/>
                <w:b/>
                <w:bCs/>
                <w:color w:val="000000"/>
                <w:sz w:val="18"/>
                <w:szCs w:val="18"/>
                <w:lang w:val="en-US"/>
              </w:rPr>
              <w:t>Perinatal and early life risk factors for becoming a Looked-After Child. A population-based cohort study using routinely collected data in Wales.</w:t>
            </w:r>
          </w:p>
        </w:tc>
        <w:tc>
          <w:tcPr>
            <w:tcW w:w="0" w:type="auto"/>
            <w:shd w:val="clear" w:color="auto" w:fill="FFFFFF"/>
            <w:vAlign w:val="center"/>
            <w:hideMark/>
          </w:tcPr>
          <w:p w14:paraId="2C236E3A"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color w:val="000000"/>
                <w:lang w:val="en-US"/>
              </w:rPr>
              <w:t> </w:t>
            </w:r>
          </w:p>
        </w:tc>
        <w:tc>
          <w:tcPr>
            <w:tcW w:w="0" w:type="auto"/>
            <w:shd w:val="clear" w:color="auto" w:fill="FFFFFF"/>
            <w:vAlign w:val="center"/>
            <w:hideMark/>
          </w:tcPr>
          <w:p w14:paraId="664860D7"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color w:val="000000"/>
                <w:lang w:val="en-US"/>
              </w:rPr>
              <w:t> </w:t>
            </w:r>
          </w:p>
        </w:tc>
      </w:tr>
      <w:tr w:rsidR="00565118" w:rsidRPr="00565118" w14:paraId="0CFEA915" w14:textId="77777777" w:rsidTr="00565118">
        <w:trPr>
          <w:tblCellSpacing w:w="15" w:type="dxa"/>
        </w:trPr>
        <w:tc>
          <w:tcPr>
            <w:tcW w:w="0" w:type="auto"/>
            <w:shd w:val="clear" w:color="auto" w:fill="FFFFFF"/>
            <w:vAlign w:val="center"/>
            <w:hideMark/>
          </w:tcPr>
          <w:p w14:paraId="090BBF9D"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b/>
                <w:bCs/>
                <w:color w:val="000000"/>
                <w:lang w:val="en-US"/>
              </w:rPr>
              <w:t>Abstract Text</w:t>
            </w:r>
          </w:p>
        </w:tc>
        <w:tc>
          <w:tcPr>
            <w:tcW w:w="0" w:type="auto"/>
            <w:shd w:val="clear" w:color="auto" w:fill="FFFFFF"/>
            <w:vAlign w:val="center"/>
            <w:hideMark/>
          </w:tcPr>
          <w:p w14:paraId="22C2B15F"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color w:val="000000"/>
                <w:lang w:val="en-US"/>
              </w:rPr>
              <w:t> </w:t>
            </w:r>
          </w:p>
        </w:tc>
        <w:tc>
          <w:tcPr>
            <w:tcW w:w="0" w:type="auto"/>
            <w:shd w:val="clear" w:color="auto" w:fill="FFFFFF"/>
            <w:vAlign w:val="center"/>
            <w:hideMark/>
          </w:tcPr>
          <w:p w14:paraId="221B50FC" w14:textId="77777777" w:rsidR="00565118" w:rsidRPr="00565118" w:rsidRDefault="00565118" w:rsidP="00565118">
            <w:pPr>
              <w:spacing w:after="0" w:line="240" w:lineRule="auto"/>
              <w:rPr>
                <w:rFonts w:ascii="Open Sans" w:eastAsia="Times New Roman" w:hAnsi="Open Sans" w:cs="Open Sans"/>
                <w:color w:val="000000"/>
                <w:lang w:val="en-US"/>
              </w:rPr>
            </w:pPr>
            <w:r w:rsidRPr="00565118">
              <w:rPr>
                <w:rFonts w:ascii="Open Sans" w:eastAsia="Times New Roman" w:hAnsi="Open Sans" w:cs="Open Sans"/>
                <w:color w:val="000000"/>
                <w:lang w:val="en-US"/>
              </w:rPr>
              <w:t> </w:t>
            </w:r>
          </w:p>
        </w:tc>
      </w:tr>
      <w:tr w:rsidR="00565118" w:rsidRPr="00565118" w14:paraId="4226BD06" w14:textId="77777777" w:rsidTr="00565118">
        <w:trPr>
          <w:tblCellSpacing w:w="15" w:type="dxa"/>
        </w:trPr>
        <w:tc>
          <w:tcPr>
            <w:tcW w:w="0" w:type="auto"/>
            <w:shd w:val="clear" w:color="auto" w:fill="FFFFFF"/>
            <w:vAlign w:val="center"/>
            <w:hideMark/>
          </w:tcPr>
          <w:p w14:paraId="20A93813" w14:textId="77777777" w:rsidR="00565118" w:rsidRPr="00565118" w:rsidRDefault="00565118" w:rsidP="00565118">
            <w:pPr>
              <w:spacing w:before="100" w:beforeAutospacing="1" w:after="100" w:afterAutospacing="1" w:line="240" w:lineRule="auto"/>
              <w:rPr>
                <w:rFonts w:ascii="Open Sans" w:eastAsia="Times New Roman" w:hAnsi="Open Sans" w:cs="Open Sans"/>
                <w:color w:val="000000"/>
                <w:sz w:val="18"/>
                <w:szCs w:val="18"/>
                <w:lang w:val="en-US"/>
              </w:rPr>
            </w:pPr>
            <w:r w:rsidRPr="00565118">
              <w:rPr>
                <w:rFonts w:ascii="Open Sans" w:eastAsia="Times New Roman" w:hAnsi="Open Sans" w:cs="Open Sans"/>
                <w:color w:val="000000"/>
                <w:sz w:val="18"/>
                <w:szCs w:val="18"/>
                <w:lang w:val="en-US"/>
              </w:rPr>
              <w:t>Background</w:t>
            </w:r>
          </w:p>
          <w:p w14:paraId="16D8FDE5" w14:textId="77777777" w:rsidR="00565118" w:rsidRPr="00565118" w:rsidRDefault="00565118" w:rsidP="00565118">
            <w:pPr>
              <w:spacing w:before="100" w:beforeAutospacing="1" w:after="100" w:afterAutospacing="1" w:line="240" w:lineRule="auto"/>
              <w:rPr>
                <w:rFonts w:ascii="Open Sans" w:eastAsia="Times New Roman" w:hAnsi="Open Sans" w:cs="Open Sans"/>
                <w:color w:val="000000"/>
                <w:sz w:val="18"/>
                <w:szCs w:val="18"/>
                <w:lang w:val="en-US"/>
              </w:rPr>
            </w:pPr>
            <w:r w:rsidRPr="00565118">
              <w:rPr>
                <w:rFonts w:ascii="Open Sans" w:eastAsia="Times New Roman" w:hAnsi="Open Sans" w:cs="Open Sans"/>
                <w:color w:val="000000"/>
                <w:sz w:val="18"/>
                <w:szCs w:val="18"/>
                <w:lang w:val="en-US"/>
              </w:rPr>
              <w:t>The number of Looked-After Children (LAC) in local authority care in the UK has risen dramatically over recent years, with stark inequalities. These children are at higher risk to experience poor health and educational outcomes. Few studies, none in the UK, have used registry-based data at an individual level to assess how socioeconomic disadvantage and perinatal exposures compound in the LAC population. We therefore assessed how socio-demographic factors, maternal and child health are associated with being looked after in Wales.</w:t>
            </w:r>
          </w:p>
          <w:p w14:paraId="1D90F2E1" w14:textId="77777777" w:rsidR="00565118" w:rsidRPr="00565118" w:rsidRDefault="00565118" w:rsidP="00565118">
            <w:pPr>
              <w:spacing w:before="100" w:beforeAutospacing="1" w:after="100" w:afterAutospacing="1" w:line="240" w:lineRule="auto"/>
              <w:rPr>
                <w:rFonts w:ascii="Open Sans" w:eastAsia="Times New Roman" w:hAnsi="Open Sans" w:cs="Open Sans"/>
                <w:color w:val="000000"/>
                <w:sz w:val="18"/>
                <w:szCs w:val="18"/>
                <w:lang w:val="en-US"/>
              </w:rPr>
            </w:pPr>
            <w:r w:rsidRPr="00565118">
              <w:rPr>
                <w:rFonts w:ascii="Open Sans" w:eastAsia="Times New Roman" w:hAnsi="Open Sans" w:cs="Open Sans"/>
                <w:color w:val="000000"/>
                <w:sz w:val="18"/>
                <w:szCs w:val="18"/>
                <w:lang w:val="en-US"/>
              </w:rPr>
              <w:t>Methods</w:t>
            </w:r>
          </w:p>
          <w:p w14:paraId="5CC251CE" w14:textId="77777777" w:rsidR="00565118" w:rsidRPr="00565118" w:rsidRDefault="00565118" w:rsidP="00565118">
            <w:pPr>
              <w:spacing w:before="100" w:beforeAutospacing="1" w:after="100" w:afterAutospacing="1" w:line="240" w:lineRule="auto"/>
              <w:rPr>
                <w:rFonts w:ascii="Open Sans" w:eastAsia="Times New Roman" w:hAnsi="Open Sans" w:cs="Open Sans"/>
                <w:color w:val="000000"/>
                <w:sz w:val="18"/>
                <w:szCs w:val="18"/>
                <w:lang w:val="en-US"/>
              </w:rPr>
            </w:pPr>
            <w:r w:rsidRPr="00565118">
              <w:rPr>
                <w:rFonts w:ascii="Open Sans" w:eastAsia="Times New Roman" w:hAnsi="Open Sans" w:cs="Open Sans"/>
                <w:color w:val="000000"/>
                <w:sz w:val="18"/>
                <w:szCs w:val="18"/>
                <w:lang w:val="en-US"/>
              </w:rPr>
              <w:t xml:space="preserve">We conducted a national linkage study in Wales using the Secure </w:t>
            </w:r>
            <w:proofErr w:type="spellStart"/>
            <w:r w:rsidRPr="00565118">
              <w:rPr>
                <w:rFonts w:ascii="Open Sans" w:eastAsia="Times New Roman" w:hAnsi="Open Sans" w:cs="Open Sans"/>
                <w:color w:val="000000"/>
                <w:sz w:val="18"/>
                <w:szCs w:val="18"/>
                <w:lang w:val="en-US"/>
              </w:rPr>
              <w:t>Anonymised</w:t>
            </w:r>
            <w:proofErr w:type="spellEnd"/>
            <w:r w:rsidRPr="00565118">
              <w:rPr>
                <w:rFonts w:ascii="Open Sans" w:eastAsia="Times New Roman" w:hAnsi="Open Sans" w:cs="Open Sans"/>
                <w:color w:val="000000"/>
                <w:sz w:val="18"/>
                <w:szCs w:val="18"/>
                <w:lang w:val="en-US"/>
              </w:rPr>
              <w:t xml:space="preserve"> Information Linkage (SAIL) Databank, which contains </w:t>
            </w:r>
            <w:proofErr w:type="spellStart"/>
            <w:r w:rsidRPr="00565118">
              <w:rPr>
                <w:rFonts w:ascii="Open Sans" w:eastAsia="Times New Roman" w:hAnsi="Open Sans" w:cs="Open Sans"/>
                <w:color w:val="000000"/>
                <w:sz w:val="18"/>
                <w:szCs w:val="18"/>
                <w:lang w:val="en-US"/>
              </w:rPr>
              <w:t>anonymised</w:t>
            </w:r>
            <w:proofErr w:type="spellEnd"/>
            <w:r w:rsidRPr="00565118">
              <w:rPr>
                <w:rFonts w:ascii="Open Sans" w:eastAsia="Times New Roman" w:hAnsi="Open Sans" w:cs="Open Sans"/>
                <w:color w:val="000000"/>
                <w:sz w:val="18"/>
                <w:szCs w:val="18"/>
                <w:lang w:val="en-US"/>
              </w:rPr>
              <w:t xml:space="preserve"> individual-level population-scale data sources from electronic health records and administrative data, including novel data on LAC. We built an electronic birth cohort of 276,505 children born in Wales between 2000-2018. Our outcome was </w:t>
            </w:r>
            <w:r w:rsidRPr="00565118">
              <w:rPr>
                <w:rFonts w:ascii="Open Sans" w:eastAsia="Times New Roman" w:hAnsi="Open Sans" w:cs="Open Sans"/>
                <w:i/>
                <w:iCs/>
                <w:color w:val="000000"/>
                <w:sz w:val="18"/>
                <w:szCs w:val="18"/>
                <w:lang w:val="en-US"/>
              </w:rPr>
              <w:t>being a looked-after child between 2016-2018</w:t>
            </w:r>
            <w:r w:rsidRPr="00565118">
              <w:rPr>
                <w:rFonts w:ascii="Open Sans" w:eastAsia="Times New Roman" w:hAnsi="Open Sans" w:cs="Open Sans"/>
                <w:color w:val="000000"/>
                <w:sz w:val="18"/>
                <w:szCs w:val="18"/>
                <w:lang w:val="en-US"/>
              </w:rPr>
              <w:t>. Exposures of interest were demographic factors at birth, including the Welsh Index of Multiple Deprivation (WIMD), child health at birth, and perinatal indicators of maternal health, including mental health and drug and alcohol use captured in the period 2 years prior to birth. We used logistic regression to assess the odds of being looked-after for the characteristics of interest. As a sensitivity analysis, we used the Townsend Deprivation Index in replacement of WIMD, validating our results.</w:t>
            </w:r>
          </w:p>
          <w:p w14:paraId="25C9268A" w14:textId="77777777" w:rsidR="00565118" w:rsidRPr="00565118" w:rsidRDefault="00565118" w:rsidP="00565118">
            <w:pPr>
              <w:spacing w:before="100" w:beforeAutospacing="1" w:after="100" w:afterAutospacing="1" w:line="240" w:lineRule="auto"/>
              <w:rPr>
                <w:rFonts w:ascii="Open Sans" w:eastAsia="Times New Roman" w:hAnsi="Open Sans" w:cs="Open Sans"/>
                <w:color w:val="000000"/>
                <w:sz w:val="18"/>
                <w:szCs w:val="18"/>
                <w:lang w:val="en-US"/>
              </w:rPr>
            </w:pPr>
            <w:r w:rsidRPr="00565118">
              <w:rPr>
                <w:rFonts w:ascii="Open Sans" w:eastAsia="Times New Roman" w:hAnsi="Open Sans" w:cs="Open Sans"/>
                <w:color w:val="000000"/>
                <w:sz w:val="18"/>
                <w:szCs w:val="18"/>
                <w:lang w:val="en-US"/>
              </w:rPr>
              <w:t>Results</w:t>
            </w:r>
          </w:p>
          <w:p w14:paraId="30D83E12" w14:textId="77777777" w:rsidR="00565118" w:rsidRPr="00565118" w:rsidRDefault="00565118" w:rsidP="00565118">
            <w:pPr>
              <w:spacing w:before="100" w:beforeAutospacing="1" w:after="100" w:afterAutospacing="1" w:line="240" w:lineRule="auto"/>
              <w:rPr>
                <w:rFonts w:ascii="Open Sans" w:eastAsia="Times New Roman" w:hAnsi="Open Sans" w:cs="Open Sans"/>
                <w:color w:val="000000"/>
                <w:sz w:val="18"/>
                <w:szCs w:val="18"/>
                <w:lang w:val="en-US"/>
              </w:rPr>
            </w:pPr>
            <w:r w:rsidRPr="00565118">
              <w:rPr>
                <w:rFonts w:ascii="Open Sans" w:eastAsia="Times New Roman" w:hAnsi="Open Sans" w:cs="Open Sans"/>
                <w:color w:val="000000"/>
                <w:sz w:val="18"/>
                <w:szCs w:val="18"/>
                <w:lang w:val="en-US"/>
              </w:rPr>
              <w:t xml:space="preserve">Between 2016-2018, 3,074 children in our population were LAC, with a steep social gradient: 52% were born to mothers from the most deprived WIMD quintile, compared to 4% from the least deprived (OR 4.5; 95%CI 3.7-5.5). Odds of being looked after were increased for children of mothers who </w:t>
            </w:r>
            <w:proofErr w:type="gramStart"/>
            <w:r w:rsidRPr="00565118">
              <w:rPr>
                <w:rFonts w:ascii="Open Sans" w:eastAsia="Times New Roman" w:hAnsi="Open Sans" w:cs="Open Sans"/>
                <w:color w:val="000000"/>
                <w:sz w:val="18"/>
                <w:szCs w:val="18"/>
                <w:lang w:val="en-US"/>
              </w:rPr>
              <w:t>have:</w:t>
            </w:r>
            <w:proofErr w:type="gramEnd"/>
            <w:r w:rsidRPr="00565118">
              <w:rPr>
                <w:rFonts w:ascii="Open Sans" w:eastAsia="Times New Roman" w:hAnsi="Open Sans" w:cs="Open Sans"/>
                <w:color w:val="000000"/>
                <w:sz w:val="18"/>
                <w:szCs w:val="18"/>
                <w:lang w:val="en-US"/>
              </w:rPr>
              <w:t xml:space="preserve"> been treated for common mental health problems (OR 1.7; 95%CI 1.5-1.8) and/or depression (OR 1.25; 95%CI 1.09-1.42); a diagnosed learning disability (OR 4.22; 95%CI 3.44-5.17); reported problematic drinking (OR 2.43; 95%CI 1.77-3.34), smoking (OR 1.67; 95%CI 1.54-1.80) and substance misuse (OR 5.79; 95%CI 4.89-6.85). Odds of being looked after were increased for children with developmental delay (OR 2.99, 95%CI 2.73-3.28) and congenital anomalies (OR 1.74, 95%CI 1.24-2.45).</w:t>
            </w:r>
          </w:p>
          <w:p w14:paraId="72D20C62" w14:textId="77777777" w:rsidR="00565118" w:rsidRPr="00565118" w:rsidRDefault="00565118" w:rsidP="00565118">
            <w:pPr>
              <w:spacing w:before="100" w:beforeAutospacing="1" w:after="100" w:afterAutospacing="1" w:line="240" w:lineRule="auto"/>
              <w:rPr>
                <w:rFonts w:ascii="Open Sans" w:eastAsia="Times New Roman" w:hAnsi="Open Sans" w:cs="Open Sans"/>
                <w:color w:val="000000"/>
                <w:sz w:val="18"/>
                <w:szCs w:val="18"/>
                <w:lang w:val="en-US"/>
              </w:rPr>
            </w:pPr>
            <w:r w:rsidRPr="00565118">
              <w:rPr>
                <w:rFonts w:ascii="Open Sans" w:eastAsia="Times New Roman" w:hAnsi="Open Sans" w:cs="Open Sans"/>
                <w:color w:val="000000"/>
                <w:sz w:val="18"/>
                <w:szCs w:val="18"/>
                <w:lang w:val="en-US"/>
              </w:rPr>
              <w:t>Conclusion</w:t>
            </w:r>
          </w:p>
          <w:p w14:paraId="7F31EF41" w14:textId="77777777" w:rsidR="00565118" w:rsidRPr="00565118" w:rsidRDefault="00565118" w:rsidP="00565118">
            <w:pPr>
              <w:spacing w:before="100" w:beforeAutospacing="1" w:after="100" w:afterAutospacing="1" w:line="240" w:lineRule="auto"/>
              <w:rPr>
                <w:rFonts w:ascii="Open Sans" w:eastAsia="Times New Roman" w:hAnsi="Open Sans" w:cs="Open Sans"/>
                <w:color w:val="000000"/>
                <w:sz w:val="18"/>
                <w:szCs w:val="18"/>
                <w:lang w:val="en-US"/>
              </w:rPr>
            </w:pPr>
            <w:r w:rsidRPr="00565118">
              <w:rPr>
                <w:rFonts w:ascii="Open Sans" w:eastAsia="Times New Roman" w:hAnsi="Open Sans" w:cs="Open Sans"/>
                <w:color w:val="000000"/>
                <w:sz w:val="18"/>
                <w:szCs w:val="18"/>
                <w:lang w:val="en-US"/>
              </w:rPr>
              <w:t>Half of LAC’s mothers in Wales lived in the most deprived quintile of WIMD, with serious risks associated with maternal health. We provide insights into the mechanisms of intergenerational transfer of disadvantage in one of the most vulnerable sections of the child population. Limitations included: LAC status currently only available for 2016-2018 and for children over age 5, and information bias in routinely collected data.  </w:t>
            </w:r>
          </w:p>
        </w:tc>
        <w:tc>
          <w:tcPr>
            <w:tcW w:w="0" w:type="auto"/>
            <w:shd w:val="clear" w:color="auto" w:fill="FFFFFF"/>
            <w:vAlign w:val="center"/>
            <w:hideMark/>
          </w:tcPr>
          <w:p w14:paraId="39B480EE" w14:textId="77777777" w:rsidR="00565118" w:rsidRPr="00565118" w:rsidRDefault="00565118" w:rsidP="00565118">
            <w:pPr>
              <w:spacing w:after="0" w:line="240" w:lineRule="auto"/>
              <w:rPr>
                <w:rFonts w:ascii="Times New Roman" w:eastAsia="Times New Roman" w:hAnsi="Times New Roman" w:cs="Times New Roman"/>
                <w:sz w:val="20"/>
                <w:szCs w:val="20"/>
                <w:lang w:val="en-US"/>
              </w:rPr>
            </w:pPr>
          </w:p>
        </w:tc>
        <w:tc>
          <w:tcPr>
            <w:tcW w:w="0" w:type="auto"/>
            <w:shd w:val="clear" w:color="auto" w:fill="FFFFFF"/>
            <w:vAlign w:val="center"/>
            <w:hideMark/>
          </w:tcPr>
          <w:p w14:paraId="5CC30F17" w14:textId="77777777" w:rsidR="00565118" w:rsidRPr="00565118" w:rsidRDefault="00565118" w:rsidP="00565118">
            <w:pPr>
              <w:spacing w:after="0" w:line="240" w:lineRule="auto"/>
              <w:rPr>
                <w:rFonts w:ascii="Times New Roman" w:eastAsia="Times New Roman" w:hAnsi="Times New Roman" w:cs="Times New Roman"/>
                <w:sz w:val="20"/>
                <w:szCs w:val="20"/>
                <w:lang w:val="en-US"/>
              </w:rPr>
            </w:pPr>
          </w:p>
        </w:tc>
      </w:tr>
    </w:tbl>
    <w:p w14:paraId="21D58A53" w14:textId="77777777" w:rsidR="009117F0" w:rsidRPr="00565118" w:rsidRDefault="009117F0">
      <w:pPr>
        <w:rPr>
          <w:lang w:val="en-US"/>
        </w:rPr>
      </w:pPr>
    </w:p>
    <w:sectPr w:rsidR="009117F0" w:rsidRPr="00565118" w:rsidSect="00A63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18"/>
    <w:rsid w:val="003C3256"/>
    <w:rsid w:val="00565118"/>
    <w:rsid w:val="009117F0"/>
    <w:rsid w:val="00A633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F8D0"/>
  <w15:chartTrackingRefBased/>
  <w15:docId w15:val="{63F50530-55E0-4A41-91E0-33826CD8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7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 Gabriella</dc:creator>
  <cp:keywords/>
  <dc:description/>
  <cp:lastModifiedBy>Melis, Gabriella</cp:lastModifiedBy>
  <cp:revision>1</cp:revision>
  <dcterms:created xsi:type="dcterms:W3CDTF">2022-03-04T18:25:00Z</dcterms:created>
  <dcterms:modified xsi:type="dcterms:W3CDTF">2022-03-04T18:26:00Z</dcterms:modified>
</cp:coreProperties>
</file>