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00B69" w14:textId="5E41F7DF" w:rsidR="002C3B6A" w:rsidRPr="004047AF" w:rsidRDefault="002C3B6A" w:rsidP="002C3B6A">
      <w:pPr>
        <w:pStyle w:val="NormalWeb"/>
        <w:shd w:val="clear" w:color="auto" w:fill="FFFFFF"/>
        <w:spacing w:line="360" w:lineRule="auto"/>
        <w:jc w:val="both"/>
        <w:textAlignment w:val="baseline"/>
        <w:rPr>
          <w:rFonts w:asciiTheme="minorHAnsi" w:hAnsiTheme="minorHAnsi" w:cs="Arial"/>
          <w:b/>
          <w:bCs/>
          <w:sz w:val="22"/>
          <w:szCs w:val="22"/>
        </w:rPr>
      </w:pPr>
      <w:r w:rsidRPr="004047AF">
        <w:rPr>
          <w:rFonts w:asciiTheme="minorHAnsi" w:hAnsiTheme="minorHAnsi" w:cs="Arial"/>
          <w:b/>
          <w:bCs/>
          <w:sz w:val="22"/>
          <w:szCs w:val="22"/>
        </w:rPr>
        <w:t>Title</w:t>
      </w:r>
    </w:p>
    <w:p w14:paraId="7EEBFEEA" w14:textId="2411546B" w:rsidR="008728F7" w:rsidRDefault="008728F7" w:rsidP="008728F7">
      <w:pPr>
        <w:rPr>
          <w:rFonts w:eastAsia="Times New Roman" w:cs="Arial"/>
          <w:lang w:eastAsia="en-GB"/>
        </w:rPr>
      </w:pPr>
      <w:r w:rsidRPr="008728F7">
        <w:rPr>
          <w:rFonts w:eastAsia="Times New Roman" w:cs="Arial"/>
          <w:lang w:eastAsia="en-GB"/>
        </w:rPr>
        <w:t>Typology of how ‘harmful commodity industries’ interact with local governments in England: a critical interpretive synthesis</w:t>
      </w:r>
    </w:p>
    <w:p w14:paraId="50963CEA" w14:textId="11D3A19F" w:rsidR="00662EBC" w:rsidRDefault="00D63171" w:rsidP="00D63171">
      <w:pPr>
        <w:spacing w:line="259" w:lineRule="auto"/>
        <w:rPr>
          <w:rFonts w:cs="Arial"/>
          <w:b/>
        </w:rPr>
      </w:pPr>
      <w:r>
        <w:rPr>
          <w:rFonts w:cs="Arial"/>
          <w:b/>
        </w:rPr>
        <w:t xml:space="preserve">Corresponding </w:t>
      </w:r>
      <w:bookmarkStart w:id="0" w:name="_Hlk100066055"/>
      <w:r>
        <w:rPr>
          <w:rFonts w:cs="Arial"/>
          <w:b/>
        </w:rPr>
        <w:t>author</w:t>
      </w:r>
      <w:bookmarkEnd w:id="0"/>
    </w:p>
    <w:p w14:paraId="755CC958" w14:textId="41F6F85D" w:rsidR="000B01A9" w:rsidRDefault="000B01A9" w:rsidP="000B01A9">
      <w:pPr>
        <w:spacing w:line="259" w:lineRule="auto"/>
        <w:rPr>
          <w:rFonts w:cs="Arial"/>
        </w:rPr>
      </w:pPr>
      <w:r>
        <w:rPr>
          <w:rFonts w:cs="Arial"/>
        </w:rPr>
        <w:t>Dr Sarah McKevitt</w:t>
      </w:r>
      <w:r w:rsidR="008C1A4D">
        <w:rPr>
          <w:rFonts w:cs="Arial"/>
          <w:vertAlign w:val="superscript"/>
        </w:rPr>
        <w:t>1</w:t>
      </w:r>
      <w:r>
        <w:rPr>
          <w:rFonts w:cs="Arial"/>
        </w:rPr>
        <w:t xml:space="preserve"> </w:t>
      </w:r>
    </w:p>
    <w:p w14:paraId="7282A203" w14:textId="35763F1B" w:rsidR="000B01A9" w:rsidRPr="000B01A9" w:rsidRDefault="000B01A9" w:rsidP="000B01A9">
      <w:pPr>
        <w:pStyle w:val="NormalWeb"/>
        <w:shd w:val="clear" w:color="auto" w:fill="FFFFFF"/>
        <w:spacing w:before="0" w:beforeAutospacing="0" w:after="0" w:afterAutospacing="0" w:line="360" w:lineRule="auto"/>
        <w:jc w:val="both"/>
        <w:textAlignment w:val="baseline"/>
        <w:rPr>
          <w:rFonts w:asciiTheme="minorHAnsi" w:hAnsiTheme="minorHAnsi" w:cstheme="minorHAnsi"/>
          <w:sz w:val="20"/>
          <w:szCs w:val="20"/>
        </w:rPr>
      </w:pPr>
      <w:r w:rsidRPr="005320AB">
        <w:rPr>
          <w:rFonts w:asciiTheme="minorHAnsi" w:hAnsiTheme="minorHAnsi" w:cstheme="minorHAnsi"/>
          <w:bCs/>
          <w:sz w:val="22"/>
          <w:szCs w:val="22"/>
        </w:rPr>
        <w:t>s.mckevitt@imperial.ac.uk</w:t>
      </w:r>
    </w:p>
    <w:p w14:paraId="43ACEDBD" w14:textId="6BA25B69" w:rsidR="00FB70B2" w:rsidRDefault="001E772E" w:rsidP="001E772E">
      <w:pPr>
        <w:pStyle w:val="NormalWeb"/>
        <w:shd w:val="clear" w:color="auto" w:fill="FFFFFF"/>
        <w:spacing w:after="0" w:afterAutospacing="0" w:line="360" w:lineRule="auto"/>
        <w:jc w:val="both"/>
        <w:textAlignment w:val="baseline"/>
        <w:rPr>
          <w:rFonts w:asciiTheme="minorHAnsi" w:hAnsiTheme="minorHAnsi" w:cs="Arial"/>
          <w:b/>
          <w:bCs/>
          <w:sz w:val="22"/>
          <w:szCs w:val="22"/>
        </w:rPr>
      </w:pPr>
      <w:r>
        <w:rPr>
          <w:rFonts w:asciiTheme="minorHAnsi" w:hAnsiTheme="minorHAnsi" w:cs="Arial"/>
          <w:b/>
          <w:bCs/>
          <w:sz w:val="22"/>
          <w:szCs w:val="22"/>
        </w:rPr>
        <w:t>A</w:t>
      </w:r>
      <w:r w:rsidRPr="001E772E">
        <w:rPr>
          <w:rFonts w:asciiTheme="minorHAnsi" w:hAnsiTheme="minorHAnsi" w:cs="Arial"/>
          <w:b/>
          <w:bCs/>
          <w:sz w:val="22"/>
          <w:szCs w:val="22"/>
        </w:rPr>
        <w:t>uthor</w:t>
      </w:r>
      <w:r>
        <w:rPr>
          <w:rFonts w:asciiTheme="minorHAnsi" w:hAnsiTheme="minorHAnsi" w:cs="Arial"/>
          <w:b/>
          <w:bCs/>
          <w:sz w:val="22"/>
          <w:szCs w:val="22"/>
        </w:rPr>
        <w:t>s</w:t>
      </w:r>
      <w:r w:rsidR="00DF4A49">
        <w:rPr>
          <w:rFonts w:asciiTheme="minorHAnsi" w:hAnsiTheme="minorHAnsi" w:cs="Arial"/>
          <w:b/>
          <w:bCs/>
          <w:sz w:val="22"/>
          <w:szCs w:val="22"/>
        </w:rPr>
        <w:t xml:space="preserve"> </w:t>
      </w:r>
    </w:p>
    <w:p w14:paraId="3BAB8F45" w14:textId="2968BAD7" w:rsidR="007A741B" w:rsidRDefault="007A741B" w:rsidP="00776274">
      <w:pPr>
        <w:pStyle w:val="NormalWeb"/>
        <w:shd w:val="clear" w:color="auto" w:fill="FFFFFF"/>
        <w:spacing w:before="0" w:beforeAutospacing="0" w:after="0" w:afterAutospacing="0" w:line="360" w:lineRule="auto"/>
        <w:jc w:val="both"/>
        <w:textAlignment w:val="baseline"/>
        <w:rPr>
          <w:rFonts w:asciiTheme="minorHAnsi" w:hAnsiTheme="minorHAnsi" w:cs="Arial"/>
          <w:sz w:val="22"/>
          <w:szCs w:val="22"/>
        </w:rPr>
      </w:pPr>
      <w:r>
        <w:rPr>
          <w:rFonts w:asciiTheme="minorHAnsi" w:hAnsiTheme="minorHAnsi" w:cs="Arial"/>
          <w:sz w:val="22"/>
          <w:szCs w:val="22"/>
        </w:rPr>
        <w:t>Sarah McKevitt</w:t>
      </w:r>
      <w:r w:rsidR="00C16B8C">
        <w:rPr>
          <w:rFonts w:asciiTheme="minorHAnsi" w:hAnsiTheme="minorHAnsi" w:cs="Arial"/>
          <w:sz w:val="22"/>
          <w:szCs w:val="22"/>
          <w:vertAlign w:val="superscript"/>
        </w:rPr>
        <w:t>1</w:t>
      </w:r>
    </w:p>
    <w:p w14:paraId="529D18B9" w14:textId="3A098DD1" w:rsidR="00697A97" w:rsidRPr="006D2C4E" w:rsidRDefault="00697A97" w:rsidP="00697A97">
      <w:pPr>
        <w:pStyle w:val="NormalWeb"/>
        <w:shd w:val="clear" w:color="auto" w:fill="FFFFFF"/>
        <w:spacing w:before="0" w:beforeAutospacing="0" w:after="0" w:afterAutospacing="0" w:line="360" w:lineRule="auto"/>
        <w:jc w:val="both"/>
        <w:textAlignment w:val="baseline"/>
        <w:rPr>
          <w:rFonts w:asciiTheme="minorHAnsi" w:hAnsiTheme="minorHAnsi" w:cs="Arial"/>
          <w:sz w:val="22"/>
          <w:szCs w:val="22"/>
        </w:rPr>
      </w:pPr>
      <w:r w:rsidRPr="006D2C4E">
        <w:rPr>
          <w:rFonts w:asciiTheme="minorHAnsi" w:hAnsiTheme="minorHAnsi" w:cs="Arial"/>
          <w:sz w:val="22"/>
          <w:szCs w:val="22"/>
        </w:rPr>
        <w:t>Martin White</w:t>
      </w:r>
      <w:r w:rsidR="00C16B8C">
        <w:rPr>
          <w:rFonts w:asciiTheme="minorHAnsi" w:hAnsiTheme="minorHAnsi" w:cs="Arial"/>
          <w:sz w:val="22"/>
          <w:szCs w:val="22"/>
          <w:vertAlign w:val="superscript"/>
        </w:rPr>
        <w:t>2</w:t>
      </w:r>
    </w:p>
    <w:p w14:paraId="2E4153C3" w14:textId="578463A7" w:rsidR="00776274" w:rsidRPr="006D2C4E" w:rsidRDefault="00776274" w:rsidP="00776274">
      <w:pPr>
        <w:pStyle w:val="NormalWeb"/>
        <w:shd w:val="clear" w:color="auto" w:fill="FFFFFF"/>
        <w:spacing w:before="0" w:beforeAutospacing="0" w:after="0" w:afterAutospacing="0" w:line="360" w:lineRule="auto"/>
        <w:jc w:val="both"/>
        <w:textAlignment w:val="baseline"/>
        <w:rPr>
          <w:rFonts w:asciiTheme="minorHAnsi" w:hAnsiTheme="minorHAnsi" w:cs="Arial"/>
          <w:sz w:val="22"/>
          <w:szCs w:val="22"/>
        </w:rPr>
      </w:pPr>
      <w:r w:rsidRPr="006D2C4E">
        <w:rPr>
          <w:rFonts w:asciiTheme="minorHAnsi" w:hAnsiTheme="minorHAnsi" w:cs="Arial"/>
          <w:sz w:val="22"/>
          <w:szCs w:val="22"/>
        </w:rPr>
        <w:t>Mark Petticrew</w:t>
      </w:r>
      <w:r w:rsidR="00C16B8C">
        <w:rPr>
          <w:rFonts w:asciiTheme="minorHAnsi" w:hAnsiTheme="minorHAnsi" w:cs="Arial"/>
          <w:sz w:val="22"/>
          <w:szCs w:val="22"/>
          <w:vertAlign w:val="superscript"/>
        </w:rPr>
        <w:t>3</w:t>
      </w:r>
    </w:p>
    <w:p w14:paraId="053475AF" w14:textId="7DC9F269" w:rsidR="00776274" w:rsidRPr="006D2C4E" w:rsidRDefault="00776274" w:rsidP="00776274">
      <w:pPr>
        <w:pStyle w:val="NormalWeb"/>
        <w:shd w:val="clear" w:color="auto" w:fill="FFFFFF"/>
        <w:spacing w:before="0" w:beforeAutospacing="0" w:after="0" w:afterAutospacing="0" w:line="360" w:lineRule="auto"/>
        <w:jc w:val="both"/>
        <w:textAlignment w:val="baseline"/>
        <w:rPr>
          <w:rFonts w:asciiTheme="minorHAnsi" w:hAnsiTheme="minorHAnsi" w:cs="Arial"/>
          <w:sz w:val="22"/>
          <w:szCs w:val="22"/>
        </w:rPr>
      </w:pPr>
      <w:r w:rsidRPr="006D2C4E">
        <w:rPr>
          <w:rFonts w:asciiTheme="minorHAnsi" w:hAnsiTheme="minorHAnsi" w:cs="Arial"/>
          <w:sz w:val="22"/>
          <w:szCs w:val="22"/>
        </w:rPr>
        <w:t>Carolyn Summerbell</w:t>
      </w:r>
      <w:r w:rsidR="00C16B8C">
        <w:rPr>
          <w:rFonts w:asciiTheme="minorHAnsi" w:hAnsiTheme="minorHAnsi" w:cs="Arial"/>
          <w:sz w:val="22"/>
          <w:szCs w:val="22"/>
          <w:vertAlign w:val="superscript"/>
        </w:rPr>
        <w:t>4, 5</w:t>
      </w:r>
    </w:p>
    <w:p w14:paraId="48936A01" w14:textId="74EDEDBD" w:rsidR="00776274" w:rsidRPr="006D2C4E" w:rsidRDefault="00776274" w:rsidP="00776274">
      <w:pPr>
        <w:pStyle w:val="NormalWeb"/>
        <w:shd w:val="clear" w:color="auto" w:fill="FFFFFF"/>
        <w:spacing w:before="0" w:beforeAutospacing="0" w:after="0" w:afterAutospacing="0" w:line="360" w:lineRule="auto"/>
        <w:jc w:val="both"/>
        <w:textAlignment w:val="baseline"/>
        <w:rPr>
          <w:rFonts w:asciiTheme="minorHAnsi" w:hAnsiTheme="minorHAnsi" w:cs="Arial"/>
          <w:sz w:val="22"/>
          <w:szCs w:val="22"/>
        </w:rPr>
      </w:pPr>
      <w:r w:rsidRPr="006D2C4E">
        <w:rPr>
          <w:rFonts w:asciiTheme="minorHAnsi" w:hAnsiTheme="minorHAnsi" w:cs="Arial"/>
          <w:sz w:val="22"/>
          <w:szCs w:val="22"/>
        </w:rPr>
        <w:t>Milica Vasiljevic</w:t>
      </w:r>
      <w:r w:rsidR="00C16B8C">
        <w:rPr>
          <w:rFonts w:asciiTheme="minorHAnsi" w:hAnsiTheme="minorHAnsi" w:cs="Arial"/>
          <w:sz w:val="22"/>
          <w:szCs w:val="22"/>
          <w:vertAlign w:val="superscript"/>
        </w:rPr>
        <w:t>4, 6</w:t>
      </w:r>
    </w:p>
    <w:p w14:paraId="0580EF19" w14:textId="145E3A1B" w:rsidR="00776274" w:rsidRPr="006D2C4E" w:rsidRDefault="00776274" w:rsidP="00776274">
      <w:pPr>
        <w:pStyle w:val="NormalWeb"/>
        <w:shd w:val="clear" w:color="auto" w:fill="FFFFFF"/>
        <w:spacing w:before="0" w:beforeAutospacing="0" w:after="0" w:afterAutospacing="0" w:line="360" w:lineRule="auto"/>
        <w:jc w:val="both"/>
        <w:textAlignment w:val="baseline"/>
        <w:rPr>
          <w:rFonts w:asciiTheme="minorHAnsi" w:hAnsiTheme="minorHAnsi" w:cs="Arial"/>
          <w:sz w:val="22"/>
          <w:szCs w:val="22"/>
        </w:rPr>
      </w:pPr>
      <w:r w:rsidRPr="006D2C4E">
        <w:rPr>
          <w:rFonts w:asciiTheme="minorHAnsi" w:hAnsiTheme="minorHAnsi" w:cs="Arial"/>
          <w:sz w:val="22"/>
          <w:szCs w:val="22"/>
        </w:rPr>
        <w:t>Emma Boyland</w:t>
      </w:r>
      <w:r w:rsidR="00C16B8C">
        <w:rPr>
          <w:rFonts w:asciiTheme="minorHAnsi" w:hAnsiTheme="minorHAnsi" w:cs="Arial"/>
          <w:sz w:val="22"/>
          <w:szCs w:val="22"/>
          <w:vertAlign w:val="superscript"/>
        </w:rPr>
        <w:t>7</w:t>
      </w:r>
    </w:p>
    <w:p w14:paraId="1B373AA8" w14:textId="71D5EA21" w:rsidR="00776274" w:rsidRPr="006D2C4E" w:rsidRDefault="00776274" w:rsidP="00776274">
      <w:pPr>
        <w:pStyle w:val="NormalWeb"/>
        <w:shd w:val="clear" w:color="auto" w:fill="FFFFFF"/>
        <w:spacing w:before="0" w:beforeAutospacing="0" w:after="0" w:afterAutospacing="0" w:line="360" w:lineRule="auto"/>
        <w:jc w:val="both"/>
        <w:textAlignment w:val="baseline"/>
        <w:rPr>
          <w:rFonts w:asciiTheme="minorHAnsi" w:hAnsiTheme="minorHAnsi" w:cs="Arial"/>
          <w:sz w:val="22"/>
          <w:szCs w:val="22"/>
        </w:rPr>
      </w:pPr>
      <w:r w:rsidRPr="006D2C4E">
        <w:rPr>
          <w:rFonts w:asciiTheme="minorHAnsi" w:hAnsiTheme="minorHAnsi" w:cs="Arial"/>
          <w:sz w:val="22"/>
          <w:szCs w:val="22"/>
        </w:rPr>
        <w:t>Steve Cummins</w:t>
      </w:r>
      <w:r w:rsidR="004B71FA">
        <w:rPr>
          <w:rFonts w:asciiTheme="minorHAnsi" w:hAnsiTheme="minorHAnsi" w:cs="Arial"/>
          <w:sz w:val="22"/>
          <w:szCs w:val="22"/>
          <w:vertAlign w:val="superscript"/>
        </w:rPr>
        <w:t>8</w:t>
      </w:r>
    </w:p>
    <w:p w14:paraId="4433FC14" w14:textId="0BB8E062" w:rsidR="003A00DF" w:rsidRPr="006D2C4E" w:rsidRDefault="003A00DF" w:rsidP="003A00DF">
      <w:pPr>
        <w:pStyle w:val="NormalWeb"/>
        <w:shd w:val="clear" w:color="auto" w:fill="FFFFFF"/>
        <w:spacing w:before="0" w:beforeAutospacing="0" w:after="0" w:afterAutospacing="0" w:line="360" w:lineRule="auto"/>
        <w:jc w:val="both"/>
        <w:textAlignment w:val="baseline"/>
        <w:rPr>
          <w:rFonts w:asciiTheme="minorHAnsi" w:hAnsiTheme="minorHAnsi" w:cs="Arial"/>
          <w:sz w:val="22"/>
          <w:szCs w:val="22"/>
        </w:rPr>
      </w:pPr>
      <w:r w:rsidRPr="006D2C4E">
        <w:rPr>
          <w:rFonts w:asciiTheme="minorHAnsi" w:hAnsiTheme="minorHAnsi" w:cs="Arial"/>
          <w:sz w:val="22"/>
          <w:szCs w:val="22"/>
        </w:rPr>
        <w:t xml:space="preserve">Anthony </w:t>
      </w:r>
      <w:r w:rsidR="00951E50">
        <w:rPr>
          <w:rFonts w:asciiTheme="minorHAnsi" w:hAnsiTheme="minorHAnsi" w:cs="Arial"/>
          <w:sz w:val="22"/>
          <w:szCs w:val="22"/>
        </w:rPr>
        <w:t xml:space="preserve">A. </w:t>
      </w:r>
      <w:r w:rsidRPr="006D2C4E">
        <w:rPr>
          <w:rFonts w:asciiTheme="minorHAnsi" w:hAnsiTheme="minorHAnsi" w:cs="Arial"/>
          <w:sz w:val="22"/>
          <w:szCs w:val="22"/>
        </w:rPr>
        <w:t>Laverty</w:t>
      </w:r>
      <w:r>
        <w:rPr>
          <w:rFonts w:asciiTheme="minorHAnsi" w:hAnsiTheme="minorHAnsi" w:cs="Arial"/>
          <w:sz w:val="22"/>
          <w:szCs w:val="22"/>
          <w:vertAlign w:val="superscript"/>
        </w:rPr>
        <w:t>1</w:t>
      </w:r>
      <w:r w:rsidRPr="006D2C4E">
        <w:rPr>
          <w:rFonts w:asciiTheme="minorHAnsi" w:hAnsiTheme="minorHAnsi" w:cs="Arial"/>
          <w:sz w:val="22"/>
          <w:szCs w:val="22"/>
        </w:rPr>
        <w:t xml:space="preserve"> </w:t>
      </w:r>
    </w:p>
    <w:p w14:paraId="04EDFA67" w14:textId="77777777" w:rsidR="00FD0902" w:rsidRPr="000B01A9" w:rsidRDefault="00FD0902" w:rsidP="00FD0902">
      <w:pPr>
        <w:pStyle w:val="NormalWeb"/>
        <w:shd w:val="clear" w:color="auto" w:fill="FFFFFF"/>
        <w:spacing w:before="0" w:beforeAutospacing="0" w:after="0" w:afterAutospacing="0" w:line="360" w:lineRule="auto"/>
        <w:jc w:val="both"/>
        <w:textAlignment w:val="baseline"/>
        <w:rPr>
          <w:rFonts w:asciiTheme="minorHAnsi" w:hAnsiTheme="minorHAnsi" w:cs="Arial"/>
          <w:sz w:val="22"/>
          <w:szCs w:val="22"/>
        </w:rPr>
      </w:pPr>
      <w:r w:rsidRPr="006D2C4E">
        <w:rPr>
          <w:rFonts w:asciiTheme="minorHAnsi" w:hAnsiTheme="minorHAnsi" w:cs="Arial"/>
          <w:sz w:val="22"/>
          <w:szCs w:val="22"/>
        </w:rPr>
        <w:t>Co</w:t>
      </w:r>
      <w:r>
        <w:rPr>
          <w:rFonts w:asciiTheme="minorHAnsi" w:hAnsiTheme="minorHAnsi" w:cs="Arial"/>
          <w:sz w:val="22"/>
          <w:szCs w:val="22"/>
        </w:rPr>
        <w:t>rnelia</w:t>
      </w:r>
      <w:r w:rsidRPr="006D2C4E">
        <w:rPr>
          <w:rFonts w:asciiTheme="minorHAnsi" w:hAnsiTheme="minorHAnsi" w:cs="Arial"/>
          <w:sz w:val="22"/>
          <w:szCs w:val="22"/>
        </w:rPr>
        <w:t xml:space="preserve"> Junghans</w:t>
      </w:r>
      <w:r>
        <w:rPr>
          <w:rFonts w:asciiTheme="minorHAnsi" w:hAnsiTheme="minorHAnsi" w:cs="Arial"/>
          <w:sz w:val="22"/>
          <w:szCs w:val="22"/>
          <w:vertAlign w:val="superscript"/>
        </w:rPr>
        <w:t>1</w:t>
      </w:r>
      <w:r>
        <w:rPr>
          <w:rFonts w:asciiTheme="minorHAnsi" w:hAnsiTheme="minorHAnsi" w:cs="Arial"/>
          <w:sz w:val="22"/>
          <w:szCs w:val="22"/>
        </w:rPr>
        <w:t xml:space="preserve">, Senior Clinical Fellow in Primary Care, NIHR Applied Research Collaborative </w:t>
      </w:r>
    </w:p>
    <w:p w14:paraId="20876E3B" w14:textId="511A2390" w:rsidR="00776274" w:rsidRDefault="00776274" w:rsidP="00776274">
      <w:pPr>
        <w:pStyle w:val="NormalWeb"/>
        <w:shd w:val="clear" w:color="auto" w:fill="FFFFFF"/>
        <w:spacing w:before="0" w:beforeAutospacing="0" w:after="0" w:afterAutospacing="0" w:line="360" w:lineRule="auto"/>
        <w:jc w:val="both"/>
        <w:textAlignment w:val="baseline"/>
        <w:rPr>
          <w:rFonts w:asciiTheme="minorHAnsi" w:hAnsiTheme="minorHAnsi" w:cs="Arial"/>
          <w:sz w:val="22"/>
          <w:szCs w:val="22"/>
        </w:rPr>
      </w:pPr>
      <w:r w:rsidRPr="006D2C4E">
        <w:rPr>
          <w:rFonts w:asciiTheme="minorHAnsi" w:hAnsiTheme="minorHAnsi" w:cs="Arial"/>
          <w:sz w:val="22"/>
          <w:szCs w:val="22"/>
        </w:rPr>
        <w:t>Chris</w:t>
      </w:r>
      <w:r w:rsidR="00AC0212">
        <w:rPr>
          <w:rFonts w:asciiTheme="minorHAnsi" w:hAnsiTheme="minorHAnsi" w:cs="Arial"/>
          <w:sz w:val="22"/>
          <w:szCs w:val="22"/>
        </w:rPr>
        <w:t>topher</w:t>
      </w:r>
      <w:r w:rsidRPr="006D2C4E">
        <w:rPr>
          <w:rFonts w:asciiTheme="minorHAnsi" w:hAnsiTheme="minorHAnsi" w:cs="Arial"/>
          <w:sz w:val="22"/>
          <w:szCs w:val="22"/>
        </w:rPr>
        <w:t xml:space="preserve"> Millett</w:t>
      </w:r>
      <w:r>
        <w:rPr>
          <w:rFonts w:asciiTheme="minorHAnsi" w:hAnsiTheme="minorHAnsi" w:cs="Arial"/>
          <w:sz w:val="22"/>
          <w:szCs w:val="22"/>
          <w:vertAlign w:val="superscript"/>
        </w:rPr>
        <w:t>1</w:t>
      </w:r>
      <w:r w:rsidRPr="006D2C4E">
        <w:rPr>
          <w:rFonts w:asciiTheme="minorHAnsi" w:hAnsiTheme="minorHAnsi" w:cs="Arial"/>
          <w:sz w:val="22"/>
          <w:szCs w:val="22"/>
        </w:rPr>
        <w:t xml:space="preserve"> </w:t>
      </w:r>
    </w:p>
    <w:p w14:paraId="72D33509" w14:textId="7BB8E984" w:rsidR="009664E8" w:rsidRPr="006D2C4E" w:rsidRDefault="009664E8" w:rsidP="00776274">
      <w:pPr>
        <w:pStyle w:val="NormalWeb"/>
        <w:shd w:val="clear" w:color="auto" w:fill="FFFFFF"/>
        <w:spacing w:before="0" w:beforeAutospacing="0" w:after="0" w:afterAutospacing="0" w:line="360" w:lineRule="auto"/>
        <w:jc w:val="both"/>
        <w:textAlignment w:val="baseline"/>
        <w:rPr>
          <w:rFonts w:asciiTheme="minorHAnsi" w:hAnsiTheme="minorHAnsi" w:cs="Arial"/>
          <w:sz w:val="22"/>
          <w:szCs w:val="22"/>
        </w:rPr>
      </w:pPr>
      <w:r>
        <w:rPr>
          <w:rFonts w:asciiTheme="minorHAnsi" w:hAnsiTheme="minorHAnsi" w:cs="Arial"/>
          <w:sz w:val="22"/>
          <w:szCs w:val="22"/>
        </w:rPr>
        <w:t>Frank de Vocht</w:t>
      </w:r>
      <w:r w:rsidR="00BD2ABE" w:rsidRPr="00DB6BB7">
        <w:rPr>
          <w:rFonts w:asciiTheme="minorHAnsi" w:hAnsiTheme="minorHAnsi" w:cs="Arial"/>
          <w:sz w:val="22"/>
          <w:szCs w:val="22"/>
          <w:vertAlign w:val="superscript"/>
        </w:rPr>
        <w:t>9,10</w:t>
      </w:r>
    </w:p>
    <w:p w14:paraId="0C3A3F0B" w14:textId="49F83C77" w:rsidR="004F7281" w:rsidRPr="006D2C4E" w:rsidRDefault="004F7281" w:rsidP="004F7281">
      <w:pPr>
        <w:pStyle w:val="NormalWeb"/>
        <w:shd w:val="clear" w:color="auto" w:fill="FFFFFF"/>
        <w:spacing w:before="0" w:beforeAutospacing="0" w:after="0" w:afterAutospacing="0" w:line="360" w:lineRule="auto"/>
        <w:jc w:val="both"/>
        <w:textAlignment w:val="baseline"/>
        <w:rPr>
          <w:rFonts w:asciiTheme="minorHAnsi" w:hAnsiTheme="minorHAnsi" w:cs="Arial"/>
          <w:sz w:val="22"/>
          <w:szCs w:val="22"/>
        </w:rPr>
      </w:pPr>
      <w:r w:rsidRPr="006D2C4E">
        <w:rPr>
          <w:rFonts w:asciiTheme="minorHAnsi" w:hAnsiTheme="minorHAnsi" w:cs="Arial"/>
          <w:sz w:val="22"/>
          <w:szCs w:val="22"/>
        </w:rPr>
        <w:t>Eva Hrobonova</w:t>
      </w:r>
      <w:r>
        <w:rPr>
          <w:rFonts w:asciiTheme="minorHAnsi" w:hAnsiTheme="minorHAnsi" w:cs="Arial"/>
          <w:sz w:val="22"/>
          <w:szCs w:val="22"/>
        </w:rPr>
        <w:t xml:space="preserve">, </w:t>
      </w:r>
      <w:r w:rsidRPr="006D2C4E">
        <w:rPr>
          <w:rFonts w:asciiTheme="minorHAnsi" w:hAnsiTheme="minorHAnsi" w:cs="Arial"/>
          <w:sz w:val="22"/>
          <w:szCs w:val="22"/>
        </w:rPr>
        <w:t xml:space="preserve">Former Deputy Director of Public Health of the Tri-Borough </w:t>
      </w:r>
      <w:r w:rsidR="008B0BB1">
        <w:rPr>
          <w:rFonts w:asciiTheme="minorHAnsi" w:hAnsiTheme="minorHAnsi" w:cs="Arial"/>
          <w:sz w:val="22"/>
          <w:szCs w:val="22"/>
        </w:rPr>
        <w:t xml:space="preserve">local authority </w:t>
      </w:r>
      <w:r w:rsidRPr="006D2C4E">
        <w:rPr>
          <w:rFonts w:asciiTheme="minorHAnsi" w:hAnsiTheme="minorHAnsi" w:cs="Arial"/>
          <w:sz w:val="22"/>
          <w:szCs w:val="22"/>
        </w:rPr>
        <w:t>(Westminster</w:t>
      </w:r>
      <w:r w:rsidR="008B0BB1">
        <w:rPr>
          <w:rFonts w:asciiTheme="minorHAnsi" w:hAnsiTheme="minorHAnsi" w:cs="Arial"/>
          <w:sz w:val="22"/>
          <w:szCs w:val="22"/>
        </w:rPr>
        <w:t xml:space="preserve"> City</w:t>
      </w:r>
      <w:r w:rsidR="00E3745F">
        <w:rPr>
          <w:rFonts w:asciiTheme="minorHAnsi" w:hAnsiTheme="minorHAnsi" w:cs="Arial"/>
          <w:sz w:val="22"/>
          <w:szCs w:val="22"/>
        </w:rPr>
        <w:t xml:space="preserve"> Council</w:t>
      </w:r>
      <w:r w:rsidRPr="006D2C4E">
        <w:rPr>
          <w:rFonts w:asciiTheme="minorHAnsi" w:hAnsiTheme="minorHAnsi" w:cs="Arial"/>
          <w:sz w:val="22"/>
          <w:szCs w:val="22"/>
        </w:rPr>
        <w:t xml:space="preserve">, </w:t>
      </w:r>
      <w:r w:rsidR="00E3745F">
        <w:rPr>
          <w:rFonts w:asciiTheme="minorHAnsi" w:hAnsiTheme="minorHAnsi" w:cs="Arial"/>
          <w:sz w:val="22"/>
          <w:szCs w:val="22"/>
        </w:rPr>
        <w:t xml:space="preserve">London Borough of </w:t>
      </w:r>
      <w:r w:rsidRPr="006D2C4E">
        <w:rPr>
          <w:rFonts w:asciiTheme="minorHAnsi" w:hAnsiTheme="minorHAnsi" w:cs="Arial"/>
          <w:sz w:val="22"/>
          <w:szCs w:val="22"/>
        </w:rPr>
        <w:t>Hammersmith and Fulham</w:t>
      </w:r>
      <w:r w:rsidR="007A741B">
        <w:rPr>
          <w:rFonts w:asciiTheme="minorHAnsi" w:hAnsiTheme="minorHAnsi" w:cs="Arial"/>
          <w:sz w:val="22"/>
          <w:szCs w:val="22"/>
        </w:rPr>
        <w:t>,</w:t>
      </w:r>
      <w:r w:rsidRPr="006D2C4E">
        <w:rPr>
          <w:rFonts w:asciiTheme="minorHAnsi" w:hAnsiTheme="minorHAnsi" w:cs="Arial"/>
          <w:sz w:val="22"/>
          <w:szCs w:val="22"/>
        </w:rPr>
        <w:t xml:space="preserve"> and </w:t>
      </w:r>
      <w:r w:rsidR="00E3745F">
        <w:rPr>
          <w:rFonts w:asciiTheme="minorHAnsi" w:hAnsiTheme="minorHAnsi" w:cs="Arial"/>
          <w:sz w:val="22"/>
          <w:szCs w:val="22"/>
        </w:rPr>
        <w:t xml:space="preserve">the Royal Borough of </w:t>
      </w:r>
      <w:r w:rsidRPr="006D2C4E">
        <w:rPr>
          <w:rFonts w:asciiTheme="minorHAnsi" w:hAnsiTheme="minorHAnsi" w:cs="Arial"/>
          <w:sz w:val="22"/>
          <w:szCs w:val="22"/>
        </w:rPr>
        <w:t>Kensington and Chelsea)</w:t>
      </w:r>
    </w:p>
    <w:p w14:paraId="673739F5" w14:textId="77777777" w:rsidR="00776274" w:rsidRPr="00C16B8C" w:rsidRDefault="00776274" w:rsidP="00776274">
      <w:pPr>
        <w:pStyle w:val="NormalWeb"/>
        <w:shd w:val="clear" w:color="auto" w:fill="FFFFFF"/>
        <w:spacing w:before="0" w:beforeAutospacing="0" w:after="0" w:afterAutospacing="0" w:line="360" w:lineRule="auto"/>
        <w:jc w:val="both"/>
        <w:textAlignment w:val="baseline"/>
        <w:rPr>
          <w:rFonts w:asciiTheme="minorHAnsi" w:hAnsiTheme="minorHAnsi" w:cs="Arial"/>
          <w:sz w:val="22"/>
          <w:szCs w:val="22"/>
          <w:vertAlign w:val="superscript"/>
          <w:lang w:val="pt-PT"/>
        </w:rPr>
      </w:pPr>
      <w:r w:rsidRPr="00C16B8C">
        <w:rPr>
          <w:rFonts w:asciiTheme="minorHAnsi" w:hAnsiTheme="minorHAnsi" w:cs="Arial"/>
          <w:sz w:val="22"/>
          <w:szCs w:val="22"/>
          <w:lang w:val="pt-PT"/>
        </w:rPr>
        <w:t>Eszter P Vamos</w:t>
      </w:r>
      <w:r w:rsidRPr="00C16B8C">
        <w:rPr>
          <w:rFonts w:asciiTheme="minorHAnsi" w:hAnsiTheme="minorHAnsi" w:cs="Arial"/>
          <w:sz w:val="22"/>
          <w:szCs w:val="22"/>
          <w:vertAlign w:val="superscript"/>
          <w:lang w:val="pt-PT"/>
        </w:rPr>
        <w:t>1</w:t>
      </w:r>
    </w:p>
    <w:p w14:paraId="08199AF9" w14:textId="77777777" w:rsidR="00164A54" w:rsidRPr="009664E8" w:rsidRDefault="00164A54" w:rsidP="00C16B8C">
      <w:pPr>
        <w:pStyle w:val="NormalWeb"/>
        <w:shd w:val="clear" w:color="auto" w:fill="FFFFFF"/>
        <w:spacing w:before="0" w:beforeAutospacing="0" w:after="0" w:afterAutospacing="0" w:line="360" w:lineRule="auto"/>
        <w:jc w:val="both"/>
        <w:textAlignment w:val="baseline"/>
        <w:rPr>
          <w:rFonts w:asciiTheme="minorHAnsi" w:hAnsiTheme="minorHAnsi" w:cs="Arial"/>
          <w:sz w:val="22"/>
          <w:szCs w:val="22"/>
          <w:lang w:val="pt-PT"/>
        </w:rPr>
      </w:pPr>
    </w:p>
    <w:p w14:paraId="5E98383A" w14:textId="7D86FDB3" w:rsidR="00C16B8C" w:rsidRPr="00FD0902" w:rsidRDefault="00C16B8C" w:rsidP="00C16B8C">
      <w:pPr>
        <w:pStyle w:val="NormalWeb"/>
        <w:shd w:val="clear" w:color="auto" w:fill="FFFFFF"/>
        <w:spacing w:before="0" w:beforeAutospacing="0" w:after="0" w:afterAutospacing="0" w:line="360" w:lineRule="auto"/>
        <w:jc w:val="both"/>
        <w:textAlignment w:val="baseline"/>
        <w:rPr>
          <w:rFonts w:asciiTheme="minorHAnsi" w:hAnsiTheme="minorHAnsi" w:cs="Arial"/>
          <w:b/>
          <w:bCs/>
          <w:sz w:val="22"/>
          <w:szCs w:val="22"/>
        </w:rPr>
      </w:pPr>
      <w:r w:rsidRPr="00FD0902">
        <w:rPr>
          <w:rFonts w:asciiTheme="minorHAnsi" w:hAnsiTheme="minorHAnsi" w:cs="Arial"/>
          <w:b/>
          <w:bCs/>
          <w:sz w:val="22"/>
          <w:szCs w:val="22"/>
        </w:rPr>
        <w:t>Affiliations:</w:t>
      </w:r>
    </w:p>
    <w:p w14:paraId="3EBFAEBE" w14:textId="35DC51C0" w:rsidR="00BB0CC8" w:rsidRPr="00BB0CC8" w:rsidRDefault="00BB0CC8" w:rsidP="00BB0CC8">
      <w:pPr>
        <w:spacing w:line="259" w:lineRule="auto"/>
        <w:rPr>
          <w:rFonts w:cs="Arial"/>
          <w:bCs/>
        </w:rPr>
      </w:pPr>
      <w:r>
        <w:rPr>
          <w:rFonts w:cs="Arial"/>
          <w:bCs/>
        </w:rPr>
        <w:t xml:space="preserve">1. Public Health Policy Evaluation Unit, </w:t>
      </w:r>
      <w:r w:rsidRPr="00EC22EE">
        <w:rPr>
          <w:rFonts w:cs="Arial"/>
          <w:bCs/>
        </w:rPr>
        <w:t>School of Public Health, Imperial College London</w:t>
      </w:r>
      <w:r>
        <w:rPr>
          <w:rFonts w:cs="Arial"/>
          <w:bCs/>
        </w:rPr>
        <w:t>, UK</w:t>
      </w:r>
    </w:p>
    <w:p w14:paraId="6B5BC32B" w14:textId="35BE93AD" w:rsidR="001D2B8E" w:rsidRPr="00164A54" w:rsidRDefault="001D2B8E" w:rsidP="00C16B8C">
      <w:pPr>
        <w:pStyle w:val="NormalWeb"/>
        <w:shd w:val="clear" w:color="auto" w:fill="FFFFFF"/>
        <w:spacing w:before="0" w:beforeAutospacing="0" w:after="0" w:afterAutospacing="0" w:line="360" w:lineRule="auto"/>
        <w:jc w:val="both"/>
        <w:textAlignment w:val="baseline"/>
        <w:rPr>
          <w:rFonts w:asciiTheme="minorHAnsi" w:hAnsiTheme="minorHAnsi" w:cs="Arial"/>
          <w:b/>
          <w:bCs/>
          <w:sz w:val="22"/>
          <w:szCs w:val="22"/>
        </w:rPr>
      </w:pPr>
      <w:r w:rsidRPr="001D2B8E">
        <w:rPr>
          <w:rFonts w:asciiTheme="minorHAnsi" w:hAnsiTheme="minorHAnsi" w:cs="Arial"/>
          <w:sz w:val="22"/>
          <w:szCs w:val="22"/>
        </w:rPr>
        <w:t>2.</w:t>
      </w:r>
      <w:r>
        <w:rPr>
          <w:rFonts w:asciiTheme="minorHAnsi" w:hAnsiTheme="minorHAnsi" w:cs="Arial"/>
          <w:b/>
          <w:bCs/>
          <w:sz w:val="22"/>
          <w:szCs w:val="22"/>
        </w:rPr>
        <w:t xml:space="preserve"> </w:t>
      </w:r>
      <w:r w:rsidRPr="006D2C4E">
        <w:rPr>
          <w:rFonts w:asciiTheme="minorHAnsi" w:hAnsiTheme="minorHAnsi" w:cs="Arial"/>
          <w:sz w:val="22"/>
          <w:szCs w:val="22"/>
        </w:rPr>
        <w:t>MRC Epidemiology Unit, University of Cambridge, UK</w:t>
      </w:r>
    </w:p>
    <w:p w14:paraId="6A182D6A" w14:textId="77777777" w:rsidR="00164A54" w:rsidRDefault="00164A54" w:rsidP="00164A54">
      <w:pPr>
        <w:spacing w:after="0"/>
      </w:pPr>
      <w:r>
        <w:t xml:space="preserve">3. </w:t>
      </w:r>
      <w:r w:rsidRPr="00164A54">
        <w:t>Faculty of Public Health and Policy</w:t>
      </w:r>
      <w:r>
        <w:t xml:space="preserve">, </w:t>
      </w:r>
      <w:r w:rsidRPr="00164A54">
        <w:t xml:space="preserve">Department of Public Health, Environments </w:t>
      </w:r>
      <w:r>
        <w:t xml:space="preserve">&amp; </w:t>
      </w:r>
      <w:r w:rsidRPr="00164A54">
        <w:t>Society</w:t>
      </w:r>
      <w:r>
        <w:t>, London School of Hygiene &amp; Tropical Medicine, UK</w:t>
      </w:r>
    </w:p>
    <w:p w14:paraId="10B1FB7D" w14:textId="463493D5" w:rsidR="00C16B8C" w:rsidRPr="00164A54" w:rsidRDefault="00C16B8C" w:rsidP="00164A54">
      <w:pPr>
        <w:spacing w:after="0"/>
      </w:pPr>
      <w:r>
        <w:rPr>
          <w:rFonts w:cs="Arial"/>
        </w:rPr>
        <w:t xml:space="preserve">4. </w:t>
      </w:r>
      <w:r w:rsidRPr="001127E3">
        <w:rPr>
          <w:rFonts w:cs="Arial"/>
        </w:rPr>
        <w:t>Fuse – Centre for Translational Research in Public Health, Newcastle, UK</w:t>
      </w:r>
    </w:p>
    <w:p w14:paraId="1709ABE6" w14:textId="77777777" w:rsidR="00C16B8C" w:rsidRDefault="00C16B8C" w:rsidP="00164A54">
      <w:pPr>
        <w:pStyle w:val="NormalWeb"/>
        <w:shd w:val="clear" w:color="auto" w:fill="FFFFFF"/>
        <w:spacing w:before="0" w:beforeAutospacing="0" w:after="0" w:afterAutospacing="0" w:line="360" w:lineRule="auto"/>
        <w:jc w:val="both"/>
        <w:textAlignment w:val="baseline"/>
        <w:rPr>
          <w:rFonts w:asciiTheme="minorHAnsi" w:hAnsiTheme="minorHAnsi" w:cs="Arial"/>
          <w:sz w:val="22"/>
          <w:szCs w:val="22"/>
        </w:rPr>
      </w:pPr>
      <w:r>
        <w:rPr>
          <w:rFonts w:asciiTheme="minorHAnsi" w:hAnsiTheme="minorHAnsi" w:cs="Arial"/>
          <w:sz w:val="22"/>
          <w:szCs w:val="22"/>
        </w:rPr>
        <w:t xml:space="preserve">5. </w:t>
      </w:r>
      <w:r w:rsidRPr="001127E3">
        <w:rPr>
          <w:rFonts w:asciiTheme="minorHAnsi" w:hAnsiTheme="minorHAnsi" w:cs="Arial"/>
          <w:sz w:val="22"/>
          <w:szCs w:val="22"/>
        </w:rPr>
        <w:t>Department of Sport and Exercise Sciences, Durham University, Durham, UK</w:t>
      </w:r>
    </w:p>
    <w:p w14:paraId="0F457B31" w14:textId="77777777" w:rsidR="00164A54" w:rsidRDefault="00C16B8C" w:rsidP="00164A54">
      <w:pPr>
        <w:pStyle w:val="NormalWeb"/>
        <w:shd w:val="clear" w:color="auto" w:fill="FFFFFF"/>
        <w:spacing w:before="0" w:beforeAutospacing="0" w:after="0" w:afterAutospacing="0" w:line="360" w:lineRule="auto"/>
        <w:jc w:val="both"/>
        <w:textAlignment w:val="baseline"/>
        <w:rPr>
          <w:rFonts w:asciiTheme="minorHAnsi" w:hAnsiTheme="minorHAnsi" w:cs="Arial"/>
          <w:sz w:val="22"/>
          <w:szCs w:val="22"/>
        </w:rPr>
      </w:pPr>
      <w:r>
        <w:rPr>
          <w:rFonts w:asciiTheme="minorHAnsi" w:hAnsiTheme="minorHAnsi" w:cs="Arial"/>
          <w:sz w:val="22"/>
          <w:szCs w:val="22"/>
        </w:rPr>
        <w:t>6. Department of Psychology, Durham University, Durham, UK</w:t>
      </w:r>
    </w:p>
    <w:p w14:paraId="61B8F197" w14:textId="48CA2DA2" w:rsidR="00E9243D" w:rsidRDefault="00E9243D" w:rsidP="000B01A9">
      <w:pPr>
        <w:pStyle w:val="NormalWeb"/>
        <w:shd w:val="clear" w:color="auto" w:fill="FFFFFF"/>
        <w:spacing w:before="0" w:beforeAutospacing="0" w:after="0" w:afterAutospacing="0" w:line="360" w:lineRule="auto"/>
        <w:jc w:val="both"/>
        <w:textAlignment w:val="baseline"/>
        <w:rPr>
          <w:rFonts w:asciiTheme="minorHAnsi" w:hAnsiTheme="minorHAnsi" w:cs="Arial"/>
          <w:sz w:val="22"/>
          <w:szCs w:val="22"/>
        </w:rPr>
      </w:pPr>
      <w:r>
        <w:rPr>
          <w:rFonts w:asciiTheme="minorHAnsi" w:hAnsiTheme="minorHAnsi" w:cs="Arial"/>
          <w:sz w:val="22"/>
          <w:szCs w:val="22"/>
        </w:rPr>
        <w:t xml:space="preserve">7. </w:t>
      </w:r>
      <w:r w:rsidRPr="00E9243D">
        <w:rPr>
          <w:rFonts w:asciiTheme="minorHAnsi" w:hAnsiTheme="minorHAnsi" w:cs="Arial"/>
          <w:sz w:val="22"/>
          <w:szCs w:val="22"/>
        </w:rPr>
        <w:t>Department of Psychology, University of Liverpool, Liverpool, UK</w:t>
      </w:r>
    </w:p>
    <w:p w14:paraId="4D6B0E63" w14:textId="6C5688AA" w:rsidR="00372A3B" w:rsidRDefault="00372A3B" w:rsidP="000B01A9">
      <w:pPr>
        <w:pStyle w:val="NormalWeb"/>
        <w:shd w:val="clear" w:color="auto" w:fill="FFFFFF"/>
        <w:spacing w:before="0" w:beforeAutospacing="0" w:after="0" w:afterAutospacing="0" w:line="360" w:lineRule="auto"/>
        <w:jc w:val="both"/>
        <w:textAlignment w:val="baseline"/>
        <w:rPr>
          <w:rFonts w:asciiTheme="minorHAnsi" w:hAnsiTheme="minorHAnsi" w:cs="Arial"/>
          <w:sz w:val="22"/>
          <w:szCs w:val="22"/>
        </w:rPr>
      </w:pPr>
      <w:r>
        <w:rPr>
          <w:rFonts w:asciiTheme="minorHAnsi" w:hAnsiTheme="minorHAnsi" w:cs="Arial"/>
          <w:sz w:val="22"/>
          <w:szCs w:val="22"/>
        </w:rPr>
        <w:lastRenderedPageBreak/>
        <w:t xml:space="preserve">8. </w:t>
      </w:r>
      <w:r w:rsidRPr="00372A3B">
        <w:rPr>
          <w:rFonts w:asciiTheme="minorHAnsi" w:hAnsiTheme="minorHAnsi" w:cs="Arial"/>
          <w:sz w:val="22"/>
          <w:szCs w:val="22"/>
        </w:rPr>
        <w:t>Population Health Innovation Lab, Department of Public Health, Environments &amp; Society, London School of Hygiene &amp; Tropical Medicine, UK</w:t>
      </w:r>
    </w:p>
    <w:p w14:paraId="4EC5DCB7" w14:textId="5A0316DD" w:rsidR="00BD2ABE" w:rsidRDefault="00BD2ABE" w:rsidP="000B01A9">
      <w:pPr>
        <w:pStyle w:val="NormalWeb"/>
        <w:shd w:val="clear" w:color="auto" w:fill="FFFFFF"/>
        <w:spacing w:before="0" w:beforeAutospacing="0" w:after="0" w:afterAutospacing="0" w:line="360" w:lineRule="auto"/>
        <w:jc w:val="both"/>
        <w:textAlignment w:val="baseline"/>
        <w:rPr>
          <w:rFonts w:asciiTheme="minorHAnsi" w:hAnsiTheme="minorHAnsi" w:cs="Arial"/>
          <w:sz w:val="22"/>
          <w:szCs w:val="22"/>
        </w:rPr>
      </w:pPr>
      <w:r>
        <w:rPr>
          <w:rFonts w:asciiTheme="minorHAnsi" w:hAnsiTheme="minorHAnsi" w:cs="Arial"/>
          <w:sz w:val="22"/>
          <w:szCs w:val="22"/>
        </w:rPr>
        <w:t>9. Population Health Sciences, Bristol Medical School, University of Bristol, Bristol, UK</w:t>
      </w:r>
    </w:p>
    <w:p w14:paraId="43910BC7" w14:textId="046B0DB4" w:rsidR="008F13D1" w:rsidRPr="00164A54" w:rsidRDefault="008F13D1" w:rsidP="000B01A9">
      <w:pPr>
        <w:pStyle w:val="NormalWeb"/>
        <w:shd w:val="clear" w:color="auto" w:fill="FFFFFF"/>
        <w:spacing w:before="0" w:beforeAutospacing="0" w:after="0" w:afterAutospacing="0" w:line="360" w:lineRule="auto"/>
        <w:jc w:val="both"/>
        <w:textAlignment w:val="baseline"/>
        <w:rPr>
          <w:rFonts w:asciiTheme="minorHAnsi" w:hAnsiTheme="minorHAnsi" w:cs="Arial"/>
          <w:sz w:val="22"/>
          <w:szCs w:val="22"/>
        </w:rPr>
      </w:pPr>
      <w:r>
        <w:rPr>
          <w:rFonts w:asciiTheme="minorHAnsi" w:hAnsiTheme="minorHAnsi" w:cs="Arial"/>
          <w:sz w:val="22"/>
          <w:szCs w:val="22"/>
        </w:rPr>
        <w:t>10. NIHR Applied Research Collaboration West (NIHR ARC West)</w:t>
      </w:r>
    </w:p>
    <w:p w14:paraId="5A58F2FA" w14:textId="77777777" w:rsidR="00164A54" w:rsidRPr="008D55D1" w:rsidRDefault="001E772E" w:rsidP="001E772E">
      <w:pPr>
        <w:spacing w:before="240" w:line="259" w:lineRule="auto"/>
        <w:rPr>
          <w:rFonts w:cs="Arial"/>
          <w:b/>
        </w:rPr>
      </w:pPr>
      <w:r w:rsidRPr="008D55D1">
        <w:rPr>
          <w:rFonts w:cs="Arial"/>
          <w:b/>
        </w:rPr>
        <w:t>Word count</w:t>
      </w:r>
    </w:p>
    <w:p w14:paraId="53ED52BA" w14:textId="2CF36213" w:rsidR="001E772E" w:rsidRPr="008D55D1" w:rsidRDefault="004E6A54" w:rsidP="001E772E">
      <w:pPr>
        <w:spacing w:before="240" w:line="259" w:lineRule="auto"/>
        <w:rPr>
          <w:rFonts w:cs="Arial"/>
          <w:bCs/>
        </w:rPr>
      </w:pPr>
      <w:r w:rsidRPr="008D55D1">
        <w:rPr>
          <w:rFonts w:cs="Arial"/>
          <w:bCs/>
        </w:rPr>
        <w:t>4,</w:t>
      </w:r>
      <w:r w:rsidR="000047CB">
        <w:rPr>
          <w:rFonts w:cs="Arial"/>
          <w:bCs/>
        </w:rPr>
        <w:t>7</w:t>
      </w:r>
      <w:r w:rsidR="007415F4">
        <w:rPr>
          <w:rFonts w:cs="Arial"/>
          <w:bCs/>
        </w:rPr>
        <w:t>31</w:t>
      </w:r>
      <w:r w:rsidR="00785EE8">
        <w:rPr>
          <w:rFonts w:cs="Arial"/>
          <w:bCs/>
        </w:rPr>
        <w:t xml:space="preserve"> </w:t>
      </w:r>
      <w:r w:rsidR="005429F7" w:rsidRPr="008D55D1">
        <w:rPr>
          <w:rFonts w:cs="Arial"/>
          <w:bCs/>
        </w:rPr>
        <w:t>words</w:t>
      </w:r>
    </w:p>
    <w:p w14:paraId="06F4C814" w14:textId="3D6D5ABD" w:rsidR="00EC22EE" w:rsidRPr="004E6A54" w:rsidRDefault="00EC22EE" w:rsidP="00EC22EE">
      <w:pPr>
        <w:spacing w:line="259" w:lineRule="auto"/>
        <w:rPr>
          <w:rFonts w:eastAsia="Times New Roman" w:cs="Arial"/>
          <w:b/>
          <w:lang w:eastAsia="en-GB"/>
        </w:rPr>
      </w:pPr>
      <w:r w:rsidRPr="004E6A54">
        <w:rPr>
          <w:rFonts w:cs="Arial"/>
          <w:b/>
        </w:rPr>
        <w:br w:type="page"/>
      </w:r>
    </w:p>
    <w:p w14:paraId="7369C808" w14:textId="110D2726" w:rsidR="002C3B6A" w:rsidRDefault="002C3B6A" w:rsidP="002C3B6A">
      <w:pPr>
        <w:pStyle w:val="NormalWeb"/>
        <w:shd w:val="clear" w:color="auto" w:fill="FFFFFF"/>
        <w:spacing w:line="360" w:lineRule="auto"/>
        <w:jc w:val="both"/>
        <w:textAlignment w:val="baseline"/>
        <w:rPr>
          <w:rFonts w:asciiTheme="minorHAnsi" w:hAnsiTheme="minorHAnsi" w:cs="Arial"/>
          <w:b/>
          <w:sz w:val="22"/>
          <w:szCs w:val="22"/>
        </w:rPr>
      </w:pPr>
      <w:r w:rsidRPr="004047AF">
        <w:rPr>
          <w:rFonts w:asciiTheme="minorHAnsi" w:hAnsiTheme="minorHAnsi" w:cs="Arial"/>
          <w:b/>
          <w:sz w:val="22"/>
          <w:szCs w:val="22"/>
        </w:rPr>
        <w:lastRenderedPageBreak/>
        <w:t>A</w:t>
      </w:r>
      <w:r w:rsidR="00A440E5">
        <w:rPr>
          <w:rFonts w:asciiTheme="minorHAnsi" w:hAnsiTheme="minorHAnsi" w:cs="Arial"/>
          <w:b/>
          <w:sz w:val="22"/>
          <w:szCs w:val="22"/>
        </w:rPr>
        <w:t xml:space="preserve">BSTRACT </w:t>
      </w:r>
      <w:r w:rsidR="00706F75">
        <w:rPr>
          <w:rFonts w:asciiTheme="minorHAnsi" w:hAnsiTheme="minorHAnsi" w:cs="Arial"/>
          <w:b/>
          <w:sz w:val="22"/>
          <w:szCs w:val="22"/>
        </w:rPr>
        <w:t xml:space="preserve"> </w:t>
      </w:r>
    </w:p>
    <w:p w14:paraId="2DEEA509" w14:textId="4E37DF76" w:rsidR="002C3B6A" w:rsidRPr="004047AF" w:rsidRDefault="002C3B6A" w:rsidP="002C3B6A">
      <w:pPr>
        <w:pStyle w:val="NormalWeb"/>
        <w:shd w:val="clear" w:color="auto" w:fill="FFFFFF"/>
        <w:spacing w:line="360" w:lineRule="auto"/>
        <w:jc w:val="both"/>
        <w:textAlignment w:val="baseline"/>
        <w:rPr>
          <w:rFonts w:asciiTheme="minorHAnsi" w:hAnsiTheme="minorHAnsi" w:cs="Arial"/>
          <w:b/>
          <w:sz w:val="22"/>
          <w:szCs w:val="22"/>
        </w:rPr>
      </w:pPr>
      <w:r>
        <w:rPr>
          <w:rFonts w:asciiTheme="minorHAnsi" w:hAnsiTheme="minorHAnsi" w:cs="Arial"/>
          <w:b/>
          <w:sz w:val="22"/>
          <w:szCs w:val="22"/>
        </w:rPr>
        <w:t>Introduction</w:t>
      </w:r>
    </w:p>
    <w:p w14:paraId="6953A8B9" w14:textId="4BAB9114" w:rsidR="002C3B6A" w:rsidRPr="00FB70B2" w:rsidRDefault="00C636CE" w:rsidP="002C3B6A">
      <w:pPr>
        <w:pStyle w:val="NormalWeb"/>
        <w:shd w:val="clear" w:color="auto" w:fill="FFFFFF"/>
        <w:spacing w:line="360" w:lineRule="auto"/>
        <w:jc w:val="both"/>
        <w:textAlignment w:val="baseline"/>
        <w:rPr>
          <w:rFonts w:asciiTheme="minorHAnsi" w:hAnsiTheme="minorHAnsi" w:cstheme="minorHAnsi"/>
          <w:bCs/>
          <w:sz w:val="22"/>
          <w:szCs w:val="22"/>
        </w:rPr>
      </w:pPr>
      <w:r w:rsidRPr="00FB70B2">
        <w:rPr>
          <w:rFonts w:asciiTheme="minorHAnsi" w:hAnsiTheme="minorHAnsi" w:cstheme="minorHAnsi"/>
          <w:bCs/>
          <w:sz w:val="22"/>
          <w:szCs w:val="22"/>
        </w:rPr>
        <w:t>Industries that produce and market potentially harmful commodities</w:t>
      </w:r>
      <w:r w:rsidR="00E27BD3" w:rsidRPr="00FB70B2">
        <w:rPr>
          <w:rFonts w:asciiTheme="minorHAnsi" w:hAnsiTheme="minorHAnsi" w:cstheme="minorHAnsi"/>
          <w:bCs/>
          <w:sz w:val="22"/>
          <w:szCs w:val="22"/>
        </w:rPr>
        <w:t xml:space="preserve"> </w:t>
      </w:r>
      <w:r w:rsidR="008B0BB1">
        <w:rPr>
          <w:rFonts w:asciiTheme="minorHAnsi" w:hAnsiTheme="minorHAnsi" w:cstheme="minorHAnsi"/>
          <w:bCs/>
          <w:sz w:val="22"/>
          <w:szCs w:val="22"/>
        </w:rPr>
        <w:t xml:space="preserve">or services </w:t>
      </w:r>
      <w:r w:rsidR="00E27BD3" w:rsidRPr="00FB70B2">
        <w:rPr>
          <w:rFonts w:asciiTheme="minorHAnsi" w:hAnsiTheme="minorHAnsi" w:cstheme="minorHAnsi"/>
          <w:bCs/>
          <w:sz w:val="22"/>
          <w:szCs w:val="22"/>
        </w:rPr>
        <w:t xml:space="preserve">(e.g. tobacco, alcohol, </w:t>
      </w:r>
      <w:r w:rsidR="008B0BB1">
        <w:rPr>
          <w:rFonts w:asciiTheme="minorHAnsi" w:hAnsiTheme="minorHAnsi" w:cstheme="minorHAnsi"/>
          <w:bCs/>
          <w:sz w:val="22"/>
          <w:szCs w:val="22"/>
        </w:rPr>
        <w:t xml:space="preserve">gambling, </w:t>
      </w:r>
      <w:r w:rsidR="00DF48F8">
        <w:rPr>
          <w:rFonts w:asciiTheme="minorHAnsi" w:hAnsiTheme="minorHAnsi" w:cstheme="minorHAnsi"/>
          <w:bCs/>
          <w:sz w:val="22"/>
          <w:szCs w:val="22"/>
        </w:rPr>
        <w:t xml:space="preserve">less </w:t>
      </w:r>
      <w:r w:rsidR="00E27BD3" w:rsidRPr="00FB70B2">
        <w:rPr>
          <w:rFonts w:asciiTheme="minorHAnsi" w:hAnsiTheme="minorHAnsi" w:cstheme="minorHAnsi"/>
          <w:bCs/>
          <w:sz w:val="22"/>
          <w:szCs w:val="22"/>
        </w:rPr>
        <w:t>health</w:t>
      </w:r>
      <w:r w:rsidR="001F5084">
        <w:rPr>
          <w:rFonts w:asciiTheme="minorHAnsi" w:hAnsiTheme="minorHAnsi" w:cstheme="minorHAnsi"/>
          <w:bCs/>
          <w:sz w:val="22"/>
          <w:szCs w:val="22"/>
        </w:rPr>
        <w:t xml:space="preserve">y </w:t>
      </w:r>
      <w:r w:rsidR="00FB70B2" w:rsidRPr="00FB70B2">
        <w:rPr>
          <w:rFonts w:asciiTheme="minorHAnsi" w:hAnsiTheme="minorHAnsi" w:cstheme="minorHAnsi"/>
          <w:bCs/>
          <w:sz w:val="22"/>
          <w:szCs w:val="22"/>
        </w:rPr>
        <w:t xml:space="preserve">foods </w:t>
      </w:r>
      <w:r w:rsidR="00E27BD3" w:rsidRPr="00FB70B2">
        <w:rPr>
          <w:rFonts w:asciiTheme="minorHAnsi" w:hAnsiTheme="minorHAnsi" w:cstheme="minorHAnsi"/>
          <w:bCs/>
          <w:sz w:val="22"/>
          <w:szCs w:val="22"/>
        </w:rPr>
        <w:t>and beverages)</w:t>
      </w:r>
      <w:r w:rsidR="009D75BB">
        <w:rPr>
          <w:rFonts w:asciiTheme="minorHAnsi" w:hAnsiTheme="minorHAnsi" w:cstheme="minorHAnsi"/>
          <w:bCs/>
          <w:sz w:val="22"/>
          <w:szCs w:val="22"/>
        </w:rPr>
        <w:t xml:space="preserve"> </w:t>
      </w:r>
      <w:r w:rsidR="00E27BD3" w:rsidRPr="00FB70B2">
        <w:rPr>
          <w:rFonts w:asciiTheme="minorHAnsi" w:hAnsiTheme="minorHAnsi" w:cstheme="minorHAnsi"/>
          <w:bCs/>
          <w:sz w:val="22"/>
          <w:szCs w:val="22"/>
        </w:rPr>
        <w:t xml:space="preserve">are </w:t>
      </w:r>
      <w:r w:rsidR="00AD50AE">
        <w:rPr>
          <w:rFonts w:asciiTheme="minorHAnsi" w:hAnsiTheme="minorHAnsi" w:cstheme="minorHAnsi"/>
          <w:bCs/>
          <w:sz w:val="22"/>
          <w:szCs w:val="22"/>
        </w:rPr>
        <w:t xml:space="preserve">a </w:t>
      </w:r>
      <w:r w:rsidR="00E27BD3" w:rsidRPr="00FB70B2">
        <w:rPr>
          <w:rFonts w:asciiTheme="minorHAnsi" w:hAnsiTheme="minorHAnsi" w:cstheme="minorHAnsi"/>
          <w:bCs/>
          <w:sz w:val="22"/>
          <w:szCs w:val="22"/>
        </w:rPr>
        <w:t>major</w:t>
      </w:r>
      <w:r w:rsidR="00AD50AE">
        <w:rPr>
          <w:rFonts w:asciiTheme="minorHAnsi" w:hAnsiTheme="minorHAnsi" w:cstheme="minorHAnsi"/>
          <w:bCs/>
          <w:sz w:val="22"/>
          <w:szCs w:val="22"/>
        </w:rPr>
        <w:t xml:space="preserve"> influence on the drivers of</w:t>
      </w:r>
      <w:r w:rsidR="00E27BD3" w:rsidRPr="00FB70B2">
        <w:rPr>
          <w:rFonts w:asciiTheme="minorHAnsi" w:hAnsiTheme="minorHAnsi" w:cstheme="minorHAnsi"/>
          <w:bCs/>
          <w:sz w:val="22"/>
          <w:szCs w:val="22"/>
        </w:rPr>
        <w:t xml:space="preserve"> </w:t>
      </w:r>
      <w:r w:rsidR="002C3B6A" w:rsidRPr="00FB70B2">
        <w:rPr>
          <w:rFonts w:asciiTheme="minorHAnsi" w:hAnsiTheme="minorHAnsi" w:cstheme="minorHAnsi"/>
          <w:bCs/>
          <w:sz w:val="22"/>
          <w:szCs w:val="22"/>
        </w:rPr>
        <w:t xml:space="preserve">behavioural risk factors for </w:t>
      </w:r>
      <w:r w:rsidR="00E27BD3" w:rsidRPr="00FB70B2">
        <w:rPr>
          <w:rFonts w:asciiTheme="minorHAnsi" w:hAnsiTheme="minorHAnsi" w:cstheme="minorHAnsi"/>
          <w:bCs/>
          <w:sz w:val="22"/>
          <w:szCs w:val="22"/>
        </w:rPr>
        <w:t>n</w:t>
      </w:r>
      <w:r w:rsidR="002C3B6A" w:rsidRPr="00FB70B2">
        <w:rPr>
          <w:rFonts w:asciiTheme="minorHAnsi" w:hAnsiTheme="minorHAnsi" w:cstheme="minorHAnsi"/>
          <w:bCs/>
          <w:sz w:val="22"/>
          <w:szCs w:val="22"/>
        </w:rPr>
        <w:t>on</w:t>
      </w:r>
      <w:r w:rsidR="00E27BD3" w:rsidRPr="00FB70B2">
        <w:rPr>
          <w:rFonts w:asciiTheme="minorHAnsi" w:hAnsiTheme="minorHAnsi" w:cstheme="minorHAnsi"/>
          <w:bCs/>
          <w:sz w:val="22"/>
          <w:szCs w:val="22"/>
        </w:rPr>
        <w:t>-c</w:t>
      </w:r>
      <w:r w:rsidR="002C3B6A" w:rsidRPr="00FB70B2">
        <w:rPr>
          <w:rFonts w:asciiTheme="minorHAnsi" w:hAnsiTheme="minorHAnsi" w:cstheme="minorHAnsi"/>
          <w:bCs/>
          <w:sz w:val="22"/>
          <w:szCs w:val="22"/>
        </w:rPr>
        <w:t xml:space="preserve">ommunicable </w:t>
      </w:r>
      <w:r w:rsidR="00E27BD3" w:rsidRPr="00FB70B2">
        <w:rPr>
          <w:rFonts w:asciiTheme="minorHAnsi" w:hAnsiTheme="minorHAnsi" w:cstheme="minorHAnsi"/>
          <w:bCs/>
          <w:sz w:val="22"/>
          <w:szCs w:val="22"/>
        </w:rPr>
        <w:t>d</w:t>
      </w:r>
      <w:r w:rsidR="002C3B6A" w:rsidRPr="00FB70B2">
        <w:rPr>
          <w:rFonts w:asciiTheme="minorHAnsi" w:hAnsiTheme="minorHAnsi" w:cstheme="minorHAnsi"/>
          <w:bCs/>
          <w:sz w:val="22"/>
          <w:szCs w:val="22"/>
        </w:rPr>
        <w:t>iseases</w:t>
      </w:r>
      <w:r w:rsidR="00594C84" w:rsidRPr="00FB70B2">
        <w:rPr>
          <w:rFonts w:asciiTheme="minorHAnsi" w:hAnsiTheme="minorHAnsi" w:cstheme="minorHAnsi"/>
          <w:bCs/>
          <w:sz w:val="22"/>
          <w:szCs w:val="22"/>
        </w:rPr>
        <w:t xml:space="preserve"> (NCDs). </w:t>
      </w:r>
      <w:r w:rsidR="00AD50AE">
        <w:rPr>
          <w:rFonts w:asciiTheme="minorHAnsi" w:hAnsiTheme="minorHAnsi" w:cstheme="minorHAnsi"/>
          <w:bCs/>
          <w:sz w:val="22"/>
          <w:szCs w:val="22"/>
        </w:rPr>
        <w:t>The nature and impact of</w:t>
      </w:r>
      <w:r w:rsidR="00AF7C5C">
        <w:rPr>
          <w:rFonts w:asciiTheme="minorHAnsi" w:hAnsiTheme="minorHAnsi" w:cstheme="minorHAnsi"/>
          <w:bCs/>
          <w:sz w:val="22"/>
          <w:szCs w:val="22"/>
        </w:rPr>
        <w:t xml:space="preserve"> </w:t>
      </w:r>
      <w:r w:rsidR="00493B9A" w:rsidRPr="00FB70B2">
        <w:rPr>
          <w:rFonts w:asciiTheme="minorHAnsi" w:hAnsiTheme="minorHAnsi" w:cstheme="minorHAnsi"/>
          <w:sz w:val="22"/>
          <w:szCs w:val="22"/>
        </w:rPr>
        <w:t>interactions between</w:t>
      </w:r>
      <w:r w:rsidR="00AD50AE">
        <w:rPr>
          <w:rFonts w:asciiTheme="minorHAnsi" w:hAnsiTheme="minorHAnsi" w:cstheme="minorHAnsi"/>
          <w:sz w:val="22"/>
          <w:szCs w:val="22"/>
        </w:rPr>
        <w:t xml:space="preserve"> public bodies and</w:t>
      </w:r>
      <w:r w:rsidR="00493B9A" w:rsidRPr="00FB70B2">
        <w:rPr>
          <w:rFonts w:asciiTheme="minorHAnsi" w:hAnsiTheme="minorHAnsi" w:cstheme="minorHAnsi"/>
          <w:sz w:val="22"/>
          <w:szCs w:val="22"/>
        </w:rPr>
        <w:t xml:space="preserve"> </w:t>
      </w:r>
      <w:r w:rsidR="009D75BB" w:rsidRPr="00FB70B2">
        <w:rPr>
          <w:rFonts w:asciiTheme="minorHAnsi" w:hAnsiTheme="minorHAnsi" w:cstheme="minorHAnsi"/>
          <w:bCs/>
          <w:sz w:val="22"/>
          <w:szCs w:val="22"/>
        </w:rPr>
        <w:t>‘harmful commodity industries’ (HCIs)</w:t>
      </w:r>
      <w:r w:rsidR="009D75BB">
        <w:rPr>
          <w:rFonts w:asciiTheme="minorHAnsi" w:hAnsiTheme="minorHAnsi" w:cstheme="minorHAnsi"/>
          <w:bCs/>
          <w:sz w:val="22"/>
          <w:szCs w:val="22"/>
        </w:rPr>
        <w:t xml:space="preserve"> </w:t>
      </w:r>
      <w:r w:rsidR="00493B9A" w:rsidRPr="00FB70B2">
        <w:rPr>
          <w:rFonts w:asciiTheme="minorHAnsi" w:hAnsiTheme="minorHAnsi" w:cstheme="minorHAnsi"/>
          <w:sz w:val="22"/>
          <w:szCs w:val="22"/>
        </w:rPr>
        <w:t>has been widely recognised and d</w:t>
      </w:r>
      <w:r w:rsidR="00DD61C7">
        <w:rPr>
          <w:rFonts w:asciiTheme="minorHAnsi" w:hAnsiTheme="minorHAnsi" w:cstheme="minorHAnsi"/>
          <w:sz w:val="22"/>
          <w:szCs w:val="22"/>
        </w:rPr>
        <w:t>iscusse</w:t>
      </w:r>
      <w:r w:rsidR="00493B9A" w:rsidRPr="00FB70B2">
        <w:rPr>
          <w:rFonts w:asciiTheme="minorHAnsi" w:hAnsiTheme="minorHAnsi" w:cstheme="minorHAnsi"/>
          <w:sz w:val="22"/>
          <w:szCs w:val="22"/>
        </w:rPr>
        <w:t>d</w:t>
      </w:r>
      <w:r w:rsidR="00AD50AE">
        <w:rPr>
          <w:rFonts w:asciiTheme="minorHAnsi" w:hAnsiTheme="minorHAnsi" w:cstheme="minorHAnsi"/>
          <w:sz w:val="22"/>
          <w:szCs w:val="22"/>
        </w:rPr>
        <w:t xml:space="preserve"> at national and international </w:t>
      </w:r>
      <w:r w:rsidR="005F6968">
        <w:rPr>
          <w:rFonts w:asciiTheme="minorHAnsi" w:hAnsiTheme="minorHAnsi" w:cstheme="minorHAnsi"/>
          <w:sz w:val="22"/>
          <w:szCs w:val="22"/>
        </w:rPr>
        <w:t>levels</w:t>
      </w:r>
      <w:r w:rsidR="006F7442" w:rsidRPr="00FB70B2">
        <w:rPr>
          <w:rFonts w:asciiTheme="minorHAnsi" w:hAnsiTheme="minorHAnsi" w:cstheme="minorHAnsi"/>
          <w:sz w:val="22"/>
          <w:szCs w:val="22"/>
        </w:rPr>
        <w:t>, but</w:t>
      </w:r>
      <w:r w:rsidR="005875D4">
        <w:rPr>
          <w:rFonts w:asciiTheme="minorHAnsi" w:hAnsiTheme="minorHAnsi" w:cstheme="minorHAnsi"/>
          <w:sz w:val="22"/>
          <w:szCs w:val="22"/>
        </w:rPr>
        <w:t xml:space="preserve"> to date</w:t>
      </w:r>
      <w:r w:rsidR="006F7442" w:rsidRPr="00FB70B2">
        <w:rPr>
          <w:rFonts w:asciiTheme="minorHAnsi" w:hAnsiTheme="minorHAnsi" w:cstheme="minorHAnsi"/>
          <w:sz w:val="22"/>
          <w:szCs w:val="22"/>
        </w:rPr>
        <w:t xml:space="preserve"> little is known about such interactions</w:t>
      </w:r>
      <w:r w:rsidR="00AD50AE">
        <w:rPr>
          <w:rFonts w:asciiTheme="minorHAnsi" w:hAnsiTheme="minorHAnsi" w:cstheme="minorHAnsi"/>
          <w:sz w:val="22"/>
          <w:szCs w:val="22"/>
        </w:rPr>
        <w:t xml:space="preserve"> at local or regional government level</w:t>
      </w:r>
      <w:r w:rsidR="005F6968">
        <w:rPr>
          <w:rFonts w:asciiTheme="minorHAnsi" w:hAnsiTheme="minorHAnsi" w:cstheme="minorHAnsi"/>
          <w:sz w:val="22"/>
          <w:szCs w:val="22"/>
        </w:rPr>
        <w:t>s</w:t>
      </w:r>
      <w:r w:rsidR="006F7442" w:rsidRPr="00FB70B2">
        <w:rPr>
          <w:rFonts w:asciiTheme="minorHAnsi" w:hAnsiTheme="minorHAnsi" w:cstheme="minorHAnsi"/>
          <w:sz w:val="22"/>
          <w:szCs w:val="22"/>
        </w:rPr>
        <w:t xml:space="preserve">. </w:t>
      </w:r>
      <w:r w:rsidR="002C3B6A" w:rsidRPr="00FB70B2">
        <w:rPr>
          <w:rFonts w:asciiTheme="minorHAnsi" w:hAnsiTheme="minorHAnsi" w:cstheme="minorHAnsi"/>
          <w:sz w:val="22"/>
          <w:szCs w:val="22"/>
        </w:rPr>
        <w:t xml:space="preserve">This study aimed to </w:t>
      </w:r>
      <w:r w:rsidR="00AD50AE">
        <w:rPr>
          <w:rFonts w:asciiTheme="minorHAnsi" w:hAnsiTheme="minorHAnsi" w:cstheme="minorHAnsi"/>
          <w:sz w:val="22"/>
          <w:szCs w:val="22"/>
        </w:rPr>
        <w:t xml:space="preserve">identify and characterise actual and potential </w:t>
      </w:r>
      <w:r w:rsidR="00DD61C7">
        <w:rPr>
          <w:rFonts w:asciiTheme="minorHAnsi" w:hAnsiTheme="minorHAnsi" w:cstheme="minorHAnsi"/>
          <w:sz w:val="22"/>
          <w:szCs w:val="22"/>
        </w:rPr>
        <w:t>interactions and</w:t>
      </w:r>
      <w:r w:rsidR="008B0BB1">
        <w:rPr>
          <w:rFonts w:asciiTheme="minorHAnsi" w:hAnsiTheme="minorHAnsi" w:cstheme="minorHAnsi"/>
          <w:sz w:val="22"/>
          <w:szCs w:val="22"/>
        </w:rPr>
        <w:t xml:space="preserve"> </w:t>
      </w:r>
      <w:r w:rsidR="002C3B6A" w:rsidRPr="00FB70B2">
        <w:rPr>
          <w:rFonts w:asciiTheme="minorHAnsi" w:hAnsiTheme="minorHAnsi" w:cstheme="minorHAnsi"/>
          <w:sz w:val="22"/>
          <w:szCs w:val="22"/>
        </w:rPr>
        <w:t>propose</w:t>
      </w:r>
      <w:r w:rsidR="00BB58BA">
        <w:rPr>
          <w:rFonts w:asciiTheme="minorHAnsi" w:hAnsiTheme="minorHAnsi" w:cstheme="minorHAnsi"/>
          <w:sz w:val="22"/>
          <w:szCs w:val="22"/>
        </w:rPr>
        <w:t>s</w:t>
      </w:r>
      <w:r w:rsidR="002C3B6A" w:rsidRPr="00FB70B2">
        <w:rPr>
          <w:rFonts w:asciiTheme="minorHAnsi" w:hAnsiTheme="minorHAnsi" w:cstheme="minorHAnsi"/>
          <w:sz w:val="22"/>
          <w:szCs w:val="22"/>
        </w:rPr>
        <w:t xml:space="preserve"> a typology </w:t>
      </w:r>
      <w:r w:rsidR="002C34DB" w:rsidRPr="00FB70B2">
        <w:rPr>
          <w:rFonts w:asciiTheme="minorHAnsi" w:hAnsiTheme="minorHAnsi" w:cstheme="minorHAnsi"/>
          <w:sz w:val="22"/>
          <w:szCs w:val="22"/>
        </w:rPr>
        <w:t>of</w:t>
      </w:r>
      <w:r w:rsidR="002C3B6A" w:rsidRPr="00FB70B2">
        <w:rPr>
          <w:rFonts w:asciiTheme="minorHAnsi" w:hAnsiTheme="minorHAnsi" w:cstheme="minorHAnsi"/>
          <w:sz w:val="22"/>
          <w:szCs w:val="22"/>
        </w:rPr>
        <w:t xml:space="preserve"> interactions between </w:t>
      </w:r>
      <w:r w:rsidR="00B23967" w:rsidRPr="00FB70B2">
        <w:rPr>
          <w:rFonts w:asciiTheme="minorHAnsi" w:hAnsiTheme="minorHAnsi" w:cstheme="minorHAnsi"/>
          <w:sz w:val="22"/>
          <w:szCs w:val="22"/>
        </w:rPr>
        <w:t>HCIs</w:t>
      </w:r>
      <w:r w:rsidR="002C3B6A" w:rsidRPr="00FB70B2">
        <w:rPr>
          <w:rFonts w:asciiTheme="minorHAnsi" w:hAnsiTheme="minorHAnsi" w:cstheme="minorHAnsi"/>
          <w:sz w:val="22"/>
          <w:szCs w:val="22"/>
        </w:rPr>
        <w:t xml:space="preserve"> and English </w:t>
      </w:r>
      <w:r w:rsidR="00ED12EB">
        <w:rPr>
          <w:rFonts w:asciiTheme="minorHAnsi" w:hAnsiTheme="minorHAnsi" w:cstheme="minorHAnsi"/>
          <w:sz w:val="22"/>
          <w:szCs w:val="22"/>
        </w:rPr>
        <w:t>local authorities (</w:t>
      </w:r>
      <w:r w:rsidR="002C3B6A" w:rsidRPr="00FB70B2">
        <w:rPr>
          <w:rFonts w:asciiTheme="minorHAnsi" w:hAnsiTheme="minorHAnsi" w:cstheme="minorHAnsi"/>
          <w:sz w:val="22"/>
          <w:szCs w:val="22"/>
        </w:rPr>
        <w:t>L</w:t>
      </w:r>
      <w:r w:rsidR="00EE4AC5">
        <w:rPr>
          <w:rFonts w:asciiTheme="minorHAnsi" w:hAnsiTheme="minorHAnsi" w:cstheme="minorHAnsi"/>
          <w:sz w:val="22"/>
          <w:szCs w:val="22"/>
        </w:rPr>
        <w:t>A</w:t>
      </w:r>
      <w:r w:rsidR="002C3B6A" w:rsidRPr="00FB70B2">
        <w:rPr>
          <w:rFonts w:asciiTheme="minorHAnsi" w:hAnsiTheme="minorHAnsi" w:cstheme="minorHAnsi"/>
          <w:sz w:val="22"/>
          <w:szCs w:val="22"/>
        </w:rPr>
        <w:t>s</w:t>
      </w:r>
      <w:r w:rsidR="00ED12EB">
        <w:rPr>
          <w:rFonts w:asciiTheme="minorHAnsi" w:hAnsiTheme="minorHAnsi" w:cstheme="minorHAnsi"/>
          <w:sz w:val="22"/>
          <w:szCs w:val="22"/>
        </w:rPr>
        <w:t>)</w:t>
      </w:r>
      <w:r w:rsidR="002C3B6A" w:rsidRPr="00FB70B2">
        <w:rPr>
          <w:rFonts w:asciiTheme="minorHAnsi" w:hAnsiTheme="minorHAnsi" w:cstheme="minorHAnsi"/>
          <w:sz w:val="22"/>
          <w:szCs w:val="22"/>
        </w:rPr>
        <w:t>.</w:t>
      </w:r>
    </w:p>
    <w:p w14:paraId="497CC036" w14:textId="77777777" w:rsidR="002C3B6A" w:rsidRPr="004F3CBD" w:rsidRDefault="002C3B6A" w:rsidP="002C3B6A">
      <w:pPr>
        <w:pStyle w:val="NormalWeb"/>
        <w:shd w:val="clear" w:color="auto" w:fill="FFFFFF"/>
        <w:spacing w:before="0" w:after="0" w:line="360" w:lineRule="auto"/>
        <w:jc w:val="both"/>
        <w:textAlignment w:val="baseline"/>
        <w:rPr>
          <w:rFonts w:asciiTheme="minorHAnsi" w:hAnsiTheme="minorHAnsi" w:cs="Arial"/>
          <w:b/>
          <w:sz w:val="22"/>
          <w:szCs w:val="22"/>
        </w:rPr>
      </w:pPr>
      <w:r w:rsidRPr="004047AF">
        <w:rPr>
          <w:rFonts w:asciiTheme="minorHAnsi" w:hAnsiTheme="minorHAnsi" w:cs="Arial"/>
          <w:b/>
          <w:sz w:val="22"/>
          <w:szCs w:val="22"/>
        </w:rPr>
        <w:t>Methods</w:t>
      </w:r>
    </w:p>
    <w:p w14:paraId="51E6ACE3" w14:textId="1433A6B4" w:rsidR="002C3B6A" w:rsidRPr="004047AF" w:rsidRDefault="00AD50AE" w:rsidP="002C3B6A">
      <w:pPr>
        <w:pStyle w:val="NormalWeb"/>
        <w:shd w:val="clear" w:color="auto" w:fill="FFFFFF"/>
        <w:spacing w:before="0" w:after="0" w:line="360" w:lineRule="auto"/>
        <w:jc w:val="both"/>
        <w:textAlignment w:val="baseline"/>
        <w:rPr>
          <w:rFonts w:asciiTheme="minorHAnsi" w:hAnsiTheme="minorHAnsi" w:cs="Arial"/>
          <w:bCs/>
          <w:sz w:val="22"/>
          <w:szCs w:val="22"/>
        </w:rPr>
      </w:pPr>
      <w:r w:rsidRPr="004F3CBD">
        <w:rPr>
          <w:rFonts w:asciiTheme="minorHAnsi" w:hAnsiTheme="minorHAnsi" w:cs="Arial"/>
          <w:bCs/>
          <w:sz w:val="22"/>
          <w:szCs w:val="22"/>
        </w:rPr>
        <w:t>Five electronic databases</w:t>
      </w:r>
      <w:r w:rsidR="0093558C" w:rsidRPr="004F3CBD">
        <w:rPr>
          <w:rFonts w:asciiTheme="minorHAnsi" w:hAnsiTheme="minorHAnsi" w:cs="Arial"/>
          <w:bCs/>
          <w:sz w:val="22"/>
          <w:szCs w:val="22"/>
        </w:rPr>
        <w:t xml:space="preserve"> covering international literature</w:t>
      </w:r>
      <w:r w:rsidRPr="004F3CBD">
        <w:rPr>
          <w:rFonts w:asciiTheme="minorHAnsi" w:hAnsiTheme="minorHAnsi" w:cs="Arial"/>
          <w:bCs/>
          <w:sz w:val="22"/>
          <w:szCs w:val="22"/>
        </w:rPr>
        <w:t xml:space="preserve"> (PubMed, EBSCO, OVID, Scopus and Web of Science) were searched up to June 2021</w:t>
      </w:r>
      <w:r w:rsidR="00F07C01" w:rsidRPr="004F3CBD">
        <w:rPr>
          <w:rFonts w:asciiTheme="minorHAnsi" w:hAnsiTheme="minorHAnsi" w:cs="Arial"/>
          <w:bCs/>
          <w:sz w:val="22"/>
          <w:szCs w:val="22"/>
        </w:rPr>
        <w:t xml:space="preserve"> (PROSPERO:</w:t>
      </w:r>
      <w:r w:rsidR="00F07C01" w:rsidRPr="004F3CBD">
        <w:t xml:space="preserve"> </w:t>
      </w:r>
      <w:r w:rsidR="00F07C01" w:rsidRPr="004F3CBD">
        <w:rPr>
          <w:rFonts w:asciiTheme="minorHAnsi" w:hAnsiTheme="minorHAnsi" w:cs="Arial"/>
          <w:bCs/>
          <w:sz w:val="22"/>
          <w:szCs w:val="22"/>
        </w:rPr>
        <w:t>CRD42021257311)</w:t>
      </w:r>
      <w:r w:rsidRPr="004F3CBD">
        <w:rPr>
          <w:rFonts w:asciiTheme="minorHAnsi" w:hAnsiTheme="minorHAnsi" w:cs="Arial"/>
          <w:bCs/>
          <w:sz w:val="22"/>
          <w:szCs w:val="22"/>
        </w:rPr>
        <w:t>. We also performed online searches for publicly available, web-based grey literature</w:t>
      </w:r>
      <w:r w:rsidR="00F07C01" w:rsidRPr="004F3CBD">
        <w:rPr>
          <w:rFonts w:asciiTheme="minorHAnsi" w:hAnsiTheme="minorHAnsi" w:cs="Arial"/>
          <w:bCs/>
          <w:sz w:val="22"/>
          <w:szCs w:val="22"/>
        </w:rPr>
        <w:t xml:space="preserve"> and documented examples of interactions</w:t>
      </w:r>
      <w:r w:rsidR="0093558C" w:rsidRPr="004F3CBD">
        <w:rPr>
          <w:rFonts w:asciiTheme="minorHAnsi" w:hAnsiTheme="minorHAnsi" w:cs="Arial"/>
          <w:bCs/>
          <w:sz w:val="22"/>
          <w:szCs w:val="22"/>
        </w:rPr>
        <w:t xml:space="preserve"> in an English LA context</w:t>
      </w:r>
      <w:r w:rsidRPr="004F3CBD">
        <w:rPr>
          <w:rFonts w:asciiTheme="minorHAnsi" w:hAnsiTheme="minorHAnsi" w:cs="Arial"/>
          <w:bCs/>
          <w:sz w:val="22"/>
          <w:szCs w:val="22"/>
        </w:rPr>
        <w:t xml:space="preserve">. </w:t>
      </w:r>
      <w:r w:rsidR="002C3B6A" w:rsidRPr="004F3CBD">
        <w:rPr>
          <w:rFonts w:asciiTheme="minorHAnsi" w:hAnsiTheme="minorHAnsi" w:cs="Arial"/>
          <w:bCs/>
          <w:sz w:val="22"/>
          <w:szCs w:val="22"/>
        </w:rPr>
        <w:t>We</w:t>
      </w:r>
      <w:r w:rsidR="00496D62" w:rsidRPr="004F3CBD">
        <w:rPr>
          <w:rFonts w:asciiTheme="minorHAnsi" w:hAnsiTheme="minorHAnsi" w:cs="Arial"/>
          <w:bCs/>
          <w:sz w:val="22"/>
          <w:szCs w:val="22"/>
        </w:rPr>
        <w:t xml:space="preserve"> </w:t>
      </w:r>
      <w:r w:rsidRPr="004F3CBD">
        <w:rPr>
          <w:rFonts w:asciiTheme="minorHAnsi" w:hAnsiTheme="minorHAnsi" w:cs="Arial"/>
          <w:bCs/>
          <w:sz w:val="22"/>
          <w:szCs w:val="22"/>
        </w:rPr>
        <w:t>c</w:t>
      </w:r>
      <w:r w:rsidR="002C3B6A" w:rsidRPr="004F3CBD">
        <w:rPr>
          <w:rFonts w:asciiTheme="minorHAnsi" w:hAnsiTheme="minorHAnsi" w:cs="Arial"/>
          <w:bCs/>
          <w:sz w:val="22"/>
          <w:szCs w:val="22"/>
        </w:rPr>
        <w:t xml:space="preserve">onducted a </w:t>
      </w:r>
      <w:r w:rsidR="00E27BD3" w:rsidRPr="004F3CBD">
        <w:rPr>
          <w:rFonts w:asciiTheme="minorHAnsi" w:hAnsiTheme="minorHAnsi" w:cs="Arial"/>
          <w:bCs/>
          <w:sz w:val="22"/>
          <w:szCs w:val="22"/>
        </w:rPr>
        <w:t>c</w:t>
      </w:r>
      <w:r w:rsidR="002C3B6A" w:rsidRPr="004F3CBD">
        <w:rPr>
          <w:rFonts w:asciiTheme="minorHAnsi" w:hAnsiTheme="minorHAnsi" w:cs="Arial"/>
          <w:bCs/>
          <w:sz w:val="22"/>
          <w:szCs w:val="22"/>
        </w:rPr>
        <w:t xml:space="preserve">ritical </w:t>
      </w:r>
      <w:r w:rsidR="00E27BD3" w:rsidRPr="004F3CBD">
        <w:rPr>
          <w:rFonts w:asciiTheme="minorHAnsi" w:hAnsiTheme="minorHAnsi" w:cs="Arial"/>
          <w:bCs/>
          <w:sz w:val="22"/>
          <w:szCs w:val="22"/>
        </w:rPr>
        <w:t>i</w:t>
      </w:r>
      <w:r w:rsidR="002C3B6A" w:rsidRPr="004F3CBD">
        <w:rPr>
          <w:rFonts w:asciiTheme="minorHAnsi" w:hAnsiTheme="minorHAnsi" w:cs="Arial"/>
          <w:bCs/>
          <w:sz w:val="22"/>
          <w:szCs w:val="22"/>
        </w:rPr>
        <w:t xml:space="preserve">nterpretive </w:t>
      </w:r>
      <w:r w:rsidR="00E27BD3" w:rsidRPr="004F3CBD">
        <w:rPr>
          <w:rFonts w:asciiTheme="minorHAnsi" w:hAnsiTheme="minorHAnsi" w:cs="Arial"/>
          <w:bCs/>
          <w:sz w:val="22"/>
          <w:szCs w:val="22"/>
        </w:rPr>
        <w:t>s</w:t>
      </w:r>
      <w:r w:rsidR="002C3B6A" w:rsidRPr="004F3CBD">
        <w:rPr>
          <w:rFonts w:asciiTheme="minorHAnsi" w:hAnsiTheme="minorHAnsi" w:cs="Arial"/>
          <w:bCs/>
          <w:sz w:val="22"/>
          <w:szCs w:val="22"/>
        </w:rPr>
        <w:t xml:space="preserve">ynthesis </w:t>
      </w:r>
      <w:r w:rsidR="002C3B6A" w:rsidRPr="004047AF">
        <w:rPr>
          <w:rFonts w:asciiTheme="minorHAnsi" w:hAnsiTheme="minorHAnsi" w:cs="Arial"/>
          <w:bCs/>
          <w:sz w:val="22"/>
          <w:szCs w:val="22"/>
        </w:rPr>
        <w:t>of the published and grey literature</w:t>
      </w:r>
      <w:r w:rsidR="00F07C01">
        <w:rPr>
          <w:rFonts w:asciiTheme="minorHAnsi" w:hAnsiTheme="minorHAnsi" w:cs="Arial"/>
          <w:bCs/>
          <w:sz w:val="22"/>
          <w:szCs w:val="22"/>
        </w:rPr>
        <w:t xml:space="preserve"> to integrate and conceptualise the</w:t>
      </w:r>
      <w:r w:rsidR="002C3B6A" w:rsidRPr="004047AF">
        <w:rPr>
          <w:rFonts w:asciiTheme="minorHAnsi" w:hAnsiTheme="minorHAnsi" w:cs="Arial"/>
          <w:bCs/>
          <w:sz w:val="22"/>
          <w:szCs w:val="22"/>
        </w:rPr>
        <w:t xml:space="preserve"> data </w:t>
      </w:r>
      <w:r w:rsidR="00F07C01">
        <w:rPr>
          <w:rFonts w:asciiTheme="minorHAnsi" w:hAnsiTheme="minorHAnsi" w:cs="Arial"/>
          <w:bCs/>
          <w:sz w:val="22"/>
          <w:szCs w:val="22"/>
        </w:rPr>
        <w:t xml:space="preserve">in the </w:t>
      </w:r>
      <w:r w:rsidR="002C3B6A" w:rsidRPr="004047AF">
        <w:rPr>
          <w:rFonts w:asciiTheme="minorHAnsi" w:hAnsiTheme="minorHAnsi" w:cs="Arial"/>
          <w:bCs/>
          <w:sz w:val="22"/>
          <w:szCs w:val="22"/>
        </w:rPr>
        <w:t>context</w:t>
      </w:r>
      <w:r w:rsidR="003B7731">
        <w:rPr>
          <w:rFonts w:asciiTheme="minorHAnsi" w:hAnsiTheme="minorHAnsi" w:cs="Arial"/>
          <w:bCs/>
          <w:sz w:val="22"/>
          <w:szCs w:val="22"/>
        </w:rPr>
        <w:t xml:space="preserve"> of English LAs</w:t>
      </w:r>
      <w:r w:rsidR="002C3B6A" w:rsidRPr="004047AF">
        <w:rPr>
          <w:rFonts w:asciiTheme="minorHAnsi" w:hAnsiTheme="minorHAnsi" w:cs="Arial"/>
          <w:bCs/>
          <w:sz w:val="22"/>
          <w:szCs w:val="22"/>
        </w:rPr>
        <w:t xml:space="preserve">. </w:t>
      </w:r>
    </w:p>
    <w:p w14:paraId="19834F11" w14:textId="77777777" w:rsidR="002C3B6A" w:rsidRPr="004047AF" w:rsidRDefault="002C3B6A" w:rsidP="002C3B6A">
      <w:pPr>
        <w:pStyle w:val="NormalWeb"/>
        <w:shd w:val="clear" w:color="auto" w:fill="FFFFFF"/>
        <w:spacing w:before="0" w:after="0" w:line="360" w:lineRule="auto"/>
        <w:jc w:val="both"/>
        <w:textAlignment w:val="baseline"/>
        <w:rPr>
          <w:rFonts w:asciiTheme="minorHAnsi" w:hAnsiTheme="minorHAnsi" w:cs="Arial"/>
          <w:b/>
          <w:sz w:val="22"/>
          <w:szCs w:val="22"/>
        </w:rPr>
      </w:pPr>
      <w:r w:rsidRPr="004047AF">
        <w:rPr>
          <w:rFonts w:asciiTheme="minorHAnsi" w:hAnsiTheme="minorHAnsi" w:cs="Arial"/>
          <w:b/>
          <w:sz w:val="22"/>
          <w:szCs w:val="22"/>
        </w:rPr>
        <w:t>Results</w:t>
      </w:r>
    </w:p>
    <w:p w14:paraId="5D7D0768" w14:textId="17060D05" w:rsidR="002C3B6A" w:rsidRPr="004047AF" w:rsidRDefault="00E673ED" w:rsidP="002C3B6A">
      <w:pPr>
        <w:pStyle w:val="NormalWeb"/>
        <w:shd w:val="clear" w:color="auto" w:fill="FFFFFF"/>
        <w:spacing w:before="0" w:after="0" w:line="360" w:lineRule="auto"/>
        <w:jc w:val="both"/>
        <w:textAlignment w:val="baseline"/>
        <w:rPr>
          <w:rFonts w:asciiTheme="minorHAnsi" w:hAnsiTheme="minorHAnsi" w:cs="Arial"/>
          <w:bCs/>
          <w:sz w:val="22"/>
          <w:szCs w:val="22"/>
        </w:rPr>
      </w:pPr>
      <w:r>
        <w:rPr>
          <w:rFonts w:asciiTheme="minorHAnsi" w:hAnsiTheme="minorHAnsi" w:cs="Arial"/>
          <w:bCs/>
          <w:sz w:val="22"/>
          <w:szCs w:val="22"/>
        </w:rPr>
        <w:t xml:space="preserve">We included </w:t>
      </w:r>
      <w:r w:rsidR="002C3B6A" w:rsidRPr="004047AF">
        <w:rPr>
          <w:rFonts w:asciiTheme="minorHAnsi" w:hAnsiTheme="minorHAnsi" w:cs="Arial"/>
          <w:bCs/>
          <w:sz w:val="22"/>
          <w:szCs w:val="22"/>
        </w:rPr>
        <w:t xml:space="preserve">47 published papers to provide </w:t>
      </w:r>
      <w:r w:rsidR="002C3B6A">
        <w:rPr>
          <w:rFonts w:asciiTheme="minorHAnsi" w:hAnsiTheme="minorHAnsi" w:cs="Arial"/>
          <w:bCs/>
          <w:sz w:val="22"/>
          <w:szCs w:val="22"/>
        </w:rPr>
        <w:t>the frame</w:t>
      </w:r>
      <w:r w:rsidR="002C3B6A" w:rsidRPr="004047AF">
        <w:rPr>
          <w:rFonts w:asciiTheme="minorHAnsi" w:hAnsiTheme="minorHAnsi" w:cs="Arial"/>
          <w:bCs/>
          <w:sz w:val="22"/>
          <w:szCs w:val="22"/>
        </w:rPr>
        <w:t xml:space="preserve"> for the typology</w:t>
      </w:r>
      <w:r w:rsidR="00AF3527">
        <w:rPr>
          <w:rFonts w:asciiTheme="minorHAnsi" w:hAnsiTheme="minorHAnsi" w:cs="Arial"/>
          <w:bCs/>
          <w:sz w:val="22"/>
          <w:szCs w:val="22"/>
        </w:rPr>
        <w:t>, which was refined and contextualised</w:t>
      </w:r>
      <w:r w:rsidR="0093558C">
        <w:rPr>
          <w:rFonts w:asciiTheme="minorHAnsi" w:hAnsiTheme="minorHAnsi" w:cs="Arial"/>
          <w:bCs/>
          <w:sz w:val="22"/>
          <w:szCs w:val="22"/>
        </w:rPr>
        <w:t xml:space="preserve"> for English LAs</w:t>
      </w:r>
      <w:r w:rsidR="00AF3527">
        <w:rPr>
          <w:rFonts w:asciiTheme="minorHAnsi" w:hAnsiTheme="minorHAnsi" w:cs="Arial"/>
          <w:bCs/>
          <w:sz w:val="22"/>
          <w:szCs w:val="22"/>
        </w:rPr>
        <w:t xml:space="preserve"> through</w:t>
      </w:r>
      <w:r w:rsidR="002C3B6A" w:rsidRPr="004047AF">
        <w:rPr>
          <w:rFonts w:asciiTheme="minorHAnsi" w:hAnsiTheme="minorHAnsi" w:cs="Arial"/>
          <w:bCs/>
          <w:sz w:val="22"/>
          <w:szCs w:val="22"/>
        </w:rPr>
        <w:t xml:space="preserve"> </w:t>
      </w:r>
      <w:r w:rsidR="008B0BB1">
        <w:rPr>
          <w:rFonts w:asciiTheme="minorHAnsi" w:hAnsiTheme="minorHAnsi" w:cs="Arial"/>
          <w:bCs/>
          <w:sz w:val="22"/>
          <w:szCs w:val="22"/>
        </w:rPr>
        <w:t xml:space="preserve">the </w:t>
      </w:r>
      <w:r w:rsidR="00EB5071">
        <w:rPr>
          <w:rFonts w:asciiTheme="minorHAnsi" w:hAnsiTheme="minorHAnsi" w:cs="Arial"/>
          <w:bCs/>
          <w:sz w:val="22"/>
          <w:szCs w:val="22"/>
        </w:rPr>
        <w:t xml:space="preserve">available </w:t>
      </w:r>
      <w:r w:rsidR="00AF3527">
        <w:rPr>
          <w:rFonts w:asciiTheme="minorHAnsi" w:hAnsiTheme="minorHAnsi" w:cs="Arial"/>
          <w:bCs/>
          <w:sz w:val="22"/>
          <w:szCs w:val="22"/>
        </w:rPr>
        <w:t>grey literature</w:t>
      </w:r>
      <w:r w:rsidR="002C3B6A" w:rsidRPr="004047AF">
        <w:rPr>
          <w:rFonts w:asciiTheme="minorHAnsi" w:hAnsiTheme="minorHAnsi" w:cs="Arial"/>
          <w:bCs/>
          <w:sz w:val="22"/>
          <w:szCs w:val="22"/>
        </w:rPr>
        <w:t xml:space="preserve">. </w:t>
      </w:r>
      <w:r w:rsidR="00EE4AC5">
        <w:rPr>
          <w:rFonts w:asciiTheme="minorHAnsi" w:hAnsiTheme="minorHAnsi" w:cs="Arial"/>
          <w:bCs/>
          <w:sz w:val="22"/>
          <w:szCs w:val="22"/>
        </w:rPr>
        <w:t xml:space="preserve">Three </w:t>
      </w:r>
      <w:r w:rsidR="002C3B6A" w:rsidRPr="004047AF">
        <w:rPr>
          <w:rFonts w:asciiTheme="minorHAnsi" w:hAnsiTheme="minorHAnsi" w:cs="Arial"/>
          <w:bCs/>
          <w:sz w:val="22"/>
          <w:szCs w:val="22"/>
        </w:rPr>
        <w:t>categories</w:t>
      </w:r>
      <w:r w:rsidR="002C3B6A">
        <w:rPr>
          <w:rFonts w:asciiTheme="minorHAnsi" w:hAnsiTheme="minorHAnsi" w:cs="Arial"/>
          <w:bCs/>
          <w:sz w:val="22"/>
          <w:szCs w:val="22"/>
        </w:rPr>
        <w:t xml:space="preserve"> </w:t>
      </w:r>
      <w:r w:rsidR="00802515">
        <w:rPr>
          <w:rFonts w:asciiTheme="minorHAnsi" w:hAnsiTheme="minorHAnsi" w:cs="Arial"/>
          <w:bCs/>
          <w:sz w:val="22"/>
          <w:szCs w:val="22"/>
        </w:rPr>
        <w:t>were developed</w:t>
      </w:r>
      <w:r w:rsidR="00E3745F">
        <w:rPr>
          <w:rFonts w:asciiTheme="minorHAnsi" w:hAnsiTheme="minorHAnsi" w:cs="Arial"/>
          <w:bCs/>
          <w:sz w:val="22"/>
          <w:szCs w:val="22"/>
        </w:rPr>
        <w:t>,</w:t>
      </w:r>
      <w:r w:rsidR="00EE4AC5">
        <w:rPr>
          <w:rFonts w:asciiTheme="minorHAnsi" w:hAnsiTheme="minorHAnsi" w:cs="Arial"/>
          <w:bCs/>
          <w:sz w:val="22"/>
          <w:szCs w:val="22"/>
        </w:rPr>
        <w:t xml:space="preserve"> </w:t>
      </w:r>
      <w:r>
        <w:rPr>
          <w:rFonts w:asciiTheme="minorHAnsi" w:hAnsiTheme="minorHAnsi" w:cs="Arial"/>
          <w:bCs/>
          <w:sz w:val="22"/>
          <w:szCs w:val="22"/>
        </w:rPr>
        <w:t>describing the</w:t>
      </w:r>
      <w:r w:rsidR="002C3B6A" w:rsidRPr="004047AF">
        <w:rPr>
          <w:rFonts w:asciiTheme="minorHAnsi" w:hAnsiTheme="minorHAnsi" w:cs="Arial"/>
          <w:bCs/>
          <w:sz w:val="22"/>
          <w:szCs w:val="22"/>
        </w:rPr>
        <w:t xml:space="preserve"> </w:t>
      </w:r>
      <w:r w:rsidR="002C3B6A" w:rsidRPr="00FE3BC4">
        <w:rPr>
          <w:rFonts w:asciiTheme="minorHAnsi" w:hAnsiTheme="minorHAnsi" w:cs="Arial"/>
          <w:bCs/>
          <w:sz w:val="22"/>
          <w:szCs w:val="22"/>
        </w:rPr>
        <w:t xml:space="preserve">medium through which interactions </w:t>
      </w:r>
      <w:r w:rsidRPr="00FE3BC4">
        <w:rPr>
          <w:rFonts w:asciiTheme="minorHAnsi" w:hAnsiTheme="minorHAnsi" w:cs="Arial"/>
          <w:bCs/>
          <w:sz w:val="22"/>
          <w:szCs w:val="22"/>
        </w:rPr>
        <w:t>occur</w:t>
      </w:r>
      <w:r w:rsidR="002C3B6A">
        <w:rPr>
          <w:rFonts w:asciiTheme="minorHAnsi" w:hAnsiTheme="minorHAnsi" w:cs="Arial"/>
          <w:bCs/>
          <w:sz w:val="22"/>
          <w:szCs w:val="22"/>
        </w:rPr>
        <w:t>:</w:t>
      </w:r>
      <w:r w:rsidR="002C3B6A" w:rsidRPr="00FE3BC4">
        <w:rPr>
          <w:rFonts w:asciiTheme="minorHAnsi" w:hAnsiTheme="minorHAnsi" w:cs="Arial"/>
          <w:bCs/>
          <w:sz w:val="22"/>
          <w:szCs w:val="22"/>
        </w:rPr>
        <w:t xml:space="preserve"> (1) </w:t>
      </w:r>
      <w:r w:rsidR="004A7908">
        <w:rPr>
          <w:rFonts w:asciiTheme="minorHAnsi" w:hAnsiTheme="minorHAnsi" w:cs="Arial"/>
          <w:bCs/>
          <w:sz w:val="22"/>
          <w:szCs w:val="22"/>
        </w:rPr>
        <w:t xml:space="preserve">direct </w:t>
      </w:r>
      <w:r w:rsidR="002C3B6A" w:rsidRPr="00FE3BC4">
        <w:rPr>
          <w:rFonts w:asciiTheme="minorHAnsi" w:hAnsiTheme="minorHAnsi" w:cs="Arial"/>
          <w:bCs/>
          <w:sz w:val="22"/>
          <w:szCs w:val="22"/>
        </w:rPr>
        <w:t>involvement with LA</w:t>
      </w:r>
      <w:r w:rsidR="004A7908">
        <w:rPr>
          <w:rFonts w:asciiTheme="minorHAnsi" w:hAnsiTheme="minorHAnsi" w:cs="Arial"/>
          <w:bCs/>
          <w:sz w:val="22"/>
          <w:szCs w:val="22"/>
        </w:rPr>
        <w:t>s</w:t>
      </w:r>
      <w:r w:rsidR="002C3B6A" w:rsidRPr="00FE3BC4">
        <w:rPr>
          <w:rFonts w:asciiTheme="minorHAnsi" w:hAnsiTheme="minorHAnsi" w:cs="Arial"/>
          <w:bCs/>
          <w:sz w:val="22"/>
          <w:szCs w:val="22"/>
        </w:rPr>
        <w:t>, (2) involvement through intermediar</w:t>
      </w:r>
      <w:r w:rsidR="005B71A3">
        <w:rPr>
          <w:rFonts w:asciiTheme="minorHAnsi" w:hAnsiTheme="minorHAnsi" w:cs="Arial"/>
          <w:bCs/>
          <w:sz w:val="22"/>
          <w:szCs w:val="22"/>
        </w:rPr>
        <w:t>ies</w:t>
      </w:r>
      <w:r w:rsidR="002C3B6A" w:rsidRPr="00FE3BC4">
        <w:rPr>
          <w:rFonts w:asciiTheme="minorHAnsi" w:hAnsiTheme="minorHAnsi" w:cs="Arial"/>
          <w:bCs/>
          <w:sz w:val="22"/>
          <w:szCs w:val="22"/>
        </w:rPr>
        <w:t xml:space="preserve">, and (3) involvement through the </w:t>
      </w:r>
      <w:r w:rsidR="000450D2">
        <w:rPr>
          <w:rFonts w:asciiTheme="minorHAnsi" w:hAnsiTheme="minorHAnsi" w:cs="Arial"/>
          <w:bCs/>
          <w:sz w:val="22"/>
          <w:szCs w:val="22"/>
        </w:rPr>
        <w:t xml:space="preserve">local </w:t>
      </w:r>
      <w:r w:rsidR="002C3B6A" w:rsidRPr="00FE3BC4">
        <w:rPr>
          <w:rFonts w:asciiTheme="minorHAnsi" w:hAnsiTheme="minorHAnsi" w:cs="Arial"/>
          <w:bCs/>
          <w:sz w:val="22"/>
          <w:szCs w:val="22"/>
        </w:rPr>
        <w:t>knowledge space</w:t>
      </w:r>
      <w:r w:rsidR="00540CBE">
        <w:rPr>
          <w:rFonts w:asciiTheme="minorHAnsi" w:hAnsiTheme="minorHAnsi" w:cs="Arial"/>
          <w:bCs/>
          <w:sz w:val="22"/>
          <w:szCs w:val="22"/>
        </w:rPr>
        <w:t>. Within th</w:t>
      </w:r>
      <w:r w:rsidR="00967990">
        <w:rPr>
          <w:rFonts w:asciiTheme="minorHAnsi" w:hAnsiTheme="minorHAnsi" w:cs="Arial"/>
          <w:bCs/>
          <w:sz w:val="22"/>
          <w:szCs w:val="22"/>
        </w:rPr>
        <w:t>e</w:t>
      </w:r>
      <w:r w:rsidR="00540CBE">
        <w:rPr>
          <w:rFonts w:asciiTheme="minorHAnsi" w:hAnsiTheme="minorHAnsi" w:cs="Arial"/>
          <w:bCs/>
          <w:sz w:val="22"/>
          <w:szCs w:val="22"/>
        </w:rPr>
        <w:t>s</w:t>
      </w:r>
      <w:r w:rsidR="00967990">
        <w:rPr>
          <w:rFonts w:asciiTheme="minorHAnsi" w:hAnsiTheme="minorHAnsi" w:cs="Arial"/>
          <w:bCs/>
          <w:sz w:val="22"/>
          <w:szCs w:val="22"/>
        </w:rPr>
        <w:t>e</w:t>
      </w:r>
      <w:r w:rsidR="00540CBE">
        <w:rPr>
          <w:rFonts w:asciiTheme="minorHAnsi" w:hAnsiTheme="minorHAnsi" w:cs="Arial"/>
          <w:bCs/>
          <w:sz w:val="22"/>
          <w:szCs w:val="22"/>
        </w:rPr>
        <w:t xml:space="preserve">, we grouped interactions into </w:t>
      </w:r>
      <w:r w:rsidR="005B71A3">
        <w:rPr>
          <w:rFonts w:asciiTheme="minorHAnsi" w:hAnsiTheme="minorHAnsi" w:cs="Arial"/>
          <w:bCs/>
          <w:sz w:val="22"/>
          <w:szCs w:val="22"/>
        </w:rPr>
        <w:t xml:space="preserve">ten </w:t>
      </w:r>
      <w:r w:rsidR="00540CBE">
        <w:rPr>
          <w:rFonts w:asciiTheme="minorHAnsi" w:hAnsiTheme="minorHAnsi" w:cs="Arial"/>
          <w:bCs/>
          <w:sz w:val="22"/>
          <w:szCs w:val="22"/>
        </w:rPr>
        <w:t xml:space="preserve">themes defining their nature and </w:t>
      </w:r>
      <w:r w:rsidR="00ED12EB">
        <w:rPr>
          <w:rFonts w:asciiTheme="minorHAnsi" w:hAnsiTheme="minorHAnsi" w:cs="Arial"/>
          <w:bCs/>
          <w:sz w:val="22"/>
          <w:szCs w:val="22"/>
        </w:rPr>
        <w:t xml:space="preserve">identified </w:t>
      </w:r>
      <w:r w:rsidR="001778F0">
        <w:rPr>
          <w:rFonts w:asciiTheme="minorHAnsi" w:hAnsiTheme="minorHAnsi" w:cs="Arial"/>
          <w:bCs/>
          <w:sz w:val="22"/>
          <w:szCs w:val="22"/>
        </w:rPr>
        <w:t xml:space="preserve">illustrative </w:t>
      </w:r>
      <w:r w:rsidR="00540CBE">
        <w:rPr>
          <w:rFonts w:asciiTheme="minorHAnsi" w:hAnsiTheme="minorHAnsi" w:cs="Arial"/>
          <w:bCs/>
          <w:sz w:val="22"/>
          <w:szCs w:val="22"/>
        </w:rPr>
        <w:t>examples</w:t>
      </w:r>
      <w:r w:rsidR="002C3B6A">
        <w:rPr>
          <w:rFonts w:asciiTheme="minorHAnsi" w:hAnsiTheme="minorHAnsi" w:cs="Arial"/>
          <w:bCs/>
          <w:sz w:val="22"/>
          <w:szCs w:val="22"/>
        </w:rPr>
        <w:t xml:space="preserve">. </w:t>
      </w:r>
    </w:p>
    <w:p w14:paraId="2091FE85" w14:textId="77777777" w:rsidR="002C3B6A" w:rsidRPr="004047AF" w:rsidRDefault="002C3B6A" w:rsidP="002C3B6A">
      <w:pPr>
        <w:pStyle w:val="NormalWeb"/>
        <w:shd w:val="clear" w:color="auto" w:fill="FFFFFF"/>
        <w:spacing w:line="360" w:lineRule="auto"/>
        <w:jc w:val="both"/>
        <w:textAlignment w:val="baseline"/>
        <w:rPr>
          <w:rFonts w:asciiTheme="minorHAnsi" w:hAnsiTheme="minorHAnsi" w:cs="Arial"/>
          <w:b/>
          <w:sz w:val="22"/>
          <w:szCs w:val="22"/>
        </w:rPr>
      </w:pPr>
      <w:r w:rsidRPr="004047AF">
        <w:rPr>
          <w:rFonts w:asciiTheme="minorHAnsi" w:hAnsiTheme="minorHAnsi" w:cs="Arial"/>
          <w:b/>
          <w:sz w:val="22"/>
          <w:szCs w:val="22"/>
        </w:rPr>
        <w:t>Conclusion</w:t>
      </w:r>
    </w:p>
    <w:p w14:paraId="205BA670" w14:textId="02B6E494" w:rsidR="00932EC2" w:rsidRPr="00932EC2" w:rsidRDefault="00540CBE" w:rsidP="00FD0902">
      <w:pPr>
        <w:pStyle w:val="NormalWeb"/>
        <w:shd w:val="clear" w:color="auto" w:fill="FFFFFF"/>
        <w:spacing w:line="360" w:lineRule="auto"/>
        <w:jc w:val="both"/>
        <w:textAlignment w:val="baseline"/>
        <w:rPr>
          <w:rFonts w:asciiTheme="minorHAnsi" w:hAnsiTheme="minorHAnsi" w:cs="Arial"/>
          <w:b/>
          <w:color w:val="FF0000"/>
          <w:sz w:val="22"/>
          <w:szCs w:val="22"/>
        </w:rPr>
      </w:pPr>
      <w:r>
        <w:rPr>
          <w:rFonts w:asciiTheme="minorHAnsi" w:hAnsiTheme="minorHAnsi" w:cs="Arial"/>
          <w:bCs/>
          <w:sz w:val="22"/>
          <w:szCs w:val="22"/>
        </w:rPr>
        <w:t>Our typology</w:t>
      </w:r>
      <w:r w:rsidR="00191E56">
        <w:rPr>
          <w:rFonts w:asciiTheme="minorHAnsi" w:hAnsiTheme="minorHAnsi" w:cs="Arial"/>
          <w:bCs/>
          <w:sz w:val="22"/>
          <w:szCs w:val="22"/>
        </w:rPr>
        <w:t xml:space="preserve"> identifies complex inter-relationships and</w:t>
      </w:r>
      <w:r>
        <w:rPr>
          <w:rFonts w:asciiTheme="minorHAnsi" w:hAnsiTheme="minorHAnsi" w:cs="Arial"/>
          <w:bCs/>
          <w:sz w:val="22"/>
          <w:szCs w:val="22"/>
        </w:rPr>
        <w:t xml:space="preserve"> </w:t>
      </w:r>
      <w:r w:rsidR="00693469">
        <w:rPr>
          <w:rFonts w:asciiTheme="minorHAnsi" w:hAnsiTheme="minorHAnsi" w:cs="Arial"/>
          <w:bCs/>
          <w:sz w:val="22"/>
          <w:szCs w:val="22"/>
        </w:rPr>
        <w:t>characterises</w:t>
      </w:r>
      <w:r>
        <w:rPr>
          <w:rFonts w:asciiTheme="minorHAnsi" w:hAnsiTheme="minorHAnsi" w:cs="Arial"/>
          <w:bCs/>
          <w:sz w:val="22"/>
          <w:szCs w:val="22"/>
        </w:rPr>
        <w:t xml:space="preserve"> </w:t>
      </w:r>
      <w:r w:rsidR="00615C33">
        <w:rPr>
          <w:rFonts w:asciiTheme="minorHAnsi" w:hAnsiTheme="minorHAnsi" w:cs="Arial"/>
          <w:bCs/>
          <w:sz w:val="22"/>
          <w:szCs w:val="22"/>
        </w:rPr>
        <w:t>interactions between</w:t>
      </w:r>
      <w:r>
        <w:rPr>
          <w:rFonts w:asciiTheme="minorHAnsi" w:hAnsiTheme="minorHAnsi" w:cs="Arial"/>
          <w:bCs/>
          <w:sz w:val="22"/>
          <w:szCs w:val="22"/>
        </w:rPr>
        <w:t xml:space="preserve"> </w:t>
      </w:r>
      <w:r w:rsidR="00007EB4" w:rsidRPr="004F3CBD">
        <w:rPr>
          <w:rFonts w:asciiTheme="minorHAnsi" w:hAnsiTheme="minorHAnsi" w:cs="Arial"/>
          <w:bCs/>
          <w:sz w:val="22"/>
          <w:szCs w:val="22"/>
        </w:rPr>
        <w:t xml:space="preserve">HCIs and </w:t>
      </w:r>
      <w:r w:rsidRPr="004F3CBD">
        <w:rPr>
          <w:rFonts w:asciiTheme="minorHAnsi" w:hAnsiTheme="minorHAnsi" w:cs="Arial"/>
          <w:bCs/>
          <w:sz w:val="22"/>
          <w:szCs w:val="22"/>
        </w:rPr>
        <w:t>LAs</w:t>
      </w:r>
      <w:r w:rsidR="00EB5071" w:rsidRPr="004F3CBD">
        <w:rPr>
          <w:rFonts w:asciiTheme="minorHAnsi" w:hAnsiTheme="minorHAnsi" w:cs="Arial"/>
          <w:bCs/>
          <w:sz w:val="22"/>
          <w:szCs w:val="22"/>
        </w:rPr>
        <w:t>, with illustrative examples from</w:t>
      </w:r>
      <w:r w:rsidR="00765623" w:rsidRPr="004F3CBD">
        <w:rPr>
          <w:rFonts w:asciiTheme="minorHAnsi" w:hAnsiTheme="minorHAnsi" w:cs="Arial"/>
          <w:bCs/>
          <w:sz w:val="22"/>
          <w:szCs w:val="22"/>
        </w:rPr>
        <w:t xml:space="preserve"> </w:t>
      </w:r>
      <w:r w:rsidR="00EB5071" w:rsidRPr="004F3CBD">
        <w:rPr>
          <w:rFonts w:asciiTheme="minorHAnsi" w:hAnsiTheme="minorHAnsi" w:cs="Arial"/>
          <w:bCs/>
          <w:sz w:val="22"/>
          <w:szCs w:val="22"/>
        </w:rPr>
        <w:t xml:space="preserve">English </w:t>
      </w:r>
      <w:r w:rsidR="00765623" w:rsidRPr="004F3CBD">
        <w:rPr>
          <w:rFonts w:asciiTheme="minorHAnsi" w:hAnsiTheme="minorHAnsi" w:cs="Arial"/>
          <w:bCs/>
          <w:sz w:val="22"/>
          <w:szCs w:val="22"/>
        </w:rPr>
        <w:t>LAs</w:t>
      </w:r>
      <w:r w:rsidR="00496D62" w:rsidRPr="004F3CBD">
        <w:rPr>
          <w:rFonts w:asciiTheme="minorHAnsi" w:hAnsiTheme="minorHAnsi" w:cs="Arial"/>
          <w:bCs/>
          <w:sz w:val="22"/>
          <w:szCs w:val="22"/>
        </w:rPr>
        <w:t xml:space="preserve">. </w:t>
      </w:r>
      <w:r w:rsidR="009E5BFB" w:rsidRPr="004F3CBD">
        <w:rPr>
          <w:rFonts w:asciiTheme="minorHAnsi" w:hAnsiTheme="minorHAnsi" w:cs="Arial"/>
          <w:bCs/>
          <w:sz w:val="22"/>
          <w:szCs w:val="22"/>
        </w:rPr>
        <w:t>D</w:t>
      </w:r>
      <w:r w:rsidR="00615C33" w:rsidRPr="004F3CBD">
        <w:rPr>
          <w:rFonts w:asciiTheme="minorHAnsi" w:hAnsiTheme="minorHAnsi" w:cs="Arial"/>
          <w:bCs/>
          <w:sz w:val="22"/>
          <w:szCs w:val="22"/>
        </w:rPr>
        <w:t xml:space="preserve">rawn from well-established theories and frameworks in combination with </w:t>
      </w:r>
      <w:r w:rsidR="00BF23B9" w:rsidRPr="004F3CBD">
        <w:rPr>
          <w:rFonts w:asciiTheme="minorHAnsi" w:hAnsiTheme="minorHAnsi" w:cs="Arial"/>
          <w:bCs/>
          <w:sz w:val="22"/>
          <w:szCs w:val="22"/>
        </w:rPr>
        <w:t>contextual information on English</w:t>
      </w:r>
      <w:r w:rsidR="00D852F9" w:rsidRPr="004F3CBD">
        <w:rPr>
          <w:rFonts w:asciiTheme="minorHAnsi" w:hAnsiTheme="minorHAnsi" w:cs="Arial"/>
          <w:bCs/>
          <w:sz w:val="22"/>
          <w:szCs w:val="22"/>
        </w:rPr>
        <w:t xml:space="preserve"> LAs</w:t>
      </w:r>
      <w:r w:rsidR="00C12E38" w:rsidRPr="004F3CBD">
        <w:rPr>
          <w:rFonts w:asciiTheme="minorHAnsi" w:hAnsiTheme="minorHAnsi" w:cs="Arial"/>
          <w:bCs/>
          <w:sz w:val="22"/>
          <w:szCs w:val="22"/>
        </w:rPr>
        <w:t>,</w:t>
      </w:r>
      <w:r w:rsidR="00615C33" w:rsidRPr="004F3CBD">
        <w:rPr>
          <w:rFonts w:asciiTheme="minorHAnsi" w:hAnsiTheme="minorHAnsi" w:cs="Arial"/>
          <w:bCs/>
          <w:sz w:val="22"/>
          <w:szCs w:val="22"/>
        </w:rPr>
        <w:t xml:space="preserve"> </w:t>
      </w:r>
      <w:r w:rsidR="009E5BFB" w:rsidRPr="004F3CBD">
        <w:rPr>
          <w:rFonts w:asciiTheme="minorHAnsi" w:hAnsiTheme="minorHAnsi" w:cs="Arial"/>
          <w:bCs/>
          <w:sz w:val="22"/>
          <w:szCs w:val="22"/>
        </w:rPr>
        <w:t>this typology</w:t>
      </w:r>
      <w:r w:rsidR="00191E56">
        <w:rPr>
          <w:rFonts w:asciiTheme="minorHAnsi" w:hAnsiTheme="minorHAnsi" w:cs="Arial"/>
          <w:bCs/>
          <w:sz w:val="22"/>
          <w:szCs w:val="22"/>
        </w:rPr>
        <w:t xml:space="preserve"> </w:t>
      </w:r>
      <w:r w:rsidR="00BB1B51" w:rsidRPr="004F3CBD">
        <w:rPr>
          <w:rFonts w:asciiTheme="minorHAnsi" w:hAnsiTheme="minorHAnsi" w:cs="Arial"/>
          <w:bCs/>
          <w:sz w:val="22"/>
          <w:szCs w:val="22"/>
        </w:rPr>
        <w:t xml:space="preserve">explores the LA perspective and </w:t>
      </w:r>
      <w:r w:rsidR="00BF23B9" w:rsidRPr="004F3CBD">
        <w:rPr>
          <w:rFonts w:asciiTheme="minorHAnsi" w:hAnsiTheme="minorHAnsi" w:cs="Arial"/>
          <w:bCs/>
          <w:sz w:val="22"/>
          <w:szCs w:val="22"/>
        </w:rPr>
        <w:t xml:space="preserve">could </w:t>
      </w:r>
      <w:r w:rsidR="00ED12EB" w:rsidRPr="004F3CBD">
        <w:rPr>
          <w:rFonts w:asciiTheme="minorHAnsi" w:hAnsiTheme="minorHAnsi" w:cs="Arial"/>
          <w:bCs/>
          <w:sz w:val="22"/>
          <w:szCs w:val="22"/>
        </w:rPr>
        <w:t>help</w:t>
      </w:r>
      <w:r w:rsidR="00BF23B9" w:rsidRPr="004F3CBD">
        <w:rPr>
          <w:rFonts w:asciiTheme="minorHAnsi" w:hAnsiTheme="minorHAnsi" w:cs="Arial"/>
          <w:bCs/>
          <w:sz w:val="22"/>
          <w:szCs w:val="22"/>
        </w:rPr>
        <w:t xml:space="preserve"> local </w:t>
      </w:r>
      <w:r w:rsidR="006F6D87" w:rsidRPr="004F3CBD">
        <w:rPr>
          <w:rFonts w:asciiTheme="minorHAnsi" w:hAnsiTheme="minorHAnsi" w:cs="Arial"/>
          <w:bCs/>
          <w:sz w:val="22"/>
          <w:szCs w:val="22"/>
        </w:rPr>
        <w:t>decision-makers</w:t>
      </w:r>
      <w:r w:rsidR="00FD0902" w:rsidRPr="004F3CBD">
        <w:rPr>
          <w:rFonts w:asciiTheme="minorHAnsi" w:hAnsiTheme="minorHAnsi" w:cs="Arial"/>
          <w:bCs/>
          <w:sz w:val="22"/>
          <w:szCs w:val="22"/>
        </w:rPr>
        <w:t xml:space="preserve"> to maximise </w:t>
      </w:r>
      <w:r w:rsidR="00993F61">
        <w:rPr>
          <w:rFonts w:asciiTheme="minorHAnsi" w:hAnsiTheme="minorHAnsi" w:cs="Arial"/>
          <w:bCs/>
          <w:sz w:val="22"/>
          <w:szCs w:val="22"/>
        </w:rPr>
        <w:t>population health</w:t>
      </w:r>
      <w:r w:rsidR="00FD0902" w:rsidRPr="004F3CBD">
        <w:rPr>
          <w:rFonts w:asciiTheme="minorHAnsi" w:hAnsiTheme="minorHAnsi" w:cs="Arial"/>
          <w:bCs/>
          <w:sz w:val="22"/>
          <w:szCs w:val="22"/>
        </w:rPr>
        <w:t xml:space="preserve"> while minimising negative impacts of </w:t>
      </w:r>
      <w:r w:rsidR="00CC5C53" w:rsidRPr="004F3CBD">
        <w:rPr>
          <w:rFonts w:asciiTheme="minorHAnsi" w:hAnsiTheme="minorHAnsi" w:cs="Arial"/>
          <w:bCs/>
          <w:sz w:val="22"/>
          <w:szCs w:val="22"/>
        </w:rPr>
        <w:t>HCIs</w:t>
      </w:r>
      <w:r w:rsidR="00FD0902" w:rsidRPr="004F3CBD">
        <w:rPr>
          <w:rFonts w:asciiTheme="minorHAnsi" w:hAnsiTheme="minorHAnsi" w:cs="Arial"/>
          <w:bCs/>
          <w:sz w:val="22"/>
          <w:szCs w:val="22"/>
        </w:rPr>
        <w:t xml:space="preserve">. </w:t>
      </w:r>
      <w:r w:rsidR="006F6D87" w:rsidRPr="004F3CBD">
        <w:rPr>
          <w:rFonts w:asciiTheme="minorHAnsi" w:hAnsiTheme="minorHAnsi" w:cs="Arial"/>
          <w:bCs/>
          <w:sz w:val="22"/>
          <w:szCs w:val="22"/>
        </w:rPr>
        <w:t xml:space="preserve"> </w:t>
      </w:r>
    </w:p>
    <w:p w14:paraId="5DAD8397" w14:textId="4907E879" w:rsidR="009D75BB" w:rsidRDefault="002C3B6A" w:rsidP="002C3B6A">
      <w:pPr>
        <w:pStyle w:val="NormalWeb"/>
        <w:shd w:val="clear" w:color="auto" w:fill="FFFFFF"/>
        <w:spacing w:line="360" w:lineRule="auto"/>
        <w:jc w:val="both"/>
        <w:textAlignment w:val="baseline"/>
        <w:rPr>
          <w:rFonts w:asciiTheme="minorHAnsi" w:hAnsiTheme="minorHAnsi" w:cstheme="minorHAnsi"/>
          <w:b/>
          <w:bCs/>
          <w:sz w:val="22"/>
          <w:szCs w:val="22"/>
        </w:rPr>
      </w:pPr>
      <w:r w:rsidRPr="004047AF">
        <w:rPr>
          <w:rFonts w:asciiTheme="minorHAnsi" w:hAnsiTheme="minorHAnsi" w:cstheme="minorHAnsi"/>
          <w:b/>
          <w:bCs/>
          <w:sz w:val="22"/>
          <w:szCs w:val="22"/>
        </w:rPr>
        <w:lastRenderedPageBreak/>
        <w:t>Key</w:t>
      </w:r>
      <w:r>
        <w:rPr>
          <w:rFonts w:asciiTheme="minorHAnsi" w:hAnsiTheme="minorHAnsi" w:cstheme="minorHAnsi"/>
          <w:b/>
          <w:bCs/>
          <w:sz w:val="22"/>
          <w:szCs w:val="22"/>
        </w:rPr>
        <w:t xml:space="preserve"> messages </w:t>
      </w:r>
    </w:p>
    <w:p w14:paraId="0204D8D0" w14:textId="77777777" w:rsidR="008728F7" w:rsidRPr="008728F7" w:rsidRDefault="008728F7" w:rsidP="008728F7">
      <w:pPr>
        <w:pStyle w:val="NormalWeb"/>
        <w:shd w:val="clear" w:color="auto" w:fill="FFFFFF"/>
        <w:spacing w:line="360" w:lineRule="auto"/>
        <w:jc w:val="both"/>
        <w:textAlignment w:val="baseline"/>
        <w:rPr>
          <w:rFonts w:asciiTheme="minorHAnsi" w:hAnsiTheme="minorHAnsi" w:cstheme="minorHAnsi"/>
          <w:b/>
          <w:bCs/>
          <w:sz w:val="22"/>
          <w:szCs w:val="22"/>
        </w:rPr>
      </w:pPr>
      <w:r w:rsidRPr="008728F7">
        <w:rPr>
          <w:rFonts w:asciiTheme="minorHAnsi" w:hAnsiTheme="minorHAnsi" w:cstheme="minorHAnsi"/>
          <w:b/>
          <w:bCs/>
          <w:sz w:val="22"/>
          <w:szCs w:val="22"/>
        </w:rPr>
        <w:t>What is already known on this topic</w:t>
      </w:r>
    </w:p>
    <w:p w14:paraId="505D9549" w14:textId="41FBF600" w:rsidR="008728F7" w:rsidRPr="008728F7" w:rsidRDefault="008728F7" w:rsidP="008728F7">
      <w:pPr>
        <w:pStyle w:val="NormalWeb"/>
        <w:shd w:val="clear" w:color="auto" w:fill="FFFFFF"/>
        <w:spacing w:line="360" w:lineRule="auto"/>
        <w:jc w:val="both"/>
        <w:textAlignment w:val="baseline"/>
        <w:rPr>
          <w:rFonts w:asciiTheme="minorHAnsi" w:hAnsiTheme="minorHAnsi" w:cstheme="minorHAnsi"/>
          <w:sz w:val="22"/>
          <w:szCs w:val="22"/>
        </w:rPr>
      </w:pPr>
      <w:r w:rsidRPr="008728F7">
        <w:rPr>
          <w:rFonts w:asciiTheme="minorHAnsi" w:hAnsiTheme="minorHAnsi" w:cstheme="minorHAnsi"/>
          <w:sz w:val="22"/>
          <w:szCs w:val="22"/>
        </w:rPr>
        <w:t>Increases in preventable non-communicable diseases (NCDs) are largely driven by the consumption and use of tobacco, alcohol, gambling and less healthy foods and drinks, produced by ‘harmful commodity industries’ (HCIs).</w:t>
      </w:r>
    </w:p>
    <w:p w14:paraId="58E4FB2F" w14:textId="7A1931EB" w:rsidR="008728F7" w:rsidRPr="008728F7" w:rsidRDefault="008728F7" w:rsidP="008728F7">
      <w:pPr>
        <w:pStyle w:val="NormalWeb"/>
        <w:shd w:val="clear" w:color="auto" w:fill="FFFFFF"/>
        <w:spacing w:line="360" w:lineRule="auto"/>
        <w:jc w:val="both"/>
        <w:textAlignment w:val="baseline"/>
        <w:rPr>
          <w:rFonts w:asciiTheme="minorHAnsi" w:hAnsiTheme="minorHAnsi" w:cstheme="minorHAnsi"/>
          <w:sz w:val="22"/>
          <w:szCs w:val="22"/>
        </w:rPr>
      </w:pPr>
      <w:r w:rsidRPr="008728F7">
        <w:rPr>
          <w:rFonts w:asciiTheme="minorHAnsi" w:hAnsiTheme="minorHAnsi" w:cstheme="minorHAnsi"/>
          <w:sz w:val="22"/>
          <w:szCs w:val="22"/>
        </w:rPr>
        <w:t xml:space="preserve">Public bodies often have complex and close inter-relationships with HCIs, but the manifestations of these interactions have not been characterised at regional or local government level in England nor elsewhere.  </w:t>
      </w:r>
    </w:p>
    <w:p w14:paraId="63851FFA" w14:textId="77777777" w:rsidR="008728F7" w:rsidRPr="008728F7" w:rsidRDefault="008728F7" w:rsidP="008728F7">
      <w:pPr>
        <w:pStyle w:val="NormalWeb"/>
        <w:shd w:val="clear" w:color="auto" w:fill="FFFFFF"/>
        <w:spacing w:line="360" w:lineRule="auto"/>
        <w:jc w:val="both"/>
        <w:textAlignment w:val="baseline"/>
        <w:rPr>
          <w:rFonts w:asciiTheme="minorHAnsi" w:hAnsiTheme="minorHAnsi" w:cstheme="minorHAnsi"/>
          <w:b/>
          <w:bCs/>
          <w:sz w:val="22"/>
          <w:szCs w:val="22"/>
        </w:rPr>
      </w:pPr>
      <w:r w:rsidRPr="008728F7">
        <w:rPr>
          <w:rFonts w:asciiTheme="minorHAnsi" w:hAnsiTheme="minorHAnsi" w:cstheme="minorHAnsi"/>
          <w:b/>
          <w:bCs/>
          <w:sz w:val="22"/>
          <w:szCs w:val="22"/>
        </w:rPr>
        <w:t xml:space="preserve">What this study adds </w:t>
      </w:r>
    </w:p>
    <w:p w14:paraId="00E38A00" w14:textId="339CEEFF" w:rsidR="008728F7" w:rsidRPr="008728F7" w:rsidRDefault="008728F7" w:rsidP="008728F7">
      <w:pPr>
        <w:pStyle w:val="NormalWeb"/>
        <w:shd w:val="clear" w:color="auto" w:fill="FFFFFF"/>
        <w:spacing w:line="360" w:lineRule="auto"/>
        <w:jc w:val="both"/>
        <w:textAlignment w:val="baseline"/>
        <w:rPr>
          <w:rFonts w:asciiTheme="minorHAnsi" w:hAnsiTheme="minorHAnsi" w:cstheme="minorHAnsi"/>
          <w:sz w:val="22"/>
          <w:szCs w:val="22"/>
        </w:rPr>
      </w:pPr>
      <w:r w:rsidRPr="008728F7">
        <w:rPr>
          <w:rFonts w:asciiTheme="minorHAnsi" w:hAnsiTheme="minorHAnsi" w:cstheme="minorHAnsi"/>
          <w:sz w:val="22"/>
          <w:szCs w:val="22"/>
        </w:rPr>
        <w:t>Our typology of interactions between HCIs and local government, intermediaries, and the local knowledge space, acknowledges the perspective of local government in seeking interactions with the private sector for mutual benefit, which does not apply to interactions with HCIs.</w:t>
      </w:r>
    </w:p>
    <w:p w14:paraId="3431DFD1" w14:textId="77777777" w:rsidR="008728F7" w:rsidRPr="008728F7" w:rsidRDefault="008728F7" w:rsidP="008728F7">
      <w:pPr>
        <w:pStyle w:val="NormalWeb"/>
        <w:shd w:val="clear" w:color="auto" w:fill="FFFFFF"/>
        <w:spacing w:line="360" w:lineRule="auto"/>
        <w:jc w:val="both"/>
        <w:textAlignment w:val="baseline"/>
        <w:rPr>
          <w:rFonts w:asciiTheme="minorHAnsi" w:hAnsiTheme="minorHAnsi" w:cstheme="minorHAnsi"/>
          <w:b/>
          <w:bCs/>
          <w:sz w:val="22"/>
          <w:szCs w:val="22"/>
        </w:rPr>
      </w:pPr>
      <w:r w:rsidRPr="008728F7">
        <w:rPr>
          <w:rFonts w:asciiTheme="minorHAnsi" w:hAnsiTheme="minorHAnsi" w:cstheme="minorHAnsi"/>
          <w:b/>
          <w:bCs/>
          <w:sz w:val="22"/>
          <w:szCs w:val="22"/>
        </w:rPr>
        <w:t xml:space="preserve">How this study might affect research, practice or policy </w:t>
      </w:r>
    </w:p>
    <w:p w14:paraId="01F66AA8" w14:textId="77777777" w:rsidR="008728F7" w:rsidRDefault="008728F7" w:rsidP="008728F7">
      <w:pPr>
        <w:pStyle w:val="NormalWeb"/>
        <w:shd w:val="clear" w:color="auto" w:fill="FFFFFF"/>
        <w:spacing w:line="360" w:lineRule="auto"/>
        <w:jc w:val="both"/>
        <w:textAlignment w:val="baseline"/>
        <w:rPr>
          <w:rFonts w:asciiTheme="minorHAnsi" w:hAnsiTheme="minorHAnsi" w:cstheme="minorHAnsi"/>
          <w:sz w:val="22"/>
          <w:szCs w:val="22"/>
        </w:rPr>
      </w:pPr>
      <w:r w:rsidRPr="008728F7">
        <w:rPr>
          <w:rFonts w:asciiTheme="minorHAnsi" w:hAnsiTheme="minorHAnsi" w:cstheme="minorHAnsi"/>
          <w:sz w:val="22"/>
          <w:szCs w:val="22"/>
        </w:rPr>
        <w:t>The typology identifies complex inter-relationships and could help inform commercial policies and further considerations for decision-makers in local government, their intermediaries, and the local knowledge space on how to maximise population health and minimise negative impacts of HCI interactions.</w:t>
      </w:r>
    </w:p>
    <w:p w14:paraId="2C683908" w14:textId="26897266" w:rsidR="002C3B6A" w:rsidRPr="004F3CBD" w:rsidRDefault="002C3B6A" w:rsidP="008728F7">
      <w:pPr>
        <w:pStyle w:val="NormalWeb"/>
        <w:shd w:val="clear" w:color="auto" w:fill="FFFFFF"/>
        <w:spacing w:line="360" w:lineRule="auto"/>
        <w:jc w:val="both"/>
        <w:textAlignment w:val="baseline"/>
        <w:rPr>
          <w:rFonts w:asciiTheme="minorHAnsi" w:hAnsiTheme="minorHAnsi" w:cstheme="minorHAnsi"/>
          <w:b/>
          <w:bCs/>
          <w:sz w:val="22"/>
          <w:szCs w:val="22"/>
        </w:rPr>
      </w:pPr>
      <w:r w:rsidRPr="004F3CBD">
        <w:rPr>
          <w:rFonts w:asciiTheme="minorHAnsi" w:hAnsiTheme="minorHAnsi" w:cstheme="minorHAnsi"/>
          <w:b/>
          <w:bCs/>
          <w:sz w:val="22"/>
          <w:szCs w:val="22"/>
        </w:rPr>
        <w:t>Keywords</w:t>
      </w:r>
    </w:p>
    <w:p w14:paraId="2CDFE71F" w14:textId="02C84A8F" w:rsidR="00131564" w:rsidRDefault="002C3B6A" w:rsidP="007001E7">
      <w:pPr>
        <w:jc w:val="both"/>
      </w:pPr>
      <w:r w:rsidRPr="004047AF">
        <w:t>Commercial determinants of health, harmful commodity industry,</w:t>
      </w:r>
      <w:r w:rsidR="00D612C5">
        <w:t xml:space="preserve"> unhealthy commodity industry,</w:t>
      </w:r>
      <w:r w:rsidRPr="004047AF">
        <w:t xml:space="preserve"> public health,</w:t>
      </w:r>
      <w:r w:rsidR="00221342">
        <w:t xml:space="preserve"> population health,</w:t>
      </w:r>
      <w:r w:rsidRPr="004047AF">
        <w:t xml:space="preserve"> local government, local authority,</w:t>
      </w:r>
      <w:r w:rsidR="00C84571">
        <w:t xml:space="preserve"> local environment,</w:t>
      </w:r>
      <w:r w:rsidRPr="004047AF">
        <w:t xml:space="preserve"> non-communicable disease</w:t>
      </w:r>
      <w:r>
        <w:t>s</w:t>
      </w:r>
      <w:r w:rsidRPr="004047AF">
        <w:t>, consumer behaviour, risk-factor, business interactions, public-priva</w:t>
      </w:r>
      <w:r>
        <w:t>te</w:t>
      </w:r>
      <w:r w:rsidR="00ED12EB">
        <w:t xml:space="preserve"> partnerships</w:t>
      </w:r>
      <w:r>
        <w:t xml:space="preserve">, food, </w:t>
      </w:r>
      <w:r w:rsidR="002F0216">
        <w:t xml:space="preserve">HFSS, </w:t>
      </w:r>
      <w:r>
        <w:t xml:space="preserve">alcohol, tobacco, gambling, </w:t>
      </w:r>
      <w:r w:rsidR="00802515">
        <w:t>typology, critical interpretive synthesis, review, published literature review, grey literature, qualitative document analysis</w:t>
      </w:r>
    </w:p>
    <w:p w14:paraId="35B153B1" w14:textId="77777777" w:rsidR="00131564" w:rsidRDefault="00131564">
      <w:pPr>
        <w:spacing w:line="259" w:lineRule="auto"/>
      </w:pPr>
      <w:r>
        <w:br w:type="page"/>
      </w:r>
    </w:p>
    <w:p w14:paraId="43CDB62B" w14:textId="0B84332A" w:rsidR="00F110AC" w:rsidRDefault="00131564" w:rsidP="002C3B6A">
      <w:pPr>
        <w:rPr>
          <w:b/>
          <w:bCs/>
          <w:sz w:val="24"/>
          <w:szCs w:val="24"/>
        </w:rPr>
      </w:pPr>
      <w:r w:rsidRPr="00465A7B">
        <w:rPr>
          <w:b/>
          <w:bCs/>
          <w:sz w:val="24"/>
          <w:szCs w:val="24"/>
        </w:rPr>
        <w:lastRenderedPageBreak/>
        <w:t>I</w:t>
      </w:r>
      <w:r w:rsidR="00A440E5">
        <w:rPr>
          <w:b/>
          <w:bCs/>
          <w:sz w:val="24"/>
          <w:szCs w:val="24"/>
        </w:rPr>
        <w:t>NTRODUCTION</w:t>
      </w:r>
      <w:r w:rsidR="00E74EC2" w:rsidRPr="00465A7B">
        <w:rPr>
          <w:b/>
          <w:bCs/>
          <w:sz w:val="24"/>
          <w:szCs w:val="24"/>
        </w:rPr>
        <w:t xml:space="preserve"> </w:t>
      </w:r>
    </w:p>
    <w:p w14:paraId="0C0ADBB6" w14:textId="7CB519AB" w:rsidR="003C2F2D" w:rsidRPr="004F3CBD" w:rsidRDefault="003C2F2D" w:rsidP="003C2F2D">
      <w:pPr>
        <w:jc w:val="both"/>
        <w:rPr>
          <w:rFonts w:cstheme="minorHAnsi"/>
        </w:rPr>
      </w:pPr>
      <w:r w:rsidRPr="003C2F2D">
        <w:rPr>
          <w:rFonts w:cstheme="minorHAnsi"/>
        </w:rPr>
        <w:t xml:space="preserve">‘Harmful </w:t>
      </w:r>
      <w:r w:rsidR="00DD61C7">
        <w:rPr>
          <w:rFonts w:cstheme="minorHAnsi"/>
        </w:rPr>
        <w:t>C</w:t>
      </w:r>
      <w:r w:rsidRPr="003C2F2D">
        <w:rPr>
          <w:rFonts w:cstheme="minorHAnsi"/>
        </w:rPr>
        <w:t xml:space="preserve">ommodity </w:t>
      </w:r>
      <w:r w:rsidR="00DD61C7">
        <w:rPr>
          <w:rFonts w:cstheme="minorHAnsi"/>
        </w:rPr>
        <w:t>In</w:t>
      </w:r>
      <w:r w:rsidRPr="003C2F2D">
        <w:rPr>
          <w:rFonts w:cstheme="minorHAnsi"/>
        </w:rPr>
        <w:t xml:space="preserve">dustries’ (HCIs) </w:t>
      </w:r>
      <w:r w:rsidR="004453AA">
        <w:rPr>
          <w:rFonts w:cstheme="minorHAnsi"/>
        </w:rPr>
        <w:t>are</w:t>
      </w:r>
      <w:r w:rsidRPr="003C2F2D">
        <w:rPr>
          <w:rFonts w:cstheme="minorHAnsi"/>
        </w:rPr>
        <w:t xml:space="preserve"> corporations that produce and </w:t>
      </w:r>
      <w:r w:rsidR="009B36A5">
        <w:rPr>
          <w:rFonts w:cstheme="minorHAnsi"/>
        </w:rPr>
        <w:t>market</w:t>
      </w:r>
      <w:r w:rsidRPr="003C2F2D">
        <w:rPr>
          <w:rFonts w:cstheme="minorHAnsi"/>
        </w:rPr>
        <w:t xml:space="preserve"> products </w:t>
      </w:r>
      <w:r w:rsidR="00230984">
        <w:rPr>
          <w:rFonts w:cstheme="minorHAnsi"/>
        </w:rPr>
        <w:t xml:space="preserve">and services </w:t>
      </w:r>
      <w:r w:rsidRPr="003C2F2D">
        <w:rPr>
          <w:rFonts w:cstheme="minorHAnsi"/>
        </w:rPr>
        <w:t xml:space="preserve">such as tobacco, alcohol, </w:t>
      </w:r>
      <w:r w:rsidR="00230984">
        <w:rPr>
          <w:rFonts w:cstheme="minorHAnsi"/>
        </w:rPr>
        <w:t xml:space="preserve">gambling </w:t>
      </w:r>
      <w:r w:rsidRPr="003C2F2D">
        <w:rPr>
          <w:rFonts w:cstheme="minorHAnsi"/>
        </w:rPr>
        <w:t xml:space="preserve">and unhealthy foods and beverages. </w:t>
      </w:r>
      <w:r w:rsidR="00103BFE">
        <w:rPr>
          <w:rFonts w:cstheme="minorHAnsi"/>
        </w:rPr>
        <w:t xml:space="preserve">Use </w:t>
      </w:r>
      <w:r w:rsidR="004378C6">
        <w:rPr>
          <w:rFonts w:cstheme="minorHAnsi"/>
        </w:rPr>
        <w:t xml:space="preserve">of </w:t>
      </w:r>
      <w:r w:rsidR="00230984">
        <w:rPr>
          <w:rFonts w:cstheme="minorHAnsi"/>
        </w:rPr>
        <w:t xml:space="preserve">such harmful commodities </w:t>
      </w:r>
      <w:r w:rsidR="004378C6">
        <w:rPr>
          <w:rFonts w:cstheme="minorHAnsi"/>
        </w:rPr>
        <w:t xml:space="preserve">is a major driver of </w:t>
      </w:r>
      <w:r w:rsidR="00BE33E1">
        <w:rPr>
          <w:rFonts w:cstheme="minorHAnsi"/>
        </w:rPr>
        <w:t xml:space="preserve">the burden of </w:t>
      </w:r>
      <w:r w:rsidR="004378C6">
        <w:rPr>
          <w:rFonts w:cstheme="minorHAnsi"/>
        </w:rPr>
        <w:t xml:space="preserve">preventable </w:t>
      </w:r>
      <w:r w:rsidR="004378C6" w:rsidRPr="003C2F2D">
        <w:rPr>
          <w:rFonts w:cstheme="minorHAnsi"/>
        </w:rPr>
        <w:t>non-communicable disease</w:t>
      </w:r>
      <w:r w:rsidR="004378C6">
        <w:rPr>
          <w:rFonts w:cstheme="minorHAnsi"/>
        </w:rPr>
        <w:t>s</w:t>
      </w:r>
      <w:r w:rsidR="004378C6" w:rsidRPr="003C2F2D">
        <w:rPr>
          <w:rFonts w:cstheme="minorHAnsi"/>
        </w:rPr>
        <w:t xml:space="preserve"> (NCD</w:t>
      </w:r>
      <w:r w:rsidR="004378C6">
        <w:rPr>
          <w:rFonts w:cstheme="minorHAnsi"/>
        </w:rPr>
        <w:t>s)</w:t>
      </w:r>
      <w:r w:rsidR="00CF7F2F">
        <w:rPr>
          <w:rFonts w:cstheme="minorHAnsi"/>
        </w:rPr>
        <w:t xml:space="preserve">, </w:t>
      </w:r>
      <w:r w:rsidRPr="003C2F2D">
        <w:rPr>
          <w:rFonts w:cstheme="minorHAnsi"/>
        </w:rPr>
        <w:t xml:space="preserve">and HCIs have been identified as </w:t>
      </w:r>
      <w:r w:rsidR="00765623">
        <w:rPr>
          <w:rFonts w:cstheme="minorHAnsi"/>
        </w:rPr>
        <w:t xml:space="preserve">important </w:t>
      </w:r>
      <w:r w:rsidRPr="00FD0902">
        <w:rPr>
          <w:rFonts w:cstheme="minorHAnsi"/>
        </w:rPr>
        <w:t xml:space="preserve">vectors of </w:t>
      </w:r>
      <w:r w:rsidR="005F6968" w:rsidRPr="00FD0902">
        <w:rPr>
          <w:rFonts w:cstheme="minorHAnsi"/>
        </w:rPr>
        <w:t xml:space="preserve">the growth of </w:t>
      </w:r>
      <w:r w:rsidR="00355D55" w:rsidRPr="00FD0902">
        <w:rPr>
          <w:rFonts w:cstheme="minorHAnsi"/>
        </w:rPr>
        <w:t>NCD</w:t>
      </w:r>
      <w:r w:rsidR="005F6968" w:rsidRPr="00FD0902">
        <w:rPr>
          <w:rFonts w:cstheme="minorHAnsi"/>
        </w:rPr>
        <w:t>s</w:t>
      </w:r>
      <w:r w:rsidR="00355D55" w:rsidRPr="00FD0902">
        <w:rPr>
          <w:rFonts w:cstheme="minorHAnsi"/>
        </w:rPr>
        <w:t xml:space="preserve"> </w:t>
      </w:r>
      <w:r w:rsidRPr="003C2F2D">
        <w:rPr>
          <w:rFonts w:cstheme="minorHAnsi"/>
        </w:rPr>
        <w:t xml:space="preserve">[1-4]. </w:t>
      </w:r>
      <w:r w:rsidR="00765623">
        <w:rPr>
          <w:rFonts w:cstheme="minorHAnsi"/>
        </w:rPr>
        <w:t>Ad</w:t>
      </w:r>
      <w:r w:rsidR="00C53F2A" w:rsidRPr="003C2F2D">
        <w:rPr>
          <w:rFonts w:cstheme="minorHAnsi"/>
        </w:rPr>
        <w:t>dressing the</w:t>
      </w:r>
      <w:r w:rsidR="007D7F09">
        <w:rPr>
          <w:rFonts w:cstheme="minorHAnsi"/>
        </w:rPr>
        <w:t xml:space="preserve"> commercial determinants of health (</w:t>
      </w:r>
      <w:r w:rsidR="00230984" w:rsidRPr="003C2F2D">
        <w:rPr>
          <w:rFonts w:cstheme="minorHAnsi"/>
        </w:rPr>
        <w:t>CD</w:t>
      </w:r>
      <w:r w:rsidR="00A964FB">
        <w:rPr>
          <w:rFonts w:cstheme="minorHAnsi"/>
        </w:rPr>
        <w:t>o</w:t>
      </w:r>
      <w:r w:rsidR="00230984" w:rsidRPr="003C2F2D">
        <w:rPr>
          <w:rFonts w:cstheme="minorHAnsi"/>
        </w:rPr>
        <w:t>H</w:t>
      </w:r>
      <w:r w:rsidR="007D7F09">
        <w:rPr>
          <w:rFonts w:cstheme="minorHAnsi"/>
        </w:rPr>
        <w:t>)</w:t>
      </w:r>
      <w:r w:rsidR="00C53F2A" w:rsidRPr="003C2F2D">
        <w:rPr>
          <w:rFonts w:cstheme="minorHAnsi"/>
        </w:rPr>
        <w:t xml:space="preserve"> is </w:t>
      </w:r>
      <w:r w:rsidR="00765623">
        <w:rPr>
          <w:rFonts w:cstheme="minorHAnsi"/>
        </w:rPr>
        <w:t xml:space="preserve">therefore </w:t>
      </w:r>
      <w:r w:rsidR="00C53F2A" w:rsidRPr="003C2F2D">
        <w:rPr>
          <w:rFonts w:cstheme="minorHAnsi"/>
        </w:rPr>
        <w:t xml:space="preserve">a pressing </w:t>
      </w:r>
      <w:r w:rsidR="00C53F2A">
        <w:rPr>
          <w:rFonts w:cstheme="minorHAnsi"/>
        </w:rPr>
        <w:t xml:space="preserve">public health </w:t>
      </w:r>
      <w:r w:rsidR="00C53F2A" w:rsidRPr="003C2F2D">
        <w:rPr>
          <w:rFonts w:cstheme="minorHAnsi"/>
        </w:rPr>
        <w:t>priority</w:t>
      </w:r>
      <w:r w:rsidR="007D7F09">
        <w:rPr>
          <w:rFonts w:cstheme="minorHAnsi"/>
        </w:rPr>
        <w:t xml:space="preserve"> </w:t>
      </w:r>
      <w:r w:rsidR="00C53F2A" w:rsidRPr="003C2F2D">
        <w:rPr>
          <w:rFonts w:cstheme="minorHAnsi"/>
        </w:rPr>
        <w:t>[</w:t>
      </w:r>
      <w:r w:rsidR="00924326">
        <w:rPr>
          <w:rFonts w:cstheme="minorHAnsi"/>
        </w:rPr>
        <w:t>5</w:t>
      </w:r>
      <w:r w:rsidR="00C53F2A" w:rsidRPr="003C2F2D">
        <w:rPr>
          <w:rFonts w:cstheme="minorHAnsi"/>
        </w:rPr>
        <w:t>].</w:t>
      </w:r>
      <w:r w:rsidR="002F0216">
        <w:rPr>
          <w:rFonts w:cstheme="minorHAnsi"/>
        </w:rPr>
        <w:t xml:space="preserve"> </w:t>
      </w:r>
      <w:r w:rsidR="00103BFE" w:rsidRPr="003C2F2D">
        <w:rPr>
          <w:rFonts w:cstheme="minorHAnsi"/>
        </w:rPr>
        <w:t xml:space="preserve">The jobs, revenue, technical and research expertise, and ability to exert corporate power provide </w:t>
      </w:r>
      <w:r w:rsidR="00103BFE">
        <w:rPr>
          <w:rFonts w:cstheme="minorHAnsi"/>
        </w:rPr>
        <w:t>HCIs</w:t>
      </w:r>
      <w:r w:rsidR="00103BFE" w:rsidRPr="003C2F2D">
        <w:rPr>
          <w:rFonts w:cstheme="minorHAnsi"/>
        </w:rPr>
        <w:t xml:space="preserve"> with a powerful voice to shape public perceptions o</w:t>
      </w:r>
      <w:r w:rsidR="00103BFE">
        <w:rPr>
          <w:rFonts w:cstheme="minorHAnsi"/>
        </w:rPr>
        <w:t>f</w:t>
      </w:r>
      <w:r w:rsidR="00103BFE" w:rsidRPr="003C2F2D">
        <w:rPr>
          <w:rFonts w:cstheme="minorHAnsi"/>
        </w:rPr>
        <w:t xml:space="preserve"> health, science, and policy</w:t>
      </w:r>
      <w:r w:rsidR="00103BFE">
        <w:rPr>
          <w:rFonts w:cstheme="minorHAnsi"/>
        </w:rPr>
        <w:t xml:space="preserve"> </w:t>
      </w:r>
      <w:r w:rsidR="00103BFE" w:rsidRPr="003C2F2D">
        <w:rPr>
          <w:rFonts w:cstheme="minorHAnsi"/>
        </w:rPr>
        <w:t xml:space="preserve">[2]. </w:t>
      </w:r>
      <w:r w:rsidR="00BE33E1">
        <w:rPr>
          <w:rFonts w:cstheme="minorHAnsi"/>
        </w:rPr>
        <w:t>T</w:t>
      </w:r>
      <w:r w:rsidRPr="003C2F2D">
        <w:rPr>
          <w:rFonts w:cstheme="minorHAnsi"/>
        </w:rPr>
        <w:t xml:space="preserve">he power of </w:t>
      </w:r>
      <w:r w:rsidR="00CF7F2F">
        <w:rPr>
          <w:rFonts w:cstheme="minorHAnsi"/>
        </w:rPr>
        <w:t>HCIs</w:t>
      </w:r>
      <w:r w:rsidRPr="003C2F2D">
        <w:rPr>
          <w:rFonts w:cstheme="minorHAnsi"/>
        </w:rPr>
        <w:t xml:space="preserve"> in influencing and shaping public health</w:t>
      </w:r>
      <w:r w:rsidR="00BE33E1">
        <w:rPr>
          <w:rFonts w:cstheme="minorHAnsi"/>
        </w:rPr>
        <w:t xml:space="preserve"> </w:t>
      </w:r>
      <w:r w:rsidR="006F6EFB">
        <w:rPr>
          <w:rFonts w:cstheme="minorHAnsi"/>
        </w:rPr>
        <w:t>policy</w:t>
      </w:r>
      <w:r w:rsidR="00765623">
        <w:rPr>
          <w:rFonts w:cstheme="minorHAnsi"/>
        </w:rPr>
        <w:t xml:space="preserve"> at the national and international level</w:t>
      </w:r>
      <w:r w:rsidR="006F6EFB">
        <w:rPr>
          <w:rFonts w:cstheme="minorHAnsi"/>
        </w:rPr>
        <w:t xml:space="preserve"> </w:t>
      </w:r>
      <w:r w:rsidR="00BE33E1">
        <w:rPr>
          <w:rFonts w:cstheme="minorHAnsi"/>
        </w:rPr>
        <w:t xml:space="preserve">is well-established </w:t>
      </w:r>
      <w:r w:rsidRPr="003C2F2D">
        <w:rPr>
          <w:rFonts w:cstheme="minorHAnsi"/>
        </w:rPr>
        <w:t>[</w:t>
      </w:r>
      <w:r w:rsidR="00924326">
        <w:rPr>
          <w:rFonts w:cstheme="minorHAnsi"/>
        </w:rPr>
        <w:t>6</w:t>
      </w:r>
      <w:r w:rsidRPr="003C2F2D">
        <w:rPr>
          <w:rFonts w:cstheme="minorHAnsi"/>
        </w:rPr>
        <w:t>-1</w:t>
      </w:r>
      <w:r w:rsidR="00924326">
        <w:rPr>
          <w:rFonts w:cstheme="minorHAnsi"/>
        </w:rPr>
        <w:t>3</w:t>
      </w:r>
      <w:r w:rsidRPr="003C2F2D">
        <w:rPr>
          <w:rFonts w:cstheme="minorHAnsi"/>
        </w:rPr>
        <w:t xml:space="preserve">] through strategies to </w:t>
      </w:r>
      <w:r w:rsidRPr="004F3CBD">
        <w:rPr>
          <w:rFonts w:cstheme="minorHAnsi"/>
        </w:rPr>
        <w:t>engage, and influence the cultural, social, political and knowledge environments</w:t>
      </w:r>
      <w:r w:rsidR="00BE33E1" w:rsidRPr="004F3CBD">
        <w:rPr>
          <w:rFonts w:cstheme="minorHAnsi"/>
        </w:rPr>
        <w:t xml:space="preserve"> </w:t>
      </w:r>
      <w:r w:rsidRPr="004F3CBD">
        <w:rPr>
          <w:rFonts w:cstheme="minorHAnsi"/>
        </w:rPr>
        <w:t>[</w:t>
      </w:r>
      <w:r w:rsidR="00924326" w:rsidRPr="004F3CBD">
        <w:rPr>
          <w:rFonts w:cstheme="minorHAnsi"/>
        </w:rPr>
        <w:t>6-8,</w:t>
      </w:r>
      <w:r w:rsidR="005D7310">
        <w:rPr>
          <w:rFonts w:cstheme="minorHAnsi"/>
        </w:rPr>
        <w:t xml:space="preserve"> </w:t>
      </w:r>
      <w:r w:rsidR="00924326" w:rsidRPr="004F3CBD">
        <w:rPr>
          <w:rFonts w:cstheme="minorHAnsi"/>
        </w:rPr>
        <w:t>13</w:t>
      </w:r>
      <w:r w:rsidRPr="004F3CBD">
        <w:rPr>
          <w:rFonts w:cstheme="minorHAnsi"/>
        </w:rPr>
        <w:t xml:space="preserve">]. </w:t>
      </w:r>
      <w:r w:rsidR="004453AA" w:rsidRPr="004F3CBD">
        <w:rPr>
          <w:rFonts w:cstheme="minorHAnsi"/>
        </w:rPr>
        <w:t xml:space="preserve">Approaches across </w:t>
      </w:r>
      <w:r w:rsidR="009A2CDA" w:rsidRPr="004F3CBD">
        <w:rPr>
          <w:rFonts w:cstheme="minorHAnsi"/>
        </w:rPr>
        <w:t xml:space="preserve">HCIs </w:t>
      </w:r>
      <w:r w:rsidR="004453AA" w:rsidRPr="004F3CBD">
        <w:rPr>
          <w:rFonts w:cstheme="minorHAnsi"/>
        </w:rPr>
        <w:t xml:space="preserve">are </w:t>
      </w:r>
      <w:r w:rsidR="00A3227D" w:rsidRPr="004F3CBD">
        <w:rPr>
          <w:rFonts w:cstheme="minorHAnsi"/>
        </w:rPr>
        <w:t xml:space="preserve">largely </w:t>
      </w:r>
      <w:r w:rsidR="004453AA" w:rsidRPr="004F3CBD">
        <w:rPr>
          <w:rFonts w:cstheme="minorHAnsi"/>
        </w:rPr>
        <w:t>coherent</w:t>
      </w:r>
      <w:r w:rsidR="002F0216" w:rsidRPr="004F3CBD">
        <w:rPr>
          <w:rFonts w:cstheme="minorHAnsi"/>
        </w:rPr>
        <w:t xml:space="preserve"> </w:t>
      </w:r>
      <w:r w:rsidR="004453AA" w:rsidRPr="004F3CBD">
        <w:rPr>
          <w:rFonts w:cstheme="minorHAnsi"/>
        </w:rPr>
        <w:t>[1</w:t>
      </w:r>
      <w:r w:rsidR="00924326" w:rsidRPr="004F3CBD">
        <w:rPr>
          <w:rFonts w:cstheme="minorHAnsi"/>
        </w:rPr>
        <w:t>4</w:t>
      </w:r>
      <w:r w:rsidR="004453AA" w:rsidRPr="004F3CBD">
        <w:rPr>
          <w:rFonts w:cstheme="minorHAnsi"/>
        </w:rPr>
        <w:t xml:space="preserve">], </w:t>
      </w:r>
      <w:r w:rsidR="00496D62" w:rsidRPr="004F3CBD">
        <w:rPr>
          <w:rFonts w:cstheme="minorHAnsi"/>
        </w:rPr>
        <w:t xml:space="preserve">including </w:t>
      </w:r>
      <w:r w:rsidR="004453AA" w:rsidRPr="004F3CBD">
        <w:rPr>
          <w:rFonts w:cstheme="minorHAnsi"/>
        </w:rPr>
        <w:t xml:space="preserve">echoing </w:t>
      </w:r>
      <w:r w:rsidR="00230984" w:rsidRPr="004F3CBD">
        <w:rPr>
          <w:rFonts w:cstheme="minorHAnsi"/>
        </w:rPr>
        <w:t>tactics</w:t>
      </w:r>
      <w:r w:rsidR="00103BFE" w:rsidRPr="004F3CBD">
        <w:rPr>
          <w:rFonts w:cstheme="minorHAnsi"/>
        </w:rPr>
        <w:t xml:space="preserve"> </w:t>
      </w:r>
      <w:r w:rsidR="00496D62" w:rsidRPr="004F3CBD">
        <w:rPr>
          <w:rFonts w:cstheme="minorHAnsi"/>
        </w:rPr>
        <w:t xml:space="preserve">of </w:t>
      </w:r>
      <w:r w:rsidR="004453AA" w:rsidRPr="004F3CBD">
        <w:rPr>
          <w:rFonts w:cstheme="minorHAnsi"/>
        </w:rPr>
        <w:t xml:space="preserve">lobbying, </w:t>
      </w:r>
      <w:r w:rsidR="00F74ED5" w:rsidRPr="004F3CBD">
        <w:rPr>
          <w:rFonts w:cstheme="minorHAnsi"/>
        </w:rPr>
        <w:t>marketing,</w:t>
      </w:r>
      <w:r w:rsidR="004453AA" w:rsidRPr="004F3CBD">
        <w:rPr>
          <w:rFonts w:cstheme="minorHAnsi"/>
        </w:rPr>
        <w:t xml:space="preserve"> and </w:t>
      </w:r>
      <w:r w:rsidR="00A3227D" w:rsidRPr="004F3CBD">
        <w:rPr>
          <w:rFonts w:cstheme="minorHAnsi"/>
        </w:rPr>
        <w:t xml:space="preserve">corporate </w:t>
      </w:r>
      <w:r w:rsidR="00230984" w:rsidRPr="004F3CBD">
        <w:rPr>
          <w:rFonts w:cstheme="minorHAnsi"/>
        </w:rPr>
        <w:t xml:space="preserve">social </w:t>
      </w:r>
      <w:r w:rsidR="004453AA" w:rsidRPr="004F3CBD">
        <w:rPr>
          <w:rFonts w:cstheme="minorHAnsi"/>
        </w:rPr>
        <w:t>responsibility</w:t>
      </w:r>
      <w:r w:rsidR="002F0216" w:rsidRPr="004F3CBD">
        <w:rPr>
          <w:rFonts w:cstheme="minorHAnsi"/>
        </w:rPr>
        <w:t xml:space="preserve"> (CSR)</w:t>
      </w:r>
      <w:r w:rsidR="00230984" w:rsidRPr="004F3CBD">
        <w:rPr>
          <w:rFonts w:cstheme="minorHAnsi"/>
        </w:rPr>
        <w:t xml:space="preserve"> strategies</w:t>
      </w:r>
      <w:r w:rsidR="004453AA" w:rsidRPr="004F3CBD">
        <w:rPr>
          <w:rFonts w:cstheme="minorHAnsi"/>
        </w:rPr>
        <w:t>, amongst others</w:t>
      </w:r>
      <w:r w:rsidR="00AD75BA" w:rsidRPr="004F3CBD">
        <w:rPr>
          <w:rFonts w:cstheme="minorHAnsi"/>
        </w:rPr>
        <w:t xml:space="preserve"> </w:t>
      </w:r>
      <w:r w:rsidR="004453AA" w:rsidRPr="004F3CBD">
        <w:rPr>
          <w:rFonts w:cstheme="minorHAnsi"/>
        </w:rPr>
        <w:t>[1,</w:t>
      </w:r>
      <w:r w:rsidR="005D7310">
        <w:rPr>
          <w:rFonts w:cstheme="minorHAnsi"/>
        </w:rPr>
        <w:t xml:space="preserve"> </w:t>
      </w:r>
      <w:r w:rsidR="004453AA" w:rsidRPr="004F3CBD">
        <w:rPr>
          <w:rFonts w:cstheme="minorHAnsi"/>
        </w:rPr>
        <w:t>2,</w:t>
      </w:r>
      <w:r w:rsidR="005D7310">
        <w:rPr>
          <w:rFonts w:cstheme="minorHAnsi"/>
        </w:rPr>
        <w:t xml:space="preserve"> </w:t>
      </w:r>
      <w:r w:rsidR="00924326" w:rsidRPr="004F3CBD">
        <w:rPr>
          <w:rFonts w:cstheme="minorHAnsi"/>
        </w:rPr>
        <w:t>7</w:t>
      </w:r>
      <w:r w:rsidR="004453AA" w:rsidRPr="004F3CBD">
        <w:rPr>
          <w:rFonts w:cstheme="minorHAnsi"/>
        </w:rPr>
        <w:t>,</w:t>
      </w:r>
      <w:r w:rsidR="005D7310">
        <w:rPr>
          <w:rFonts w:cstheme="minorHAnsi"/>
        </w:rPr>
        <w:t xml:space="preserve"> </w:t>
      </w:r>
      <w:r w:rsidR="004453AA" w:rsidRPr="004F3CBD">
        <w:rPr>
          <w:rFonts w:cstheme="minorHAnsi"/>
        </w:rPr>
        <w:t>14</w:t>
      </w:r>
      <w:r w:rsidR="00924326" w:rsidRPr="004F3CBD">
        <w:rPr>
          <w:rFonts w:cstheme="minorHAnsi"/>
        </w:rPr>
        <w:t>,</w:t>
      </w:r>
      <w:r w:rsidR="005D7310">
        <w:rPr>
          <w:rFonts w:cstheme="minorHAnsi"/>
        </w:rPr>
        <w:t xml:space="preserve"> </w:t>
      </w:r>
      <w:r w:rsidR="00924326" w:rsidRPr="004F3CBD">
        <w:rPr>
          <w:rFonts w:cstheme="minorHAnsi"/>
        </w:rPr>
        <w:t>15</w:t>
      </w:r>
      <w:r w:rsidR="004453AA" w:rsidRPr="004F3CBD">
        <w:rPr>
          <w:rFonts w:cstheme="minorHAnsi"/>
        </w:rPr>
        <w:t xml:space="preserve">]. </w:t>
      </w:r>
      <w:r w:rsidR="00954178" w:rsidRPr="004F3CBD">
        <w:rPr>
          <w:rFonts w:cstheme="minorHAnsi"/>
        </w:rPr>
        <w:t xml:space="preserve">These activities all </w:t>
      </w:r>
      <w:r w:rsidR="008D6963" w:rsidRPr="004F3CBD">
        <w:rPr>
          <w:rFonts w:cstheme="minorHAnsi"/>
        </w:rPr>
        <w:t>extend and amplify HCI impact and influence</w:t>
      </w:r>
      <w:r w:rsidR="00954178" w:rsidRPr="004F3CBD">
        <w:rPr>
          <w:rFonts w:cstheme="minorHAnsi"/>
        </w:rPr>
        <w:t xml:space="preserve">, </w:t>
      </w:r>
      <w:r w:rsidR="008D6963" w:rsidRPr="004F3CBD">
        <w:rPr>
          <w:rFonts w:cstheme="minorHAnsi"/>
        </w:rPr>
        <w:t>by</w:t>
      </w:r>
      <w:r w:rsidR="00954178" w:rsidRPr="004F3CBD">
        <w:rPr>
          <w:rFonts w:cstheme="minorHAnsi"/>
        </w:rPr>
        <w:t xml:space="preserve"> enhancing the desirability and acceptability of harmful commodities, </w:t>
      </w:r>
      <w:r w:rsidR="00987BFE" w:rsidRPr="004F3CBD">
        <w:rPr>
          <w:rFonts w:cstheme="minorHAnsi"/>
        </w:rPr>
        <w:t xml:space="preserve">challenging </w:t>
      </w:r>
      <w:r w:rsidR="00954178" w:rsidRPr="004F3CBD">
        <w:rPr>
          <w:rFonts w:cstheme="minorHAnsi"/>
        </w:rPr>
        <w:t xml:space="preserve">policy barriers, </w:t>
      </w:r>
      <w:r w:rsidR="008D6963" w:rsidRPr="004F3CBD">
        <w:rPr>
          <w:rFonts w:cstheme="minorHAnsi"/>
        </w:rPr>
        <w:t>deflecting attention</w:t>
      </w:r>
      <w:r w:rsidR="00987BFE" w:rsidRPr="004F3CBD">
        <w:rPr>
          <w:rFonts w:cstheme="minorHAnsi"/>
        </w:rPr>
        <w:t xml:space="preserve"> from harms</w:t>
      </w:r>
      <w:r w:rsidR="008D6963" w:rsidRPr="004F3CBD">
        <w:rPr>
          <w:rFonts w:cstheme="minorHAnsi"/>
        </w:rPr>
        <w:t xml:space="preserve">, </w:t>
      </w:r>
      <w:r w:rsidR="00954178" w:rsidRPr="004F3CBD">
        <w:rPr>
          <w:rFonts w:cstheme="minorHAnsi"/>
        </w:rPr>
        <w:t>and whitewashing tarnished reputations</w:t>
      </w:r>
      <w:r w:rsidR="00CC5C53" w:rsidRPr="004F3CBD">
        <w:rPr>
          <w:rFonts w:cstheme="minorHAnsi"/>
        </w:rPr>
        <w:t xml:space="preserve"> of HCIs</w:t>
      </w:r>
      <w:r w:rsidR="00FD1404" w:rsidRPr="004F3CBD">
        <w:rPr>
          <w:rFonts w:cstheme="minorHAnsi"/>
        </w:rPr>
        <w:t xml:space="preserve"> </w:t>
      </w:r>
      <w:r w:rsidR="008D6963" w:rsidRPr="004F3CBD">
        <w:rPr>
          <w:rFonts w:cstheme="minorHAnsi"/>
        </w:rPr>
        <w:t>[6].</w:t>
      </w:r>
    </w:p>
    <w:p w14:paraId="179B835A" w14:textId="6959D944" w:rsidR="003C2F2D" w:rsidRPr="004F3CBD" w:rsidRDefault="003C2F2D" w:rsidP="003C2F2D">
      <w:pPr>
        <w:jc w:val="both"/>
        <w:rPr>
          <w:rFonts w:cstheme="minorHAnsi"/>
        </w:rPr>
      </w:pPr>
      <w:r w:rsidRPr="004F3CBD">
        <w:rPr>
          <w:rFonts w:cstheme="minorHAnsi"/>
        </w:rPr>
        <w:t xml:space="preserve">A </w:t>
      </w:r>
      <w:r w:rsidR="00E3745F" w:rsidRPr="004F3CBD">
        <w:rPr>
          <w:rFonts w:cstheme="minorHAnsi"/>
        </w:rPr>
        <w:t>tension</w:t>
      </w:r>
      <w:r w:rsidRPr="004F3CBD">
        <w:rPr>
          <w:rFonts w:cstheme="minorHAnsi"/>
        </w:rPr>
        <w:t xml:space="preserve"> exists between HCI activities to encourage consumption</w:t>
      </w:r>
      <w:r w:rsidR="001F1973" w:rsidRPr="004F3CBD">
        <w:rPr>
          <w:rFonts w:cstheme="minorHAnsi"/>
        </w:rPr>
        <w:t xml:space="preserve"> </w:t>
      </w:r>
      <w:r w:rsidR="00951E50">
        <w:rPr>
          <w:rFonts w:cstheme="minorHAnsi"/>
        </w:rPr>
        <w:t xml:space="preserve">of their products </w:t>
      </w:r>
      <w:r w:rsidR="001F1973" w:rsidRPr="004F3CBD">
        <w:rPr>
          <w:rFonts w:cstheme="minorHAnsi"/>
        </w:rPr>
        <w:t>and maximise profits,</w:t>
      </w:r>
      <w:r w:rsidRPr="004F3CBD">
        <w:rPr>
          <w:rFonts w:cstheme="minorHAnsi"/>
        </w:rPr>
        <w:t xml:space="preserve"> and public health measures to reduce the burden of NCDs</w:t>
      </w:r>
      <w:r w:rsidR="00A3227D" w:rsidRPr="004F3CBD">
        <w:rPr>
          <w:rFonts w:cstheme="minorHAnsi"/>
        </w:rPr>
        <w:t xml:space="preserve"> </w:t>
      </w:r>
      <w:r w:rsidRPr="004F3CBD">
        <w:rPr>
          <w:rFonts w:cstheme="minorHAnsi"/>
        </w:rPr>
        <w:t>[</w:t>
      </w:r>
      <w:r w:rsidR="00924326" w:rsidRPr="004F3CBD">
        <w:rPr>
          <w:rFonts w:cstheme="minorHAnsi"/>
        </w:rPr>
        <w:t>7,</w:t>
      </w:r>
      <w:r w:rsidR="005D7310">
        <w:rPr>
          <w:rFonts w:cstheme="minorHAnsi"/>
        </w:rPr>
        <w:t xml:space="preserve"> </w:t>
      </w:r>
      <w:r w:rsidR="00924326" w:rsidRPr="004F3CBD">
        <w:rPr>
          <w:rFonts w:cstheme="minorHAnsi"/>
        </w:rPr>
        <w:t>8,</w:t>
      </w:r>
      <w:r w:rsidR="005D7310">
        <w:rPr>
          <w:rFonts w:cstheme="minorHAnsi"/>
        </w:rPr>
        <w:t xml:space="preserve"> </w:t>
      </w:r>
      <w:r w:rsidR="00924326" w:rsidRPr="004F3CBD">
        <w:rPr>
          <w:rFonts w:cstheme="minorHAnsi"/>
        </w:rPr>
        <w:t>16,</w:t>
      </w:r>
      <w:r w:rsidR="005D7310">
        <w:rPr>
          <w:rFonts w:cstheme="minorHAnsi"/>
        </w:rPr>
        <w:t xml:space="preserve"> </w:t>
      </w:r>
      <w:r w:rsidR="00924326" w:rsidRPr="004F3CBD">
        <w:rPr>
          <w:rFonts w:cstheme="minorHAnsi"/>
        </w:rPr>
        <w:t>17</w:t>
      </w:r>
      <w:r w:rsidRPr="004F3CBD">
        <w:rPr>
          <w:rFonts w:cstheme="minorHAnsi"/>
        </w:rPr>
        <w:t>]. The controversial nature of interactions between HCIs and public health is well-recognised and d</w:t>
      </w:r>
      <w:r w:rsidR="00DD61C7">
        <w:rPr>
          <w:rFonts w:cstheme="minorHAnsi"/>
        </w:rPr>
        <w:t>iscussed</w:t>
      </w:r>
      <w:r w:rsidR="00A3227D" w:rsidRPr="004F3CBD">
        <w:rPr>
          <w:rFonts w:cstheme="minorHAnsi"/>
        </w:rPr>
        <w:t xml:space="preserve"> </w:t>
      </w:r>
      <w:r w:rsidRPr="004F3CBD">
        <w:rPr>
          <w:rFonts w:cstheme="minorHAnsi"/>
        </w:rPr>
        <w:t>[1,</w:t>
      </w:r>
      <w:r w:rsidR="005D7310">
        <w:rPr>
          <w:rFonts w:cstheme="minorHAnsi"/>
        </w:rPr>
        <w:t xml:space="preserve"> </w:t>
      </w:r>
      <w:r w:rsidR="00924326" w:rsidRPr="004F3CBD">
        <w:rPr>
          <w:rFonts w:cstheme="minorHAnsi"/>
        </w:rPr>
        <w:t>9</w:t>
      </w:r>
      <w:r w:rsidRPr="004F3CBD">
        <w:rPr>
          <w:rFonts w:cstheme="minorHAnsi"/>
        </w:rPr>
        <w:t>,</w:t>
      </w:r>
      <w:r w:rsidR="005D7310">
        <w:rPr>
          <w:rFonts w:cstheme="minorHAnsi"/>
        </w:rPr>
        <w:t xml:space="preserve"> </w:t>
      </w:r>
      <w:r w:rsidR="00924326" w:rsidRPr="004F3CBD">
        <w:rPr>
          <w:rFonts w:cstheme="minorHAnsi"/>
        </w:rPr>
        <w:t>17-19</w:t>
      </w:r>
      <w:r w:rsidRPr="004F3CBD">
        <w:rPr>
          <w:rFonts w:cstheme="minorHAnsi"/>
        </w:rPr>
        <w:t>], including tobacco, alcohol and increasingly food industries</w:t>
      </w:r>
      <w:r w:rsidR="00AD75BA" w:rsidRPr="004F3CBD">
        <w:rPr>
          <w:rFonts w:cstheme="minorHAnsi"/>
        </w:rPr>
        <w:t xml:space="preserve"> </w:t>
      </w:r>
      <w:r w:rsidRPr="004F3CBD">
        <w:rPr>
          <w:rFonts w:cstheme="minorHAnsi"/>
        </w:rPr>
        <w:t>[1,</w:t>
      </w:r>
      <w:r w:rsidR="005D7310">
        <w:rPr>
          <w:rFonts w:cstheme="minorHAnsi"/>
        </w:rPr>
        <w:t xml:space="preserve"> </w:t>
      </w:r>
      <w:r w:rsidR="00924326" w:rsidRPr="004F3CBD">
        <w:rPr>
          <w:rFonts w:cstheme="minorHAnsi"/>
        </w:rPr>
        <w:t>7</w:t>
      </w:r>
      <w:r w:rsidRPr="004F3CBD">
        <w:rPr>
          <w:rFonts w:cstheme="minorHAnsi"/>
        </w:rPr>
        <w:t>-1</w:t>
      </w:r>
      <w:r w:rsidR="00924326" w:rsidRPr="004F3CBD">
        <w:rPr>
          <w:rFonts w:cstheme="minorHAnsi"/>
        </w:rPr>
        <w:t>1</w:t>
      </w:r>
      <w:r w:rsidRPr="004F3CBD">
        <w:rPr>
          <w:rFonts w:cstheme="minorHAnsi"/>
        </w:rPr>
        <w:t>] in a range of contexts; globally and transnationally</w:t>
      </w:r>
      <w:r w:rsidR="00A3227D" w:rsidRPr="004F3CBD">
        <w:rPr>
          <w:rFonts w:cstheme="minorHAnsi"/>
        </w:rPr>
        <w:t xml:space="preserve"> </w:t>
      </w:r>
      <w:r w:rsidRPr="004F3CBD">
        <w:rPr>
          <w:rFonts w:cstheme="minorHAnsi"/>
        </w:rPr>
        <w:t>[2</w:t>
      </w:r>
      <w:r w:rsidR="00924326" w:rsidRPr="004F3CBD">
        <w:rPr>
          <w:rFonts w:cstheme="minorHAnsi"/>
        </w:rPr>
        <w:t>0,</w:t>
      </w:r>
      <w:r w:rsidR="005D7310">
        <w:rPr>
          <w:rFonts w:cstheme="minorHAnsi"/>
        </w:rPr>
        <w:t xml:space="preserve"> </w:t>
      </w:r>
      <w:r w:rsidR="00924326" w:rsidRPr="004F3CBD">
        <w:rPr>
          <w:rFonts w:cstheme="minorHAnsi"/>
        </w:rPr>
        <w:t>21</w:t>
      </w:r>
      <w:r w:rsidRPr="004F3CBD">
        <w:rPr>
          <w:rFonts w:cstheme="minorHAnsi"/>
        </w:rPr>
        <w:t>], in low</w:t>
      </w:r>
      <w:r w:rsidR="00221342">
        <w:rPr>
          <w:rFonts w:cstheme="minorHAnsi"/>
        </w:rPr>
        <w:t xml:space="preserve"> and </w:t>
      </w:r>
      <w:r w:rsidRPr="004F3CBD">
        <w:rPr>
          <w:rFonts w:cstheme="minorHAnsi"/>
        </w:rPr>
        <w:t>middle income countries (LMICs)</w:t>
      </w:r>
      <w:r w:rsidR="00AD75BA" w:rsidRPr="004F3CBD">
        <w:rPr>
          <w:rFonts w:cstheme="minorHAnsi"/>
        </w:rPr>
        <w:t xml:space="preserve"> </w:t>
      </w:r>
      <w:r w:rsidRPr="004F3CBD">
        <w:rPr>
          <w:rFonts w:cstheme="minorHAnsi"/>
        </w:rPr>
        <w:t>[</w:t>
      </w:r>
      <w:r w:rsidR="00924326" w:rsidRPr="004F3CBD">
        <w:rPr>
          <w:rFonts w:cstheme="minorHAnsi"/>
        </w:rPr>
        <w:t>22,</w:t>
      </w:r>
      <w:r w:rsidR="005D7310">
        <w:rPr>
          <w:rFonts w:cstheme="minorHAnsi"/>
        </w:rPr>
        <w:t xml:space="preserve"> </w:t>
      </w:r>
      <w:r w:rsidR="00924326" w:rsidRPr="004F3CBD">
        <w:rPr>
          <w:rFonts w:cstheme="minorHAnsi"/>
        </w:rPr>
        <w:t>23</w:t>
      </w:r>
      <w:r w:rsidRPr="004F3CBD">
        <w:rPr>
          <w:rFonts w:cstheme="minorHAnsi"/>
        </w:rPr>
        <w:t>], national organisations</w:t>
      </w:r>
      <w:r w:rsidR="00AD75BA" w:rsidRPr="004F3CBD">
        <w:rPr>
          <w:rFonts w:cstheme="minorHAnsi"/>
        </w:rPr>
        <w:t xml:space="preserve"> </w:t>
      </w:r>
      <w:r w:rsidRPr="004F3CBD">
        <w:rPr>
          <w:rFonts w:cstheme="minorHAnsi"/>
        </w:rPr>
        <w:t>[</w:t>
      </w:r>
      <w:r w:rsidR="00924326" w:rsidRPr="004F3CBD">
        <w:rPr>
          <w:rFonts w:cstheme="minorHAnsi"/>
        </w:rPr>
        <w:t>24</w:t>
      </w:r>
      <w:r w:rsidRPr="004F3CBD">
        <w:rPr>
          <w:rFonts w:cstheme="minorHAnsi"/>
        </w:rPr>
        <w:t>], academic environments</w:t>
      </w:r>
      <w:r w:rsidR="00AD75BA" w:rsidRPr="004F3CBD">
        <w:rPr>
          <w:rFonts w:cstheme="minorHAnsi"/>
        </w:rPr>
        <w:t xml:space="preserve"> </w:t>
      </w:r>
      <w:r w:rsidRPr="004F3CBD">
        <w:rPr>
          <w:rFonts w:cstheme="minorHAnsi"/>
        </w:rPr>
        <w:t>[2</w:t>
      </w:r>
      <w:r w:rsidR="00924326" w:rsidRPr="004F3CBD">
        <w:rPr>
          <w:rFonts w:cstheme="minorHAnsi"/>
        </w:rPr>
        <w:t>5</w:t>
      </w:r>
      <w:r w:rsidRPr="004F3CBD">
        <w:rPr>
          <w:rFonts w:cstheme="minorHAnsi"/>
        </w:rPr>
        <w:t>], social media platforms</w:t>
      </w:r>
      <w:r w:rsidR="00AD75BA" w:rsidRPr="004F3CBD">
        <w:rPr>
          <w:rFonts w:cstheme="minorHAnsi"/>
        </w:rPr>
        <w:t xml:space="preserve"> </w:t>
      </w:r>
      <w:r w:rsidRPr="004F3CBD">
        <w:rPr>
          <w:rFonts w:cstheme="minorHAnsi"/>
        </w:rPr>
        <w:t>[</w:t>
      </w:r>
      <w:r w:rsidR="00924326" w:rsidRPr="004F3CBD">
        <w:rPr>
          <w:rFonts w:cstheme="minorHAnsi"/>
        </w:rPr>
        <w:t>26</w:t>
      </w:r>
      <w:r w:rsidRPr="004F3CBD">
        <w:rPr>
          <w:rFonts w:cstheme="minorHAnsi"/>
        </w:rPr>
        <w:t>], and on explicit policies</w:t>
      </w:r>
      <w:r w:rsidR="00AD75BA" w:rsidRPr="004F3CBD">
        <w:rPr>
          <w:rFonts w:cstheme="minorHAnsi"/>
        </w:rPr>
        <w:t xml:space="preserve"> </w:t>
      </w:r>
      <w:r w:rsidRPr="004F3CBD">
        <w:rPr>
          <w:rFonts w:cstheme="minorHAnsi"/>
        </w:rPr>
        <w:t>[</w:t>
      </w:r>
      <w:r w:rsidR="00924326" w:rsidRPr="004F3CBD">
        <w:rPr>
          <w:rFonts w:cstheme="minorHAnsi"/>
        </w:rPr>
        <w:t>27,</w:t>
      </w:r>
      <w:r w:rsidR="005D7310">
        <w:rPr>
          <w:rFonts w:cstheme="minorHAnsi"/>
        </w:rPr>
        <w:t xml:space="preserve"> </w:t>
      </w:r>
      <w:r w:rsidR="00924326" w:rsidRPr="004F3CBD">
        <w:rPr>
          <w:rFonts w:cstheme="minorHAnsi"/>
        </w:rPr>
        <w:t>28</w:t>
      </w:r>
      <w:r w:rsidRPr="004F3CBD">
        <w:rPr>
          <w:rFonts w:cstheme="minorHAnsi"/>
        </w:rPr>
        <w:t xml:space="preserve">]. </w:t>
      </w:r>
      <w:r w:rsidR="00AA0A83">
        <w:rPr>
          <w:rFonts w:cstheme="minorHAnsi"/>
        </w:rPr>
        <w:t>In addition,</w:t>
      </w:r>
      <w:r w:rsidR="00103BFE" w:rsidRPr="004F3CBD">
        <w:rPr>
          <w:rFonts w:cstheme="minorHAnsi"/>
        </w:rPr>
        <w:t xml:space="preserve"> </w:t>
      </w:r>
      <w:r w:rsidR="00AA0A83">
        <w:rPr>
          <w:rFonts w:cstheme="minorHAnsi"/>
        </w:rPr>
        <w:t xml:space="preserve">recent </w:t>
      </w:r>
      <w:r w:rsidR="00103BFE" w:rsidRPr="004F3CBD">
        <w:rPr>
          <w:rFonts w:cstheme="minorHAnsi"/>
        </w:rPr>
        <w:t xml:space="preserve">attention </w:t>
      </w:r>
      <w:r w:rsidR="00AA0A83">
        <w:rPr>
          <w:rFonts w:cstheme="minorHAnsi"/>
        </w:rPr>
        <w:t xml:space="preserve">also recognises </w:t>
      </w:r>
      <w:r w:rsidR="00103BFE" w:rsidRPr="004F3CBD">
        <w:rPr>
          <w:rFonts w:cstheme="minorHAnsi"/>
        </w:rPr>
        <w:t xml:space="preserve">the gambling industry, </w:t>
      </w:r>
      <w:r w:rsidR="00F03B24">
        <w:rPr>
          <w:rFonts w:cstheme="minorHAnsi"/>
        </w:rPr>
        <w:t xml:space="preserve">which is </w:t>
      </w:r>
      <w:r w:rsidRPr="004F3CBD">
        <w:rPr>
          <w:rFonts w:cstheme="minorHAnsi"/>
        </w:rPr>
        <w:t>associated with significant harms</w:t>
      </w:r>
      <w:r w:rsidR="001F5084" w:rsidRPr="004F3CBD">
        <w:rPr>
          <w:rFonts w:cstheme="minorHAnsi"/>
        </w:rPr>
        <w:t xml:space="preserve"> </w:t>
      </w:r>
      <w:r w:rsidR="004D4E0A" w:rsidRPr="004F3CBD">
        <w:rPr>
          <w:rFonts w:cstheme="minorHAnsi"/>
        </w:rPr>
        <w:t>including</w:t>
      </w:r>
      <w:r w:rsidRPr="004F3CBD">
        <w:rPr>
          <w:rFonts w:cstheme="minorHAnsi"/>
        </w:rPr>
        <w:t xml:space="preserve"> </w:t>
      </w:r>
      <w:r w:rsidR="002B2F5F" w:rsidRPr="004F3CBD">
        <w:rPr>
          <w:rFonts w:cstheme="minorHAnsi"/>
        </w:rPr>
        <w:t xml:space="preserve">suicide, poor </w:t>
      </w:r>
      <w:r w:rsidRPr="004F3CBD">
        <w:rPr>
          <w:rFonts w:cstheme="minorHAnsi"/>
        </w:rPr>
        <w:t xml:space="preserve">mental </w:t>
      </w:r>
      <w:r w:rsidR="006C418F" w:rsidRPr="004F3CBD">
        <w:rPr>
          <w:rFonts w:cstheme="minorHAnsi"/>
        </w:rPr>
        <w:t>health</w:t>
      </w:r>
      <w:r w:rsidRPr="004F3CBD">
        <w:rPr>
          <w:rFonts w:cstheme="minorHAnsi"/>
        </w:rPr>
        <w:t>,</w:t>
      </w:r>
      <w:r w:rsidR="00E03A73" w:rsidRPr="004F3CBD">
        <w:rPr>
          <w:rFonts w:cstheme="minorHAnsi"/>
        </w:rPr>
        <w:t xml:space="preserve"> and </w:t>
      </w:r>
      <w:r w:rsidR="002B2F5F" w:rsidRPr="004F3CBD">
        <w:rPr>
          <w:rFonts w:cstheme="minorHAnsi"/>
        </w:rPr>
        <w:t xml:space="preserve">financial harms </w:t>
      </w:r>
      <w:r w:rsidRPr="004F3CBD">
        <w:rPr>
          <w:rFonts w:cstheme="minorHAnsi"/>
        </w:rPr>
        <w:t>[</w:t>
      </w:r>
      <w:r w:rsidR="00924326" w:rsidRPr="004F3CBD">
        <w:rPr>
          <w:rFonts w:cstheme="minorHAnsi"/>
        </w:rPr>
        <w:t>29-31</w:t>
      </w:r>
      <w:r w:rsidR="00987BFE" w:rsidRPr="004F3CBD">
        <w:rPr>
          <w:rFonts w:cstheme="minorHAnsi"/>
        </w:rPr>
        <w:t>]</w:t>
      </w:r>
      <w:r w:rsidR="00FD1404" w:rsidRPr="004F3CBD">
        <w:rPr>
          <w:rFonts w:cstheme="minorHAnsi"/>
        </w:rPr>
        <w:t xml:space="preserve">. </w:t>
      </w:r>
      <w:r w:rsidR="00987BFE" w:rsidRPr="004F3CBD">
        <w:rPr>
          <w:rFonts w:cstheme="minorHAnsi"/>
        </w:rPr>
        <w:t>P</w:t>
      </w:r>
      <w:r w:rsidRPr="004F3CBD">
        <w:rPr>
          <w:rFonts w:cstheme="minorHAnsi"/>
        </w:rPr>
        <w:t>artnerships with gambling industry-funded bodies raise similar concern</w:t>
      </w:r>
      <w:r w:rsidR="00527842" w:rsidRPr="004F3CBD">
        <w:rPr>
          <w:rFonts w:cstheme="minorHAnsi"/>
        </w:rPr>
        <w:t>s</w:t>
      </w:r>
      <w:r w:rsidRPr="004F3CBD">
        <w:rPr>
          <w:rFonts w:cstheme="minorHAnsi"/>
        </w:rPr>
        <w:t xml:space="preserve"> to other HCIs</w:t>
      </w:r>
      <w:r w:rsidR="00AD75BA" w:rsidRPr="004F3CBD">
        <w:rPr>
          <w:rFonts w:cstheme="minorHAnsi"/>
        </w:rPr>
        <w:t xml:space="preserve"> </w:t>
      </w:r>
      <w:r w:rsidRPr="004F3CBD">
        <w:rPr>
          <w:rFonts w:cstheme="minorHAnsi"/>
        </w:rPr>
        <w:t>[</w:t>
      </w:r>
      <w:r w:rsidR="00924326" w:rsidRPr="004F3CBD">
        <w:rPr>
          <w:rFonts w:cstheme="minorHAnsi"/>
        </w:rPr>
        <w:t>32-34</w:t>
      </w:r>
      <w:r w:rsidRPr="004F3CBD">
        <w:rPr>
          <w:rFonts w:cstheme="minorHAnsi"/>
        </w:rPr>
        <w:t>].</w:t>
      </w:r>
      <w:r w:rsidR="008728F7">
        <w:rPr>
          <w:rFonts w:cstheme="minorHAnsi"/>
        </w:rPr>
        <w:t xml:space="preserve"> </w:t>
      </w:r>
    </w:p>
    <w:p w14:paraId="6CF20FDE" w14:textId="079CE4B1" w:rsidR="003C2F2D" w:rsidRPr="004F3CBD" w:rsidRDefault="004F42F1" w:rsidP="003C2F2D">
      <w:pPr>
        <w:shd w:val="clear" w:color="auto" w:fill="FFFFFF"/>
        <w:spacing w:before="100" w:beforeAutospacing="1" w:after="100" w:afterAutospacing="1"/>
        <w:jc w:val="both"/>
        <w:textAlignment w:val="baseline"/>
        <w:rPr>
          <w:rFonts w:eastAsia="Times New Roman" w:cstheme="minorHAnsi"/>
          <w:lang w:eastAsia="en-GB"/>
        </w:rPr>
      </w:pPr>
      <w:r w:rsidRPr="004F3CBD">
        <w:rPr>
          <w:rFonts w:eastAsia="Times New Roman" w:cstheme="minorHAnsi"/>
          <w:lang w:eastAsia="en-GB"/>
        </w:rPr>
        <w:t xml:space="preserve">There are 333 </w:t>
      </w:r>
      <w:r w:rsidR="00E81665">
        <w:rPr>
          <w:rFonts w:eastAsia="Times New Roman" w:cstheme="minorHAnsi"/>
          <w:lang w:eastAsia="en-GB"/>
        </w:rPr>
        <w:t xml:space="preserve">English </w:t>
      </w:r>
      <w:r w:rsidR="000B7B24" w:rsidRPr="004F3CBD">
        <w:rPr>
          <w:rFonts w:eastAsia="Times New Roman" w:cstheme="minorHAnsi"/>
          <w:lang w:eastAsia="en-GB"/>
        </w:rPr>
        <w:t>Local authoritie</w:t>
      </w:r>
      <w:r w:rsidR="003C2F2D" w:rsidRPr="004F3CBD">
        <w:rPr>
          <w:rFonts w:eastAsia="Times New Roman" w:cstheme="minorHAnsi"/>
          <w:lang w:eastAsia="en-GB"/>
        </w:rPr>
        <w:t>s</w:t>
      </w:r>
      <w:r w:rsidR="000B7B24" w:rsidRPr="004F3CBD">
        <w:rPr>
          <w:rFonts w:eastAsia="Times New Roman" w:cstheme="minorHAnsi"/>
          <w:lang w:eastAsia="en-GB"/>
        </w:rPr>
        <w:t xml:space="preserve"> (LAs)</w:t>
      </w:r>
      <w:r w:rsidR="004A15C3">
        <w:rPr>
          <w:rFonts w:eastAsia="Times New Roman" w:cstheme="minorHAnsi"/>
          <w:lang w:eastAsia="en-GB"/>
        </w:rPr>
        <w:t xml:space="preserve"> split </w:t>
      </w:r>
      <w:r w:rsidR="00E81665">
        <w:rPr>
          <w:rFonts w:eastAsia="Times New Roman" w:cstheme="minorHAnsi"/>
          <w:lang w:eastAsia="en-GB"/>
        </w:rPr>
        <w:t>into</w:t>
      </w:r>
      <w:r w:rsidR="004A15C3" w:rsidRPr="004A15C3">
        <w:rPr>
          <w:rFonts w:eastAsia="Times New Roman" w:cstheme="minorHAnsi"/>
          <w:lang w:eastAsia="en-GB"/>
        </w:rPr>
        <w:t xml:space="preserve"> two tier (</w:t>
      </w:r>
      <w:r w:rsidR="004A15C3">
        <w:rPr>
          <w:rFonts w:eastAsia="Times New Roman" w:cstheme="minorHAnsi"/>
          <w:lang w:eastAsia="en-GB"/>
        </w:rPr>
        <w:t>C</w:t>
      </w:r>
      <w:r w:rsidR="004A15C3" w:rsidRPr="004A15C3">
        <w:rPr>
          <w:rFonts w:eastAsia="Times New Roman" w:cstheme="minorHAnsi"/>
          <w:lang w:eastAsia="en-GB"/>
        </w:rPr>
        <w:t xml:space="preserve">ounty and </w:t>
      </w:r>
      <w:r w:rsidR="004A15C3">
        <w:rPr>
          <w:rFonts w:eastAsia="Times New Roman" w:cstheme="minorHAnsi"/>
          <w:lang w:eastAsia="en-GB"/>
        </w:rPr>
        <w:t>D</w:t>
      </w:r>
      <w:r w:rsidR="004A15C3" w:rsidRPr="004A15C3">
        <w:rPr>
          <w:rFonts w:eastAsia="Times New Roman" w:cstheme="minorHAnsi"/>
          <w:lang w:eastAsia="en-GB"/>
        </w:rPr>
        <w:t xml:space="preserve">istrict councils) and single tier (Unitary authorities, Metropolitan </w:t>
      </w:r>
      <w:r w:rsidR="00CB600F" w:rsidRPr="004A15C3">
        <w:rPr>
          <w:rFonts w:eastAsia="Times New Roman" w:cstheme="minorHAnsi"/>
          <w:lang w:eastAsia="en-GB"/>
        </w:rPr>
        <w:t>districts,</w:t>
      </w:r>
      <w:r w:rsidR="004A15C3" w:rsidRPr="004A15C3">
        <w:rPr>
          <w:rFonts w:eastAsia="Times New Roman" w:cstheme="minorHAnsi"/>
          <w:lang w:eastAsia="en-GB"/>
        </w:rPr>
        <w:t xml:space="preserve"> and London boroughs)</w:t>
      </w:r>
      <w:r w:rsidR="004A15C3">
        <w:rPr>
          <w:rFonts w:eastAsia="Times New Roman" w:cstheme="minorHAnsi"/>
          <w:lang w:eastAsia="en-GB"/>
        </w:rPr>
        <w:t xml:space="preserve"> structures </w:t>
      </w:r>
      <w:r w:rsidR="004A15C3" w:rsidRPr="004A15C3">
        <w:rPr>
          <w:rFonts w:eastAsia="Times New Roman" w:cstheme="minorHAnsi"/>
          <w:lang w:eastAsia="en-GB"/>
        </w:rPr>
        <w:t>to determine the council</w:t>
      </w:r>
      <w:r w:rsidR="004A15C3">
        <w:rPr>
          <w:rFonts w:eastAsia="Times New Roman" w:cstheme="minorHAnsi"/>
          <w:lang w:eastAsia="en-GB"/>
        </w:rPr>
        <w:t xml:space="preserve"> </w:t>
      </w:r>
      <w:r w:rsidR="004A15C3" w:rsidRPr="004A15C3">
        <w:rPr>
          <w:rFonts w:eastAsia="Times New Roman" w:cstheme="minorHAnsi"/>
          <w:lang w:eastAsia="en-GB"/>
        </w:rPr>
        <w:t xml:space="preserve">responsibilities. </w:t>
      </w:r>
      <w:r w:rsidR="008728F7" w:rsidRPr="008728F7">
        <w:rPr>
          <w:rFonts w:cstheme="minorHAnsi"/>
        </w:rPr>
        <w:t xml:space="preserve">Article 5.3 of the World Health Organisation Framework Convention on Tobacco Control (FCTC) </w:t>
      </w:r>
      <w:r w:rsidR="00585CA5">
        <w:rPr>
          <w:rFonts w:cstheme="minorHAnsi"/>
        </w:rPr>
        <w:t>[35]</w:t>
      </w:r>
      <w:r w:rsidR="008728F7" w:rsidRPr="008728F7">
        <w:rPr>
          <w:rFonts w:cstheme="minorHAnsi"/>
        </w:rPr>
        <w:t xml:space="preserve"> provides a key example of implementation of regulatory safeguards to protect public health policy from the interests of the tobacco industry at different levels of governance, including LAs. LAs have a legal obligation to act according to the FCTC, which sets a defined line for regulatory safeguards and enables local tobacco policy implementation while protecting LAs from legal challenges </w:t>
      </w:r>
      <w:r w:rsidR="00585CA5">
        <w:rPr>
          <w:rFonts w:cstheme="minorHAnsi"/>
        </w:rPr>
        <w:t>[35].</w:t>
      </w:r>
      <w:r w:rsidR="008728F7">
        <w:rPr>
          <w:rFonts w:cstheme="minorHAnsi"/>
        </w:rPr>
        <w:t xml:space="preserve"> </w:t>
      </w:r>
      <w:r w:rsidR="008728F7" w:rsidRPr="008728F7">
        <w:rPr>
          <w:rFonts w:eastAsia="Times New Roman" w:cstheme="minorHAnsi"/>
          <w:lang w:eastAsia="en-GB"/>
        </w:rPr>
        <w:t xml:space="preserve">As per the Health and Social Care Act 2012,’ LAs in England are responsible for all the public services and facilities in a particular area and obligated to improve </w:t>
      </w:r>
      <w:r w:rsidR="008728F7" w:rsidRPr="008728F7">
        <w:rPr>
          <w:rFonts w:eastAsia="Times New Roman" w:cstheme="minorHAnsi"/>
          <w:lang w:eastAsia="en-GB"/>
        </w:rPr>
        <w:lastRenderedPageBreak/>
        <w:t xml:space="preserve">the health of their population and promote healthy communities (Health and Social Care Act, 2012; national Planning Policy Framework, 2012). The devolution of public services shifting from central to local government, offers LAs the power to be better aligned with, and increase their sensitivity to specific local areas and local community needs </w:t>
      </w:r>
      <w:r w:rsidR="00585CA5">
        <w:rPr>
          <w:rFonts w:eastAsia="Times New Roman" w:cstheme="minorHAnsi"/>
          <w:lang w:eastAsia="en-GB"/>
        </w:rPr>
        <w:t>[36].</w:t>
      </w:r>
      <w:r w:rsidR="008728F7">
        <w:rPr>
          <w:rFonts w:eastAsia="Times New Roman" w:cstheme="minorHAnsi"/>
          <w:lang w:eastAsia="en-GB"/>
        </w:rPr>
        <w:t xml:space="preserve"> </w:t>
      </w:r>
      <w:r w:rsidR="00321A21" w:rsidRPr="004F3CBD">
        <w:rPr>
          <w:rFonts w:eastAsia="Times New Roman" w:cstheme="minorHAnsi"/>
          <w:lang w:eastAsia="en-GB"/>
        </w:rPr>
        <w:t>Close</w:t>
      </w:r>
      <w:r w:rsidR="00070183" w:rsidRPr="004F3CBD">
        <w:rPr>
          <w:rFonts w:eastAsia="Times New Roman" w:cstheme="minorHAnsi"/>
          <w:lang w:eastAsia="en-GB"/>
        </w:rPr>
        <w:t xml:space="preserve"> </w:t>
      </w:r>
      <w:r w:rsidR="00921963" w:rsidRPr="004F3CBD">
        <w:rPr>
          <w:rFonts w:eastAsia="Times New Roman" w:cstheme="minorHAnsi"/>
          <w:lang w:eastAsia="en-GB"/>
        </w:rPr>
        <w:t xml:space="preserve">relationships </w:t>
      </w:r>
      <w:r w:rsidR="00070183" w:rsidRPr="004F3CBD">
        <w:rPr>
          <w:rFonts w:eastAsia="Times New Roman" w:cstheme="minorHAnsi"/>
          <w:lang w:eastAsia="en-GB"/>
        </w:rPr>
        <w:t>between LA</w:t>
      </w:r>
      <w:r w:rsidR="005C4138" w:rsidRPr="004F3CBD">
        <w:rPr>
          <w:rFonts w:eastAsia="Times New Roman" w:cstheme="minorHAnsi"/>
          <w:lang w:eastAsia="en-GB"/>
        </w:rPr>
        <w:t xml:space="preserve"> actors a</w:t>
      </w:r>
      <w:r w:rsidR="00070183" w:rsidRPr="004F3CBD">
        <w:rPr>
          <w:rFonts w:eastAsia="Times New Roman" w:cstheme="minorHAnsi"/>
          <w:lang w:eastAsia="en-GB"/>
        </w:rPr>
        <w:t>nd</w:t>
      </w:r>
      <w:r w:rsidR="00921963" w:rsidRPr="004F3CBD">
        <w:rPr>
          <w:rFonts w:eastAsia="Times New Roman" w:cstheme="minorHAnsi"/>
          <w:lang w:eastAsia="en-GB"/>
        </w:rPr>
        <w:t xml:space="preserve"> the private sector </w:t>
      </w:r>
      <w:r w:rsidR="00070183" w:rsidRPr="004F3CBD">
        <w:rPr>
          <w:rFonts w:eastAsia="Times New Roman" w:cstheme="minorHAnsi"/>
          <w:lang w:eastAsia="en-GB"/>
        </w:rPr>
        <w:t xml:space="preserve">are </w:t>
      </w:r>
      <w:r w:rsidR="00F07C69" w:rsidRPr="004F3CBD">
        <w:rPr>
          <w:rFonts w:eastAsia="Times New Roman" w:cstheme="minorHAnsi"/>
          <w:lang w:eastAsia="en-GB"/>
        </w:rPr>
        <w:t>important</w:t>
      </w:r>
      <w:r w:rsidR="00070183" w:rsidRPr="004F3CBD">
        <w:rPr>
          <w:rFonts w:eastAsia="Times New Roman" w:cstheme="minorHAnsi"/>
          <w:lang w:eastAsia="en-GB"/>
        </w:rPr>
        <w:t xml:space="preserve"> for many reasons</w:t>
      </w:r>
      <w:r w:rsidR="00070183">
        <w:rPr>
          <w:rFonts w:eastAsia="Times New Roman" w:cstheme="minorHAnsi"/>
          <w:lang w:eastAsia="en-GB"/>
        </w:rPr>
        <w:t xml:space="preserve">. These include </w:t>
      </w:r>
      <w:r w:rsidR="00921963" w:rsidRPr="003C2F2D">
        <w:rPr>
          <w:rFonts w:eastAsia="Times New Roman" w:cstheme="minorHAnsi"/>
          <w:lang w:eastAsia="en-GB"/>
        </w:rPr>
        <w:t>generat</w:t>
      </w:r>
      <w:r w:rsidR="00070183">
        <w:rPr>
          <w:rFonts w:eastAsia="Times New Roman" w:cstheme="minorHAnsi"/>
          <w:lang w:eastAsia="en-GB"/>
        </w:rPr>
        <w:t>ing</w:t>
      </w:r>
      <w:r w:rsidR="00921963" w:rsidRPr="003C2F2D">
        <w:rPr>
          <w:rFonts w:eastAsia="Times New Roman" w:cstheme="minorHAnsi"/>
          <w:lang w:eastAsia="en-GB"/>
        </w:rPr>
        <w:t xml:space="preserve"> </w:t>
      </w:r>
      <w:r w:rsidR="00921963">
        <w:rPr>
          <w:rFonts w:eastAsia="Times New Roman" w:cstheme="minorHAnsi"/>
          <w:lang w:eastAsia="en-GB"/>
        </w:rPr>
        <w:t>revenue</w:t>
      </w:r>
      <w:r w:rsidR="00921963" w:rsidRPr="003C2F2D">
        <w:rPr>
          <w:rFonts w:eastAsia="Times New Roman" w:cstheme="minorHAnsi"/>
          <w:lang w:eastAsia="en-GB"/>
        </w:rPr>
        <w:t xml:space="preserve"> for LAs, </w:t>
      </w:r>
      <w:r w:rsidR="00921963">
        <w:rPr>
          <w:rFonts w:eastAsia="Times New Roman" w:cstheme="minorHAnsi"/>
          <w:lang w:eastAsia="en-GB"/>
        </w:rPr>
        <w:t>boost</w:t>
      </w:r>
      <w:r w:rsidR="00070183">
        <w:rPr>
          <w:rFonts w:eastAsia="Times New Roman" w:cstheme="minorHAnsi"/>
          <w:lang w:eastAsia="en-GB"/>
        </w:rPr>
        <w:t>ing</w:t>
      </w:r>
      <w:r w:rsidR="00921963">
        <w:rPr>
          <w:rFonts w:eastAsia="Times New Roman" w:cstheme="minorHAnsi"/>
          <w:lang w:eastAsia="en-GB"/>
        </w:rPr>
        <w:t xml:space="preserve"> local investments and developments, provid</w:t>
      </w:r>
      <w:r w:rsidR="00070183">
        <w:rPr>
          <w:rFonts w:eastAsia="Times New Roman" w:cstheme="minorHAnsi"/>
          <w:lang w:eastAsia="en-GB"/>
        </w:rPr>
        <w:t>ing</w:t>
      </w:r>
      <w:r w:rsidR="00921963">
        <w:rPr>
          <w:rFonts w:eastAsia="Times New Roman" w:cstheme="minorHAnsi"/>
          <w:lang w:eastAsia="en-GB"/>
        </w:rPr>
        <w:t xml:space="preserve"> </w:t>
      </w:r>
      <w:r w:rsidR="00921963" w:rsidRPr="003C2F2D">
        <w:rPr>
          <w:rFonts w:eastAsia="Times New Roman" w:cstheme="minorHAnsi"/>
          <w:lang w:eastAsia="en-GB"/>
        </w:rPr>
        <w:t xml:space="preserve">resources </w:t>
      </w:r>
      <w:r w:rsidR="00921963">
        <w:rPr>
          <w:rFonts w:eastAsia="Times New Roman" w:cstheme="minorHAnsi"/>
          <w:lang w:eastAsia="en-GB"/>
        </w:rPr>
        <w:t xml:space="preserve">and </w:t>
      </w:r>
      <w:r w:rsidR="00921963" w:rsidRPr="003C2F2D">
        <w:rPr>
          <w:rFonts w:eastAsia="Times New Roman" w:cstheme="minorHAnsi"/>
          <w:lang w:eastAsia="en-GB"/>
        </w:rPr>
        <w:t>expertise</w:t>
      </w:r>
      <w:r w:rsidR="00921963">
        <w:rPr>
          <w:rFonts w:eastAsia="Times New Roman" w:cstheme="minorHAnsi"/>
          <w:lang w:eastAsia="en-GB"/>
        </w:rPr>
        <w:t>, and shar</w:t>
      </w:r>
      <w:r w:rsidR="00070183">
        <w:rPr>
          <w:rFonts w:eastAsia="Times New Roman" w:cstheme="minorHAnsi"/>
          <w:lang w:eastAsia="en-GB"/>
        </w:rPr>
        <w:t>ing</w:t>
      </w:r>
      <w:r w:rsidR="00921963">
        <w:rPr>
          <w:rFonts w:eastAsia="Times New Roman" w:cstheme="minorHAnsi"/>
          <w:lang w:eastAsia="en-GB"/>
        </w:rPr>
        <w:t xml:space="preserve"> risk</w:t>
      </w:r>
      <w:r w:rsidR="00070183">
        <w:rPr>
          <w:rFonts w:eastAsia="Times New Roman" w:cstheme="minorHAnsi"/>
          <w:lang w:eastAsia="en-GB"/>
        </w:rPr>
        <w:t>s</w:t>
      </w:r>
      <w:r w:rsidR="00921963">
        <w:rPr>
          <w:rFonts w:eastAsia="Times New Roman" w:cstheme="minorHAnsi"/>
          <w:lang w:eastAsia="en-GB"/>
        </w:rPr>
        <w:t xml:space="preserve"> in developments</w:t>
      </w:r>
      <w:r w:rsidR="00921963" w:rsidRPr="003C2F2D">
        <w:rPr>
          <w:rFonts w:eastAsia="Times New Roman" w:cstheme="minorHAnsi"/>
          <w:lang w:eastAsia="en-GB"/>
        </w:rPr>
        <w:t xml:space="preserve">, allowing LAs to deliver their key </w:t>
      </w:r>
      <w:r w:rsidR="00921963" w:rsidRPr="004F3CBD">
        <w:rPr>
          <w:rFonts w:eastAsia="Times New Roman" w:cstheme="minorHAnsi"/>
          <w:lang w:eastAsia="en-GB"/>
        </w:rPr>
        <w:t>functions and vital services.</w:t>
      </w:r>
      <w:r w:rsidR="00E03A73" w:rsidRPr="004F3CBD">
        <w:rPr>
          <w:rFonts w:eastAsia="Times New Roman" w:cstheme="minorHAnsi"/>
          <w:lang w:eastAsia="en-GB"/>
        </w:rPr>
        <w:t xml:space="preserve"> As such, c</w:t>
      </w:r>
      <w:r w:rsidR="00F74ED5" w:rsidRPr="004F3CBD">
        <w:rPr>
          <w:rFonts w:eastAsia="Times New Roman" w:cstheme="minorHAnsi"/>
          <w:lang w:eastAsia="en-GB"/>
        </w:rPr>
        <w:t>omplex,</w:t>
      </w:r>
      <w:r w:rsidR="0022067B" w:rsidRPr="004F3CBD">
        <w:rPr>
          <w:rFonts w:eastAsia="Times New Roman" w:cstheme="minorHAnsi"/>
          <w:lang w:eastAsia="en-GB"/>
        </w:rPr>
        <w:t xml:space="preserve"> and </w:t>
      </w:r>
      <w:r w:rsidR="00F9616E" w:rsidRPr="004F3CBD">
        <w:rPr>
          <w:rFonts w:eastAsia="Times New Roman" w:cstheme="minorHAnsi"/>
          <w:lang w:eastAsia="en-GB"/>
        </w:rPr>
        <w:t xml:space="preserve">sometimes </w:t>
      </w:r>
      <w:r w:rsidR="0022067B" w:rsidRPr="004F3CBD">
        <w:rPr>
          <w:rFonts w:eastAsia="Times New Roman" w:cstheme="minorHAnsi"/>
          <w:lang w:eastAsia="en-GB"/>
        </w:rPr>
        <w:t>close</w:t>
      </w:r>
      <w:r w:rsidR="00F843EF" w:rsidRPr="004F3CBD">
        <w:rPr>
          <w:rFonts w:eastAsia="Times New Roman" w:cstheme="minorHAnsi"/>
          <w:lang w:eastAsia="en-GB"/>
        </w:rPr>
        <w:t>,</w:t>
      </w:r>
      <w:r w:rsidR="0022067B" w:rsidRPr="004F3CBD">
        <w:rPr>
          <w:rFonts w:eastAsia="Times New Roman" w:cstheme="minorHAnsi"/>
          <w:lang w:eastAsia="en-GB"/>
        </w:rPr>
        <w:t xml:space="preserve"> inter-relationships </w:t>
      </w:r>
      <w:r w:rsidR="00230984" w:rsidRPr="004F3CBD">
        <w:rPr>
          <w:rFonts w:eastAsia="Times New Roman" w:cstheme="minorHAnsi"/>
          <w:lang w:eastAsia="en-GB"/>
        </w:rPr>
        <w:t xml:space="preserve">between </w:t>
      </w:r>
      <w:r w:rsidR="0022067B" w:rsidRPr="004F3CBD">
        <w:rPr>
          <w:rFonts w:eastAsia="Times New Roman" w:cstheme="minorHAnsi"/>
          <w:lang w:eastAsia="en-GB"/>
        </w:rPr>
        <w:t xml:space="preserve">LAs </w:t>
      </w:r>
      <w:r w:rsidR="00F843EF" w:rsidRPr="004F3CBD">
        <w:rPr>
          <w:rFonts w:eastAsia="Times New Roman" w:cstheme="minorHAnsi"/>
          <w:lang w:eastAsia="en-GB"/>
        </w:rPr>
        <w:t xml:space="preserve">and </w:t>
      </w:r>
      <w:r w:rsidR="00F9616E" w:rsidRPr="004F3CBD">
        <w:rPr>
          <w:rFonts w:eastAsia="Times New Roman" w:cstheme="minorHAnsi"/>
          <w:lang w:eastAsia="en-GB"/>
        </w:rPr>
        <w:t xml:space="preserve">HCIs might not be perceived differently from other business relations, </w:t>
      </w:r>
      <w:r w:rsidR="00CB600F">
        <w:rPr>
          <w:rFonts w:eastAsia="Times New Roman" w:cstheme="minorHAnsi"/>
          <w:lang w:eastAsia="en-GB"/>
        </w:rPr>
        <w:t xml:space="preserve">on the assumption that the interactions are equally mutually beneficial. </w:t>
      </w:r>
      <w:bookmarkStart w:id="1" w:name="_Hlk102029325"/>
    </w:p>
    <w:bookmarkEnd w:id="1"/>
    <w:p w14:paraId="69AB7A44" w14:textId="6313D78A" w:rsidR="003C2F2D" w:rsidRPr="003C2F2D" w:rsidRDefault="008728F7" w:rsidP="003C2F2D">
      <w:pPr>
        <w:shd w:val="clear" w:color="auto" w:fill="FFFFFF"/>
        <w:spacing w:before="100" w:beforeAutospacing="1" w:after="100" w:afterAutospacing="1"/>
        <w:jc w:val="both"/>
        <w:textAlignment w:val="baseline"/>
        <w:rPr>
          <w:rFonts w:eastAsia="Times New Roman" w:cstheme="minorHAnsi"/>
          <w:lang w:eastAsia="en-GB"/>
        </w:rPr>
      </w:pPr>
      <w:r w:rsidRPr="008728F7">
        <w:rPr>
          <w:rFonts w:eastAsia="Times New Roman" w:cstheme="minorHAnsi"/>
          <w:lang w:eastAsia="en-GB"/>
        </w:rPr>
        <w:t xml:space="preserve">The complex and close inter-relationships between public bodies and HCIs </w:t>
      </w:r>
      <w:r w:rsidR="00915613">
        <w:rPr>
          <w:rFonts w:eastAsia="Times New Roman" w:cstheme="minorHAnsi"/>
          <w:lang w:eastAsia="en-GB"/>
        </w:rPr>
        <w:t>are</w:t>
      </w:r>
      <w:r w:rsidRPr="008728F7">
        <w:rPr>
          <w:rFonts w:eastAsia="Times New Roman" w:cstheme="minorHAnsi"/>
          <w:lang w:eastAsia="en-GB"/>
        </w:rPr>
        <w:t xml:space="preserve"> well-established, but the manifestation of such activities at a regional or local government level, has not been explored. In addition, while previous research mainly focuses on the activities and the influence of HCIs, little is known about interactions between HCI and public bodies, in which LAs seek involvement from HCIs.</w:t>
      </w:r>
      <w:r>
        <w:rPr>
          <w:rFonts w:eastAsia="Times New Roman" w:cstheme="minorHAnsi"/>
          <w:lang w:eastAsia="en-GB"/>
        </w:rPr>
        <w:t xml:space="preserve"> </w:t>
      </w:r>
      <w:r w:rsidR="00042D19" w:rsidRPr="004F3CBD">
        <w:rPr>
          <w:rFonts w:eastAsia="Times New Roman" w:cstheme="minorHAnsi"/>
          <w:lang w:eastAsia="en-GB"/>
        </w:rPr>
        <w:t>L</w:t>
      </w:r>
      <w:r w:rsidR="003C2F2D" w:rsidRPr="004F3CBD">
        <w:rPr>
          <w:rFonts w:eastAsia="Times New Roman" w:cstheme="minorHAnsi"/>
          <w:lang w:eastAsia="en-GB"/>
        </w:rPr>
        <w:t>ittle is known about the nature and extent of interactions</w:t>
      </w:r>
      <w:r w:rsidR="00AC0189" w:rsidRPr="004F3CBD">
        <w:rPr>
          <w:rFonts w:eastAsia="Times New Roman" w:cstheme="minorHAnsi"/>
          <w:lang w:eastAsia="en-GB"/>
        </w:rPr>
        <w:t xml:space="preserve"> between LAs and HCIs</w:t>
      </w:r>
      <w:r w:rsidR="00321A21" w:rsidRPr="004F3CBD">
        <w:rPr>
          <w:rFonts w:eastAsia="Times New Roman" w:cstheme="minorHAnsi"/>
          <w:lang w:eastAsia="en-GB"/>
        </w:rPr>
        <w:t>.</w:t>
      </w:r>
      <w:r w:rsidR="00AD65AA" w:rsidRPr="004F3CBD">
        <w:rPr>
          <w:rFonts w:eastAsia="Times New Roman" w:cstheme="minorHAnsi"/>
          <w:lang w:eastAsia="en-GB"/>
        </w:rPr>
        <w:t xml:space="preserve"> </w:t>
      </w:r>
      <w:r w:rsidR="003C2F2D" w:rsidRPr="004F3CBD">
        <w:rPr>
          <w:rFonts w:eastAsia="Times New Roman" w:cstheme="minorHAnsi"/>
          <w:lang w:eastAsia="en-GB"/>
        </w:rPr>
        <w:t>Therefore, it is critical to develop a comprehensive conceptualisation</w:t>
      </w:r>
      <w:r w:rsidR="00321A21" w:rsidRPr="004F3CBD">
        <w:rPr>
          <w:rFonts w:eastAsia="Times New Roman" w:cstheme="minorHAnsi"/>
          <w:lang w:eastAsia="en-GB"/>
        </w:rPr>
        <w:t xml:space="preserve"> of interactions that</w:t>
      </w:r>
      <w:r w:rsidR="003C2F2D" w:rsidRPr="004F3CBD">
        <w:rPr>
          <w:rFonts w:eastAsia="Times New Roman" w:cstheme="minorHAnsi"/>
          <w:lang w:eastAsia="en-GB"/>
        </w:rPr>
        <w:t xml:space="preserve"> </w:t>
      </w:r>
      <w:r w:rsidR="00F41CA1" w:rsidRPr="004F3CBD">
        <w:rPr>
          <w:rFonts w:eastAsia="Times New Roman" w:cstheme="minorHAnsi"/>
          <w:lang w:eastAsia="en-GB"/>
        </w:rPr>
        <w:t>consider</w:t>
      </w:r>
      <w:r w:rsidR="00321A21" w:rsidRPr="004F3CBD">
        <w:rPr>
          <w:rFonts w:eastAsia="Times New Roman" w:cstheme="minorHAnsi"/>
          <w:lang w:eastAsia="en-GB"/>
        </w:rPr>
        <w:t>s and explores</w:t>
      </w:r>
      <w:r w:rsidR="003C2F2D" w:rsidRPr="004F3CBD">
        <w:rPr>
          <w:rFonts w:eastAsia="Times New Roman" w:cstheme="minorHAnsi"/>
          <w:lang w:eastAsia="en-GB"/>
        </w:rPr>
        <w:t xml:space="preserve"> </w:t>
      </w:r>
      <w:r w:rsidR="00DD3937" w:rsidRPr="004F3CBD">
        <w:rPr>
          <w:rFonts w:eastAsia="Times New Roman" w:cstheme="minorHAnsi"/>
          <w:lang w:eastAsia="en-GB"/>
        </w:rPr>
        <w:t>the LA perspective to inform decision-</w:t>
      </w:r>
      <w:r w:rsidR="00743EAE" w:rsidRPr="004F3CBD">
        <w:rPr>
          <w:rFonts w:eastAsia="Times New Roman" w:cstheme="minorHAnsi"/>
          <w:lang w:eastAsia="en-GB"/>
        </w:rPr>
        <w:t>makers and</w:t>
      </w:r>
      <w:r w:rsidR="00743EAE">
        <w:rPr>
          <w:rFonts w:eastAsia="Times New Roman" w:cstheme="minorHAnsi"/>
          <w:lang w:eastAsia="en-GB"/>
        </w:rPr>
        <w:t xml:space="preserve"> ensure protection of populations from the harmful effects of HCIs.</w:t>
      </w:r>
      <w:r w:rsidR="003C2F2D" w:rsidRPr="004F3CBD">
        <w:rPr>
          <w:rFonts w:eastAsia="Times New Roman" w:cstheme="minorHAnsi"/>
          <w:lang w:eastAsia="en-GB"/>
        </w:rPr>
        <w:t xml:space="preserve"> </w:t>
      </w:r>
      <w:r w:rsidR="00F41CA1" w:rsidRPr="004F3CBD">
        <w:rPr>
          <w:rFonts w:eastAsia="Times New Roman" w:cstheme="minorHAnsi"/>
          <w:lang w:eastAsia="en-GB"/>
        </w:rPr>
        <w:t xml:space="preserve">Understanding these interactions </w:t>
      </w:r>
      <w:r w:rsidR="00230984" w:rsidRPr="004F3CBD">
        <w:rPr>
          <w:rFonts w:eastAsia="Times New Roman" w:cstheme="minorHAnsi"/>
          <w:lang w:eastAsia="en-GB"/>
        </w:rPr>
        <w:t xml:space="preserve">is </w:t>
      </w:r>
      <w:r w:rsidR="00F41CA1" w:rsidRPr="004F3CBD">
        <w:rPr>
          <w:rFonts w:eastAsia="Times New Roman" w:cstheme="minorHAnsi"/>
          <w:lang w:eastAsia="en-GB"/>
        </w:rPr>
        <w:t xml:space="preserve">particularly </w:t>
      </w:r>
      <w:r w:rsidR="00321A21" w:rsidRPr="004F3CBD">
        <w:rPr>
          <w:rFonts w:eastAsia="Times New Roman" w:cstheme="minorHAnsi"/>
          <w:lang w:eastAsia="en-GB"/>
        </w:rPr>
        <w:t xml:space="preserve">pertinent in the current </w:t>
      </w:r>
      <w:r w:rsidR="00AA0A83">
        <w:rPr>
          <w:rFonts w:eastAsia="Times New Roman" w:cstheme="minorHAnsi"/>
          <w:lang w:eastAsia="en-GB"/>
        </w:rPr>
        <w:t>economic clima</w:t>
      </w:r>
      <w:r w:rsidR="00321A21" w:rsidRPr="004F3CBD">
        <w:rPr>
          <w:rFonts w:eastAsia="Times New Roman" w:cstheme="minorHAnsi"/>
          <w:lang w:eastAsia="en-GB"/>
        </w:rPr>
        <w:t>t</w:t>
      </w:r>
      <w:r w:rsidR="00AA0A83">
        <w:rPr>
          <w:rFonts w:eastAsia="Times New Roman" w:cstheme="minorHAnsi"/>
          <w:lang w:eastAsia="en-GB"/>
        </w:rPr>
        <w:t>e</w:t>
      </w:r>
      <w:r w:rsidR="00F41CA1" w:rsidRPr="004F3CBD">
        <w:rPr>
          <w:rFonts w:eastAsia="Times New Roman" w:cstheme="minorHAnsi"/>
          <w:lang w:eastAsia="en-GB"/>
        </w:rPr>
        <w:t xml:space="preserve"> as </w:t>
      </w:r>
      <w:r w:rsidR="00136642" w:rsidRPr="004F3CBD">
        <w:rPr>
          <w:rFonts w:eastAsia="Times New Roman" w:cstheme="minorHAnsi"/>
          <w:lang w:eastAsia="en-GB"/>
        </w:rPr>
        <w:t>LAs</w:t>
      </w:r>
      <w:r w:rsidR="00F41CA1" w:rsidRPr="004F3CBD">
        <w:rPr>
          <w:rFonts w:eastAsia="Times New Roman" w:cstheme="minorHAnsi"/>
          <w:lang w:eastAsia="en-GB"/>
        </w:rPr>
        <w:t xml:space="preserve"> operate under increasing financial</w:t>
      </w:r>
      <w:r w:rsidR="00321A21" w:rsidRPr="004F3CBD">
        <w:rPr>
          <w:rFonts w:eastAsia="Times New Roman" w:cstheme="minorHAnsi"/>
          <w:lang w:eastAsia="en-GB"/>
        </w:rPr>
        <w:t xml:space="preserve"> constraints</w:t>
      </w:r>
      <w:r w:rsidR="00F41CA1" w:rsidRPr="004F3CBD">
        <w:rPr>
          <w:rFonts w:eastAsia="Times New Roman" w:cstheme="minorHAnsi"/>
          <w:lang w:eastAsia="en-GB"/>
        </w:rPr>
        <w:t xml:space="preserve">, and </w:t>
      </w:r>
      <w:r w:rsidR="00771BA5" w:rsidRPr="004F3CBD">
        <w:rPr>
          <w:rFonts w:eastAsia="Times New Roman" w:cstheme="minorHAnsi"/>
          <w:lang w:eastAsia="en-GB"/>
        </w:rPr>
        <w:t xml:space="preserve">their </w:t>
      </w:r>
      <w:r w:rsidR="00F41CA1" w:rsidRPr="004F3CBD">
        <w:rPr>
          <w:rFonts w:eastAsia="Times New Roman" w:cstheme="minorHAnsi"/>
          <w:lang w:eastAsia="en-GB"/>
        </w:rPr>
        <w:t>investment, efficiency, and retrenchment strategies</w:t>
      </w:r>
      <w:r w:rsidR="00771BA5" w:rsidRPr="004F3CBD">
        <w:rPr>
          <w:rFonts w:eastAsia="Times New Roman" w:cstheme="minorHAnsi"/>
          <w:lang w:eastAsia="en-GB"/>
        </w:rPr>
        <w:t xml:space="preserve"> may</w:t>
      </w:r>
      <w:r w:rsidR="00F41CA1" w:rsidRPr="004F3CBD">
        <w:rPr>
          <w:rFonts w:eastAsia="Times New Roman" w:cstheme="minorHAnsi"/>
          <w:lang w:eastAsia="en-GB"/>
        </w:rPr>
        <w:t xml:space="preserve"> increasingly involv</w:t>
      </w:r>
      <w:r w:rsidR="00771BA5" w:rsidRPr="004F3CBD">
        <w:rPr>
          <w:rFonts w:eastAsia="Times New Roman" w:cstheme="minorHAnsi"/>
          <w:lang w:eastAsia="en-GB"/>
        </w:rPr>
        <w:t>e</w:t>
      </w:r>
      <w:r w:rsidR="00F41CA1" w:rsidRPr="004F3CBD">
        <w:rPr>
          <w:rFonts w:eastAsia="Times New Roman" w:cstheme="minorHAnsi"/>
          <w:lang w:eastAsia="en-GB"/>
        </w:rPr>
        <w:t xml:space="preserve"> HCIs </w:t>
      </w:r>
      <w:r w:rsidR="00230984" w:rsidRPr="004F3CBD">
        <w:rPr>
          <w:rFonts w:eastAsia="Times New Roman" w:cstheme="minorHAnsi"/>
          <w:lang w:eastAsia="en-GB"/>
        </w:rPr>
        <w:t xml:space="preserve">in attempts </w:t>
      </w:r>
      <w:r w:rsidR="00F41CA1" w:rsidRPr="004F3CBD">
        <w:rPr>
          <w:rFonts w:eastAsia="Times New Roman" w:cstheme="minorHAnsi"/>
          <w:lang w:eastAsia="en-GB"/>
        </w:rPr>
        <w:t xml:space="preserve">to compensate for </w:t>
      </w:r>
      <w:r w:rsidR="00321A21" w:rsidRPr="004F3CBD">
        <w:rPr>
          <w:rFonts w:eastAsia="Times New Roman" w:cstheme="minorHAnsi"/>
          <w:lang w:eastAsia="en-GB"/>
        </w:rPr>
        <w:t>reductions in public funding</w:t>
      </w:r>
      <w:r w:rsidR="00771BA5" w:rsidRPr="004F3CBD">
        <w:rPr>
          <w:rFonts w:eastAsia="Times New Roman" w:cstheme="minorHAnsi"/>
          <w:lang w:eastAsia="en-GB"/>
        </w:rPr>
        <w:t xml:space="preserve"> </w:t>
      </w:r>
      <w:r w:rsidR="00230984" w:rsidRPr="004F3CBD">
        <w:rPr>
          <w:rFonts w:eastAsia="Times New Roman" w:cstheme="minorHAnsi"/>
          <w:lang w:eastAsia="en-GB"/>
        </w:rPr>
        <w:t xml:space="preserve">over the past decade </w:t>
      </w:r>
      <w:r w:rsidR="00F41CA1" w:rsidRPr="004F3CBD">
        <w:rPr>
          <w:rFonts w:eastAsia="Times New Roman" w:cstheme="minorHAnsi"/>
          <w:lang w:eastAsia="en-GB"/>
        </w:rPr>
        <w:t>[</w:t>
      </w:r>
      <w:r w:rsidR="00924326" w:rsidRPr="004F3CBD">
        <w:rPr>
          <w:rFonts w:eastAsia="Times New Roman" w:cstheme="minorHAnsi"/>
          <w:lang w:eastAsia="en-GB"/>
        </w:rPr>
        <w:t>3</w:t>
      </w:r>
      <w:r w:rsidR="008C4C4E">
        <w:rPr>
          <w:rFonts w:eastAsia="Times New Roman" w:cstheme="minorHAnsi"/>
          <w:lang w:eastAsia="en-GB"/>
        </w:rPr>
        <w:t>7</w:t>
      </w:r>
      <w:r w:rsidR="00924326" w:rsidRPr="004F3CBD">
        <w:rPr>
          <w:rFonts w:eastAsia="Times New Roman" w:cstheme="minorHAnsi"/>
          <w:lang w:eastAsia="en-GB"/>
        </w:rPr>
        <w:t>-3</w:t>
      </w:r>
      <w:r w:rsidR="008C4C4E">
        <w:rPr>
          <w:rFonts w:eastAsia="Times New Roman" w:cstheme="minorHAnsi"/>
          <w:lang w:eastAsia="en-GB"/>
        </w:rPr>
        <w:t>9</w:t>
      </w:r>
      <w:r w:rsidR="00F41CA1" w:rsidRPr="004F3CBD">
        <w:rPr>
          <w:rFonts w:eastAsia="Times New Roman" w:cstheme="minorHAnsi"/>
          <w:lang w:eastAsia="en-GB"/>
        </w:rPr>
        <w:t>].</w:t>
      </w:r>
      <w:r w:rsidR="00771BA5" w:rsidRPr="004F3CBD">
        <w:rPr>
          <w:rFonts w:eastAsia="Times New Roman" w:cstheme="minorHAnsi"/>
          <w:lang w:eastAsia="en-GB"/>
        </w:rPr>
        <w:t xml:space="preserve"> This study</w:t>
      </w:r>
      <w:r w:rsidR="003C2F2D" w:rsidRPr="004F3CBD">
        <w:rPr>
          <w:rFonts w:eastAsia="Times New Roman" w:cstheme="minorHAnsi"/>
          <w:lang w:eastAsia="en-GB"/>
        </w:rPr>
        <w:t xml:space="preserve"> aimed to </w:t>
      </w:r>
      <w:r w:rsidR="00F41CA1" w:rsidRPr="004F3CBD">
        <w:rPr>
          <w:rFonts w:eastAsia="Times New Roman" w:cstheme="minorHAnsi"/>
          <w:lang w:eastAsia="en-GB"/>
        </w:rPr>
        <w:t xml:space="preserve">develop </w:t>
      </w:r>
      <w:r w:rsidR="003C2F2D" w:rsidRPr="004F3CBD">
        <w:rPr>
          <w:rFonts w:eastAsia="Times New Roman" w:cstheme="minorHAnsi"/>
          <w:lang w:eastAsia="en-GB"/>
        </w:rPr>
        <w:t xml:space="preserve">a typology that </w:t>
      </w:r>
      <w:r w:rsidR="00BE3A20">
        <w:rPr>
          <w:rFonts w:eastAsia="Times New Roman" w:cstheme="minorHAnsi"/>
          <w:lang w:eastAsia="en-GB"/>
        </w:rPr>
        <w:t xml:space="preserve">could encompass all </w:t>
      </w:r>
      <w:r w:rsidR="003C2F2D" w:rsidRPr="003C2F2D">
        <w:rPr>
          <w:rFonts w:eastAsia="Times New Roman" w:cstheme="minorHAnsi"/>
          <w:lang w:eastAsia="en-GB"/>
        </w:rPr>
        <w:t xml:space="preserve">potential interactions between HCIs and English LAs. We had two specific objectives: (1) synthesise the published </w:t>
      </w:r>
      <w:r w:rsidR="00EB5071">
        <w:rPr>
          <w:rFonts w:eastAsia="Times New Roman" w:cstheme="minorHAnsi"/>
          <w:lang w:eastAsia="en-GB"/>
        </w:rPr>
        <w:t xml:space="preserve">international </w:t>
      </w:r>
      <w:r w:rsidR="003C2F2D" w:rsidRPr="003C2F2D">
        <w:rPr>
          <w:rFonts w:eastAsia="Times New Roman" w:cstheme="minorHAnsi"/>
          <w:lang w:eastAsia="en-GB"/>
        </w:rPr>
        <w:t xml:space="preserve">literature and develop a typology of the potential ways HCIs and LAs interact, and (2) contextualise and refine the typology through </w:t>
      </w:r>
      <w:r w:rsidR="00AD14D4">
        <w:rPr>
          <w:rFonts w:eastAsia="Times New Roman" w:cstheme="minorHAnsi"/>
          <w:lang w:eastAsia="en-GB"/>
        </w:rPr>
        <w:t xml:space="preserve">the </w:t>
      </w:r>
      <w:r w:rsidR="003C2F2D" w:rsidRPr="003C2F2D">
        <w:rPr>
          <w:rFonts w:eastAsia="Times New Roman" w:cstheme="minorHAnsi"/>
          <w:lang w:eastAsia="en-GB"/>
        </w:rPr>
        <w:t xml:space="preserve">identification of </w:t>
      </w:r>
      <w:r w:rsidR="00F41CA1">
        <w:rPr>
          <w:rFonts w:eastAsia="Times New Roman" w:cstheme="minorHAnsi"/>
          <w:lang w:eastAsia="en-GB"/>
        </w:rPr>
        <w:t xml:space="preserve">documented examples </w:t>
      </w:r>
      <w:r w:rsidR="00BE3A20">
        <w:rPr>
          <w:rFonts w:eastAsia="Times New Roman" w:cstheme="minorHAnsi"/>
          <w:lang w:eastAsia="en-GB"/>
        </w:rPr>
        <w:t xml:space="preserve">of such interactions </w:t>
      </w:r>
      <w:r w:rsidR="003C2F2D" w:rsidRPr="003C2F2D">
        <w:rPr>
          <w:rFonts w:eastAsia="Times New Roman" w:cstheme="minorHAnsi"/>
          <w:lang w:eastAsia="en-GB"/>
        </w:rPr>
        <w:t xml:space="preserve">at </w:t>
      </w:r>
      <w:r w:rsidR="00AD14D4">
        <w:rPr>
          <w:rFonts w:eastAsia="Times New Roman" w:cstheme="minorHAnsi"/>
          <w:lang w:eastAsia="en-GB"/>
        </w:rPr>
        <w:t xml:space="preserve">the </w:t>
      </w:r>
      <w:r w:rsidR="003C2F2D" w:rsidRPr="003C2F2D">
        <w:rPr>
          <w:rFonts w:eastAsia="Times New Roman" w:cstheme="minorHAnsi"/>
          <w:lang w:eastAsia="en-GB"/>
        </w:rPr>
        <w:t>LA level</w:t>
      </w:r>
      <w:r w:rsidR="00EB5071">
        <w:rPr>
          <w:rFonts w:eastAsia="Times New Roman" w:cstheme="minorHAnsi"/>
          <w:lang w:eastAsia="en-GB"/>
        </w:rPr>
        <w:t xml:space="preserve"> in England</w:t>
      </w:r>
      <w:r w:rsidR="003C2F2D" w:rsidRPr="003C2F2D">
        <w:rPr>
          <w:rFonts w:eastAsia="Times New Roman" w:cstheme="minorHAnsi"/>
          <w:lang w:eastAsia="en-GB"/>
        </w:rPr>
        <w:t>.</w:t>
      </w:r>
    </w:p>
    <w:p w14:paraId="1CA98E6A" w14:textId="1A591791" w:rsidR="00223671" w:rsidRPr="00465A7B" w:rsidRDefault="00131564" w:rsidP="00223671">
      <w:pPr>
        <w:rPr>
          <w:b/>
          <w:bCs/>
          <w:sz w:val="24"/>
          <w:szCs w:val="24"/>
        </w:rPr>
      </w:pPr>
      <w:r w:rsidRPr="00465A7B">
        <w:rPr>
          <w:b/>
          <w:bCs/>
          <w:sz w:val="24"/>
          <w:szCs w:val="24"/>
        </w:rPr>
        <w:t>M</w:t>
      </w:r>
      <w:r w:rsidR="00A440E5">
        <w:rPr>
          <w:b/>
          <w:bCs/>
          <w:sz w:val="24"/>
          <w:szCs w:val="24"/>
        </w:rPr>
        <w:t>ETHODS</w:t>
      </w:r>
    </w:p>
    <w:p w14:paraId="1A7A3CB4" w14:textId="5795D6DD" w:rsidR="00EC6B6F" w:rsidRPr="00C4666A" w:rsidRDefault="00B94BB5" w:rsidP="00B94BB5">
      <w:pPr>
        <w:jc w:val="both"/>
      </w:pPr>
      <w:r w:rsidRPr="00C4666A">
        <w:t xml:space="preserve">We adopted principles from </w:t>
      </w:r>
      <w:r w:rsidR="00963757">
        <w:t>cr</w:t>
      </w:r>
      <w:r w:rsidRPr="00C4666A">
        <w:t xml:space="preserve">itical </w:t>
      </w:r>
      <w:r w:rsidR="00963757">
        <w:t>i</w:t>
      </w:r>
      <w:r w:rsidRPr="00C4666A">
        <w:t xml:space="preserve">nterpretive </w:t>
      </w:r>
      <w:r w:rsidR="00963757">
        <w:t>s</w:t>
      </w:r>
      <w:r w:rsidRPr="00C4666A">
        <w:t>ynthesis (CIS</w:t>
      </w:r>
      <w:r w:rsidR="00D50BF5">
        <w:t>)</w:t>
      </w:r>
      <w:r w:rsidR="00136642">
        <w:t xml:space="preserve"> </w:t>
      </w:r>
      <w:r w:rsidR="00D50BF5">
        <w:t>[</w:t>
      </w:r>
      <w:r w:rsidR="008C4C4E">
        <w:t>40</w:t>
      </w:r>
      <w:r w:rsidR="00D50BF5">
        <w:t>]</w:t>
      </w:r>
      <w:r w:rsidR="009C1409">
        <w:t xml:space="preserve"> </w:t>
      </w:r>
      <w:r w:rsidRPr="00C4666A">
        <w:t xml:space="preserve">to guide the study methods. </w:t>
      </w:r>
      <w:r w:rsidR="00EC6B6F">
        <w:t xml:space="preserve">CIS is an approach explicitly oriented towards theory building through a dialectic process </w:t>
      </w:r>
      <w:r w:rsidR="001D3B78">
        <w:t>combining</w:t>
      </w:r>
      <w:r w:rsidR="00EC6B6F">
        <w:t xml:space="preserve"> evidence and theory</w:t>
      </w:r>
      <w:r w:rsidR="001D3B78">
        <w:t>.</w:t>
      </w:r>
      <w:r w:rsidR="00EC6B6F">
        <w:t xml:space="preserve"> </w:t>
      </w:r>
      <w:r w:rsidR="00CF6B74">
        <w:t>A</w:t>
      </w:r>
      <w:r>
        <w:t>dopting a comprehensive critical narrative</w:t>
      </w:r>
      <w:r w:rsidR="00CF6B74">
        <w:t xml:space="preserve"> allowed us to </w:t>
      </w:r>
      <w:r>
        <w:t>integrate and interpret a diverse body of evidence into a coherent conceptual framewor</w:t>
      </w:r>
      <w:r w:rsidR="00D50BF5">
        <w:t>k</w:t>
      </w:r>
      <w:r w:rsidR="00282157">
        <w:t xml:space="preserve"> </w:t>
      </w:r>
      <w:r w:rsidR="00D50BF5">
        <w:t>[</w:t>
      </w:r>
      <w:r w:rsidR="008C4C4E">
        <w:t>40</w:t>
      </w:r>
      <w:r w:rsidR="00D50BF5">
        <w:t>]</w:t>
      </w:r>
      <w:r w:rsidR="007140DE">
        <w:t xml:space="preserve"> in a dynamic and iterative process. </w:t>
      </w:r>
      <w:r w:rsidRPr="00C4666A">
        <w:t>The protocol was registered with PROSPERO (CRD42021257311).</w:t>
      </w:r>
    </w:p>
    <w:p w14:paraId="4896D3A7" w14:textId="48BC50C5" w:rsidR="00223671" w:rsidRDefault="00396383" w:rsidP="007446F2">
      <w:pPr>
        <w:jc w:val="both"/>
        <w:rPr>
          <w:b/>
          <w:bCs/>
        </w:rPr>
      </w:pPr>
      <w:r>
        <w:rPr>
          <w:b/>
          <w:bCs/>
        </w:rPr>
        <w:t>Public</w:t>
      </w:r>
      <w:r w:rsidR="00223671" w:rsidRPr="007E7D5F">
        <w:rPr>
          <w:b/>
          <w:bCs/>
        </w:rPr>
        <w:t xml:space="preserve"> involvement</w:t>
      </w:r>
      <w:r w:rsidR="00FF6506" w:rsidRPr="007E7D5F">
        <w:rPr>
          <w:b/>
          <w:bCs/>
        </w:rPr>
        <w:t xml:space="preserve"> </w:t>
      </w:r>
    </w:p>
    <w:p w14:paraId="49914A02" w14:textId="550F61AA" w:rsidR="00DA5683" w:rsidRDefault="00223671" w:rsidP="00A906C0">
      <w:pPr>
        <w:jc w:val="both"/>
        <w:rPr>
          <w:rFonts w:cstheme="minorHAnsi"/>
        </w:rPr>
      </w:pPr>
      <w:r>
        <w:lastRenderedPageBreak/>
        <w:t>Five members</w:t>
      </w:r>
      <w:r w:rsidR="00EB5071">
        <w:t xml:space="preserve"> of the public</w:t>
      </w:r>
      <w:r>
        <w:t xml:space="preserve"> were involved throughout the</w:t>
      </w:r>
      <w:r w:rsidR="000E4E1D">
        <w:t xml:space="preserve"> </w:t>
      </w:r>
      <w:r>
        <w:t xml:space="preserve">research process, including </w:t>
      </w:r>
      <w:r>
        <w:rPr>
          <w:rFonts w:cstheme="minorHAnsi"/>
        </w:rPr>
        <w:t xml:space="preserve">methodological </w:t>
      </w:r>
      <w:r w:rsidR="00353307">
        <w:rPr>
          <w:rFonts w:cstheme="minorHAnsi"/>
        </w:rPr>
        <w:t>planning, and c</w:t>
      </w:r>
      <w:r w:rsidR="00A906C0">
        <w:rPr>
          <w:rFonts w:cstheme="minorHAnsi"/>
        </w:rPr>
        <w:t>ontributing to data collection</w:t>
      </w:r>
      <w:r w:rsidR="00C34232">
        <w:rPr>
          <w:rFonts w:cstheme="minorHAnsi"/>
        </w:rPr>
        <w:t xml:space="preserve"> methods</w:t>
      </w:r>
      <w:r w:rsidR="00353307">
        <w:rPr>
          <w:rFonts w:cstheme="minorHAnsi"/>
        </w:rPr>
        <w:t xml:space="preserve">. Crucially, they </w:t>
      </w:r>
      <w:r w:rsidR="005C4138">
        <w:rPr>
          <w:rFonts w:cstheme="minorHAnsi"/>
        </w:rPr>
        <w:t>contributed to t</w:t>
      </w:r>
      <w:r>
        <w:rPr>
          <w:rFonts w:cstheme="minorHAnsi"/>
        </w:rPr>
        <w:t xml:space="preserve">he appropriateness </w:t>
      </w:r>
      <w:r w:rsidR="00F617A3">
        <w:rPr>
          <w:rFonts w:cstheme="minorHAnsi"/>
        </w:rPr>
        <w:t xml:space="preserve">of the </w:t>
      </w:r>
      <w:r w:rsidR="007140DE">
        <w:rPr>
          <w:rFonts w:cstheme="minorHAnsi"/>
        </w:rPr>
        <w:t xml:space="preserve">study </w:t>
      </w:r>
      <w:r w:rsidR="007140DE" w:rsidRPr="00FD0902">
        <w:rPr>
          <w:rFonts w:cstheme="minorHAnsi"/>
        </w:rPr>
        <w:t>framing and language</w:t>
      </w:r>
      <w:r w:rsidR="00F617A3" w:rsidRPr="00FD0902">
        <w:rPr>
          <w:rFonts w:cstheme="minorHAnsi"/>
        </w:rPr>
        <w:t xml:space="preserve">, </w:t>
      </w:r>
      <w:r w:rsidR="007E7D5F" w:rsidRPr="00FD0902">
        <w:rPr>
          <w:rFonts w:cstheme="minorHAnsi"/>
        </w:rPr>
        <w:t>essential for engaging</w:t>
      </w:r>
      <w:r w:rsidRPr="00FD0902">
        <w:rPr>
          <w:rFonts w:cstheme="minorHAnsi"/>
        </w:rPr>
        <w:t xml:space="preserve"> </w:t>
      </w:r>
      <w:r w:rsidR="00F617A3">
        <w:rPr>
          <w:rFonts w:cstheme="minorHAnsi"/>
        </w:rPr>
        <w:t xml:space="preserve">non-public health </w:t>
      </w:r>
      <w:r>
        <w:rPr>
          <w:rFonts w:cstheme="minorHAnsi"/>
        </w:rPr>
        <w:t>practitioner</w:t>
      </w:r>
      <w:r w:rsidR="00F617A3">
        <w:rPr>
          <w:rFonts w:cstheme="minorHAnsi"/>
        </w:rPr>
        <w:t>s</w:t>
      </w:r>
      <w:r w:rsidR="005C4138">
        <w:rPr>
          <w:rFonts w:cstheme="minorHAnsi"/>
        </w:rPr>
        <w:t xml:space="preserve"> and enhancing the practical usability of the research</w:t>
      </w:r>
      <w:r w:rsidR="00A906C0">
        <w:rPr>
          <w:rFonts w:cstheme="minorHAnsi"/>
        </w:rPr>
        <w:t xml:space="preserve">. </w:t>
      </w:r>
    </w:p>
    <w:p w14:paraId="090509B0" w14:textId="74C7CDFC" w:rsidR="00B94BB5" w:rsidRPr="00006488" w:rsidRDefault="00B94BB5" w:rsidP="00B94BB5">
      <w:pPr>
        <w:jc w:val="both"/>
        <w:rPr>
          <w:b/>
          <w:bCs/>
        </w:rPr>
      </w:pPr>
      <w:r w:rsidRPr="00006488">
        <w:rPr>
          <w:b/>
          <w:bCs/>
        </w:rPr>
        <w:t>Reviewing the published literature</w:t>
      </w:r>
    </w:p>
    <w:p w14:paraId="21515591" w14:textId="14A42DE5" w:rsidR="00B94BB5" w:rsidRPr="007633F8" w:rsidRDefault="00B94BB5" w:rsidP="00B94BB5">
      <w:pPr>
        <w:jc w:val="both"/>
      </w:pPr>
      <w:r>
        <w:t xml:space="preserve">Although this </w:t>
      </w:r>
      <w:r w:rsidR="00E227E2">
        <w:t xml:space="preserve">study </w:t>
      </w:r>
      <w:r>
        <w:t xml:space="preserve">was not </w:t>
      </w:r>
      <w:r w:rsidR="001D3B78">
        <w:t xml:space="preserve">specifically a </w:t>
      </w:r>
      <w:r>
        <w:t xml:space="preserve">systematic </w:t>
      </w:r>
      <w:r w:rsidR="001D3B78">
        <w:t>or scoping r</w:t>
      </w:r>
      <w:r>
        <w:t xml:space="preserve">eview, we </w:t>
      </w:r>
      <w:r w:rsidR="001D3B78">
        <w:t>adopted a flexible systematic approach to our knowledge synthesis</w:t>
      </w:r>
      <w:r w:rsidR="00BE3A20">
        <w:t>. We</w:t>
      </w:r>
      <w:r w:rsidR="009C1409">
        <w:t xml:space="preserve"> </w:t>
      </w:r>
      <w:r w:rsidR="00C34232">
        <w:t xml:space="preserve">tailored and adapted </w:t>
      </w:r>
      <w:r>
        <w:t>the Preferred Reporting Items for Systematic Reviews and Meta-Analyses Extension for Scoping Reviews (PRISMA</w:t>
      </w:r>
      <w:r w:rsidRPr="007633F8">
        <w:t>-ScR) (</w:t>
      </w:r>
      <w:r w:rsidR="00136642">
        <w:t>Supplementary Table 1.</w:t>
      </w:r>
      <w:r w:rsidRPr="007633F8">
        <w:t>) to guide the methodolog</w:t>
      </w:r>
      <w:r w:rsidR="00D50BF5">
        <w:t>y</w:t>
      </w:r>
      <w:r w:rsidR="00282157">
        <w:t xml:space="preserve"> </w:t>
      </w:r>
      <w:r w:rsidR="00D50BF5">
        <w:t>[</w:t>
      </w:r>
      <w:r w:rsidR="008C4C4E">
        <w:t>41</w:t>
      </w:r>
      <w:r w:rsidR="00D50BF5">
        <w:t>].</w:t>
      </w:r>
    </w:p>
    <w:p w14:paraId="484C7118" w14:textId="71C180E0" w:rsidR="00B94BB5" w:rsidRDefault="00B94BB5" w:rsidP="00B94BB5">
      <w:pPr>
        <w:jc w:val="both"/>
        <w:rPr>
          <w:b/>
          <w:bCs/>
        </w:rPr>
      </w:pPr>
      <w:r>
        <w:rPr>
          <w:b/>
          <w:bCs/>
        </w:rPr>
        <w:t>Search strategy</w:t>
      </w:r>
      <w:r w:rsidR="004665AD">
        <w:rPr>
          <w:b/>
          <w:bCs/>
        </w:rPr>
        <w:t xml:space="preserve"> </w:t>
      </w:r>
    </w:p>
    <w:p w14:paraId="339FBDAA" w14:textId="4174C788" w:rsidR="000D315A" w:rsidRDefault="00B94BB5" w:rsidP="000D315A">
      <w:pPr>
        <w:spacing w:before="240"/>
        <w:jc w:val="both"/>
      </w:pPr>
      <w:r>
        <w:t xml:space="preserve">The search strategy was guided using previously identified key papers which draw on well-documented </w:t>
      </w:r>
      <w:r w:rsidR="00AA0A83">
        <w:t xml:space="preserve">HCI </w:t>
      </w:r>
      <w:r>
        <w:t>activitie</w:t>
      </w:r>
      <w:r w:rsidR="00E7316E">
        <w:t>s</w:t>
      </w:r>
      <w:r w:rsidR="00FC470F">
        <w:t xml:space="preserve"> </w:t>
      </w:r>
      <w:r w:rsidR="00E7316E">
        <w:t>[</w:t>
      </w:r>
      <w:r w:rsidR="00924326">
        <w:t>1,</w:t>
      </w:r>
      <w:r w:rsidR="005D7310">
        <w:t xml:space="preserve"> </w:t>
      </w:r>
      <w:r w:rsidR="00924326">
        <w:t>2,</w:t>
      </w:r>
      <w:r w:rsidR="005D7310">
        <w:t xml:space="preserve"> </w:t>
      </w:r>
      <w:r w:rsidR="00924326">
        <w:t>6,</w:t>
      </w:r>
      <w:r w:rsidR="005D7310">
        <w:t xml:space="preserve"> </w:t>
      </w:r>
      <w:r w:rsidR="00924326">
        <w:t>11,</w:t>
      </w:r>
      <w:r w:rsidR="005D7310">
        <w:t xml:space="preserve"> </w:t>
      </w:r>
      <w:r w:rsidR="00924326">
        <w:t>13,</w:t>
      </w:r>
      <w:r w:rsidR="005D7310">
        <w:t xml:space="preserve"> </w:t>
      </w:r>
      <w:r w:rsidR="00924326">
        <w:t>25,</w:t>
      </w:r>
      <w:r w:rsidR="005D7310">
        <w:t xml:space="preserve"> </w:t>
      </w:r>
      <w:r w:rsidR="00924326">
        <w:t>4</w:t>
      </w:r>
      <w:r w:rsidR="008C4C4E">
        <w:t>2</w:t>
      </w:r>
      <w:r w:rsidR="00924326">
        <w:t>-4</w:t>
      </w:r>
      <w:r w:rsidR="008C4C4E">
        <w:t>5</w:t>
      </w:r>
      <w:r w:rsidR="00E7316E">
        <w:t>].</w:t>
      </w:r>
      <w:r w:rsidR="00FB58DA">
        <w:t xml:space="preserve"> </w:t>
      </w:r>
      <w:r w:rsidR="000D315A">
        <w:t xml:space="preserve">The search </w:t>
      </w:r>
      <w:r w:rsidR="000D315A" w:rsidRPr="004F3CBD">
        <w:t xml:space="preserve">strategy was developed for use in PubMed, </w:t>
      </w:r>
      <w:r w:rsidR="000D315A">
        <w:t>using</w:t>
      </w:r>
      <w:r w:rsidR="000D315A" w:rsidRPr="004F3CBD">
        <w:t xml:space="preserve"> existing reviews, which explored for example, conflicts of interest in public health [4</w:t>
      </w:r>
      <w:r w:rsidR="000D315A">
        <w:t>3</w:t>
      </w:r>
      <w:r w:rsidR="000D315A" w:rsidRPr="004F3CBD">
        <w:t>], the commercial determinants of obesity [4</w:t>
      </w:r>
      <w:r w:rsidR="000D315A">
        <w:t>4</w:t>
      </w:r>
      <w:r w:rsidR="000D315A" w:rsidRPr="004F3CBD">
        <w:t>], and corporate-political activity (CPA) of the food industry [4</w:t>
      </w:r>
      <w:r w:rsidR="000D315A">
        <w:t>6</w:t>
      </w:r>
      <w:r w:rsidR="000D315A" w:rsidRPr="004F3CBD">
        <w:t xml:space="preserve">], and combined these with common terminology, Medline Subject Headings (MeSH) terms, and free text, including synonyms, substitutes, and plurals, to increase the search specificity and sensitivity. The </w:t>
      </w:r>
      <w:r w:rsidR="000D315A">
        <w:t>search strategy was pilot tested using previously identified key papers, then independently tested by a second reviewer (EV</w:t>
      </w:r>
      <w:r w:rsidR="007415F4">
        <w:t>)</w:t>
      </w:r>
      <w:r w:rsidR="000D315A">
        <w:t xml:space="preserve"> and adapted appropriately for each additional database (Supplementary Table</w:t>
      </w:r>
      <w:r w:rsidR="000D315A" w:rsidRPr="007633F8">
        <w:t xml:space="preserve"> </w:t>
      </w:r>
      <w:r w:rsidR="000D315A">
        <w:t>2.</w:t>
      </w:r>
      <w:r w:rsidR="000D315A" w:rsidRPr="007633F8">
        <w:t xml:space="preserve">). </w:t>
      </w:r>
    </w:p>
    <w:p w14:paraId="379B8242" w14:textId="764BCBBC" w:rsidR="00B94BB5" w:rsidRDefault="00FB58DA" w:rsidP="00B94BB5">
      <w:pPr>
        <w:jc w:val="both"/>
      </w:pPr>
      <w:r>
        <w:t xml:space="preserve">Articles had to fulfil the predefined </w:t>
      </w:r>
      <w:r w:rsidR="005F25EB">
        <w:t>study eligibility</w:t>
      </w:r>
      <w:r w:rsidR="00057E0E">
        <w:t xml:space="preserve"> </w:t>
      </w:r>
      <w:r w:rsidR="00987BFE">
        <w:t xml:space="preserve">criteria </w:t>
      </w:r>
      <w:r w:rsidR="00057E0E">
        <w:t xml:space="preserve">with the inclusion of papers </w:t>
      </w:r>
      <w:r>
        <w:t>published in a peer</w:t>
      </w:r>
      <w:r w:rsidR="00AD14D4">
        <w:t>-</w:t>
      </w:r>
      <w:r>
        <w:t>reviewed journal, written in English, refer</w:t>
      </w:r>
      <w:r w:rsidR="00987BFE">
        <w:t>ring</w:t>
      </w:r>
      <w:r>
        <w:t xml:space="preserve"> to humans,</w:t>
      </w:r>
      <w:r w:rsidR="00191E56">
        <w:t xml:space="preserve"> and </w:t>
      </w:r>
      <w:r>
        <w:t xml:space="preserve">designed to collate (review, frame, typify, classify, conceptualise) </w:t>
      </w:r>
      <w:r w:rsidR="00F94EA5">
        <w:t>ways</w:t>
      </w:r>
      <w:r>
        <w:t xml:space="preserve"> </w:t>
      </w:r>
      <w:r w:rsidR="00987BFE">
        <w:t xml:space="preserve">that HCIs </w:t>
      </w:r>
      <w:r w:rsidR="00F94EA5">
        <w:t>engage with public health</w:t>
      </w:r>
      <w:r w:rsidR="00057E0E">
        <w:t xml:space="preserve"> </w:t>
      </w:r>
      <w:r w:rsidR="00963757">
        <w:t>(Table 1</w:t>
      </w:r>
      <w:r w:rsidR="00221342">
        <w:t xml:space="preserve"> and Supplementary </w:t>
      </w:r>
      <w:r w:rsidR="00136642">
        <w:t xml:space="preserve">Table </w:t>
      </w:r>
      <w:r w:rsidR="000D315A">
        <w:t>3A.</w:t>
      </w:r>
      <w:r w:rsidR="00963757">
        <w:t>).</w:t>
      </w:r>
      <w:r w:rsidR="009C400B">
        <w:t xml:space="preserve"> </w:t>
      </w:r>
      <w:r w:rsidR="00284B3E">
        <w:t>We included a</w:t>
      </w:r>
      <w:r w:rsidR="00284B3E" w:rsidRPr="00284B3E">
        <w:t xml:space="preserve">ll settings, countries, and contexts, including any level of governance, </w:t>
      </w:r>
      <w:r w:rsidR="00284B3E">
        <w:t>not restricted to</w:t>
      </w:r>
      <w:r w:rsidR="00284B3E" w:rsidRPr="00284B3E">
        <w:t xml:space="preserve"> specific actors or stakeholders</w:t>
      </w:r>
      <w:r w:rsidR="00284B3E">
        <w:t xml:space="preserve">. </w:t>
      </w:r>
      <w:r w:rsidR="009C400B">
        <w:t>W</w:t>
      </w:r>
      <w:r w:rsidR="00F94EA5">
        <w:t>e excluded abstract only, non-peer</w:t>
      </w:r>
      <w:r w:rsidR="00AD14D4">
        <w:t>-</w:t>
      </w:r>
      <w:r w:rsidR="00F94EA5">
        <w:t>reviewed studies, opinion pieces and broad discussions surrounding the topic.</w:t>
      </w:r>
      <w:r w:rsidR="00284B3E" w:rsidRPr="00284B3E">
        <w:t xml:space="preserve"> </w:t>
      </w:r>
      <w:r w:rsidR="00B94BB5" w:rsidRPr="001A3330">
        <w:t>We searched five electronic databases from their inception</w:t>
      </w:r>
      <w:r w:rsidR="00B94BB5">
        <w:t xml:space="preserve"> to June 2021 (</w:t>
      </w:r>
      <w:r w:rsidR="00B94BB5" w:rsidRPr="00F90571">
        <w:t>PubMed, EBSCO (CIINAHL</w:t>
      </w:r>
      <w:r w:rsidR="00B94BB5">
        <w:t>, Econ Lit</w:t>
      </w:r>
      <w:r w:rsidR="00B94BB5" w:rsidRPr="00F90571">
        <w:t xml:space="preserve">), OVID (MEDLINE, EMBASE, Global Health, PsycInfo, Health Management </w:t>
      </w:r>
      <w:r w:rsidR="00AD14D4">
        <w:t>I</w:t>
      </w:r>
      <w:r w:rsidR="00B94BB5" w:rsidRPr="00F90571">
        <w:t>nformation Consortium), Scopus and Web of Science</w:t>
      </w:r>
      <w:r w:rsidR="00B94BB5">
        <w:t>)</w:t>
      </w:r>
      <w:r w:rsidR="005F25EB">
        <w:t xml:space="preserve">, </w:t>
      </w:r>
      <w:r w:rsidR="00B37501">
        <w:t xml:space="preserve">and </w:t>
      </w:r>
      <w:r w:rsidR="00B94BB5">
        <w:t xml:space="preserve">hand-searched </w:t>
      </w:r>
      <w:r w:rsidR="001D3B78">
        <w:t xml:space="preserve">reference sections of </w:t>
      </w:r>
      <w:r w:rsidR="00B94BB5">
        <w:t xml:space="preserve">key </w:t>
      </w:r>
      <w:r w:rsidR="001D3B78">
        <w:t>papers</w:t>
      </w:r>
      <w:r w:rsidR="00B37501">
        <w:t>.</w:t>
      </w:r>
    </w:p>
    <w:p w14:paraId="63E0DDF7" w14:textId="77777777" w:rsidR="00B94BB5" w:rsidRPr="001A3330" w:rsidRDefault="00B94BB5" w:rsidP="00B94BB5">
      <w:pPr>
        <w:jc w:val="both"/>
      </w:pPr>
      <w:r w:rsidRPr="001A3330">
        <w:rPr>
          <w:b/>
          <w:bCs/>
        </w:rPr>
        <w:t xml:space="preserve">Table 1. </w:t>
      </w:r>
      <w:r w:rsidRPr="001A3330">
        <w:t>Study eligibility</w:t>
      </w:r>
    </w:p>
    <w:tbl>
      <w:tblPr>
        <w:tblStyle w:val="ListTable1Light-Accent3"/>
        <w:tblW w:w="0" w:type="auto"/>
        <w:tblLook w:val="04A0" w:firstRow="1" w:lastRow="0" w:firstColumn="1" w:lastColumn="0" w:noHBand="0" w:noVBand="1"/>
      </w:tblPr>
      <w:tblGrid>
        <w:gridCol w:w="1722"/>
        <w:gridCol w:w="3782"/>
        <w:gridCol w:w="3522"/>
      </w:tblGrid>
      <w:tr w:rsidR="00B94BB5" w:rsidRPr="00E54B5A" w14:paraId="3A917906" w14:textId="77777777" w:rsidTr="00722B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2" w:type="dxa"/>
            <w:tcBorders>
              <w:top w:val="single" w:sz="4" w:space="0" w:color="auto"/>
            </w:tcBorders>
          </w:tcPr>
          <w:p w14:paraId="44B02B37" w14:textId="77777777" w:rsidR="00B94BB5" w:rsidRPr="00E54B5A" w:rsidRDefault="00B94BB5" w:rsidP="00EE4AC5">
            <w:pPr>
              <w:spacing w:line="240" w:lineRule="auto"/>
              <w:jc w:val="center"/>
              <w:rPr>
                <w:b w:val="0"/>
                <w:bCs w:val="0"/>
              </w:rPr>
            </w:pPr>
            <w:r w:rsidRPr="00E54B5A">
              <w:t>Domain</w:t>
            </w:r>
          </w:p>
        </w:tc>
        <w:tc>
          <w:tcPr>
            <w:tcW w:w="3782" w:type="dxa"/>
            <w:tcBorders>
              <w:top w:val="single" w:sz="4" w:space="0" w:color="auto"/>
            </w:tcBorders>
          </w:tcPr>
          <w:p w14:paraId="3576B8B2" w14:textId="77777777" w:rsidR="00B94BB5" w:rsidRPr="00E54B5A" w:rsidRDefault="00B94BB5" w:rsidP="00EE4AC5">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E54B5A">
              <w:t>Inclusion</w:t>
            </w:r>
          </w:p>
        </w:tc>
        <w:tc>
          <w:tcPr>
            <w:tcW w:w="3522" w:type="dxa"/>
            <w:tcBorders>
              <w:top w:val="single" w:sz="4" w:space="0" w:color="auto"/>
            </w:tcBorders>
          </w:tcPr>
          <w:p w14:paraId="269844BB" w14:textId="77777777" w:rsidR="00B94BB5" w:rsidRPr="00E54B5A" w:rsidRDefault="00B94BB5" w:rsidP="00EE4AC5">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E54B5A">
              <w:t>Exclusion</w:t>
            </w:r>
          </w:p>
        </w:tc>
      </w:tr>
      <w:tr w:rsidR="00B94BB5" w:rsidRPr="00E54B5A" w14:paraId="3E9FDDB6" w14:textId="77777777" w:rsidTr="00722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2" w:type="dxa"/>
          </w:tcPr>
          <w:p w14:paraId="79DCB2C5" w14:textId="023AE3C4" w:rsidR="00B94BB5" w:rsidRPr="00E54B5A" w:rsidRDefault="00722B08" w:rsidP="00230984">
            <w:pPr>
              <w:spacing w:line="240" w:lineRule="auto"/>
              <w:rPr>
                <w:b w:val="0"/>
                <w:bCs w:val="0"/>
              </w:rPr>
            </w:pPr>
            <w:r>
              <w:rPr>
                <w:b w:val="0"/>
                <w:bCs w:val="0"/>
              </w:rPr>
              <w:t>Publication</w:t>
            </w:r>
            <w:r w:rsidR="00B94BB5" w:rsidRPr="00E54B5A">
              <w:rPr>
                <w:b w:val="0"/>
                <w:bCs w:val="0"/>
              </w:rPr>
              <w:t xml:space="preserve"> </w:t>
            </w:r>
          </w:p>
        </w:tc>
        <w:tc>
          <w:tcPr>
            <w:tcW w:w="3782" w:type="dxa"/>
          </w:tcPr>
          <w:p w14:paraId="313DF615" w14:textId="2C20CFDC" w:rsidR="00B94BB5" w:rsidRPr="00E54B5A" w:rsidRDefault="00B94BB5" w:rsidP="00EE4AC5">
            <w:pPr>
              <w:spacing w:line="240" w:lineRule="auto"/>
              <w:cnfStyle w:val="000000100000" w:firstRow="0" w:lastRow="0" w:firstColumn="0" w:lastColumn="0" w:oddVBand="0" w:evenVBand="0" w:oddHBand="1" w:evenHBand="0" w:firstRowFirstColumn="0" w:firstRowLastColumn="0" w:lastRowFirstColumn="0" w:lastRowLastColumn="0"/>
            </w:pPr>
            <w:r w:rsidRPr="00E54B5A">
              <w:t>Published in peer</w:t>
            </w:r>
            <w:r w:rsidR="00AD14D4">
              <w:t>-</w:t>
            </w:r>
            <w:r w:rsidRPr="00E54B5A">
              <w:t>reviewed journals, refer to humans</w:t>
            </w:r>
          </w:p>
        </w:tc>
        <w:tc>
          <w:tcPr>
            <w:tcW w:w="3522" w:type="dxa"/>
          </w:tcPr>
          <w:p w14:paraId="3116469E" w14:textId="72394900" w:rsidR="00B94BB5" w:rsidRPr="00E54B5A" w:rsidRDefault="00B94BB5" w:rsidP="00EE4AC5">
            <w:pPr>
              <w:spacing w:line="240" w:lineRule="auto"/>
              <w:cnfStyle w:val="000000100000" w:firstRow="0" w:lastRow="0" w:firstColumn="0" w:lastColumn="0" w:oddVBand="0" w:evenVBand="0" w:oddHBand="1" w:evenHBand="0" w:firstRowFirstColumn="0" w:firstRowLastColumn="0" w:lastRowFirstColumn="0" w:lastRowLastColumn="0"/>
            </w:pPr>
            <w:r w:rsidRPr="00E54B5A">
              <w:t>Abstract only, non-peer</w:t>
            </w:r>
            <w:r w:rsidR="00AD14D4">
              <w:t>-</w:t>
            </w:r>
            <w:r w:rsidRPr="00E54B5A">
              <w:t>reviewed</w:t>
            </w:r>
          </w:p>
        </w:tc>
      </w:tr>
      <w:tr w:rsidR="00B94BB5" w:rsidRPr="00E54B5A" w14:paraId="796EE6A2" w14:textId="77777777" w:rsidTr="00722B08">
        <w:tc>
          <w:tcPr>
            <w:cnfStyle w:val="001000000000" w:firstRow="0" w:lastRow="0" w:firstColumn="1" w:lastColumn="0" w:oddVBand="0" w:evenVBand="0" w:oddHBand="0" w:evenHBand="0" w:firstRowFirstColumn="0" w:firstRowLastColumn="0" w:lastRowFirstColumn="0" w:lastRowLastColumn="0"/>
            <w:tcW w:w="1722" w:type="dxa"/>
          </w:tcPr>
          <w:p w14:paraId="16095F71" w14:textId="5822AD8A" w:rsidR="00B94BB5" w:rsidRPr="00E54B5A" w:rsidRDefault="00722B08" w:rsidP="00230984">
            <w:pPr>
              <w:spacing w:line="240" w:lineRule="auto"/>
              <w:rPr>
                <w:b w:val="0"/>
                <w:bCs w:val="0"/>
              </w:rPr>
            </w:pPr>
            <w:r>
              <w:rPr>
                <w:b w:val="0"/>
                <w:bCs w:val="0"/>
              </w:rPr>
              <w:lastRenderedPageBreak/>
              <w:t>Language</w:t>
            </w:r>
          </w:p>
        </w:tc>
        <w:tc>
          <w:tcPr>
            <w:tcW w:w="3782" w:type="dxa"/>
          </w:tcPr>
          <w:p w14:paraId="009F411B" w14:textId="108D9022" w:rsidR="00B94BB5" w:rsidRPr="00E54B5A" w:rsidRDefault="00722B08" w:rsidP="00EE4AC5">
            <w:pPr>
              <w:spacing w:line="240" w:lineRule="auto"/>
              <w:cnfStyle w:val="000000000000" w:firstRow="0" w:lastRow="0" w:firstColumn="0" w:lastColumn="0" w:oddVBand="0" w:evenVBand="0" w:oddHBand="0" w:evenHBand="0" w:firstRowFirstColumn="0" w:firstRowLastColumn="0" w:lastRowFirstColumn="0" w:lastRowLastColumn="0"/>
            </w:pPr>
            <w:r>
              <w:t>English language</w:t>
            </w:r>
          </w:p>
        </w:tc>
        <w:tc>
          <w:tcPr>
            <w:tcW w:w="3522" w:type="dxa"/>
          </w:tcPr>
          <w:p w14:paraId="78914E1F" w14:textId="4C3590AB" w:rsidR="00B94BB5" w:rsidRPr="00E54B5A" w:rsidRDefault="00BD10E9" w:rsidP="00EE4AC5">
            <w:pPr>
              <w:spacing w:line="240" w:lineRule="auto"/>
              <w:cnfStyle w:val="000000000000" w:firstRow="0" w:lastRow="0" w:firstColumn="0" w:lastColumn="0" w:oddVBand="0" w:evenVBand="0" w:oddHBand="0" w:evenHBand="0" w:firstRowFirstColumn="0" w:firstRowLastColumn="0" w:lastRowFirstColumn="0" w:lastRowLastColumn="0"/>
            </w:pPr>
            <w:r>
              <w:t>Non-English language</w:t>
            </w:r>
          </w:p>
        </w:tc>
      </w:tr>
      <w:tr w:rsidR="00B94BB5" w:rsidRPr="00E54B5A" w14:paraId="784D9496" w14:textId="77777777" w:rsidTr="00722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2" w:type="dxa"/>
          </w:tcPr>
          <w:p w14:paraId="2E92C578" w14:textId="77777777" w:rsidR="00B94BB5" w:rsidRPr="00E54B5A" w:rsidRDefault="00B94BB5" w:rsidP="00230984">
            <w:pPr>
              <w:spacing w:line="240" w:lineRule="auto"/>
              <w:rPr>
                <w:b w:val="0"/>
                <w:bCs w:val="0"/>
              </w:rPr>
            </w:pPr>
            <w:r w:rsidRPr="00E54B5A">
              <w:rPr>
                <w:b w:val="0"/>
                <w:bCs w:val="0"/>
              </w:rPr>
              <w:t>Field</w:t>
            </w:r>
          </w:p>
        </w:tc>
        <w:tc>
          <w:tcPr>
            <w:tcW w:w="3782" w:type="dxa"/>
          </w:tcPr>
          <w:p w14:paraId="4FAE66BB" w14:textId="4D5A76D0" w:rsidR="00B94BB5" w:rsidRPr="00E54B5A" w:rsidRDefault="00B94BB5" w:rsidP="00EE4AC5">
            <w:pPr>
              <w:spacing w:line="240" w:lineRule="auto"/>
              <w:cnfStyle w:val="000000100000" w:firstRow="0" w:lastRow="0" w:firstColumn="0" w:lastColumn="0" w:oddVBand="0" w:evenVBand="0" w:oddHBand="1" w:evenHBand="0" w:firstRowFirstColumn="0" w:firstRowLastColumn="0" w:lastRowFirstColumn="0" w:lastRowLastColumn="0"/>
            </w:pPr>
            <w:r w:rsidRPr="00E54B5A">
              <w:t xml:space="preserve">All </w:t>
            </w:r>
            <w:r w:rsidR="00A453DE">
              <w:t>‘</w:t>
            </w:r>
            <w:r w:rsidRPr="00E54B5A">
              <w:t>harmful commodity industries</w:t>
            </w:r>
            <w:r w:rsidR="00A453DE">
              <w:t>’</w:t>
            </w:r>
            <w:r w:rsidR="001A3330" w:rsidRPr="00E54B5A">
              <w:t xml:space="preserve"> (HCIs)</w:t>
            </w:r>
            <w:r w:rsidRPr="00E54B5A">
              <w:t xml:space="preserve">, including, but not limited </w:t>
            </w:r>
            <w:r w:rsidR="00963757" w:rsidRPr="00E54B5A">
              <w:t>to</w:t>
            </w:r>
            <w:r w:rsidRPr="00E54B5A">
              <w:t xml:space="preserve"> food, beverage, alcohol, tobacco, and gambling</w:t>
            </w:r>
            <w:r w:rsidR="001D3B78">
              <w:t>, alone or in combination (or grouped as HCIs)</w:t>
            </w:r>
          </w:p>
        </w:tc>
        <w:tc>
          <w:tcPr>
            <w:tcW w:w="3522" w:type="dxa"/>
          </w:tcPr>
          <w:p w14:paraId="70A8017A" w14:textId="69725735" w:rsidR="00B94BB5" w:rsidRPr="00E54B5A" w:rsidRDefault="00BD10E9" w:rsidP="00EE4AC5">
            <w:pPr>
              <w:spacing w:line="240" w:lineRule="auto"/>
              <w:cnfStyle w:val="000000100000" w:firstRow="0" w:lastRow="0" w:firstColumn="0" w:lastColumn="0" w:oddVBand="0" w:evenVBand="0" w:oddHBand="1" w:evenHBand="0" w:firstRowFirstColumn="0" w:firstRowLastColumn="0" w:lastRowFirstColumn="0" w:lastRowLastColumn="0"/>
            </w:pPr>
            <w:r>
              <w:t>Does n</w:t>
            </w:r>
            <w:r w:rsidR="00722B08">
              <w:t>ot include a HCI</w:t>
            </w:r>
          </w:p>
        </w:tc>
      </w:tr>
      <w:tr w:rsidR="00B94BB5" w:rsidRPr="00E54B5A" w14:paraId="30A5F3CC" w14:textId="77777777" w:rsidTr="00722B08">
        <w:tc>
          <w:tcPr>
            <w:cnfStyle w:val="001000000000" w:firstRow="0" w:lastRow="0" w:firstColumn="1" w:lastColumn="0" w:oddVBand="0" w:evenVBand="0" w:oddHBand="0" w:evenHBand="0" w:firstRowFirstColumn="0" w:firstRowLastColumn="0" w:lastRowFirstColumn="0" w:lastRowLastColumn="0"/>
            <w:tcW w:w="1722" w:type="dxa"/>
          </w:tcPr>
          <w:p w14:paraId="534A34A7" w14:textId="77777777" w:rsidR="00B94BB5" w:rsidRPr="00E54B5A" w:rsidRDefault="00B94BB5" w:rsidP="00230984">
            <w:pPr>
              <w:spacing w:line="240" w:lineRule="auto"/>
              <w:rPr>
                <w:b w:val="0"/>
                <w:bCs w:val="0"/>
              </w:rPr>
            </w:pPr>
            <w:r w:rsidRPr="00E54B5A">
              <w:rPr>
                <w:b w:val="0"/>
                <w:bCs w:val="0"/>
              </w:rPr>
              <w:t>Focus</w:t>
            </w:r>
          </w:p>
        </w:tc>
        <w:tc>
          <w:tcPr>
            <w:tcW w:w="3782" w:type="dxa"/>
          </w:tcPr>
          <w:p w14:paraId="60D2D5BD" w14:textId="21071112" w:rsidR="00B94BB5" w:rsidRPr="00E54B5A" w:rsidRDefault="00AD14D4" w:rsidP="00EE4AC5">
            <w:pPr>
              <w:spacing w:line="240" w:lineRule="auto"/>
              <w:cnfStyle w:val="000000000000" w:firstRow="0" w:lastRow="0" w:firstColumn="0" w:lastColumn="0" w:oddVBand="0" w:evenVBand="0" w:oddHBand="0" w:evenHBand="0" w:firstRowFirstColumn="0" w:firstRowLastColumn="0" w:lastRowFirstColumn="0" w:lastRowLastColumn="0"/>
            </w:pPr>
            <w:r>
              <w:t>Describ</w:t>
            </w:r>
            <w:r w:rsidR="00191E56">
              <w:t>ing</w:t>
            </w:r>
            <w:r w:rsidR="00B94BB5" w:rsidRPr="00E54B5A">
              <w:t xml:space="preserve"> a mechanism or practice through which </w:t>
            </w:r>
            <w:r w:rsidR="004D771A" w:rsidRPr="00E54B5A">
              <w:t>HCIs</w:t>
            </w:r>
            <w:r w:rsidR="00B94BB5" w:rsidRPr="00E54B5A">
              <w:t xml:space="preserve"> interact and engage with public</w:t>
            </w:r>
            <w:r>
              <w:t xml:space="preserve"> health</w:t>
            </w:r>
          </w:p>
        </w:tc>
        <w:tc>
          <w:tcPr>
            <w:tcW w:w="3522" w:type="dxa"/>
          </w:tcPr>
          <w:p w14:paraId="135EA328" w14:textId="267AD484" w:rsidR="00B94BB5" w:rsidRPr="00E54B5A" w:rsidRDefault="00BD10E9" w:rsidP="00EE4AC5">
            <w:pPr>
              <w:spacing w:line="240" w:lineRule="auto"/>
              <w:cnfStyle w:val="000000000000" w:firstRow="0" w:lastRow="0" w:firstColumn="0" w:lastColumn="0" w:oddVBand="0" w:evenVBand="0" w:oddHBand="0" w:evenHBand="0" w:firstRowFirstColumn="0" w:firstRowLastColumn="0" w:lastRowFirstColumn="0" w:lastRowLastColumn="0"/>
            </w:pPr>
            <w:r>
              <w:t>Not describing ways in which HCIs and public health engage</w:t>
            </w:r>
          </w:p>
        </w:tc>
      </w:tr>
      <w:tr w:rsidR="00722B08" w:rsidRPr="00E54B5A" w14:paraId="4665A6CF" w14:textId="77777777" w:rsidTr="00722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2" w:type="dxa"/>
            <w:tcBorders>
              <w:bottom w:val="single" w:sz="4" w:space="0" w:color="auto"/>
            </w:tcBorders>
          </w:tcPr>
          <w:p w14:paraId="0A9DDA0F" w14:textId="1CBAC900" w:rsidR="00722B08" w:rsidRPr="00E54B5A" w:rsidRDefault="00722B08" w:rsidP="00722B08">
            <w:pPr>
              <w:spacing w:line="240" w:lineRule="auto"/>
            </w:pPr>
            <w:r w:rsidRPr="00E54B5A">
              <w:rPr>
                <w:b w:val="0"/>
                <w:bCs w:val="0"/>
              </w:rPr>
              <w:t>Design</w:t>
            </w:r>
          </w:p>
        </w:tc>
        <w:tc>
          <w:tcPr>
            <w:tcW w:w="3782" w:type="dxa"/>
            <w:tcBorders>
              <w:bottom w:val="single" w:sz="4" w:space="0" w:color="auto"/>
            </w:tcBorders>
          </w:tcPr>
          <w:p w14:paraId="64C33628" w14:textId="70DBDCC2" w:rsidR="00722B08" w:rsidRPr="00E54B5A" w:rsidRDefault="00D3708A" w:rsidP="00722B08">
            <w:pPr>
              <w:spacing w:line="240" w:lineRule="auto"/>
              <w:cnfStyle w:val="000000100000" w:firstRow="0" w:lastRow="0" w:firstColumn="0" w:lastColumn="0" w:oddVBand="0" w:evenVBand="0" w:oddHBand="1" w:evenHBand="0" w:firstRowFirstColumn="0" w:firstRowLastColumn="0" w:lastRowFirstColumn="0" w:lastRowLastColumn="0"/>
            </w:pPr>
            <w:r>
              <w:t>Frameworks</w:t>
            </w:r>
            <w:r w:rsidR="00722B08" w:rsidRPr="00E54B5A">
              <w:t>, typologies, classifications, conceptualisations</w:t>
            </w:r>
            <w:r>
              <w:t xml:space="preserve"> (including, for example, reviews, case studies, qualitative analyses, mapping)</w:t>
            </w:r>
          </w:p>
        </w:tc>
        <w:tc>
          <w:tcPr>
            <w:tcW w:w="3522" w:type="dxa"/>
            <w:tcBorders>
              <w:bottom w:val="single" w:sz="4" w:space="0" w:color="auto"/>
            </w:tcBorders>
          </w:tcPr>
          <w:p w14:paraId="30018C07" w14:textId="073E22BD" w:rsidR="00722B08" w:rsidRPr="00E54B5A" w:rsidRDefault="00722B08" w:rsidP="00722B08">
            <w:pPr>
              <w:spacing w:line="240" w:lineRule="auto"/>
              <w:cnfStyle w:val="000000100000" w:firstRow="0" w:lastRow="0" w:firstColumn="0" w:lastColumn="0" w:oddVBand="0" w:evenVBand="0" w:oddHBand="1" w:evenHBand="0" w:firstRowFirstColumn="0" w:firstRowLastColumn="0" w:lastRowFirstColumn="0" w:lastRowLastColumn="0"/>
            </w:pPr>
            <w:r w:rsidRPr="00E54B5A">
              <w:t>Opinion pieces and broad discussions surrounding the topic</w:t>
            </w:r>
            <w:r w:rsidR="00D612C5">
              <w:t xml:space="preserve"> (without an attempt to frame/collate/classify)</w:t>
            </w:r>
          </w:p>
        </w:tc>
      </w:tr>
    </w:tbl>
    <w:p w14:paraId="1B0E7FAF" w14:textId="54D3D013" w:rsidR="00B94BB5" w:rsidRDefault="00B94BB5" w:rsidP="000D315A">
      <w:pPr>
        <w:spacing w:before="240"/>
        <w:jc w:val="both"/>
        <w:rPr>
          <w:b/>
          <w:bCs/>
        </w:rPr>
      </w:pPr>
      <w:r>
        <w:rPr>
          <w:b/>
          <w:bCs/>
        </w:rPr>
        <w:t>Screening and selection</w:t>
      </w:r>
    </w:p>
    <w:p w14:paraId="16452D80" w14:textId="782AAE2A" w:rsidR="00B94BB5" w:rsidRDefault="00B94BB5" w:rsidP="00B94BB5">
      <w:pPr>
        <w:jc w:val="both"/>
      </w:pPr>
      <w:r>
        <w:t xml:space="preserve">Database searches were managed using Covidence </w:t>
      </w:r>
      <w:r w:rsidR="00191E56">
        <w:t xml:space="preserve">systematic review </w:t>
      </w:r>
      <w:r>
        <w:t>software</w:t>
      </w:r>
      <w:r w:rsidR="00284B3E">
        <w:t xml:space="preserve"> (</w:t>
      </w:r>
      <w:r w:rsidR="00284B3E" w:rsidRPr="00284B3E">
        <w:t>Veritas Health Innovation</w:t>
      </w:r>
      <w:r w:rsidR="00284B3E">
        <w:t>).</w:t>
      </w:r>
      <w:r>
        <w:t xml:space="preserve"> Duplicates were removed</w:t>
      </w:r>
      <w:r w:rsidR="004A0262">
        <w:t>. Using the study eligibility criteria (Table 1), o</w:t>
      </w:r>
      <w:r>
        <w:t xml:space="preserve">ne reviewer </w:t>
      </w:r>
      <w:r w:rsidR="004A0262">
        <w:t xml:space="preserve">(SM) </w:t>
      </w:r>
      <w:r>
        <w:t xml:space="preserve">screened </w:t>
      </w:r>
      <w:r w:rsidR="00E05BE9">
        <w:t xml:space="preserve">all </w:t>
      </w:r>
      <w:r>
        <w:t>titles and abstracts</w:t>
      </w:r>
      <w:r w:rsidR="004A0262">
        <w:t xml:space="preserve"> </w:t>
      </w:r>
      <w:r>
        <w:t xml:space="preserve">and a selection of abstracts </w:t>
      </w:r>
      <w:r w:rsidR="004A0262">
        <w:t xml:space="preserve">from this first screen </w:t>
      </w:r>
      <w:r>
        <w:t>were discussed</w:t>
      </w:r>
      <w:r w:rsidR="007F4866">
        <w:t xml:space="preserve"> with a second r</w:t>
      </w:r>
      <w:r w:rsidR="00F61ACA">
        <w:t>eviewe</w:t>
      </w:r>
      <w:r w:rsidR="007F4866">
        <w:t>r</w:t>
      </w:r>
      <w:r>
        <w:t xml:space="preserve"> (EV) to determine </w:t>
      </w:r>
      <w:r w:rsidR="004A0262">
        <w:t xml:space="preserve">potential </w:t>
      </w:r>
      <w:r>
        <w:t>eligibility.</w:t>
      </w:r>
      <w:r w:rsidR="004A0262">
        <w:t xml:space="preserve"> </w:t>
      </w:r>
      <w:r w:rsidR="00E71DA2">
        <w:t>Full texts from t</w:t>
      </w:r>
      <w:r w:rsidR="004A0262">
        <w:t>he agreed list of abstracts</w:t>
      </w:r>
      <w:r w:rsidR="00E71DA2">
        <w:t xml:space="preserve"> from this first screen were</w:t>
      </w:r>
      <w:r>
        <w:t xml:space="preserve"> retrieved and screened independently, with reasons for exclusion tabulated and subsequently discussed to </w:t>
      </w:r>
      <w:r w:rsidR="002B5518">
        <w:t>resolve disagreements</w:t>
      </w:r>
      <w:r>
        <w:t xml:space="preserve"> (</w:t>
      </w:r>
      <w:r w:rsidR="005F25EB">
        <w:t xml:space="preserve">SM, </w:t>
      </w:r>
      <w:r>
        <w:t xml:space="preserve">EV). </w:t>
      </w:r>
    </w:p>
    <w:p w14:paraId="76EF4191" w14:textId="54D12306" w:rsidR="00B94BB5" w:rsidRPr="0067425C" w:rsidRDefault="00B94BB5" w:rsidP="00B94BB5">
      <w:pPr>
        <w:jc w:val="both"/>
      </w:pPr>
      <w:r>
        <w:t>Dixon-Woods et al</w:t>
      </w:r>
      <w:r w:rsidR="00CA352B">
        <w:t>.</w:t>
      </w:r>
      <w:r w:rsidR="00FC470F">
        <w:t xml:space="preserve"> </w:t>
      </w:r>
      <w:r w:rsidR="00CA352B">
        <w:t>[</w:t>
      </w:r>
      <w:r w:rsidR="008C4C4E">
        <w:t>40</w:t>
      </w:r>
      <w:r w:rsidR="00CA352B">
        <w:t>]</w:t>
      </w:r>
      <w:r>
        <w:t xml:space="preserve"> describe CIS as ‘interpretive’ </w:t>
      </w:r>
      <w:r w:rsidR="00221342">
        <w:t>because</w:t>
      </w:r>
      <w:r w:rsidR="00963757">
        <w:t xml:space="preserve"> only</w:t>
      </w:r>
      <w:r>
        <w:t xml:space="preserve"> </w:t>
      </w:r>
      <w:r w:rsidRPr="00A35590">
        <w:t xml:space="preserve">relevant </w:t>
      </w:r>
      <w:r w:rsidRPr="00A35590">
        <w:rPr>
          <w:i/>
          <w:iCs/>
        </w:rPr>
        <w:t>examples</w:t>
      </w:r>
      <w:r w:rsidRPr="0067425C">
        <w:rPr>
          <w:i/>
          <w:iCs/>
        </w:rPr>
        <w:t xml:space="preserve"> </w:t>
      </w:r>
      <w:r>
        <w:t>from the literature</w:t>
      </w:r>
      <w:r w:rsidR="00963757">
        <w:t xml:space="preserve"> are synthesised</w:t>
      </w:r>
      <w:r>
        <w:t xml:space="preserve">. </w:t>
      </w:r>
      <w:r w:rsidR="00721CB9">
        <w:rPr>
          <w:rFonts w:cs="Arial"/>
          <w:color w:val="000000" w:themeColor="text1"/>
          <w:shd w:val="clear" w:color="auto" w:fill="FFFFFF"/>
        </w:rPr>
        <w:t xml:space="preserve">We included </w:t>
      </w:r>
      <w:r>
        <w:t xml:space="preserve">papers that presented </w:t>
      </w:r>
      <w:r w:rsidR="002B5518">
        <w:t xml:space="preserve">additional </w:t>
      </w:r>
      <w:r>
        <w:t xml:space="preserve">novelty, </w:t>
      </w:r>
      <w:r w:rsidR="00AA0A83">
        <w:t>presented</w:t>
      </w:r>
      <w:r w:rsidR="00E05BE9">
        <w:t xml:space="preserve"> a</w:t>
      </w:r>
      <w:r>
        <w:t xml:space="preserve"> new</w:t>
      </w:r>
      <w:r w:rsidR="00E05BE9">
        <w:t xml:space="preserve"> framework,</w:t>
      </w:r>
      <w:r>
        <w:t xml:space="preserve"> domain</w:t>
      </w:r>
      <w:r w:rsidR="00191E56">
        <w:t>(</w:t>
      </w:r>
      <w:r>
        <w:t>s</w:t>
      </w:r>
      <w:r w:rsidR="00191E56">
        <w:t>)</w:t>
      </w:r>
      <w:r>
        <w:t xml:space="preserve"> </w:t>
      </w:r>
      <w:r w:rsidR="00E54B5A">
        <w:t>or</w:t>
      </w:r>
      <w:r>
        <w:t xml:space="preserve"> unique interaction</w:t>
      </w:r>
      <w:r w:rsidR="00191E56">
        <w:t>(</w:t>
      </w:r>
      <w:r>
        <w:t>s</w:t>
      </w:r>
      <w:r w:rsidR="00191E56">
        <w:t>)</w:t>
      </w:r>
      <w:r>
        <w:t>, rather than includ</w:t>
      </w:r>
      <w:r w:rsidR="00E54B5A">
        <w:t>ing</w:t>
      </w:r>
      <w:r>
        <w:t xml:space="preserve"> </w:t>
      </w:r>
      <w:r w:rsidRPr="00A35590">
        <w:rPr>
          <w:i/>
          <w:iCs/>
        </w:rPr>
        <w:t xml:space="preserve">all </w:t>
      </w:r>
      <w:r>
        <w:t xml:space="preserve">of the relevant literature. Where multiple papers examined the same initiative and mechanisms, </w:t>
      </w:r>
      <w:r w:rsidR="00400A0F">
        <w:t>one</w:t>
      </w:r>
      <w:r>
        <w:t xml:space="preserve"> was</w:t>
      </w:r>
      <w:r w:rsidR="00721CB9">
        <w:t xml:space="preserve"> selected</w:t>
      </w:r>
      <w:r w:rsidR="00DA244D">
        <w:t>.</w:t>
      </w:r>
      <w:r w:rsidR="00FC470F">
        <w:t xml:space="preserve"> </w:t>
      </w:r>
      <w:r w:rsidR="00DA244D">
        <w:t>We created a hierarchy to guide</w:t>
      </w:r>
      <w:r w:rsidR="00D612C5">
        <w:t xml:space="preserve"> a systematic and</w:t>
      </w:r>
      <w:r w:rsidR="00DA244D">
        <w:t xml:space="preserve"> purposive selection</w:t>
      </w:r>
      <w:r w:rsidR="008728F7">
        <w:t xml:space="preserve"> (Supplementary Table </w:t>
      </w:r>
      <w:r w:rsidR="00510EB6">
        <w:t>3</w:t>
      </w:r>
      <w:r w:rsidR="008728F7">
        <w:t>B</w:t>
      </w:r>
      <w:r w:rsidR="00BB23E7">
        <w:t>.</w:t>
      </w:r>
      <w:r w:rsidR="008728F7">
        <w:t>)</w:t>
      </w:r>
      <w:r w:rsidR="00DA244D">
        <w:t>, using pre-identified</w:t>
      </w:r>
      <w:r w:rsidR="00D02B57">
        <w:t xml:space="preserve"> key</w:t>
      </w:r>
      <w:r w:rsidR="00DA244D">
        <w:t xml:space="preserve"> papers</w:t>
      </w:r>
      <w:r w:rsidR="00D02B57">
        <w:t>,</w:t>
      </w:r>
      <w:r w:rsidR="00DA244D">
        <w:t xml:space="preserve"> the emerging typology, and principles of theoretical saturation [</w:t>
      </w:r>
      <w:r w:rsidR="00BB53B6">
        <w:t>4</w:t>
      </w:r>
      <w:r w:rsidR="008C4C4E">
        <w:t>5</w:t>
      </w:r>
      <w:r w:rsidR="00DA244D">
        <w:t xml:space="preserve">]. </w:t>
      </w:r>
    </w:p>
    <w:p w14:paraId="53B34F1C" w14:textId="77777777" w:rsidR="00B94BB5" w:rsidRDefault="00B94BB5" w:rsidP="00B94BB5">
      <w:pPr>
        <w:jc w:val="both"/>
        <w:rPr>
          <w:b/>
          <w:bCs/>
        </w:rPr>
      </w:pPr>
      <w:r>
        <w:rPr>
          <w:b/>
          <w:bCs/>
        </w:rPr>
        <w:t>Data extraction</w:t>
      </w:r>
    </w:p>
    <w:p w14:paraId="6A74E70D" w14:textId="29FD4142" w:rsidR="00B94BB5" w:rsidRPr="003267E2" w:rsidRDefault="00422D4B" w:rsidP="00B94BB5">
      <w:pPr>
        <w:jc w:val="both"/>
      </w:pPr>
      <w:r>
        <w:t>With input from the wider authorship</w:t>
      </w:r>
      <w:r w:rsidR="00FB2387">
        <w:t xml:space="preserve"> and</w:t>
      </w:r>
      <w:r>
        <w:t xml:space="preserve"> public and practitioner </w:t>
      </w:r>
      <w:r w:rsidR="00223507">
        <w:t>collaborators,</w:t>
      </w:r>
      <w:r>
        <w:t xml:space="preserve"> we created a guiding extraction frame [</w:t>
      </w:r>
      <w:r w:rsidR="008C4C4E">
        <w:t>40</w:t>
      </w:r>
      <w:r>
        <w:t>] to</w:t>
      </w:r>
      <w:r w:rsidR="00B94BB5">
        <w:t xml:space="preserve"> direct data </w:t>
      </w:r>
      <w:r>
        <w:t xml:space="preserve">extraction, </w:t>
      </w:r>
      <w:r w:rsidR="00B94BB5">
        <w:t xml:space="preserve">with both inductive and deductive interpretation to capture emergent concepts from the literature. </w:t>
      </w:r>
      <w:r w:rsidR="00721CB9">
        <w:t xml:space="preserve">Data extraction included </w:t>
      </w:r>
      <w:r w:rsidR="00B94BB5">
        <w:t>reference details (e.g. authors, year, study type, setting, field, industry), framing (terminology, classification, clusters,</w:t>
      </w:r>
      <w:r w:rsidR="00B94BB5" w:rsidRPr="00F040E2">
        <w:t xml:space="preserve"> </w:t>
      </w:r>
      <w:r w:rsidR="00B94BB5">
        <w:t>including figures), interactions</w:t>
      </w:r>
      <w:r w:rsidR="00400A0F">
        <w:t>/</w:t>
      </w:r>
      <w:r w:rsidR="00B94BB5">
        <w:t>activities (nature, type, actors), and any associated relevant examples</w:t>
      </w:r>
      <w:r w:rsidR="00721CB9">
        <w:t xml:space="preserve"> or contextual information</w:t>
      </w:r>
      <w:r w:rsidR="00B94BB5">
        <w:t>.</w:t>
      </w:r>
      <w:r w:rsidR="009C400B">
        <w:t xml:space="preserve"> </w:t>
      </w:r>
      <w:r w:rsidR="00DE7971">
        <w:t>Although a</w:t>
      </w:r>
      <w:r w:rsidR="00B94BB5">
        <w:t xml:space="preserve"> formal</w:t>
      </w:r>
      <w:r w:rsidR="000F6715">
        <w:t xml:space="preserve"> quality assessment or</w:t>
      </w:r>
      <w:r w:rsidR="00B94BB5">
        <w:t xml:space="preserve"> ‘risk of bias’ </w:t>
      </w:r>
      <w:r w:rsidR="000F6715">
        <w:t>assessment did not apply to our research</w:t>
      </w:r>
      <w:r w:rsidR="00DE7971">
        <w:t xml:space="preserve">, </w:t>
      </w:r>
      <w:r w:rsidR="00B94BB5">
        <w:t>we maintained an ongoing critical orientation to the material selected</w:t>
      </w:r>
      <w:r w:rsidR="00DA244D">
        <w:t xml:space="preserve"> </w:t>
      </w:r>
      <w:r w:rsidR="00CA352B">
        <w:t>[</w:t>
      </w:r>
      <w:r w:rsidR="008C4C4E">
        <w:t>40</w:t>
      </w:r>
      <w:r w:rsidR="00CA352B">
        <w:t>]</w:t>
      </w:r>
      <w:r w:rsidR="000F6715">
        <w:t>.</w:t>
      </w:r>
    </w:p>
    <w:p w14:paraId="21D0C6A0" w14:textId="5D7404A4" w:rsidR="00B94BB5" w:rsidRDefault="00B94BB5" w:rsidP="00B94BB5">
      <w:pPr>
        <w:jc w:val="both"/>
        <w:rPr>
          <w:b/>
          <w:bCs/>
        </w:rPr>
      </w:pPr>
      <w:r>
        <w:rPr>
          <w:b/>
          <w:bCs/>
        </w:rPr>
        <w:t xml:space="preserve">Data synthesis </w:t>
      </w:r>
      <w:r w:rsidR="00D578AB">
        <w:rPr>
          <w:b/>
          <w:bCs/>
        </w:rPr>
        <w:t>(typology development)</w:t>
      </w:r>
    </w:p>
    <w:p w14:paraId="35ECE5CD" w14:textId="2CA7162B" w:rsidR="00DE7971" w:rsidRPr="004F3CBD" w:rsidRDefault="00B94BB5" w:rsidP="00B94BB5">
      <w:pPr>
        <w:jc w:val="both"/>
      </w:pPr>
      <w:r>
        <w:lastRenderedPageBreak/>
        <w:t xml:space="preserve">Guided by </w:t>
      </w:r>
      <w:r w:rsidR="00AA0A83">
        <w:t xml:space="preserve">CIS </w:t>
      </w:r>
      <w:r w:rsidR="00936BA2">
        <w:t xml:space="preserve">principles </w:t>
      </w:r>
      <w:r w:rsidR="00422D4B">
        <w:t>[</w:t>
      </w:r>
      <w:r w:rsidR="008C4C4E">
        <w:t>40</w:t>
      </w:r>
      <w:r w:rsidR="00CA352B">
        <w:t>]</w:t>
      </w:r>
      <w:r w:rsidR="00E60AC1">
        <w:t xml:space="preserve"> </w:t>
      </w:r>
      <w:r>
        <w:t xml:space="preserve">we </w:t>
      </w:r>
      <w:r w:rsidR="00DE7971">
        <w:t xml:space="preserve">synthesised key theoretical frameworks </w:t>
      </w:r>
      <w:r w:rsidR="0083707E">
        <w:t xml:space="preserve">and taxonomies </w:t>
      </w:r>
      <w:r w:rsidR="00DE7971">
        <w:t xml:space="preserve">of </w:t>
      </w:r>
      <w:r>
        <w:t>previous efforts to describe, monitor and collate corporate interactions of industries,</w:t>
      </w:r>
      <w:r w:rsidRPr="004F3CBD">
        <w:t xml:space="preserve"> regarding public health. </w:t>
      </w:r>
      <w:r w:rsidR="00465A7B" w:rsidRPr="004F3CBD">
        <w:t>W</w:t>
      </w:r>
      <w:r w:rsidRPr="004F3CBD">
        <w:t xml:space="preserve">e </w:t>
      </w:r>
      <w:r w:rsidR="00465A7B" w:rsidRPr="004F3CBD">
        <w:t xml:space="preserve">gathered and </w:t>
      </w:r>
      <w:r w:rsidRPr="004F3CBD">
        <w:t>coded fragments of text, grouped the codes into themes, used data charting</w:t>
      </w:r>
      <w:r w:rsidR="00DA244D" w:rsidRPr="004F3CBD">
        <w:t xml:space="preserve"> </w:t>
      </w:r>
      <w:r w:rsidR="006F2F38" w:rsidRPr="004F3CBD">
        <w:t>[</w:t>
      </w:r>
      <w:r w:rsidR="00BB53B6" w:rsidRPr="004F3CBD">
        <w:t>4</w:t>
      </w:r>
      <w:r w:rsidR="008C4C4E">
        <w:t>7</w:t>
      </w:r>
      <w:r w:rsidR="006F2F38" w:rsidRPr="004F3CBD">
        <w:t>]</w:t>
      </w:r>
      <w:r w:rsidRPr="004F3CBD">
        <w:t xml:space="preserve">, sifting, and sorting, </w:t>
      </w:r>
      <w:r w:rsidR="00E60AC1" w:rsidRPr="004F3CBD">
        <w:t>to simultaneously create and adapt the typology</w:t>
      </w:r>
      <w:r w:rsidR="00D65DDB" w:rsidRPr="004F3CBD">
        <w:t>,</w:t>
      </w:r>
      <w:r w:rsidR="00400A0F" w:rsidRPr="004F3CBD">
        <w:t xml:space="preserve"> </w:t>
      </w:r>
      <w:r w:rsidR="00E60AC1" w:rsidRPr="004F3CBD">
        <w:t>organise</w:t>
      </w:r>
      <w:r w:rsidR="00400A0F" w:rsidRPr="004F3CBD">
        <w:t xml:space="preserve"> </w:t>
      </w:r>
      <w:r w:rsidRPr="004F3CBD">
        <w:t>higher</w:t>
      </w:r>
      <w:r w:rsidR="00AD14D4" w:rsidRPr="004F3CBD">
        <w:t>-</w:t>
      </w:r>
      <w:r w:rsidRPr="004F3CBD">
        <w:t xml:space="preserve">level categories </w:t>
      </w:r>
      <w:r w:rsidR="00E60AC1" w:rsidRPr="004F3CBD">
        <w:t>and themes</w:t>
      </w:r>
      <w:r w:rsidR="00D65DDB" w:rsidRPr="004F3CBD">
        <w:t xml:space="preserve">, and add further details based on the included studies. </w:t>
      </w:r>
    </w:p>
    <w:p w14:paraId="53F320F5" w14:textId="1A879C70" w:rsidR="00B94BB5" w:rsidRPr="004F3CBD" w:rsidRDefault="00F849C4" w:rsidP="00B94BB5">
      <w:pPr>
        <w:jc w:val="both"/>
        <w:rPr>
          <w:b/>
          <w:bCs/>
          <w:sz w:val="20"/>
          <w:szCs w:val="20"/>
        </w:rPr>
      </w:pPr>
      <w:r w:rsidRPr="004F3CBD">
        <w:rPr>
          <w:b/>
          <w:bCs/>
        </w:rPr>
        <w:t>Review and analysis of the grey literature</w:t>
      </w:r>
    </w:p>
    <w:p w14:paraId="31444A2B" w14:textId="1DF9BBDC" w:rsidR="00B94BB5" w:rsidRDefault="00B94BB5" w:rsidP="00B94BB5">
      <w:pPr>
        <w:jc w:val="both"/>
      </w:pPr>
      <w:r w:rsidRPr="004F3CBD">
        <w:t xml:space="preserve">We conducted a </w:t>
      </w:r>
      <w:r w:rsidR="00F849C4" w:rsidRPr="004F3CBD">
        <w:t>review and</w:t>
      </w:r>
      <w:r w:rsidRPr="004F3CBD">
        <w:t xml:space="preserve"> analysis </w:t>
      </w:r>
      <w:r w:rsidR="00F849C4" w:rsidRPr="004F3CBD">
        <w:t xml:space="preserve">of the grey literature, </w:t>
      </w:r>
      <w:r w:rsidRPr="004F3CBD">
        <w:t>to provide contextual information, including what, why, who, and how the</w:t>
      </w:r>
      <w:r w:rsidR="00B16B14" w:rsidRPr="004F3CBD">
        <w:t xml:space="preserve"> HCI</w:t>
      </w:r>
      <w:r w:rsidRPr="004F3CBD">
        <w:t xml:space="preserve"> interactions potentially ma</w:t>
      </w:r>
      <w:r w:rsidR="00ED5B7F" w:rsidRPr="004F3CBD">
        <w:t xml:space="preserve">nifest at </w:t>
      </w:r>
      <w:r w:rsidR="00AD14D4" w:rsidRPr="004F3CBD">
        <w:t xml:space="preserve">the </w:t>
      </w:r>
      <w:r w:rsidR="00ED5B7F" w:rsidRPr="004F3CBD">
        <w:t>LA lev</w:t>
      </w:r>
      <w:r w:rsidRPr="004F3CBD">
        <w:t>e</w:t>
      </w:r>
      <w:r w:rsidR="00ED5B7F" w:rsidRPr="004F3CBD">
        <w:t>l</w:t>
      </w:r>
      <w:r w:rsidR="00DA244D" w:rsidRPr="004F3CBD">
        <w:t xml:space="preserve"> </w:t>
      </w:r>
      <w:r w:rsidR="006F2F38" w:rsidRPr="004F3CBD">
        <w:t>[</w:t>
      </w:r>
      <w:r w:rsidR="00BB53B6" w:rsidRPr="004F3CBD">
        <w:t>4</w:t>
      </w:r>
      <w:r w:rsidR="008C4C4E">
        <w:t>8</w:t>
      </w:r>
      <w:r w:rsidR="006F2F38" w:rsidRPr="004F3CBD">
        <w:t>]</w:t>
      </w:r>
      <w:r w:rsidR="002B31CA" w:rsidRPr="004F3CBD">
        <w:t xml:space="preserve">, </w:t>
      </w:r>
      <w:r w:rsidRPr="004F3CBD">
        <w:t xml:space="preserve">through </w:t>
      </w:r>
      <w:bookmarkStart w:id="2" w:name="_Hlk90299211"/>
      <w:r w:rsidR="00E54B5A" w:rsidRPr="004F3CBD">
        <w:t xml:space="preserve">searching </w:t>
      </w:r>
      <w:r w:rsidR="00ED5B7F" w:rsidRPr="004F3CBD">
        <w:t>targeted website</w:t>
      </w:r>
      <w:r w:rsidR="00E54B5A" w:rsidRPr="004F3CBD">
        <w:t>s</w:t>
      </w:r>
      <w:r w:rsidR="00ED5B7F" w:rsidRPr="004F3CBD">
        <w:t xml:space="preserve">, </w:t>
      </w:r>
      <w:r w:rsidR="00E54B5A" w:rsidRPr="004F3CBD">
        <w:t>online resources</w:t>
      </w:r>
      <w:r w:rsidR="00ED5B7F" w:rsidRPr="004F3CBD">
        <w:t xml:space="preserve">, </w:t>
      </w:r>
      <w:r w:rsidRPr="004F3CBD">
        <w:t xml:space="preserve">relevant publicly available </w:t>
      </w:r>
      <w:r w:rsidR="00ED5B7F" w:rsidRPr="004F3CBD">
        <w:t xml:space="preserve">grey </w:t>
      </w:r>
      <w:r w:rsidR="002D589C" w:rsidRPr="004F3CBD">
        <w:t>information, and</w:t>
      </w:r>
      <w:r w:rsidR="00E41D99" w:rsidRPr="004F3CBD">
        <w:t xml:space="preserve"> </w:t>
      </w:r>
      <w:r w:rsidR="002D589C" w:rsidRPr="004F3CBD">
        <w:t>consulting experts</w:t>
      </w:r>
      <w:bookmarkEnd w:id="2"/>
      <w:r w:rsidRPr="004F3CBD">
        <w:t xml:space="preserve">. </w:t>
      </w:r>
      <w:r w:rsidR="00ED5B7F" w:rsidRPr="004F3CBD">
        <w:t xml:space="preserve">We </w:t>
      </w:r>
      <w:r w:rsidR="00963757" w:rsidRPr="004F3CBD">
        <w:t>aimed</w:t>
      </w:r>
      <w:r w:rsidR="00ED5B7F" w:rsidRPr="004F3CBD">
        <w:t xml:space="preserve"> </w:t>
      </w:r>
      <w:r w:rsidRPr="004F3CBD">
        <w:t>to find</w:t>
      </w:r>
      <w:r w:rsidR="00C516F1" w:rsidRPr="004F3CBD">
        <w:t xml:space="preserve"> further </w:t>
      </w:r>
      <w:r w:rsidR="00C516F1">
        <w:t>domains and</w:t>
      </w:r>
      <w:r>
        <w:t xml:space="preserve"> representative </w:t>
      </w:r>
      <w:r w:rsidR="00600F9A">
        <w:t xml:space="preserve">documented </w:t>
      </w:r>
      <w:r>
        <w:t xml:space="preserve">case </w:t>
      </w:r>
      <w:r w:rsidRPr="00DC6EDF">
        <w:rPr>
          <w:i/>
          <w:iCs/>
        </w:rPr>
        <w:t>examples</w:t>
      </w:r>
      <w:r>
        <w:t xml:space="preserve"> of the</w:t>
      </w:r>
      <w:r w:rsidR="00B16B14">
        <w:t>se interactions</w:t>
      </w:r>
      <w:r>
        <w:t xml:space="preserve"> </w:t>
      </w:r>
      <w:r w:rsidR="00AD14D4">
        <w:t>at</w:t>
      </w:r>
      <w:r>
        <w:t xml:space="preserve"> </w:t>
      </w:r>
      <w:r w:rsidR="009F534F">
        <w:t xml:space="preserve">English </w:t>
      </w:r>
      <w:r>
        <w:t>LA level, rather than a comprehensive assessment.</w:t>
      </w:r>
    </w:p>
    <w:p w14:paraId="4F74D45A" w14:textId="0A0F6D45" w:rsidR="00B94BB5" w:rsidRPr="00B37501" w:rsidRDefault="00B94BB5" w:rsidP="00B94BB5">
      <w:pPr>
        <w:jc w:val="both"/>
        <w:rPr>
          <w:i/>
          <w:iCs/>
        </w:rPr>
      </w:pPr>
      <w:r>
        <w:t xml:space="preserve">We used the typology developed </w:t>
      </w:r>
      <w:r w:rsidR="00767FA5">
        <w:t xml:space="preserve">for </w:t>
      </w:r>
      <w:r>
        <w:t xml:space="preserve">the </w:t>
      </w:r>
      <w:r w:rsidR="00767FA5">
        <w:t xml:space="preserve">above </w:t>
      </w:r>
      <w:r>
        <w:t>review to direct our search</w:t>
      </w:r>
      <w:r w:rsidR="00424398">
        <w:t xml:space="preserve"> </w:t>
      </w:r>
      <w:r w:rsidR="00533448">
        <w:t xml:space="preserve">of grey information </w:t>
      </w:r>
      <w:r w:rsidR="009E5A4D">
        <w:t xml:space="preserve">in a targeted way </w:t>
      </w:r>
      <w:r w:rsidR="00424398">
        <w:t>and</w:t>
      </w:r>
      <w:r>
        <w:t xml:space="preserve"> capture examples</w:t>
      </w:r>
      <w:r w:rsidR="009E5A4D">
        <w:t xml:space="preserve"> relating to English LA interactions with HCIs</w:t>
      </w:r>
      <w:r>
        <w:t>. The typology was reviewed (</w:t>
      </w:r>
      <w:r w:rsidR="003457EB">
        <w:t xml:space="preserve">by </w:t>
      </w:r>
      <w:r>
        <w:t>SM</w:t>
      </w:r>
      <w:r w:rsidR="003457EB">
        <w:t>,</w:t>
      </w:r>
      <w:r>
        <w:t xml:space="preserve"> EV</w:t>
      </w:r>
      <w:r w:rsidR="00191E56">
        <w:t>,</w:t>
      </w:r>
      <w:r>
        <w:t xml:space="preserve"> </w:t>
      </w:r>
      <w:r w:rsidR="003457EB">
        <w:t xml:space="preserve">and </w:t>
      </w:r>
      <w:r>
        <w:t>MW)</w:t>
      </w:r>
      <w:r w:rsidR="002D51A0">
        <w:t>,</w:t>
      </w:r>
      <w:r w:rsidR="00ED5B7F">
        <w:t xml:space="preserve"> </w:t>
      </w:r>
      <w:r>
        <w:t xml:space="preserve">refined in consultation with the wider </w:t>
      </w:r>
      <w:r w:rsidR="003457EB">
        <w:t>authorship</w:t>
      </w:r>
      <w:r w:rsidR="00D02B57">
        <w:t xml:space="preserve">, </w:t>
      </w:r>
      <w:r w:rsidR="00223507">
        <w:t>public and practitioner collaborators</w:t>
      </w:r>
      <w:r w:rsidR="002D51A0">
        <w:t>,</w:t>
      </w:r>
      <w:r w:rsidR="002D589C">
        <w:t xml:space="preserve"> and</w:t>
      </w:r>
      <w:r w:rsidR="00ED5B7F">
        <w:t xml:space="preserve"> </w:t>
      </w:r>
      <w:r w:rsidR="002D589C">
        <w:t>translated</w:t>
      </w:r>
      <w:r>
        <w:t xml:space="preserve"> into a practical list of terms to inform the search and a preliminary list of documents</w:t>
      </w:r>
      <w:r w:rsidR="009E5A4D">
        <w:t xml:space="preserve"> </w:t>
      </w:r>
      <w:r w:rsidRPr="007633F8">
        <w:t>(</w:t>
      </w:r>
      <w:r w:rsidR="00DA244D">
        <w:t>S</w:t>
      </w:r>
      <w:r w:rsidRPr="007633F8">
        <w:t xml:space="preserve">upplementary </w:t>
      </w:r>
      <w:r w:rsidR="00DA244D">
        <w:t xml:space="preserve">Table </w:t>
      </w:r>
      <w:r w:rsidRPr="007633F8">
        <w:t>4</w:t>
      </w:r>
      <w:r w:rsidR="00DA244D">
        <w:t>.</w:t>
      </w:r>
      <w:r w:rsidRPr="007633F8">
        <w:t xml:space="preserve">). We applied similar methods to </w:t>
      </w:r>
      <w:r w:rsidR="002D51A0">
        <w:t xml:space="preserve">systematic </w:t>
      </w:r>
      <w:r w:rsidRPr="007633F8">
        <w:t>review search strategies</w:t>
      </w:r>
      <w:r w:rsidR="009E5A4D">
        <w:t xml:space="preserve"> and hand-searching</w:t>
      </w:r>
      <w:r w:rsidRPr="007633F8">
        <w:t xml:space="preserve"> grey literature</w:t>
      </w:r>
      <w:r w:rsidR="00DA244D">
        <w:t xml:space="preserve"> </w:t>
      </w:r>
      <w:r w:rsidR="006F2F38">
        <w:t>[</w:t>
      </w:r>
      <w:r w:rsidR="00BB53B6">
        <w:t>4</w:t>
      </w:r>
      <w:r w:rsidR="008C4C4E">
        <w:t>9</w:t>
      </w:r>
      <w:r w:rsidR="00BB53B6">
        <w:t>,</w:t>
      </w:r>
      <w:r w:rsidR="005D7310">
        <w:t xml:space="preserve"> </w:t>
      </w:r>
      <w:r w:rsidR="008C4C4E">
        <w:t>50</w:t>
      </w:r>
      <w:r w:rsidR="006F2F38">
        <w:t>]</w:t>
      </w:r>
      <w:r>
        <w:t>. Potentially relevant records were ‘bookmarked’ in the web browser (Google Chrome</w:t>
      </w:r>
      <w:r w:rsidR="00953204">
        <w:t>),</w:t>
      </w:r>
      <w:r>
        <w:t xml:space="preserve"> and </w:t>
      </w:r>
      <w:r w:rsidR="003457EB">
        <w:t xml:space="preserve">we then </w:t>
      </w:r>
      <w:r>
        <w:t>searched within</w:t>
      </w:r>
      <w:r w:rsidR="003457EB">
        <w:t xml:space="preserve"> each bookmarked website</w:t>
      </w:r>
      <w:r>
        <w:t>.</w:t>
      </w:r>
      <w:r w:rsidR="00B37501">
        <w:t xml:space="preserve"> </w:t>
      </w:r>
      <w:r w:rsidRPr="00F90571">
        <w:t>Searches continue</w:t>
      </w:r>
      <w:r>
        <w:t>d</w:t>
      </w:r>
      <w:r w:rsidRPr="00F90571">
        <w:t xml:space="preserve"> </w:t>
      </w:r>
      <w:r>
        <w:t xml:space="preserve">within an </w:t>
      </w:r>
      <w:r w:rsidRPr="00706A5B">
        <w:rPr>
          <w:i/>
          <w:iCs/>
        </w:rPr>
        <w:t>a-priori</w:t>
      </w:r>
      <w:r>
        <w:t xml:space="preserve"> pragmatic timeframe</w:t>
      </w:r>
      <w:r w:rsidR="005C4138">
        <w:t xml:space="preserve"> of three months</w:t>
      </w:r>
      <w:r>
        <w:t xml:space="preserve"> </w:t>
      </w:r>
      <w:r w:rsidRPr="00F90571">
        <w:t>to the point of informational and document saturatio</w:t>
      </w:r>
      <w:r>
        <w:t>n</w:t>
      </w:r>
      <w:r w:rsidR="00DA244D">
        <w:t xml:space="preserve"> </w:t>
      </w:r>
      <w:r w:rsidR="006F2F38">
        <w:t>[</w:t>
      </w:r>
      <w:r w:rsidR="008C4C4E">
        <w:t>51</w:t>
      </w:r>
      <w:r w:rsidR="006F2F38">
        <w:t>]</w:t>
      </w:r>
      <w:r>
        <w:t xml:space="preserve">. </w:t>
      </w:r>
    </w:p>
    <w:p w14:paraId="67CDD2F2" w14:textId="5F1857D3" w:rsidR="00131564" w:rsidRDefault="00B94BB5" w:rsidP="00A906C0">
      <w:pPr>
        <w:jc w:val="both"/>
        <w:rPr>
          <w:b/>
          <w:bCs/>
        </w:rPr>
      </w:pPr>
      <w:r>
        <w:t>Results of the searches were screened online, and relevant examples were documented</w:t>
      </w:r>
      <w:r w:rsidR="00234352">
        <w:t xml:space="preserve"> in an Excel database, including </w:t>
      </w:r>
      <w:r w:rsidR="00424398">
        <w:t>the information source</w:t>
      </w:r>
      <w:r w:rsidR="00234352">
        <w:t>, industry, LA, interaction</w:t>
      </w:r>
      <w:r w:rsidR="00424398">
        <w:t>,</w:t>
      </w:r>
      <w:r w:rsidR="00234352">
        <w:t xml:space="preserve"> and any important </w:t>
      </w:r>
      <w:r w:rsidR="00424398">
        <w:t xml:space="preserve">contextual </w:t>
      </w:r>
      <w:r w:rsidR="00234352">
        <w:t>comment</w:t>
      </w:r>
      <w:r w:rsidR="00424398">
        <w:t>ary</w:t>
      </w:r>
      <w:r>
        <w:t>. Using a CIS approach facilitated the highly iterative stance, allowing for ‘question modification</w:t>
      </w:r>
      <w:r w:rsidR="006F2F38">
        <w:t>’</w:t>
      </w:r>
      <w:r w:rsidR="00DA244D">
        <w:t xml:space="preserve"> </w:t>
      </w:r>
      <w:r w:rsidR="006F2F38">
        <w:t>[</w:t>
      </w:r>
      <w:r w:rsidR="008C4C4E">
        <w:t>40</w:t>
      </w:r>
      <w:r w:rsidR="006F2F38">
        <w:t xml:space="preserve">] </w:t>
      </w:r>
      <w:r>
        <w:t xml:space="preserve">in response </w:t>
      </w:r>
      <w:r w:rsidR="00AD14D4">
        <w:t xml:space="preserve">to </w:t>
      </w:r>
      <w:r>
        <w:t xml:space="preserve">the </w:t>
      </w:r>
      <w:r w:rsidR="00424398">
        <w:t>emergent findings</w:t>
      </w:r>
      <w:r>
        <w:t xml:space="preserve">, </w:t>
      </w:r>
      <w:r w:rsidR="00424398">
        <w:t>which altered</w:t>
      </w:r>
      <w:r>
        <w:t>, and refined the typology</w:t>
      </w:r>
      <w:r w:rsidR="00424398">
        <w:t xml:space="preserve">. </w:t>
      </w:r>
    </w:p>
    <w:p w14:paraId="2E06778C" w14:textId="3AB87330" w:rsidR="00C73802" w:rsidRPr="00465A7B" w:rsidRDefault="00131564" w:rsidP="002C3B6A">
      <w:pPr>
        <w:rPr>
          <w:b/>
          <w:bCs/>
          <w:sz w:val="24"/>
          <w:szCs w:val="24"/>
        </w:rPr>
      </w:pPr>
      <w:r w:rsidRPr="00465A7B">
        <w:rPr>
          <w:b/>
          <w:bCs/>
          <w:sz w:val="24"/>
          <w:szCs w:val="24"/>
        </w:rPr>
        <w:t>R</w:t>
      </w:r>
      <w:r w:rsidR="00A440E5">
        <w:rPr>
          <w:b/>
          <w:bCs/>
          <w:sz w:val="24"/>
          <w:szCs w:val="24"/>
        </w:rPr>
        <w:t>ESULTS</w:t>
      </w:r>
    </w:p>
    <w:p w14:paraId="266430B4" w14:textId="3274998D" w:rsidR="002E5652" w:rsidRPr="004F3CBD" w:rsidRDefault="000D315A" w:rsidP="008945FE">
      <w:pPr>
        <w:jc w:val="both"/>
        <w:rPr>
          <w:rFonts w:cstheme="minorHAnsi"/>
        </w:rPr>
      </w:pPr>
      <w:r>
        <w:t xml:space="preserve">The results of the identification, eligibility and selection process </w:t>
      </w:r>
      <w:r w:rsidR="00303294">
        <w:t>are shown</w:t>
      </w:r>
      <w:r>
        <w:t xml:space="preserve"> in Figure 1. </w:t>
      </w:r>
      <w:r w:rsidR="00DC0333">
        <w:t xml:space="preserve">Out of the 71 potentially eligible studies, we </w:t>
      </w:r>
      <w:r w:rsidR="00D02B57">
        <w:t xml:space="preserve">did not select </w:t>
      </w:r>
      <w:r w:rsidR="00DC0333">
        <w:t>24 due to</w:t>
      </w:r>
      <w:r w:rsidR="00A56AB4">
        <w:t xml:space="preserve"> </w:t>
      </w:r>
      <w:r w:rsidR="00DC0333">
        <w:t>content duplication of</w:t>
      </w:r>
      <w:r w:rsidR="003457EB">
        <w:t xml:space="preserve">: </w:t>
      </w:r>
      <w:r w:rsidR="00DC0333">
        <w:t>the framework (n=5</w:t>
      </w:r>
      <w:r w:rsidR="003457EB">
        <w:t xml:space="preserve">); </w:t>
      </w:r>
      <w:r w:rsidR="00A56AB4">
        <w:t xml:space="preserve">the </w:t>
      </w:r>
      <w:r w:rsidR="00DC0333">
        <w:t>domains (n=11)</w:t>
      </w:r>
      <w:r w:rsidR="003457EB">
        <w:t>;</w:t>
      </w:r>
      <w:r w:rsidR="00DC0333">
        <w:t xml:space="preserve"> or the study focus</w:t>
      </w:r>
      <w:r w:rsidR="00D02B57">
        <w:t xml:space="preserve"> </w:t>
      </w:r>
      <w:r w:rsidR="00DC0333">
        <w:t>(n=8)</w:t>
      </w:r>
      <w:r w:rsidR="00BB23E7">
        <w:t xml:space="preserve"> (Supplementary Table </w:t>
      </w:r>
      <w:r w:rsidR="00510EB6">
        <w:t>5</w:t>
      </w:r>
      <w:r w:rsidR="00BB23E7">
        <w:t>.)</w:t>
      </w:r>
      <w:r w:rsidR="00DC0333">
        <w:t xml:space="preserve">. </w:t>
      </w:r>
      <w:r w:rsidR="00890FF6">
        <w:rPr>
          <w:rFonts w:cstheme="minorHAnsi"/>
        </w:rPr>
        <w:t>The</w:t>
      </w:r>
      <w:r w:rsidR="007F4866">
        <w:rPr>
          <w:rFonts w:cstheme="minorHAnsi"/>
        </w:rPr>
        <w:t xml:space="preserve"> retained</w:t>
      </w:r>
      <w:r w:rsidR="00890FF6">
        <w:rPr>
          <w:rFonts w:cstheme="minorHAnsi"/>
        </w:rPr>
        <w:t xml:space="preserve"> 47 studies included reviews (n=19; 40%), qualitative</w:t>
      </w:r>
      <w:r w:rsidR="00D02B57">
        <w:rPr>
          <w:rFonts w:cstheme="minorHAnsi"/>
        </w:rPr>
        <w:t xml:space="preserve"> analyses</w:t>
      </w:r>
      <w:r w:rsidR="00E747BF">
        <w:rPr>
          <w:rFonts w:cstheme="minorHAnsi"/>
        </w:rPr>
        <w:t xml:space="preserve"> </w:t>
      </w:r>
      <w:r w:rsidR="00890FF6">
        <w:rPr>
          <w:rFonts w:cstheme="minorHAnsi"/>
        </w:rPr>
        <w:t>(n=</w:t>
      </w:r>
      <w:r w:rsidR="004E2923">
        <w:rPr>
          <w:rFonts w:cstheme="minorHAnsi"/>
        </w:rPr>
        <w:t>8</w:t>
      </w:r>
      <w:r w:rsidR="00890FF6">
        <w:rPr>
          <w:rFonts w:cstheme="minorHAnsi"/>
        </w:rPr>
        <w:t>; 1</w:t>
      </w:r>
      <w:r w:rsidR="004E2923">
        <w:rPr>
          <w:rFonts w:cstheme="minorHAnsi"/>
        </w:rPr>
        <w:t>7</w:t>
      </w:r>
      <w:r w:rsidR="00890FF6">
        <w:rPr>
          <w:rFonts w:cstheme="minorHAnsi"/>
        </w:rPr>
        <w:t>%), essays (n=7; 15%), short pieces (n=</w:t>
      </w:r>
      <w:r w:rsidR="004E2923">
        <w:rPr>
          <w:rFonts w:cstheme="minorHAnsi"/>
        </w:rPr>
        <w:t>5</w:t>
      </w:r>
      <w:r w:rsidR="00890FF6">
        <w:rPr>
          <w:rFonts w:cstheme="minorHAnsi"/>
        </w:rPr>
        <w:t>; 1</w:t>
      </w:r>
      <w:r w:rsidR="004E2923">
        <w:rPr>
          <w:rFonts w:cstheme="minorHAnsi"/>
        </w:rPr>
        <w:t>1</w:t>
      </w:r>
      <w:r w:rsidR="00890FF6">
        <w:rPr>
          <w:rFonts w:cstheme="minorHAnsi"/>
        </w:rPr>
        <w:t>%), case studies (n=4; 9%), concept mapping (n=2; 4%), and theory</w:t>
      </w:r>
      <w:r w:rsidR="008945FE">
        <w:rPr>
          <w:rFonts w:cstheme="minorHAnsi"/>
        </w:rPr>
        <w:t>/</w:t>
      </w:r>
      <w:r w:rsidR="00890FF6">
        <w:rPr>
          <w:rFonts w:cstheme="minorHAnsi"/>
        </w:rPr>
        <w:t xml:space="preserve">tool development (n=2; 4%). </w:t>
      </w:r>
      <w:r w:rsidR="00600F9A">
        <w:rPr>
          <w:rFonts w:cstheme="minorHAnsi"/>
        </w:rPr>
        <w:t xml:space="preserve">HCIs in these papers </w:t>
      </w:r>
      <w:r w:rsidR="00890FF6">
        <w:rPr>
          <w:rFonts w:cstheme="minorHAnsi"/>
        </w:rPr>
        <w:t>included tobacco (n=10; 21%), food (n=10; 21%)</w:t>
      </w:r>
      <w:r w:rsidR="008B0F46">
        <w:rPr>
          <w:rFonts w:cstheme="minorHAnsi"/>
        </w:rPr>
        <w:t>,</w:t>
      </w:r>
      <w:r w:rsidR="00890FF6">
        <w:rPr>
          <w:rFonts w:cstheme="minorHAnsi"/>
        </w:rPr>
        <w:t xml:space="preserve"> baby food </w:t>
      </w:r>
      <w:r w:rsidR="008B0F46">
        <w:rPr>
          <w:rFonts w:cstheme="minorHAnsi"/>
        </w:rPr>
        <w:t>(</w:t>
      </w:r>
      <w:r w:rsidR="00890FF6">
        <w:rPr>
          <w:rFonts w:cstheme="minorHAnsi"/>
        </w:rPr>
        <w:t>n=1; 2%</w:t>
      </w:r>
      <w:r w:rsidR="008B0F46">
        <w:rPr>
          <w:rFonts w:cstheme="minorHAnsi"/>
        </w:rPr>
        <w:t>)</w:t>
      </w:r>
      <w:r w:rsidR="00890FF6">
        <w:rPr>
          <w:rFonts w:cstheme="minorHAnsi"/>
        </w:rPr>
        <w:t xml:space="preserve">, </w:t>
      </w:r>
      <w:r w:rsidR="00E97C5B">
        <w:rPr>
          <w:rFonts w:cstheme="minorHAnsi"/>
        </w:rPr>
        <w:t>non-specific</w:t>
      </w:r>
      <w:r w:rsidR="00223507">
        <w:rPr>
          <w:rFonts w:cstheme="minorHAnsi"/>
        </w:rPr>
        <w:t xml:space="preserve"> ‘</w:t>
      </w:r>
      <w:r w:rsidR="00DC0333">
        <w:rPr>
          <w:rFonts w:cstheme="minorHAnsi"/>
        </w:rPr>
        <w:t>unhealthy commodity industries</w:t>
      </w:r>
      <w:r w:rsidR="00223507">
        <w:rPr>
          <w:rFonts w:cstheme="minorHAnsi"/>
        </w:rPr>
        <w:t>’</w:t>
      </w:r>
      <w:r w:rsidR="00DC0333">
        <w:rPr>
          <w:rFonts w:cstheme="minorHAnsi"/>
        </w:rPr>
        <w:t xml:space="preserve"> or </w:t>
      </w:r>
      <w:r w:rsidR="00197839">
        <w:rPr>
          <w:rFonts w:cstheme="minorHAnsi"/>
        </w:rPr>
        <w:t>private-sector/</w:t>
      </w:r>
      <w:r w:rsidR="00890FF6">
        <w:rPr>
          <w:rFonts w:cstheme="minorHAnsi"/>
        </w:rPr>
        <w:t xml:space="preserve">corporations/industries harmful to health </w:t>
      </w:r>
      <w:r w:rsidR="00890FF6">
        <w:rPr>
          <w:rFonts w:cstheme="minorHAnsi"/>
        </w:rPr>
        <w:lastRenderedPageBreak/>
        <w:t>(n=</w:t>
      </w:r>
      <w:r w:rsidR="00DC0333">
        <w:rPr>
          <w:rFonts w:cstheme="minorHAnsi"/>
        </w:rPr>
        <w:t>13</w:t>
      </w:r>
      <w:r w:rsidR="00890FF6">
        <w:rPr>
          <w:rFonts w:cstheme="minorHAnsi"/>
        </w:rPr>
        <w:t xml:space="preserve">; </w:t>
      </w:r>
      <w:r w:rsidR="00DC0333">
        <w:rPr>
          <w:rFonts w:cstheme="minorHAnsi"/>
        </w:rPr>
        <w:t>28</w:t>
      </w:r>
      <w:r w:rsidR="00890FF6">
        <w:rPr>
          <w:rFonts w:cstheme="minorHAnsi"/>
        </w:rPr>
        <w:t xml:space="preserve">%), gambling (n=5; 11%), alcohol (n=4; 9%), and a combination of two industry types (n=4; 9%). </w:t>
      </w:r>
      <w:r w:rsidR="000A762C">
        <w:rPr>
          <w:rFonts w:cstheme="minorHAnsi"/>
        </w:rPr>
        <w:t xml:space="preserve">Full details are described in </w:t>
      </w:r>
      <w:r w:rsidR="00A35C6C">
        <w:rPr>
          <w:rFonts w:cstheme="minorHAnsi"/>
        </w:rPr>
        <w:t>Supplementary Table</w:t>
      </w:r>
      <w:r w:rsidR="00890FF6" w:rsidRPr="007633F8">
        <w:rPr>
          <w:rFonts w:cstheme="minorHAnsi"/>
        </w:rPr>
        <w:t xml:space="preserve"> </w:t>
      </w:r>
      <w:r w:rsidR="00510EB6">
        <w:rPr>
          <w:rFonts w:cstheme="minorHAnsi"/>
        </w:rPr>
        <w:t>6</w:t>
      </w:r>
      <w:r w:rsidR="00A56AB4">
        <w:rPr>
          <w:rFonts w:cstheme="minorHAnsi"/>
        </w:rPr>
        <w:t>.</w:t>
      </w:r>
      <w:r w:rsidR="000A762C">
        <w:rPr>
          <w:rFonts w:cstheme="minorHAnsi"/>
        </w:rPr>
        <w:t>, including the 24 studies</w:t>
      </w:r>
      <w:r w:rsidR="00890FF6" w:rsidRPr="007633F8">
        <w:rPr>
          <w:rFonts w:cstheme="minorHAnsi"/>
        </w:rPr>
        <w:t xml:space="preserve"> not selected</w:t>
      </w:r>
      <w:r w:rsidR="000A762C">
        <w:rPr>
          <w:rFonts w:cstheme="minorHAnsi"/>
        </w:rPr>
        <w:t xml:space="preserve"> </w:t>
      </w:r>
      <w:r w:rsidR="00890FF6" w:rsidRPr="007633F8">
        <w:rPr>
          <w:rFonts w:cstheme="minorHAnsi"/>
        </w:rPr>
        <w:t>(</w:t>
      </w:r>
      <w:r w:rsidR="00A35C6C">
        <w:rPr>
          <w:rFonts w:cstheme="minorHAnsi"/>
        </w:rPr>
        <w:t>Supplementary Table</w:t>
      </w:r>
      <w:r w:rsidR="00890FF6" w:rsidRPr="007633F8">
        <w:rPr>
          <w:rFonts w:cstheme="minorHAnsi"/>
        </w:rPr>
        <w:t xml:space="preserve"> </w:t>
      </w:r>
      <w:r w:rsidR="00510EB6">
        <w:rPr>
          <w:rFonts w:cstheme="minorHAnsi"/>
        </w:rPr>
        <w:t>5</w:t>
      </w:r>
      <w:r w:rsidR="00A35C6C">
        <w:rPr>
          <w:rFonts w:cstheme="minorHAnsi"/>
        </w:rPr>
        <w:t>.</w:t>
      </w:r>
      <w:r w:rsidR="00890FF6" w:rsidRPr="007633F8">
        <w:rPr>
          <w:rFonts w:cstheme="minorHAnsi"/>
        </w:rPr>
        <w:t>).</w:t>
      </w:r>
      <w:bookmarkStart w:id="3" w:name="_Hlk100062745"/>
      <w:r w:rsidR="00783A3A" w:rsidRPr="00783A3A">
        <w:t xml:space="preserve"> </w:t>
      </w:r>
      <w:r w:rsidR="00783A3A">
        <w:t xml:space="preserve">Grey literature evidence included LA websites and reports, </w:t>
      </w:r>
      <w:r w:rsidR="00197839">
        <w:t>non-governmental organisation</w:t>
      </w:r>
      <w:r w:rsidR="00783A3A">
        <w:t>s</w:t>
      </w:r>
      <w:r w:rsidR="00197839">
        <w:t xml:space="preserve"> (NGOs)</w:t>
      </w:r>
      <w:r w:rsidR="00783A3A">
        <w:t>, government documents, news, and media reports, amongst other sources (</w:t>
      </w:r>
      <w:r w:rsidR="00A35C6C">
        <w:t xml:space="preserve">Supplementary </w:t>
      </w:r>
      <w:r w:rsidR="00A56AB4">
        <w:t>T</w:t>
      </w:r>
      <w:r w:rsidR="00A35C6C">
        <w:t>able 7.).</w:t>
      </w:r>
    </w:p>
    <w:p w14:paraId="23E58614" w14:textId="5511CC5C" w:rsidR="00A41FE8" w:rsidRPr="004F3CBD" w:rsidRDefault="00A41FE8" w:rsidP="008945FE">
      <w:pPr>
        <w:jc w:val="both"/>
        <w:rPr>
          <w:rFonts w:cstheme="minorHAnsi"/>
        </w:rPr>
      </w:pPr>
      <w:r w:rsidRPr="004F3CBD">
        <w:rPr>
          <w:rFonts w:cstheme="minorHAnsi"/>
          <w:b/>
          <w:bCs/>
        </w:rPr>
        <w:t xml:space="preserve">Figure 1. </w:t>
      </w:r>
      <w:r w:rsidRPr="004F3CBD">
        <w:rPr>
          <w:rFonts w:cstheme="minorHAnsi"/>
        </w:rPr>
        <w:t>Study selection process</w:t>
      </w:r>
      <w:r w:rsidR="00F7384A" w:rsidRPr="004F3CBD">
        <w:rPr>
          <w:rFonts w:cstheme="minorHAnsi"/>
        </w:rPr>
        <w:t xml:space="preserve"> (</w:t>
      </w:r>
      <w:r w:rsidR="00E44152" w:rsidRPr="004F3CBD">
        <w:rPr>
          <w:rFonts w:cstheme="minorHAnsi"/>
        </w:rPr>
        <w:t xml:space="preserve">PRISMA </w:t>
      </w:r>
      <w:r w:rsidR="00F7384A" w:rsidRPr="004F3CBD">
        <w:rPr>
          <w:rFonts w:cstheme="minorHAnsi"/>
        </w:rPr>
        <w:t>flow diagram)</w:t>
      </w:r>
    </w:p>
    <w:bookmarkEnd w:id="3"/>
    <w:p w14:paraId="56EDC229" w14:textId="6ACAF647" w:rsidR="001B3DD9" w:rsidRPr="004F3CBD" w:rsidRDefault="001B3DD9" w:rsidP="001B3DD9">
      <w:pPr>
        <w:jc w:val="both"/>
        <w:rPr>
          <w:rFonts w:cstheme="minorHAnsi"/>
          <w:b/>
          <w:bCs/>
        </w:rPr>
      </w:pPr>
      <w:r w:rsidRPr="004F3CBD">
        <w:rPr>
          <w:rFonts w:cstheme="minorHAnsi"/>
          <w:b/>
          <w:bCs/>
        </w:rPr>
        <w:t>An overview of the context in the current literature</w:t>
      </w:r>
    </w:p>
    <w:p w14:paraId="7A3E9235" w14:textId="5AFD148B" w:rsidR="001B3DD9" w:rsidRPr="00A11A33" w:rsidRDefault="0083707E" w:rsidP="001B3DD9">
      <w:pPr>
        <w:tabs>
          <w:tab w:val="left" w:pos="6270"/>
        </w:tabs>
        <w:jc w:val="both"/>
      </w:pPr>
      <w:r w:rsidRPr="004F3CBD">
        <w:t>We did not identify any previous study that analysed interactions</w:t>
      </w:r>
      <w:r w:rsidR="00D060E2" w:rsidRPr="004F3CBD">
        <w:t xml:space="preserve"> between HCIs and</w:t>
      </w:r>
      <w:r w:rsidR="00CB600F">
        <w:t xml:space="preserve"> </w:t>
      </w:r>
      <w:r w:rsidR="00D060E2" w:rsidRPr="004F3CBD">
        <w:t>LAs</w:t>
      </w:r>
      <w:r w:rsidRPr="004F3CBD">
        <w:t xml:space="preserve">. </w:t>
      </w:r>
      <w:r w:rsidR="000A762C" w:rsidRPr="004F3CBD">
        <w:t xml:space="preserve">The </w:t>
      </w:r>
      <w:r w:rsidR="00695F4A" w:rsidRPr="004F3CBD">
        <w:t>conceptualisations</w:t>
      </w:r>
      <w:r w:rsidR="001B3DD9" w:rsidRPr="004F3CBD">
        <w:t xml:space="preserve">, </w:t>
      </w:r>
      <w:r w:rsidR="00695F4A" w:rsidRPr="004F3CBD">
        <w:t xml:space="preserve">framing, </w:t>
      </w:r>
      <w:r w:rsidR="001B3DD9" w:rsidRPr="004F3CBD">
        <w:t xml:space="preserve">and language used to describe </w:t>
      </w:r>
      <w:r w:rsidR="008945FE" w:rsidRPr="004F3CBD">
        <w:t xml:space="preserve">and understand </w:t>
      </w:r>
      <w:r w:rsidR="001B3DD9" w:rsidRPr="004F3CBD">
        <w:t xml:space="preserve">the ways industry engages with public </w:t>
      </w:r>
      <w:r w:rsidR="009F1601" w:rsidRPr="004F3CBD">
        <w:t>health was</w:t>
      </w:r>
      <w:r w:rsidR="008945FE" w:rsidRPr="004F3CBD">
        <w:t xml:space="preserve"> </w:t>
      </w:r>
      <w:bookmarkStart w:id="4" w:name="_Hlk102031286"/>
      <w:r w:rsidR="001B3DD9" w:rsidRPr="004F3CBD">
        <w:t>weighted toward the CD</w:t>
      </w:r>
      <w:r w:rsidR="00A964FB" w:rsidRPr="004F3CBD">
        <w:t>o</w:t>
      </w:r>
      <w:r w:rsidR="001B3DD9" w:rsidRPr="004F3CBD">
        <w:t>H</w:t>
      </w:r>
      <w:r w:rsidR="00A56AB4" w:rsidRPr="004F3CBD">
        <w:t xml:space="preserve"> </w:t>
      </w:r>
      <w:r w:rsidR="00FC6E65" w:rsidRPr="004F3CBD">
        <w:t>[</w:t>
      </w:r>
      <w:r w:rsidR="00BB53B6" w:rsidRPr="004F3CBD">
        <w:t>2,</w:t>
      </w:r>
      <w:r w:rsidR="005D7310">
        <w:t xml:space="preserve"> </w:t>
      </w:r>
      <w:r w:rsidR="00BB53B6" w:rsidRPr="004F3CBD">
        <w:t>6,</w:t>
      </w:r>
      <w:r w:rsidR="005D7310">
        <w:t xml:space="preserve"> </w:t>
      </w:r>
      <w:r w:rsidR="00BB53B6" w:rsidRPr="004F3CBD">
        <w:t>18,</w:t>
      </w:r>
      <w:r w:rsidR="005D7310">
        <w:t xml:space="preserve"> </w:t>
      </w:r>
      <w:r w:rsidR="00BB53B6" w:rsidRPr="004F3CBD">
        <w:t>4</w:t>
      </w:r>
      <w:r w:rsidR="008C4C4E">
        <w:t>4</w:t>
      </w:r>
      <w:r w:rsidR="00BB53B6" w:rsidRPr="004F3CBD">
        <w:t>,</w:t>
      </w:r>
      <w:r w:rsidR="005D7310">
        <w:t xml:space="preserve"> </w:t>
      </w:r>
      <w:r w:rsidR="00BB53B6" w:rsidRPr="004F3CBD">
        <w:t>5</w:t>
      </w:r>
      <w:r w:rsidR="008C4C4E">
        <w:t>2</w:t>
      </w:r>
      <w:r w:rsidR="00BB53B6" w:rsidRPr="004F3CBD">
        <w:t>-5</w:t>
      </w:r>
      <w:r w:rsidR="008C4C4E">
        <w:t>5</w:t>
      </w:r>
      <w:r w:rsidR="00FC6E65" w:rsidRPr="004F3CBD">
        <w:t>]</w:t>
      </w:r>
      <w:r w:rsidR="00C60E8D" w:rsidRPr="004F3CBD">
        <w:t xml:space="preserve">, </w:t>
      </w:r>
      <w:r w:rsidR="001B3DD9" w:rsidRPr="004F3CBD">
        <w:t>corporate and commercial power</w:t>
      </w:r>
      <w:r w:rsidR="00A56AB4" w:rsidRPr="004F3CBD">
        <w:t xml:space="preserve"> </w:t>
      </w:r>
      <w:r w:rsidR="00FC6E65" w:rsidRPr="004F3CBD">
        <w:t>[</w:t>
      </w:r>
      <w:r w:rsidR="00BB53B6" w:rsidRPr="004F3CBD">
        <w:t>1,</w:t>
      </w:r>
      <w:r w:rsidR="005D7310">
        <w:t xml:space="preserve"> </w:t>
      </w:r>
      <w:r w:rsidR="00BB53B6" w:rsidRPr="004F3CBD">
        <w:t>11,</w:t>
      </w:r>
      <w:r w:rsidR="005D7310">
        <w:t xml:space="preserve"> </w:t>
      </w:r>
      <w:r w:rsidR="00BB53B6" w:rsidRPr="004F3CBD">
        <w:t>13,</w:t>
      </w:r>
      <w:r w:rsidR="005D7310">
        <w:t xml:space="preserve"> </w:t>
      </w:r>
      <w:r w:rsidR="00BB53B6" w:rsidRPr="004F3CBD">
        <w:t>5</w:t>
      </w:r>
      <w:r w:rsidR="008C4C4E">
        <w:t>6</w:t>
      </w:r>
      <w:r w:rsidR="00BB53B6" w:rsidRPr="004F3CBD">
        <w:t>-5</w:t>
      </w:r>
      <w:r w:rsidR="00801522">
        <w:t>9</w:t>
      </w:r>
      <w:r w:rsidR="00FC6E65" w:rsidRPr="004F3CBD">
        <w:t>]</w:t>
      </w:r>
      <w:r w:rsidR="00474F7A" w:rsidRPr="004F3CBD">
        <w:t>,</w:t>
      </w:r>
      <w:r w:rsidR="00861120" w:rsidRPr="004F3CBD">
        <w:t xml:space="preserve"> corporate-political activity (CPA)</w:t>
      </w:r>
      <w:r w:rsidR="00A964FB" w:rsidRPr="004F3CBD">
        <w:t xml:space="preserve"> </w:t>
      </w:r>
      <w:r w:rsidR="00FC6E65" w:rsidRPr="004F3CBD">
        <w:t>[</w:t>
      </w:r>
      <w:r w:rsidR="00BB53B6" w:rsidRPr="004F3CBD">
        <w:t>23,</w:t>
      </w:r>
      <w:r w:rsidR="005D7310">
        <w:t xml:space="preserve"> </w:t>
      </w:r>
      <w:r w:rsidR="00BB53B6" w:rsidRPr="004F3CBD">
        <w:t>4</w:t>
      </w:r>
      <w:r w:rsidR="008C4C4E">
        <w:t>6</w:t>
      </w:r>
      <w:r w:rsidR="00BB53B6" w:rsidRPr="004F3CBD">
        <w:t>,</w:t>
      </w:r>
      <w:r w:rsidR="005D7310">
        <w:t xml:space="preserve"> </w:t>
      </w:r>
      <w:r w:rsidR="008C4C4E">
        <w:t>60</w:t>
      </w:r>
      <w:r w:rsidR="00BB53B6" w:rsidRPr="004F3CBD">
        <w:t>-6</w:t>
      </w:r>
      <w:r w:rsidR="008C4C4E">
        <w:t>7</w:t>
      </w:r>
      <w:r w:rsidR="00FC6E65" w:rsidRPr="004F3CBD">
        <w:t>]</w:t>
      </w:r>
      <w:r w:rsidR="00A964FB" w:rsidRPr="004F3CBD">
        <w:t xml:space="preserve">, </w:t>
      </w:r>
      <w:r w:rsidR="00D44A75" w:rsidRPr="004F3CBD">
        <w:t>tactics</w:t>
      </w:r>
      <w:r w:rsidR="00A56AB4" w:rsidRPr="004F3CBD">
        <w:t xml:space="preserve"> </w:t>
      </w:r>
      <w:r w:rsidR="004C2078" w:rsidRPr="004F3CBD">
        <w:t>[</w:t>
      </w:r>
      <w:r w:rsidR="00BB53B6" w:rsidRPr="004F3CBD">
        <w:t>10,</w:t>
      </w:r>
      <w:r w:rsidR="005D7310">
        <w:t xml:space="preserve"> </w:t>
      </w:r>
      <w:r w:rsidR="00BB53B6" w:rsidRPr="004F3CBD">
        <w:t>6</w:t>
      </w:r>
      <w:r w:rsidR="008C4C4E">
        <w:t>8</w:t>
      </w:r>
      <w:r w:rsidR="004C2078" w:rsidRPr="004F3CBD">
        <w:t>]</w:t>
      </w:r>
      <w:r w:rsidR="00BB53B6" w:rsidRPr="004F3CBD">
        <w:t xml:space="preserve"> </w:t>
      </w:r>
      <w:r w:rsidR="00A964FB" w:rsidRPr="004F3CBD">
        <w:t xml:space="preserve">or </w:t>
      </w:r>
      <w:r w:rsidR="003522A1" w:rsidRPr="004F3CBD">
        <w:t>strategies</w:t>
      </w:r>
      <w:r w:rsidR="00A56AB4" w:rsidRPr="004F3CBD">
        <w:t xml:space="preserve"> </w:t>
      </w:r>
      <w:r w:rsidR="004C2078" w:rsidRPr="004F3CBD">
        <w:t>[</w:t>
      </w:r>
      <w:r w:rsidR="00BB53B6" w:rsidRPr="004F3CBD">
        <w:t>6</w:t>
      </w:r>
      <w:r w:rsidR="008C4C4E">
        <w:t>9</w:t>
      </w:r>
      <w:r w:rsidR="00BB53B6" w:rsidRPr="004F3CBD">
        <w:t>-</w:t>
      </w:r>
      <w:r w:rsidR="008C4C4E">
        <w:t>71</w:t>
      </w:r>
      <w:r w:rsidR="004C2078" w:rsidRPr="004F3CBD">
        <w:t xml:space="preserve">] </w:t>
      </w:r>
      <w:r w:rsidR="00951C04" w:rsidRPr="004F3CBD">
        <w:t xml:space="preserve">and </w:t>
      </w:r>
      <w:r w:rsidR="00223507" w:rsidRPr="004F3CBD">
        <w:t>Corporate Social Responsibility</w:t>
      </w:r>
      <w:r w:rsidR="0043050E">
        <w:t xml:space="preserve"> (CSR)</w:t>
      </w:r>
      <w:r w:rsidR="00223507" w:rsidRPr="004F3CBD">
        <w:t xml:space="preserve"> [</w:t>
      </w:r>
      <w:r w:rsidR="00BB53B6" w:rsidRPr="004F3CBD">
        <w:t>22,</w:t>
      </w:r>
      <w:r w:rsidR="005D7310">
        <w:t xml:space="preserve"> </w:t>
      </w:r>
      <w:r w:rsidR="00BB53B6" w:rsidRPr="004F3CBD">
        <w:t>7</w:t>
      </w:r>
      <w:r w:rsidR="008C4C4E">
        <w:t>2</w:t>
      </w:r>
      <w:r w:rsidR="00BB53B6" w:rsidRPr="004F3CBD">
        <w:t>-7</w:t>
      </w:r>
      <w:r w:rsidR="008C4C4E">
        <w:t>9</w:t>
      </w:r>
      <w:r w:rsidR="00A66A85" w:rsidRPr="004F3CBD">
        <w:t>]</w:t>
      </w:r>
      <w:r w:rsidR="00F034E4" w:rsidRPr="004F3CBD">
        <w:t xml:space="preserve"> literature</w:t>
      </w:r>
      <w:r w:rsidR="00951C04" w:rsidRPr="004F3CBD">
        <w:t>.</w:t>
      </w:r>
      <w:r w:rsidR="00C73802" w:rsidRPr="004F3CBD">
        <w:t xml:space="preserve"> </w:t>
      </w:r>
      <w:bookmarkEnd w:id="4"/>
      <w:r w:rsidR="00C73802" w:rsidRPr="004F3CBD">
        <w:t>Studies were mostly</w:t>
      </w:r>
      <w:r w:rsidR="001B3DD9" w:rsidRPr="004F3CBD">
        <w:t xml:space="preserve"> </w:t>
      </w:r>
      <w:r w:rsidR="00F81D6B" w:rsidRPr="004F3CBD">
        <w:t>in</w:t>
      </w:r>
      <w:r w:rsidR="001B3DD9" w:rsidRPr="004F3CBD">
        <w:t xml:space="preserve"> a broad context, </w:t>
      </w:r>
      <w:r w:rsidR="00223507" w:rsidRPr="004F3CBD">
        <w:t xml:space="preserve">such as </w:t>
      </w:r>
      <w:r w:rsidR="001B3DD9" w:rsidRPr="004F3CBD">
        <w:t>global</w:t>
      </w:r>
      <w:r w:rsidR="00223507" w:rsidRPr="004F3CBD">
        <w:t xml:space="preserve"> or </w:t>
      </w:r>
      <w:r w:rsidR="001B3DD9" w:rsidRPr="004F3CBD">
        <w:t>population health</w:t>
      </w:r>
      <w:r w:rsidR="00223507" w:rsidRPr="004F3CBD">
        <w:t xml:space="preserve"> settings</w:t>
      </w:r>
      <w:r w:rsidR="001B3DD9" w:rsidRPr="004F3CBD">
        <w:t>,</w:t>
      </w:r>
      <w:r w:rsidR="00223507" w:rsidRPr="004F3CBD">
        <w:t xml:space="preserve"> focused on</w:t>
      </w:r>
      <w:r w:rsidR="001B3DD9" w:rsidRPr="004F3CBD">
        <w:t xml:space="preserve"> international </w:t>
      </w:r>
      <w:r w:rsidR="00D060E2" w:rsidRPr="004F3CBD">
        <w:t>policy,</w:t>
      </w:r>
      <w:r w:rsidR="001B3DD9" w:rsidRPr="004F3CBD">
        <w:t xml:space="preserve"> and</w:t>
      </w:r>
      <w:r w:rsidR="00223507" w:rsidRPr="004F3CBD">
        <w:t xml:space="preserve"> examining</w:t>
      </w:r>
      <w:r w:rsidR="001B3DD9" w:rsidRPr="004F3CBD">
        <w:t xml:space="preserve"> transnational corporations.</w:t>
      </w:r>
      <w:r w:rsidR="000D0838" w:rsidRPr="004F3CBD">
        <w:t xml:space="preserve"> For example, </w:t>
      </w:r>
      <w:r w:rsidR="008945FE" w:rsidRPr="004F3CBD">
        <w:t>exploring</w:t>
      </w:r>
      <w:r w:rsidR="000D0838" w:rsidRPr="004F3CBD">
        <w:t xml:space="preserve"> corporations</w:t>
      </w:r>
      <w:r w:rsidR="00D060E2" w:rsidRPr="004F3CBD">
        <w:t>’</w:t>
      </w:r>
      <w:r w:rsidR="000D0838" w:rsidRPr="004F3CBD">
        <w:t xml:space="preserve"> commercial involvement in public health policy</w:t>
      </w:r>
      <w:r w:rsidR="00A56AB4" w:rsidRPr="004F3CBD">
        <w:t xml:space="preserve"> </w:t>
      </w:r>
      <w:r w:rsidR="00A66A85" w:rsidRPr="004F3CBD">
        <w:t>[</w:t>
      </w:r>
      <w:r w:rsidR="008C4C4E">
        <w:t>80</w:t>
      </w:r>
      <w:r w:rsidR="00A66A85" w:rsidRPr="004F3CBD">
        <w:t>]</w:t>
      </w:r>
      <w:r w:rsidR="000D0838" w:rsidRPr="004F3CBD">
        <w:t xml:space="preserve">, </w:t>
      </w:r>
      <w:r w:rsidR="008945FE" w:rsidRPr="004F3CBD">
        <w:t>or</w:t>
      </w:r>
      <w:r w:rsidR="000D0838" w:rsidRPr="004F3CBD">
        <w:t xml:space="preserve"> a framework and mechanisms of transnational corporations</w:t>
      </w:r>
      <w:r w:rsidR="00AD14D4" w:rsidRPr="004F3CBD">
        <w:t>'</w:t>
      </w:r>
      <w:r w:rsidR="000D0838" w:rsidRPr="004F3CBD">
        <w:t xml:space="preserve"> </w:t>
      </w:r>
      <w:r w:rsidR="000D0838">
        <w:t xml:space="preserve">macrosocial </w:t>
      </w:r>
      <w:r w:rsidR="00C73802">
        <w:t xml:space="preserve">and </w:t>
      </w:r>
      <w:r w:rsidR="000D0838">
        <w:t xml:space="preserve">corporate tactics </w:t>
      </w:r>
      <w:r w:rsidR="00DC1CB1">
        <w:t>regarding</w:t>
      </w:r>
      <w:r w:rsidR="000D0838">
        <w:t xml:space="preserve"> population health and polic</w:t>
      </w:r>
      <w:r w:rsidR="00A66A85">
        <w:t>y</w:t>
      </w:r>
      <w:r w:rsidR="00A56AB4">
        <w:t xml:space="preserve"> </w:t>
      </w:r>
      <w:r w:rsidR="00A66A85">
        <w:t>[</w:t>
      </w:r>
      <w:r w:rsidR="00BB53B6">
        <w:t>13</w:t>
      </w:r>
      <w:r w:rsidR="00A66A85">
        <w:t>]</w:t>
      </w:r>
      <w:r w:rsidR="000D0838">
        <w:t xml:space="preserve">. </w:t>
      </w:r>
      <w:r w:rsidR="00951C04">
        <w:t xml:space="preserve">Some studies focused on specific populations, industries, </w:t>
      </w:r>
      <w:r w:rsidR="00F81D6B">
        <w:t>policies,</w:t>
      </w:r>
      <w:r w:rsidR="00951C04">
        <w:t xml:space="preserve"> or activities</w:t>
      </w:r>
      <w:r w:rsidR="00F81D6B">
        <w:t xml:space="preserve">, but remained in a similar lens, focusing on the </w:t>
      </w:r>
      <w:r w:rsidR="00CF5A6F">
        <w:t xml:space="preserve">CPA </w:t>
      </w:r>
      <w:r w:rsidR="00F81D6B">
        <w:t>of industries</w:t>
      </w:r>
      <w:r w:rsidR="008945FE">
        <w:t>.</w:t>
      </w:r>
      <w:r w:rsidR="001B3DD9" w:rsidRPr="00A11A33">
        <w:t xml:space="preserve"> </w:t>
      </w:r>
    </w:p>
    <w:p w14:paraId="18EE546E" w14:textId="527DA6D1" w:rsidR="00C47BF3" w:rsidRDefault="00C47BF3" w:rsidP="00C47BF3">
      <w:pPr>
        <w:jc w:val="both"/>
        <w:rPr>
          <w:rFonts w:cstheme="minorHAnsi"/>
          <w:b/>
          <w:bCs/>
        </w:rPr>
      </w:pPr>
      <w:r>
        <w:rPr>
          <w:rFonts w:cstheme="minorHAnsi"/>
          <w:b/>
          <w:bCs/>
        </w:rPr>
        <w:t>A proposed typology of possible interactions between</w:t>
      </w:r>
      <w:r w:rsidR="00E6592B">
        <w:rPr>
          <w:rFonts w:cstheme="minorHAnsi"/>
          <w:b/>
          <w:bCs/>
        </w:rPr>
        <w:t xml:space="preserve"> HCIs</w:t>
      </w:r>
      <w:r>
        <w:rPr>
          <w:rFonts w:cstheme="minorHAnsi"/>
          <w:b/>
          <w:bCs/>
        </w:rPr>
        <w:t xml:space="preserve"> and English LAs </w:t>
      </w:r>
    </w:p>
    <w:p w14:paraId="07827D28" w14:textId="07156B78" w:rsidR="0056179F" w:rsidRDefault="0019007A" w:rsidP="002E5652">
      <w:pPr>
        <w:jc w:val="both"/>
      </w:pPr>
      <w:r>
        <w:t xml:space="preserve">Table 2 presents our proposed typology of the interactions between </w:t>
      </w:r>
      <w:r w:rsidR="004D771A">
        <w:t>HCIs</w:t>
      </w:r>
      <w:r w:rsidR="00E6592B" w:rsidRPr="00E6592B">
        <w:t xml:space="preserve"> </w:t>
      </w:r>
      <w:r w:rsidR="00E6592B">
        <w:t>and English LAs</w:t>
      </w:r>
      <w:r>
        <w:t xml:space="preserve">. Three categories of potential interactions were developed, based on </w:t>
      </w:r>
      <w:r>
        <w:rPr>
          <w:i/>
          <w:iCs/>
        </w:rPr>
        <w:t xml:space="preserve">the medium </w:t>
      </w:r>
      <w:r>
        <w:t xml:space="preserve">through which the interactions take place: (1) </w:t>
      </w:r>
      <w:r w:rsidR="00A964FB">
        <w:t xml:space="preserve">direct </w:t>
      </w:r>
      <w:r>
        <w:t>involvement with the LA (governmental), (2) involvement through intermediaries (third part</w:t>
      </w:r>
      <w:r w:rsidR="00E40E42">
        <w:t>ies</w:t>
      </w:r>
      <w:r>
        <w:t xml:space="preserve">), and (3) involvement through the </w:t>
      </w:r>
      <w:r w:rsidR="000450D2">
        <w:t xml:space="preserve">local </w:t>
      </w:r>
      <w:r>
        <w:t xml:space="preserve">knowledge space. The typology expands on these three categories, with </w:t>
      </w:r>
      <w:r w:rsidRPr="00813BFF">
        <w:t>1</w:t>
      </w:r>
      <w:r w:rsidR="00511A54" w:rsidRPr="00813BFF">
        <w:t>0</w:t>
      </w:r>
      <w:r w:rsidRPr="00813BFF">
        <w:t xml:space="preserve"> themes</w:t>
      </w:r>
      <w:r w:rsidR="00694656">
        <w:t xml:space="preserve"> describing the nature of interactions,</w:t>
      </w:r>
      <w:r>
        <w:t xml:space="preserve"> </w:t>
      </w:r>
      <w:r w:rsidR="00C0221B">
        <w:t xml:space="preserve">encompassing </w:t>
      </w:r>
      <w:r>
        <w:t>over 50 potential interactions and illustrative examples</w:t>
      </w:r>
      <w:r w:rsidR="00D72C0C">
        <w:t xml:space="preserve">. </w:t>
      </w:r>
    </w:p>
    <w:p w14:paraId="1AF47205" w14:textId="58B99136" w:rsidR="00182870" w:rsidRPr="00374789" w:rsidRDefault="00A1256B" w:rsidP="002E5652">
      <w:pPr>
        <w:jc w:val="both"/>
      </w:pPr>
      <w:r>
        <w:t>Due to t</w:t>
      </w:r>
      <w:r w:rsidR="001A6200">
        <w:t xml:space="preserve">he </w:t>
      </w:r>
      <w:r w:rsidR="00812B7F" w:rsidRPr="003A714F">
        <w:t>complex</w:t>
      </w:r>
      <w:r>
        <w:t xml:space="preserve"> and multifaceted </w:t>
      </w:r>
      <w:r w:rsidR="00812B7F" w:rsidRPr="003A714F">
        <w:t>nature</w:t>
      </w:r>
      <w:r>
        <w:t xml:space="preserve"> and diverse presentation of potential interactions, </w:t>
      </w:r>
      <w:r w:rsidR="002F7F4B">
        <w:t>the</w:t>
      </w:r>
      <w:r>
        <w:t xml:space="preserve"> categories</w:t>
      </w:r>
      <w:r w:rsidR="002F7F4B">
        <w:t xml:space="preserve"> are </w:t>
      </w:r>
      <w:r w:rsidR="00812B7F" w:rsidRPr="003A714F">
        <w:t xml:space="preserve">not necessarily mutually </w:t>
      </w:r>
      <w:r w:rsidR="00920CCB" w:rsidRPr="003A714F">
        <w:t>exclusive,</w:t>
      </w:r>
      <w:r>
        <w:t xml:space="preserve"> and some </w:t>
      </w:r>
      <w:r w:rsidR="005C4138">
        <w:t>interactions</w:t>
      </w:r>
      <w:r>
        <w:t xml:space="preserve"> </w:t>
      </w:r>
      <w:r w:rsidR="003E0FC2">
        <w:t>cross</w:t>
      </w:r>
      <w:r>
        <w:t xml:space="preserve"> multiple </w:t>
      </w:r>
      <w:r w:rsidR="00303DBA">
        <w:t>themes or categories</w:t>
      </w:r>
      <w:r w:rsidR="00812B7F" w:rsidRPr="003A714F">
        <w:t>.</w:t>
      </w:r>
      <w:r w:rsidR="000A762C">
        <w:t xml:space="preserve"> </w:t>
      </w:r>
      <w:r w:rsidR="000A762C" w:rsidRPr="003A714F">
        <w:t>A</w:t>
      </w:r>
      <w:r w:rsidR="001A6200">
        <w:t xml:space="preserve">lso, </w:t>
      </w:r>
      <w:r w:rsidR="000A762C" w:rsidRPr="003A714F">
        <w:t xml:space="preserve">other interactions take place </w:t>
      </w:r>
      <w:r w:rsidR="00E44152">
        <w:t>with</w:t>
      </w:r>
      <w:r w:rsidR="000A762C" w:rsidRPr="003A714F">
        <w:t>in the wider context, at global and national levels, which shape and influence the</w:t>
      </w:r>
      <w:r w:rsidR="000A762C">
        <w:t xml:space="preserve"> local</w:t>
      </w:r>
      <w:r w:rsidR="000A762C" w:rsidRPr="003A714F">
        <w:t xml:space="preserve"> interaction landscape. </w:t>
      </w:r>
      <w:r w:rsidR="000A762C">
        <w:t>S</w:t>
      </w:r>
      <w:r w:rsidR="000A762C" w:rsidRPr="003A714F">
        <w:t xml:space="preserve">everal </w:t>
      </w:r>
      <w:r w:rsidR="000A762C">
        <w:t>interactions may also occur</w:t>
      </w:r>
      <w:r w:rsidR="000A762C" w:rsidRPr="003A714F">
        <w:t xml:space="preserve"> within the </w:t>
      </w:r>
      <w:r w:rsidR="0063412F">
        <w:t>LA jurisdiction</w:t>
      </w:r>
      <w:r w:rsidR="000A762C" w:rsidRPr="003A714F">
        <w:t>, but</w:t>
      </w:r>
      <w:r w:rsidR="000A762C">
        <w:t xml:space="preserve"> without</w:t>
      </w:r>
      <w:r w:rsidR="000A762C" w:rsidRPr="003A714F">
        <w:t xml:space="preserve"> explicit</w:t>
      </w:r>
      <w:r w:rsidR="000A762C">
        <w:t xml:space="preserve"> LA involvement, </w:t>
      </w:r>
      <w:r w:rsidR="000A762C" w:rsidRPr="003A714F">
        <w:t>and some activities</w:t>
      </w:r>
      <w:r w:rsidR="000A762C">
        <w:t xml:space="preserve"> may</w:t>
      </w:r>
      <w:r w:rsidR="000A762C" w:rsidRPr="003A714F">
        <w:t xml:space="preserve"> remain within the traditional CPA lens. </w:t>
      </w:r>
      <w:r w:rsidR="00852F28">
        <w:t xml:space="preserve">As a result, </w:t>
      </w:r>
      <w:r w:rsidR="0056179F">
        <w:t>while</w:t>
      </w:r>
      <w:r w:rsidR="00852F28">
        <w:t xml:space="preserve"> </w:t>
      </w:r>
      <w:r w:rsidR="0056179F">
        <w:t>many</w:t>
      </w:r>
      <w:r w:rsidR="00852F28">
        <w:t xml:space="preserve"> interactions and examples provided are specific and clear, </w:t>
      </w:r>
      <w:r w:rsidR="0056179F">
        <w:t xml:space="preserve">we acknowledge that </w:t>
      </w:r>
      <w:r w:rsidR="00852F28">
        <w:t xml:space="preserve">other, wider interactions (e.g. </w:t>
      </w:r>
      <w:r w:rsidR="00852F28" w:rsidRPr="00847DE6">
        <w:t xml:space="preserve">with </w:t>
      </w:r>
      <w:r w:rsidR="000E7D61" w:rsidRPr="00847DE6">
        <w:t>I</w:t>
      </w:r>
      <w:r w:rsidR="005C4138" w:rsidRPr="00847DE6">
        <w:t>nte</w:t>
      </w:r>
      <w:r w:rsidR="000E7D61" w:rsidRPr="00847DE6">
        <w:t>rnational and N</w:t>
      </w:r>
      <w:r w:rsidR="00852F28" w:rsidRPr="00847DE6">
        <w:t>ati</w:t>
      </w:r>
      <w:r w:rsidR="007721B9" w:rsidRPr="00847DE6">
        <w:t xml:space="preserve">onal </w:t>
      </w:r>
      <w:r w:rsidR="00847DE6">
        <w:t>bodies</w:t>
      </w:r>
      <w:r w:rsidR="00852F28" w:rsidRPr="00847DE6">
        <w:t xml:space="preserve">, NGO’s, </w:t>
      </w:r>
      <w:r w:rsidR="00852F28" w:rsidRPr="00847DE6">
        <w:lastRenderedPageBreak/>
        <w:t>research councils)</w:t>
      </w:r>
      <w:r w:rsidR="0056179F" w:rsidRPr="00847DE6">
        <w:t xml:space="preserve"> may be less clear, but</w:t>
      </w:r>
      <w:r w:rsidR="00D858EB" w:rsidRPr="00847DE6">
        <w:t xml:space="preserve"> </w:t>
      </w:r>
      <w:r w:rsidR="0056179F" w:rsidRPr="00847DE6">
        <w:t xml:space="preserve">have a significant </w:t>
      </w:r>
      <w:r w:rsidR="0056179F">
        <w:t xml:space="preserve">presence and implications across multiple LAs. </w:t>
      </w:r>
      <w:r w:rsidR="000A762C">
        <w:t>Figure 2 offers a</w:t>
      </w:r>
      <w:r w:rsidR="000A762C" w:rsidRPr="003A714F">
        <w:t xml:space="preserve"> visual representation of the typology and </w:t>
      </w:r>
      <w:r w:rsidR="000A762C">
        <w:t xml:space="preserve">wider </w:t>
      </w:r>
      <w:r w:rsidR="000A762C" w:rsidRPr="003A714F">
        <w:t xml:space="preserve">components contributing to the </w:t>
      </w:r>
      <w:r w:rsidR="000A762C">
        <w:t>interaction</w:t>
      </w:r>
      <w:r w:rsidR="000A762C" w:rsidRPr="003A714F">
        <w:t xml:space="preserve"> landscape</w:t>
      </w:r>
      <w:r w:rsidR="000A762C">
        <w:t xml:space="preserve">. </w:t>
      </w:r>
      <w:bookmarkStart w:id="5" w:name="_Hlk100062732"/>
    </w:p>
    <w:p w14:paraId="1DE7FAA3" w14:textId="6CE7876F" w:rsidR="00182870" w:rsidRPr="00374789" w:rsidRDefault="003300D4" w:rsidP="002E5652">
      <w:pPr>
        <w:jc w:val="both"/>
      </w:pPr>
      <w:r w:rsidRPr="00581735">
        <w:rPr>
          <w:b/>
          <w:bCs/>
        </w:rPr>
        <w:t xml:space="preserve">Figure 2. </w:t>
      </w:r>
      <w:r w:rsidRPr="00581735">
        <w:t>Visual representation of the interaction landscape</w:t>
      </w:r>
      <w:bookmarkEnd w:id="5"/>
    </w:p>
    <w:p w14:paraId="1199B997" w14:textId="2EC6DBB8" w:rsidR="002E5652" w:rsidRPr="0017386F" w:rsidRDefault="002E5652" w:rsidP="002E5652">
      <w:pPr>
        <w:jc w:val="both"/>
        <w:rPr>
          <w:rFonts w:cstheme="minorHAnsi"/>
          <w:b/>
          <w:bCs/>
          <w:color w:val="000000" w:themeColor="text1"/>
        </w:rPr>
      </w:pPr>
      <w:r w:rsidRPr="0017386F">
        <w:rPr>
          <w:rFonts w:cstheme="minorHAnsi"/>
          <w:b/>
          <w:bCs/>
          <w:color w:val="000000" w:themeColor="text1"/>
        </w:rPr>
        <w:t xml:space="preserve">Category 1: Involvement with the LA (governmental) </w:t>
      </w:r>
    </w:p>
    <w:p w14:paraId="457D3BA4" w14:textId="7D07D6AB" w:rsidR="002E5652" w:rsidRPr="00E44152" w:rsidRDefault="00C0221B" w:rsidP="00E44152">
      <w:pPr>
        <w:jc w:val="both"/>
        <w:rPr>
          <w:rFonts w:cstheme="minorHAnsi"/>
          <w:color w:val="000000" w:themeColor="text1"/>
        </w:rPr>
      </w:pPr>
      <w:r>
        <w:rPr>
          <w:rFonts w:cstheme="minorHAnsi"/>
          <w:color w:val="000000" w:themeColor="text1"/>
        </w:rPr>
        <w:t xml:space="preserve">We identified three themes to summarise the ways in which </w:t>
      </w:r>
      <w:r w:rsidR="00A453DE">
        <w:rPr>
          <w:rFonts w:cstheme="minorHAnsi"/>
          <w:color w:val="000000" w:themeColor="text1"/>
        </w:rPr>
        <w:t>HCIs</w:t>
      </w:r>
      <w:r w:rsidRPr="0017386F">
        <w:rPr>
          <w:rFonts w:cstheme="minorHAnsi"/>
          <w:color w:val="000000" w:themeColor="text1"/>
        </w:rPr>
        <w:t xml:space="preserve"> </w:t>
      </w:r>
      <w:r w:rsidR="002E5652" w:rsidRPr="0017386F">
        <w:rPr>
          <w:rFonts w:cstheme="minorHAnsi"/>
          <w:color w:val="000000" w:themeColor="text1"/>
        </w:rPr>
        <w:t xml:space="preserve">and LAs directly interact with each other. </w:t>
      </w:r>
      <w:r>
        <w:rPr>
          <w:rFonts w:cstheme="minorHAnsi"/>
          <w:color w:val="000000" w:themeColor="text1"/>
        </w:rPr>
        <w:t>The f</w:t>
      </w:r>
      <w:r w:rsidRPr="0017386F">
        <w:rPr>
          <w:rFonts w:cstheme="minorHAnsi"/>
          <w:color w:val="000000" w:themeColor="text1"/>
        </w:rPr>
        <w:t>irst</w:t>
      </w:r>
      <w:r>
        <w:rPr>
          <w:rFonts w:cstheme="minorHAnsi"/>
          <w:color w:val="000000" w:themeColor="text1"/>
        </w:rPr>
        <w:t xml:space="preserve"> theme includes</w:t>
      </w:r>
      <w:r w:rsidRPr="0017386F">
        <w:rPr>
          <w:rFonts w:cstheme="minorHAnsi"/>
          <w:color w:val="000000" w:themeColor="text1"/>
        </w:rPr>
        <w:t xml:space="preserve"> </w:t>
      </w:r>
      <w:r w:rsidR="002E5652" w:rsidRPr="0017386F">
        <w:rPr>
          <w:rFonts w:cstheme="minorHAnsi"/>
          <w:color w:val="000000" w:themeColor="text1"/>
        </w:rPr>
        <w:t>contractual, legal, and regulatory interactions involv</w:t>
      </w:r>
      <w:r w:rsidR="00B470D5">
        <w:rPr>
          <w:rFonts w:cstheme="minorHAnsi"/>
          <w:color w:val="000000" w:themeColor="text1"/>
        </w:rPr>
        <w:t>ing</w:t>
      </w:r>
      <w:r w:rsidR="002E5652" w:rsidRPr="0017386F">
        <w:rPr>
          <w:rFonts w:cstheme="minorHAnsi"/>
          <w:color w:val="000000" w:themeColor="text1"/>
        </w:rPr>
        <w:t xml:space="preserve"> formal arrangements between the two parties</w:t>
      </w:r>
      <w:r w:rsidR="00C8123C">
        <w:rPr>
          <w:rFonts w:cstheme="minorHAnsi"/>
          <w:color w:val="000000" w:themeColor="text1"/>
        </w:rPr>
        <w:t>. These arrangements</w:t>
      </w:r>
      <w:r w:rsidR="002E5652" w:rsidRPr="0017386F">
        <w:rPr>
          <w:rFonts w:cstheme="minorHAnsi"/>
          <w:color w:val="000000" w:themeColor="text1"/>
        </w:rPr>
        <w:t xml:space="preserve"> potentially involv</w:t>
      </w:r>
      <w:r w:rsidR="00345797">
        <w:rPr>
          <w:rFonts w:cstheme="minorHAnsi"/>
          <w:color w:val="000000" w:themeColor="text1"/>
        </w:rPr>
        <w:t>e</w:t>
      </w:r>
      <w:r w:rsidR="002E5652" w:rsidRPr="0017386F">
        <w:rPr>
          <w:rFonts w:cstheme="minorHAnsi"/>
          <w:color w:val="000000" w:themeColor="text1"/>
        </w:rPr>
        <w:t xml:space="preserve"> monetary exchange, for example, licencing and registration of alcohol or drinking establishments, food outlets and gambling venues. Other interactions include business links, such as LA investments in industry, and joint endeavours in the </w:t>
      </w:r>
      <w:r w:rsidR="00FE68C2">
        <w:rPr>
          <w:rFonts w:cstheme="minorHAnsi"/>
          <w:color w:val="000000" w:themeColor="text1"/>
        </w:rPr>
        <w:t xml:space="preserve">LA </w:t>
      </w:r>
      <w:r w:rsidR="00852F28">
        <w:rPr>
          <w:rFonts w:cstheme="minorHAnsi"/>
          <w:color w:val="000000" w:themeColor="text1"/>
        </w:rPr>
        <w:t>jurisdiction</w:t>
      </w:r>
      <w:r w:rsidR="002E5652" w:rsidRPr="0017386F">
        <w:rPr>
          <w:rFonts w:cstheme="minorHAnsi"/>
          <w:color w:val="000000" w:themeColor="text1"/>
        </w:rPr>
        <w:t>. Legal interactions include direct litigation</w:t>
      </w:r>
      <w:r w:rsidR="000E7D61">
        <w:rPr>
          <w:rFonts w:cstheme="minorHAnsi"/>
          <w:color w:val="000000" w:themeColor="text1"/>
        </w:rPr>
        <w:t xml:space="preserve"> against a decision</w:t>
      </w:r>
      <w:r w:rsidR="002E5652" w:rsidRPr="0017386F">
        <w:rPr>
          <w:rFonts w:cstheme="minorHAnsi"/>
          <w:color w:val="000000" w:themeColor="text1"/>
        </w:rPr>
        <w:t xml:space="preserve"> and the use of the legal system to threaten or contend LA policies, organisations, and individuals, stretch local legal boundaries, or threat</w:t>
      </w:r>
      <w:r w:rsidR="00B16B14">
        <w:rPr>
          <w:rFonts w:cstheme="minorHAnsi"/>
          <w:color w:val="000000" w:themeColor="text1"/>
        </w:rPr>
        <w:t>en</w:t>
      </w:r>
      <w:r w:rsidR="006D419E">
        <w:rPr>
          <w:rFonts w:cstheme="minorHAnsi"/>
          <w:color w:val="000000" w:themeColor="text1"/>
        </w:rPr>
        <w:t xml:space="preserve"> </w:t>
      </w:r>
      <w:r w:rsidR="002E5652" w:rsidRPr="0017386F">
        <w:rPr>
          <w:rFonts w:cstheme="minorHAnsi"/>
          <w:color w:val="000000" w:themeColor="text1"/>
        </w:rPr>
        <w:t xml:space="preserve">legal outcomes. </w:t>
      </w:r>
      <w:r w:rsidR="00783A3A">
        <w:rPr>
          <w:rFonts w:cstheme="minorHAnsi"/>
          <w:color w:val="000000" w:themeColor="text1"/>
        </w:rPr>
        <w:t xml:space="preserve">The second theme </w:t>
      </w:r>
      <w:r>
        <w:rPr>
          <w:rFonts w:cstheme="minorHAnsi"/>
          <w:color w:val="000000" w:themeColor="text1"/>
        </w:rPr>
        <w:t xml:space="preserve">involves </w:t>
      </w:r>
      <w:r w:rsidR="00783A3A">
        <w:rPr>
          <w:rFonts w:cstheme="minorHAnsi"/>
          <w:color w:val="000000" w:themeColor="text1"/>
        </w:rPr>
        <w:t>v</w:t>
      </w:r>
      <w:r w:rsidR="002E5652" w:rsidRPr="00783A3A">
        <w:rPr>
          <w:rFonts w:cstheme="minorHAnsi"/>
          <w:color w:val="000000" w:themeColor="text1"/>
        </w:rPr>
        <w:t>oluntary</w:t>
      </w:r>
      <w:r w:rsidR="002E5652" w:rsidRPr="0017386F">
        <w:rPr>
          <w:rFonts w:cstheme="minorHAnsi"/>
          <w:color w:val="000000" w:themeColor="text1"/>
        </w:rPr>
        <w:t xml:space="preserve"> engagements between industry and LAs</w:t>
      </w:r>
      <w:r w:rsidR="00783A3A">
        <w:rPr>
          <w:rFonts w:cstheme="minorHAnsi"/>
          <w:color w:val="000000" w:themeColor="text1"/>
        </w:rPr>
        <w:t xml:space="preserve">, </w:t>
      </w:r>
      <w:r w:rsidR="002E5652" w:rsidRPr="0017386F">
        <w:rPr>
          <w:rFonts w:cstheme="minorHAnsi"/>
          <w:color w:val="000000" w:themeColor="text1"/>
        </w:rPr>
        <w:t xml:space="preserve">and the most prominent examples </w:t>
      </w:r>
      <w:r w:rsidR="00D060E2">
        <w:rPr>
          <w:rFonts w:cstheme="minorHAnsi"/>
          <w:color w:val="000000" w:themeColor="text1"/>
        </w:rPr>
        <w:t>include</w:t>
      </w:r>
      <w:r w:rsidR="002E5652" w:rsidRPr="0017386F">
        <w:rPr>
          <w:rFonts w:cstheme="minorHAnsi"/>
          <w:color w:val="000000" w:themeColor="text1"/>
        </w:rPr>
        <w:t xml:space="preserve"> </w:t>
      </w:r>
      <w:r>
        <w:rPr>
          <w:rFonts w:cstheme="minorHAnsi"/>
          <w:color w:val="000000" w:themeColor="text1"/>
        </w:rPr>
        <w:t>public-private partnerships (</w:t>
      </w:r>
      <w:r w:rsidR="002E5652" w:rsidRPr="0017386F">
        <w:rPr>
          <w:rFonts w:cstheme="minorHAnsi"/>
          <w:color w:val="000000" w:themeColor="text1"/>
        </w:rPr>
        <w:t>PPPs</w:t>
      </w:r>
      <w:r>
        <w:rPr>
          <w:rFonts w:cstheme="minorHAnsi"/>
          <w:color w:val="000000" w:themeColor="text1"/>
        </w:rPr>
        <w:t>)</w:t>
      </w:r>
      <w:r w:rsidR="002E5652" w:rsidRPr="0017386F">
        <w:rPr>
          <w:rFonts w:cstheme="minorHAnsi"/>
          <w:color w:val="000000" w:themeColor="text1"/>
        </w:rPr>
        <w:t>, followed by cooperative arrangements (such as voluntary agreements and pledges). In addition, interactions include joint attendance in meetings and working groups, and voluntary input to policymakers</w:t>
      </w:r>
      <w:r w:rsidR="0078672C">
        <w:rPr>
          <w:rFonts w:cstheme="minorHAnsi"/>
          <w:color w:val="000000" w:themeColor="text1"/>
        </w:rPr>
        <w:t xml:space="preserve"> in</w:t>
      </w:r>
      <w:r w:rsidR="002E5652" w:rsidRPr="0017386F">
        <w:rPr>
          <w:rFonts w:cstheme="minorHAnsi"/>
          <w:color w:val="000000" w:themeColor="text1"/>
        </w:rPr>
        <w:t xml:space="preserve">, for example, writing policies. The third theme </w:t>
      </w:r>
      <w:r>
        <w:rPr>
          <w:rFonts w:cstheme="minorHAnsi"/>
          <w:color w:val="000000" w:themeColor="text1"/>
        </w:rPr>
        <w:t xml:space="preserve">includes </w:t>
      </w:r>
      <w:r w:rsidR="00B65544">
        <w:rPr>
          <w:rFonts w:cstheme="minorHAnsi"/>
          <w:color w:val="000000" w:themeColor="text1"/>
        </w:rPr>
        <w:t>all other engagement strategies</w:t>
      </w:r>
      <w:r w:rsidR="00A75340">
        <w:rPr>
          <w:rFonts w:cstheme="minorHAnsi"/>
          <w:color w:val="000000" w:themeColor="text1"/>
        </w:rPr>
        <w:t xml:space="preserve">. </w:t>
      </w:r>
      <w:r w:rsidR="00B65544">
        <w:rPr>
          <w:rFonts w:cstheme="minorHAnsi"/>
          <w:color w:val="000000" w:themeColor="text1"/>
        </w:rPr>
        <w:t>These</w:t>
      </w:r>
      <w:r w:rsidR="00A75340">
        <w:rPr>
          <w:rFonts w:cstheme="minorHAnsi"/>
          <w:color w:val="000000" w:themeColor="text1"/>
        </w:rPr>
        <w:t xml:space="preserve"> interactions include</w:t>
      </w:r>
      <w:r w:rsidR="002E5652" w:rsidRPr="0017386F">
        <w:rPr>
          <w:rFonts w:cstheme="minorHAnsi"/>
          <w:color w:val="000000" w:themeColor="text1"/>
        </w:rPr>
        <w:t xml:space="preserve"> incentivising </w:t>
      </w:r>
      <w:r w:rsidR="002E5652">
        <w:rPr>
          <w:rFonts w:cstheme="minorHAnsi"/>
          <w:color w:val="000000" w:themeColor="text1"/>
        </w:rPr>
        <w:t>career movement</w:t>
      </w:r>
      <w:r w:rsidR="002E5652" w:rsidRPr="0017386F">
        <w:rPr>
          <w:rFonts w:cstheme="minorHAnsi"/>
          <w:color w:val="000000" w:themeColor="text1"/>
        </w:rPr>
        <w:t xml:space="preserve"> across</w:t>
      </w:r>
      <w:r w:rsidR="002E5652">
        <w:rPr>
          <w:rFonts w:cstheme="minorHAnsi"/>
          <w:color w:val="000000" w:themeColor="text1"/>
        </w:rPr>
        <w:t xml:space="preserve"> public and private</w:t>
      </w:r>
      <w:r w:rsidR="002E5652" w:rsidRPr="0017386F">
        <w:rPr>
          <w:rFonts w:cstheme="minorHAnsi"/>
          <w:color w:val="000000" w:themeColor="text1"/>
        </w:rPr>
        <w:t xml:space="preserve"> posts</w:t>
      </w:r>
      <w:r w:rsidR="00EE4AC5">
        <w:rPr>
          <w:rFonts w:cstheme="minorHAnsi"/>
          <w:color w:val="000000" w:themeColor="text1"/>
        </w:rPr>
        <w:t xml:space="preserve"> (‘revolving door’ arrangements)</w:t>
      </w:r>
      <w:r w:rsidR="002E5652">
        <w:rPr>
          <w:rFonts w:cstheme="minorHAnsi"/>
          <w:color w:val="000000" w:themeColor="text1"/>
        </w:rPr>
        <w:t>,</w:t>
      </w:r>
      <w:r w:rsidR="002E5652" w:rsidRPr="0017386F">
        <w:rPr>
          <w:rFonts w:cstheme="minorHAnsi"/>
          <w:color w:val="000000" w:themeColor="text1"/>
        </w:rPr>
        <w:t xml:space="preserve"> and relationship or network building. </w:t>
      </w:r>
      <w:r w:rsidR="00B65544">
        <w:rPr>
          <w:rFonts w:cstheme="minorHAnsi"/>
          <w:color w:val="000000" w:themeColor="text1"/>
        </w:rPr>
        <w:t xml:space="preserve">In addition, </w:t>
      </w:r>
      <w:r w:rsidR="002E5652" w:rsidRPr="0017386F">
        <w:rPr>
          <w:rFonts w:cstheme="minorHAnsi"/>
          <w:color w:val="000000" w:themeColor="text1"/>
        </w:rPr>
        <w:t xml:space="preserve">reactive strategies and responses to LA policies and decisions, and creating or emphasising disincentives, when arrangements are disagreeable.  </w:t>
      </w:r>
    </w:p>
    <w:p w14:paraId="2EE56E93" w14:textId="7D4734D5" w:rsidR="00E44152" w:rsidRPr="0017386F" w:rsidRDefault="00E44152" w:rsidP="00E44152">
      <w:pPr>
        <w:jc w:val="both"/>
        <w:rPr>
          <w:rFonts w:cstheme="minorHAnsi"/>
          <w:b/>
          <w:bCs/>
          <w:color w:val="000000" w:themeColor="text1"/>
        </w:rPr>
      </w:pPr>
      <w:r w:rsidRPr="0017386F">
        <w:rPr>
          <w:rFonts w:cstheme="minorHAnsi"/>
          <w:b/>
          <w:bCs/>
          <w:color w:val="000000" w:themeColor="text1"/>
        </w:rPr>
        <w:t>Category 2: Involvement through intermediaries (third part</w:t>
      </w:r>
      <w:r w:rsidR="00AA0A83">
        <w:rPr>
          <w:rFonts w:cstheme="minorHAnsi"/>
          <w:b/>
          <w:bCs/>
          <w:color w:val="000000" w:themeColor="text1"/>
        </w:rPr>
        <w:t>ies</w:t>
      </w:r>
      <w:r w:rsidRPr="0017386F">
        <w:rPr>
          <w:rFonts w:cstheme="minorHAnsi"/>
          <w:b/>
          <w:bCs/>
          <w:color w:val="000000" w:themeColor="text1"/>
        </w:rPr>
        <w:t>)</w:t>
      </w:r>
    </w:p>
    <w:p w14:paraId="7F1E4F8B" w14:textId="059F6ED4" w:rsidR="00E44152" w:rsidRPr="00D060E2" w:rsidRDefault="00E44152" w:rsidP="00D060E2">
      <w:pPr>
        <w:jc w:val="both"/>
        <w:rPr>
          <w:color w:val="000000" w:themeColor="text1"/>
        </w:rPr>
      </w:pPr>
      <w:r w:rsidRPr="0017386F">
        <w:rPr>
          <w:color w:val="000000" w:themeColor="text1"/>
        </w:rPr>
        <w:t xml:space="preserve">The second category of interactions between </w:t>
      </w:r>
      <w:r w:rsidR="009942BA">
        <w:rPr>
          <w:color w:val="000000" w:themeColor="text1"/>
        </w:rPr>
        <w:t xml:space="preserve">HCIs </w:t>
      </w:r>
      <w:r w:rsidRPr="0017386F">
        <w:rPr>
          <w:color w:val="000000" w:themeColor="text1"/>
        </w:rPr>
        <w:t>and LAs specifically involve</w:t>
      </w:r>
      <w:r w:rsidR="00865E0C">
        <w:rPr>
          <w:color w:val="000000" w:themeColor="text1"/>
        </w:rPr>
        <w:t>s</w:t>
      </w:r>
      <w:r w:rsidRPr="0017386F">
        <w:rPr>
          <w:color w:val="000000" w:themeColor="text1"/>
        </w:rPr>
        <w:t xml:space="preserve"> intermediaries</w:t>
      </w:r>
      <w:r w:rsidR="0028075F">
        <w:rPr>
          <w:color w:val="000000" w:themeColor="text1"/>
        </w:rPr>
        <w:t xml:space="preserve"> to which we </w:t>
      </w:r>
      <w:r w:rsidR="00953723">
        <w:rPr>
          <w:color w:val="000000" w:themeColor="text1"/>
        </w:rPr>
        <w:t xml:space="preserve">identified </w:t>
      </w:r>
      <w:r w:rsidR="0028075F">
        <w:rPr>
          <w:color w:val="000000" w:themeColor="text1"/>
        </w:rPr>
        <w:t>the same three themes</w:t>
      </w:r>
      <w:r w:rsidRPr="0017386F">
        <w:rPr>
          <w:color w:val="000000" w:themeColor="text1"/>
        </w:rPr>
        <w:t xml:space="preserve">. </w:t>
      </w:r>
      <w:r w:rsidR="00B16B14">
        <w:rPr>
          <w:color w:val="000000" w:themeColor="text1"/>
        </w:rPr>
        <w:t>The first theme,</w:t>
      </w:r>
      <w:r w:rsidR="006D419E">
        <w:rPr>
          <w:color w:val="000000" w:themeColor="text1"/>
        </w:rPr>
        <w:t xml:space="preserve"> </w:t>
      </w:r>
      <w:r w:rsidR="00EE4AC5">
        <w:rPr>
          <w:color w:val="000000" w:themeColor="text1"/>
        </w:rPr>
        <w:t>c</w:t>
      </w:r>
      <w:r w:rsidRPr="0017386F">
        <w:rPr>
          <w:color w:val="000000" w:themeColor="text1"/>
        </w:rPr>
        <w:t>ontractual interactions</w:t>
      </w:r>
      <w:r w:rsidR="00B16B14">
        <w:rPr>
          <w:color w:val="000000" w:themeColor="text1"/>
        </w:rPr>
        <w:t>,</w:t>
      </w:r>
      <w:r w:rsidRPr="0017386F">
        <w:rPr>
          <w:color w:val="000000" w:themeColor="text1"/>
        </w:rPr>
        <w:t xml:space="preserve"> again mostly involve monetary exchange or shared financial interests, such as funding a LA project or services, co-branding in the </w:t>
      </w:r>
      <w:r w:rsidR="00FE68C2">
        <w:rPr>
          <w:color w:val="000000" w:themeColor="text1"/>
        </w:rPr>
        <w:t>LA jurisdiction</w:t>
      </w:r>
      <w:r w:rsidRPr="0017386F">
        <w:rPr>
          <w:color w:val="000000" w:themeColor="text1"/>
        </w:rPr>
        <w:t xml:space="preserve">, or cause-related marketing. </w:t>
      </w:r>
      <w:r w:rsidR="00EE4AC5">
        <w:rPr>
          <w:color w:val="000000" w:themeColor="text1"/>
        </w:rPr>
        <w:t>The second theme, v</w:t>
      </w:r>
      <w:r w:rsidRPr="0017386F">
        <w:rPr>
          <w:color w:val="000000" w:themeColor="text1"/>
        </w:rPr>
        <w:t>oluntary interactions</w:t>
      </w:r>
      <w:r w:rsidR="00EE4AC5">
        <w:rPr>
          <w:color w:val="000000" w:themeColor="text1"/>
        </w:rPr>
        <w:t>,</w:t>
      </w:r>
      <w:r w:rsidRPr="0017386F">
        <w:rPr>
          <w:color w:val="000000" w:themeColor="text1"/>
        </w:rPr>
        <w:t xml:space="preserve"> include industry strategic support of local NGOs such as small-medium enterprises and charities, through partnering, funding, and joint projects. </w:t>
      </w:r>
      <w:r w:rsidR="00F03B24">
        <w:rPr>
          <w:color w:val="000000" w:themeColor="text1"/>
        </w:rPr>
        <w:t>T</w:t>
      </w:r>
      <w:r w:rsidRPr="0017386F">
        <w:rPr>
          <w:color w:val="000000" w:themeColor="text1"/>
        </w:rPr>
        <w:t xml:space="preserve">hese interactions </w:t>
      </w:r>
      <w:r w:rsidR="00F03B24">
        <w:rPr>
          <w:color w:val="000000" w:themeColor="text1"/>
        </w:rPr>
        <w:t xml:space="preserve">often involve </w:t>
      </w:r>
      <w:r w:rsidRPr="0017386F">
        <w:rPr>
          <w:color w:val="000000" w:themeColor="text1"/>
        </w:rPr>
        <w:t>supporting local community ‘worthy causes’</w:t>
      </w:r>
      <w:r w:rsidR="00797D12">
        <w:rPr>
          <w:color w:val="000000" w:themeColor="text1"/>
        </w:rPr>
        <w:t>, claim to act in the interests of communities,</w:t>
      </w:r>
      <w:r w:rsidR="002D65E0">
        <w:rPr>
          <w:color w:val="000000" w:themeColor="text1"/>
        </w:rPr>
        <w:t xml:space="preserve"> </w:t>
      </w:r>
      <w:r w:rsidRPr="0017386F">
        <w:rPr>
          <w:color w:val="000000" w:themeColor="text1"/>
        </w:rPr>
        <w:t>and offer solutions for LA priorities and community needs. For example,</w:t>
      </w:r>
      <w:r w:rsidR="00CB600F">
        <w:rPr>
          <w:color w:val="000000" w:themeColor="text1"/>
        </w:rPr>
        <w:t xml:space="preserve"> during</w:t>
      </w:r>
      <w:r w:rsidRPr="0017386F">
        <w:rPr>
          <w:color w:val="000000" w:themeColor="text1"/>
        </w:rPr>
        <w:t xml:space="preserve"> the Coronavirus (COVID-19) pandemic</w:t>
      </w:r>
      <w:r w:rsidR="00CB600F">
        <w:rPr>
          <w:color w:val="000000" w:themeColor="text1"/>
        </w:rPr>
        <w:t xml:space="preserve">, </w:t>
      </w:r>
      <w:r w:rsidR="00AD14D4">
        <w:rPr>
          <w:color w:val="000000" w:themeColor="text1"/>
        </w:rPr>
        <w:t>larger industries</w:t>
      </w:r>
      <w:r w:rsidR="00CB600F">
        <w:rPr>
          <w:color w:val="000000" w:themeColor="text1"/>
        </w:rPr>
        <w:t xml:space="preserve"> provided funding</w:t>
      </w:r>
      <w:r w:rsidRPr="0017386F">
        <w:rPr>
          <w:color w:val="000000" w:themeColor="text1"/>
        </w:rPr>
        <w:t xml:space="preserve"> smaller local businesses struggling with reduced demand </w:t>
      </w:r>
      <w:r w:rsidR="00F74ED5" w:rsidRPr="00BB53B6">
        <w:t>[</w:t>
      </w:r>
      <w:r w:rsidR="008C4C4E">
        <w:t>81</w:t>
      </w:r>
      <w:r w:rsidR="00F74ED5" w:rsidRPr="00BB53B6">
        <w:t>]</w:t>
      </w:r>
      <w:r w:rsidRPr="00BB53B6">
        <w:t xml:space="preserve">. </w:t>
      </w:r>
      <w:r w:rsidRPr="0017386F">
        <w:rPr>
          <w:color w:val="000000" w:themeColor="text1"/>
        </w:rPr>
        <w:t xml:space="preserve">The third theme, </w:t>
      </w:r>
      <w:r w:rsidR="00B65544">
        <w:rPr>
          <w:color w:val="000000" w:themeColor="text1"/>
        </w:rPr>
        <w:t>other engagement strategies</w:t>
      </w:r>
      <w:r w:rsidRPr="0017386F">
        <w:rPr>
          <w:color w:val="000000" w:themeColor="text1"/>
        </w:rPr>
        <w:t xml:space="preserve">, closely aligns HCIs with key stakeholders in the local area, </w:t>
      </w:r>
      <w:r w:rsidRPr="0017386F">
        <w:rPr>
          <w:color w:val="000000" w:themeColor="text1"/>
        </w:rPr>
        <w:lastRenderedPageBreak/>
        <w:t xml:space="preserve">creating </w:t>
      </w:r>
      <w:r w:rsidR="002D65E0">
        <w:rPr>
          <w:color w:val="000000" w:themeColor="text1"/>
        </w:rPr>
        <w:t>HCI</w:t>
      </w:r>
      <w:r w:rsidR="00C66BD6">
        <w:rPr>
          <w:color w:val="000000" w:themeColor="text1"/>
        </w:rPr>
        <w:t xml:space="preserve"> </w:t>
      </w:r>
      <w:r w:rsidRPr="0017386F">
        <w:rPr>
          <w:color w:val="000000" w:themeColor="text1"/>
        </w:rPr>
        <w:t xml:space="preserve">support </w:t>
      </w:r>
      <w:r w:rsidR="00AD14D4">
        <w:rPr>
          <w:color w:val="000000" w:themeColor="text1"/>
        </w:rPr>
        <w:t xml:space="preserve">and </w:t>
      </w:r>
      <w:r w:rsidRPr="0017386F">
        <w:rPr>
          <w:color w:val="000000" w:themeColor="text1"/>
        </w:rPr>
        <w:t>networks, and broadening the interaction landscape. For example, relationships with local key opinion leaders, business links such as financial ties across industry (e.g. investments</w:t>
      </w:r>
      <w:r w:rsidR="00CA50A8">
        <w:rPr>
          <w:color w:val="000000" w:themeColor="text1"/>
        </w:rPr>
        <w:t xml:space="preserve"> and</w:t>
      </w:r>
      <w:r w:rsidRPr="0017386F">
        <w:rPr>
          <w:color w:val="000000" w:themeColor="text1"/>
        </w:rPr>
        <w:t xml:space="preserve"> shares), or other interlocking features, such as shared directorates, public relations (PR), legal or marketing firms across industry. In addition, the media forms a vital platform as an interface between industry, LA, and the wider public, providing a mode of indirect communication, through local media, PR associations, journalists, and bloggers, providing access to local councillors, stakeholders, or specific communities.</w:t>
      </w:r>
    </w:p>
    <w:p w14:paraId="1D72DF7B" w14:textId="29D257D4" w:rsidR="00D060E2" w:rsidRPr="0017386F" w:rsidRDefault="00D060E2" w:rsidP="00D060E2">
      <w:pPr>
        <w:jc w:val="both"/>
        <w:rPr>
          <w:rFonts w:cstheme="minorHAnsi"/>
          <w:b/>
          <w:bCs/>
          <w:color w:val="000000" w:themeColor="text1"/>
        </w:rPr>
      </w:pPr>
      <w:r w:rsidRPr="0017386F">
        <w:rPr>
          <w:rFonts w:cstheme="minorHAnsi"/>
          <w:b/>
          <w:bCs/>
          <w:color w:val="000000" w:themeColor="text1"/>
        </w:rPr>
        <w:t xml:space="preserve">Category 3: Involvement through the </w:t>
      </w:r>
      <w:r w:rsidR="00E909DF">
        <w:rPr>
          <w:rFonts w:cstheme="minorHAnsi"/>
          <w:b/>
          <w:bCs/>
          <w:color w:val="000000" w:themeColor="text1"/>
        </w:rPr>
        <w:t xml:space="preserve">local </w:t>
      </w:r>
      <w:r w:rsidRPr="0017386F">
        <w:rPr>
          <w:rFonts w:cstheme="minorHAnsi"/>
          <w:b/>
          <w:bCs/>
          <w:color w:val="000000" w:themeColor="text1"/>
        </w:rPr>
        <w:t>knowledge space</w:t>
      </w:r>
    </w:p>
    <w:p w14:paraId="1B24326F" w14:textId="5BDE8749" w:rsidR="00261C71" w:rsidRDefault="00E81665" w:rsidP="00A74979">
      <w:pPr>
        <w:jc w:val="both"/>
        <w:sectPr w:rsidR="00261C71">
          <w:headerReference w:type="default" r:id="rId8"/>
          <w:pgSz w:w="11906" w:h="16838"/>
          <w:pgMar w:top="1440" w:right="1440" w:bottom="1440" w:left="1440" w:header="708" w:footer="708" w:gutter="0"/>
          <w:cols w:space="708"/>
          <w:docGrid w:linePitch="360"/>
        </w:sectPr>
      </w:pPr>
      <w:r>
        <w:rPr>
          <w:rFonts w:cstheme="minorHAnsi"/>
          <w:color w:val="000000" w:themeColor="text1"/>
        </w:rPr>
        <w:t>I</w:t>
      </w:r>
      <w:r w:rsidR="000E7D61">
        <w:rPr>
          <w:rFonts w:cstheme="minorHAnsi"/>
          <w:color w:val="000000" w:themeColor="text1"/>
        </w:rPr>
        <w:t>nteractions most commonly identified</w:t>
      </w:r>
      <w:r w:rsidR="00D060E2" w:rsidRPr="0017386F">
        <w:rPr>
          <w:rFonts w:cstheme="minorHAnsi"/>
          <w:color w:val="000000" w:themeColor="text1"/>
        </w:rPr>
        <w:t xml:space="preserve"> </w:t>
      </w:r>
      <w:r w:rsidR="000E7D61">
        <w:rPr>
          <w:rFonts w:cstheme="minorHAnsi"/>
          <w:color w:val="000000" w:themeColor="text1"/>
        </w:rPr>
        <w:t xml:space="preserve">from our searches </w:t>
      </w:r>
      <w:r w:rsidR="00D060E2">
        <w:rPr>
          <w:rFonts w:cstheme="minorHAnsi"/>
          <w:color w:val="000000" w:themeColor="text1"/>
        </w:rPr>
        <w:t>are</w:t>
      </w:r>
      <w:r w:rsidR="00D060E2" w:rsidRPr="0017386F">
        <w:rPr>
          <w:rFonts w:cstheme="minorHAnsi"/>
          <w:color w:val="000000" w:themeColor="text1"/>
        </w:rPr>
        <w:t xml:space="preserve"> those involving the </w:t>
      </w:r>
      <w:r w:rsidR="00E909DF">
        <w:rPr>
          <w:rFonts w:cstheme="minorHAnsi"/>
          <w:color w:val="000000" w:themeColor="text1"/>
        </w:rPr>
        <w:t xml:space="preserve">local </w:t>
      </w:r>
      <w:r w:rsidR="00D060E2" w:rsidRPr="0017386F">
        <w:rPr>
          <w:rFonts w:cstheme="minorHAnsi"/>
          <w:color w:val="000000" w:themeColor="text1"/>
        </w:rPr>
        <w:t>knowledge space</w:t>
      </w:r>
      <w:r w:rsidR="00BB0CC8">
        <w:rPr>
          <w:rFonts w:cstheme="minorHAnsi"/>
          <w:color w:val="000000" w:themeColor="text1"/>
        </w:rPr>
        <w:t xml:space="preserve"> (the local area in which the LA has jurisdiction)</w:t>
      </w:r>
      <w:r w:rsidR="00D060E2" w:rsidRPr="0017386F">
        <w:rPr>
          <w:rFonts w:cstheme="minorHAnsi"/>
          <w:color w:val="000000" w:themeColor="text1"/>
        </w:rPr>
        <w:t>, through influencing local health messag</w:t>
      </w:r>
      <w:r w:rsidR="000450D2">
        <w:rPr>
          <w:rFonts w:cstheme="minorHAnsi"/>
          <w:color w:val="000000" w:themeColor="text1"/>
        </w:rPr>
        <w:t>es</w:t>
      </w:r>
      <w:r w:rsidR="00D060E2" w:rsidRPr="0017386F">
        <w:rPr>
          <w:rFonts w:cstheme="minorHAnsi"/>
          <w:color w:val="000000" w:themeColor="text1"/>
        </w:rPr>
        <w:t>, challenging the local public health narrative, and CS</w:t>
      </w:r>
      <w:r w:rsidR="00D060E2">
        <w:rPr>
          <w:rFonts w:cstheme="minorHAnsi"/>
          <w:color w:val="000000" w:themeColor="text1"/>
        </w:rPr>
        <w:t>R</w:t>
      </w:r>
      <w:r w:rsidR="00216EB0">
        <w:rPr>
          <w:rFonts w:cstheme="minorHAnsi"/>
          <w:color w:val="000000" w:themeColor="text1"/>
        </w:rPr>
        <w:t xml:space="preserve"> strategies</w:t>
      </w:r>
      <w:r w:rsidR="00D060E2">
        <w:rPr>
          <w:rFonts w:cstheme="minorHAnsi"/>
          <w:color w:val="000000" w:themeColor="text1"/>
        </w:rPr>
        <w:t>.</w:t>
      </w:r>
      <w:r w:rsidR="008D6963">
        <w:rPr>
          <w:rFonts w:cstheme="minorHAnsi"/>
          <w:color w:val="000000" w:themeColor="text1"/>
        </w:rPr>
        <w:t xml:space="preserve"> It is important to acknowledge that the wider, </w:t>
      </w:r>
      <w:r w:rsidR="0053709C">
        <w:rPr>
          <w:rFonts w:cstheme="minorHAnsi"/>
          <w:color w:val="000000" w:themeColor="text1"/>
        </w:rPr>
        <w:t>national</w:t>
      </w:r>
      <w:r w:rsidR="008D6963">
        <w:rPr>
          <w:rFonts w:cstheme="minorHAnsi"/>
          <w:color w:val="000000" w:themeColor="text1"/>
        </w:rPr>
        <w:t>-level knowledge space also influences the local knowledge space.</w:t>
      </w:r>
      <w:r w:rsidR="00D060E2" w:rsidRPr="0017386F">
        <w:rPr>
          <w:rFonts w:cstheme="minorHAnsi"/>
          <w:color w:val="000000" w:themeColor="text1"/>
        </w:rPr>
        <w:t xml:space="preserve"> First, </w:t>
      </w:r>
      <w:r w:rsidR="007F4866">
        <w:rPr>
          <w:rFonts w:cstheme="minorHAnsi"/>
          <w:color w:val="000000" w:themeColor="text1"/>
        </w:rPr>
        <w:t>HCIs</w:t>
      </w:r>
      <w:r w:rsidR="00D060E2" w:rsidRPr="0017386F">
        <w:rPr>
          <w:rFonts w:cstheme="minorHAnsi"/>
          <w:color w:val="000000" w:themeColor="text1"/>
        </w:rPr>
        <w:t xml:space="preserve"> interact with public health messages which influence the local knowledge space, for example, funding research activities</w:t>
      </w:r>
      <w:r w:rsidR="00A74979">
        <w:rPr>
          <w:rFonts w:cstheme="minorHAnsi"/>
          <w:color w:val="000000" w:themeColor="text1"/>
        </w:rPr>
        <w:t xml:space="preserve"> and </w:t>
      </w:r>
      <w:r w:rsidR="00E40E42">
        <w:rPr>
          <w:rFonts w:cstheme="minorHAnsi"/>
          <w:color w:val="000000" w:themeColor="text1"/>
        </w:rPr>
        <w:t>securing</w:t>
      </w:r>
      <w:r w:rsidR="00D060E2" w:rsidRPr="0017386F">
        <w:rPr>
          <w:rFonts w:cstheme="minorHAnsi"/>
          <w:color w:val="000000" w:themeColor="text1"/>
        </w:rPr>
        <w:t xml:space="preserve"> relationships with key </w:t>
      </w:r>
      <w:r w:rsidR="00953723" w:rsidRPr="004F3CBD">
        <w:rPr>
          <w:rFonts w:cstheme="minorHAnsi"/>
        </w:rPr>
        <w:t>researchers,</w:t>
      </w:r>
      <w:r w:rsidR="00A74979">
        <w:rPr>
          <w:rFonts w:cstheme="minorHAnsi"/>
        </w:rPr>
        <w:t xml:space="preserve"> to undermine, reframe </w:t>
      </w:r>
      <w:r w:rsidR="00D060E2" w:rsidRPr="004F3CBD">
        <w:rPr>
          <w:rFonts w:cstheme="minorHAnsi"/>
        </w:rPr>
        <w:t>and promot</w:t>
      </w:r>
      <w:r w:rsidR="00A74979">
        <w:rPr>
          <w:rFonts w:cstheme="minorHAnsi"/>
        </w:rPr>
        <w:t xml:space="preserve">e </w:t>
      </w:r>
      <w:r w:rsidR="00D060E2" w:rsidRPr="004F3CBD">
        <w:rPr>
          <w:rFonts w:cstheme="minorHAnsi"/>
        </w:rPr>
        <w:t xml:space="preserve">messages </w:t>
      </w:r>
      <w:r w:rsidR="006078F8">
        <w:rPr>
          <w:rFonts w:cstheme="minorHAnsi"/>
        </w:rPr>
        <w:t>reflecting</w:t>
      </w:r>
      <w:r w:rsidR="00D060E2" w:rsidRPr="004F3CBD">
        <w:rPr>
          <w:rFonts w:cstheme="minorHAnsi"/>
        </w:rPr>
        <w:t xml:space="preserve"> their goals and </w:t>
      </w:r>
      <w:r w:rsidR="00E9179D" w:rsidRPr="004F3CBD">
        <w:rPr>
          <w:rFonts w:cstheme="minorHAnsi"/>
        </w:rPr>
        <w:t>positionality. Other</w:t>
      </w:r>
      <w:r w:rsidR="00D060E2" w:rsidRPr="004F3CBD">
        <w:rPr>
          <w:rFonts w:cstheme="minorHAnsi"/>
        </w:rPr>
        <w:t xml:space="preserve"> interactions include undermining key spokespersons, reframing LA intentions, and creating or emphasising antagonisms. </w:t>
      </w:r>
      <w:r w:rsidR="00A453DE" w:rsidRPr="004F3CBD">
        <w:rPr>
          <w:rFonts w:cstheme="minorHAnsi"/>
        </w:rPr>
        <w:t xml:space="preserve">HCI </w:t>
      </w:r>
      <w:r w:rsidR="00D060E2" w:rsidRPr="004F3CBD">
        <w:rPr>
          <w:rFonts w:cstheme="minorHAnsi"/>
        </w:rPr>
        <w:t xml:space="preserve">CSR </w:t>
      </w:r>
      <w:r w:rsidR="00216EB0" w:rsidRPr="004F3CBD">
        <w:rPr>
          <w:rFonts w:cstheme="minorHAnsi"/>
        </w:rPr>
        <w:t xml:space="preserve">strategies </w:t>
      </w:r>
      <w:r w:rsidR="00D060E2" w:rsidRPr="004F3CBD">
        <w:rPr>
          <w:rFonts w:cstheme="minorHAnsi"/>
        </w:rPr>
        <w:t xml:space="preserve">could serve as an interaction interface through LA promotion of CSR, and CSR aligned with LA goals. Interactions could </w:t>
      </w:r>
      <w:r w:rsidR="00DD3937" w:rsidRPr="004F3CBD">
        <w:rPr>
          <w:rFonts w:cstheme="minorHAnsi"/>
        </w:rPr>
        <w:t xml:space="preserve">include </w:t>
      </w:r>
      <w:r w:rsidR="00D060E2" w:rsidRPr="004F3CBD">
        <w:rPr>
          <w:rFonts w:cstheme="minorHAnsi"/>
        </w:rPr>
        <w:t xml:space="preserve">the local economy (business rates, taxes, rents), </w:t>
      </w:r>
      <w:r w:rsidR="00DD3937" w:rsidRPr="004F3CBD">
        <w:rPr>
          <w:rFonts w:cstheme="minorHAnsi"/>
        </w:rPr>
        <w:t>employment opportunities</w:t>
      </w:r>
      <w:r w:rsidR="00D060E2" w:rsidRPr="004F3CBD">
        <w:rPr>
          <w:rFonts w:cstheme="minorHAnsi"/>
        </w:rPr>
        <w:t xml:space="preserve"> in the locality (e.g. suppliers, distribution, construction), or</w:t>
      </w:r>
      <w:r w:rsidR="00DD5488">
        <w:rPr>
          <w:rFonts w:cstheme="minorHAnsi"/>
        </w:rPr>
        <w:t xml:space="preserve"> the</w:t>
      </w:r>
      <w:r w:rsidR="00D060E2" w:rsidRPr="004F3CBD">
        <w:rPr>
          <w:rFonts w:cstheme="minorHAnsi"/>
        </w:rPr>
        <w:t xml:space="preserve"> </w:t>
      </w:r>
      <w:r w:rsidR="00920CCB" w:rsidRPr="004F3CBD">
        <w:rPr>
          <w:rFonts w:cstheme="minorHAnsi"/>
        </w:rPr>
        <w:t xml:space="preserve">local community (support, sponsorship, building/developing) amongst a plethora of other interactions involving local areas, the local working and living environment, extending from local schools to environmental initiatives (e.g. sustainability, pollution </w:t>
      </w:r>
      <w:r w:rsidR="00920CCB" w:rsidRPr="0017386F">
        <w:rPr>
          <w:rFonts w:cstheme="minorHAnsi"/>
          <w:color w:val="000000" w:themeColor="text1"/>
        </w:rPr>
        <w:t>abatement).</w:t>
      </w:r>
      <w:r w:rsidR="00DD5488">
        <w:rPr>
          <w:rFonts w:cstheme="minorHAnsi"/>
          <w:color w:val="000000" w:themeColor="text1"/>
        </w:rPr>
        <w:t xml:space="preserve"> These CSR interactions </w:t>
      </w:r>
      <w:r w:rsidR="002D65E0">
        <w:rPr>
          <w:rFonts w:cstheme="minorHAnsi"/>
          <w:color w:val="000000" w:themeColor="text1"/>
        </w:rPr>
        <w:t xml:space="preserve">form part of </w:t>
      </w:r>
      <w:r w:rsidR="00DD5488">
        <w:rPr>
          <w:rFonts w:cstheme="minorHAnsi"/>
          <w:color w:val="000000" w:themeColor="text1"/>
        </w:rPr>
        <w:t xml:space="preserve">a strategy for HCIs to </w:t>
      </w:r>
      <w:r w:rsidR="00FA66D2">
        <w:rPr>
          <w:rFonts w:cstheme="minorHAnsi"/>
          <w:color w:val="000000" w:themeColor="text1"/>
        </w:rPr>
        <w:t>present themselves as acting within public interests</w:t>
      </w:r>
      <w:r w:rsidR="00261C71">
        <w:rPr>
          <w:rFonts w:cstheme="minorHAnsi"/>
          <w:color w:val="000000" w:themeColor="text1"/>
        </w:rPr>
        <w:t xml:space="preserve">, to shift the blame, whitewash tarnished reputations, and enhance the </w:t>
      </w:r>
      <w:r w:rsidR="00797D12">
        <w:rPr>
          <w:rFonts w:cstheme="minorHAnsi"/>
          <w:color w:val="000000" w:themeColor="text1"/>
        </w:rPr>
        <w:t>normalisation</w:t>
      </w:r>
      <w:r w:rsidR="00261C71">
        <w:rPr>
          <w:rFonts w:cstheme="minorHAnsi"/>
          <w:color w:val="000000" w:themeColor="text1"/>
        </w:rPr>
        <w:t xml:space="preserve"> of products</w:t>
      </w:r>
      <w:r w:rsidR="00797D12">
        <w:rPr>
          <w:rFonts w:cstheme="minorHAnsi"/>
          <w:color w:val="000000" w:themeColor="text1"/>
        </w:rPr>
        <w:t xml:space="preserve"> known to be harmful to health</w:t>
      </w:r>
      <w:r w:rsidR="00261C71">
        <w:rPr>
          <w:rFonts w:cstheme="minorHAnsi"/>
          <w:color w:val="000000" w:themeColor="text1"/>
        </w:rPr>
        <w:t xml:space="preserve">. </w:t>
      </w:r>
    </w:p>
    <w:tbl>
      <w:tblPr>
        <w:tblStyle w:val="PlainTable1"/>
        <w:tblW w:w="14425" w:type="dxa"/>
        <w:tblLook w:val="04A0" w:firstRow="1" w:lastRow="0" w:firstColumn="1" w:lastColumn="0" w:noHBand="0" w:noVBand="1"/>
      </w:tblPr>
      <w:tblGrid>
        <w:gridCol w:w="1508"/>
        <w:gridCol w:w="7956"/>
        <w:gridCol w:w="4961"/>
      </w:tblGrid>
      <w:tr w:rsidR="001A3330" w:rsidRPr="003C34EB" w14:paraId="0B80EBEA" w14:textId="77777777" w:rsidTr="00BB23E7">
        <w:trPr>
          <w:cnfStyle w:val="100000000000" w:firstRow="1" w:lastRow="0" w:firstColumn="0" w:lastColumn="0" w:oddVBand="0" w:evenVBand="0" w:oddHBand="0"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14425" w:type="dxa"/>
            <w:gridSpan w:val="3"/>
            <w:tcBorders>
              <w:top w:val="nil"/>
              <w:left w:val="nil"/>
              <w:right w:val="nil"/>
            </w:tcBorders>
          </w:tcPr>
          <w:p w14:paraId="5E916949" w14:textId="228F103D" w:rsidR="001A3330" w:rsidRPr="00BB23E7" w:rsidRDefault="001A3330" w:rsidP="00216EB0">
            <w:pPr>
              <w:spacing w:line="276" w:lineRule="auto"/>
              <w:rPr>
                <w:b w:val="0"/>
                <w:bCs w:val="0"/>
              </w:rPr>
            </w:pPr>
            <w:bookmarkStart w:id="6" w:name="_Hlk118447664"/>
            <w:r w:rsidRPr="00BB23E7">
              <w:lastRenderedPageBreak/>
              <w:t>Table 2.</w:t>
            </w:r>
            <w:r w:rsidRPr="00BB23E7">
              <w:rPr>
                <w:b w:val="0"/>
                <w:bCs w:val="0"/>
              </w:rPr>
              <w:t xml:space="preserve"> A typology of potential interactions between harmful commodity industries</w:t>
            </w:r>
            <w:r w:rsidR="000B7B24" w:rsidRPr="00BB23E7">
              <w:rPr>
                <w:b w:val="0"/>
                <w:bCs w:val="0"/>
              </w:rPr>
              <w:t xml:space="preserve"> (HCIs)</w:t>
            </w:r>
            <w:r w:rsidRPr="00BB23E7">
              <w:rPr>
                <w:b w:val="0"/>
                <w:bCs w:val="0"/>
              </w:rPr>
              <w:t xml:space="preserve"> and </w:t>
            </w:r>
            <w:r w:rsidR="00216EB0" w:rsidRPr="00BB23E7">
              <w:rPr>
                <w:b w:val="0"/>
                <w:bCs w:val="0"/>
              </w:rPr>
              <w:t xml:space="preserve">local authorities </w:t>
            </w:r>
            <w:r w:rsidRPr="00BB23E7">
              <w:rPr>
                <w:b w:val="0"/>
                <w:bCs w:val="0"/>
              </w:rPr>
              <w:t>(LA</w:t>
            </w:r>
            <w:r w:rsidR="007F4866" w:rsidRPr="00BB23E7">
              <w:rPr>
                <w:b w:val="0"/>
                <w:bCs w:val="0"/>
              </w:rPr>
              <w:t>s</w:t>
            </w:r>
            <w:r w:rsidRPr="00BB23E7">
              <w:rPr>
                <w:b w:val="0"/>
                <w:bCs w:val="0"/>
              </w:rPr>
              <w:t>) with illustrative examples</w:t>
            </w:r>
            <w:r w:rsidR="007F4866" w:rsidRPr="00BB23E7">
              <w:rPr>
                <w:b w:val="0"/>
                <w:bCs w:val="0"/>
              </w:rPr>
              <w:t xml:space="preserve"> in the English context</w:t>
            </w:r>
            <w:r w:rsidRPr="00BB23E7">
              <w:rPr>
                <w:b w:val="0"/>
                <w:bCs w:val="0"/>
              </w:rPr>
              <w:t>.</w:t>
            </w:r>
          </w:p>
        </w:tc>
      </w:tr>
      <w:tr w:rsidR="001A3330" w14:paraId="6D81E9B4" w14:textId="77777777" w:rsidTr="00BB2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14:paraId="6BE7340A" w14:textId="77777777" w:rsidR="001A3330" w:rsidRDefault="001A3330" w:rsidP="00EE4AC5">
            <w:pPr>
              <w:spacing w:line="240" w:lineRule="auto"/>
              <w:jc w:val="center"/>
              <w:rPr>
                <w:rFonts w:cstheme="minorHAnsi"/>
                <w:b w:val="0"/>
                <w:bCs w:val="0"/>
                <w:i/>
                <w:iCs/>
                <w:sz w:val="20"/>
                <w:szCs w:val="20"/>
              </w:rPr>
            </w:pPr>
            <w:r>
              <w:rPr>
                <w:rFonts w:cstheme="minorHAnsi"/>
                <w:i/>
                <w:iCs/>
                <w:sz w:val="20"/>
                <w:szCs w:val="20"/>
              </w:rPr>
              <w:t>Themes</w:t>
            </w:r>
          </w:p>
        </w:tc>
        <w:tc>
          <w:tcPr>
            <w:tcW w:w="7956" w:type="dxa"/>
          </w:tcPr>
          <w:p w14:paraId="1FC46124" w14:textId="77777777" w:rsidR="001A3330" w:rsidRDefault="001A3330" w:rsidP="00EE4AC5">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20"/>
                <w:szCs w:val="20"/>
              </w:rPr>
            </w:pPr>
            <w:r w:rsidRPr="003C34EB">
              <w:rPr>
                <w:rFonts w:cstheme="minorHAnsi"/>
                <w:b/>
                <w:bCs/>
                <w:i/>
                <w:iCs/>
                <w:sz w:val="20"/>
                <w:szCs w:val="20"/>
              </w:rPr>
              <w:t>Interactions</w:t>
            </w:r>
          </w:p>
        </w:tc>
        <w:tc>
          <w:tcPr>
            <w:tcW w:w="4961" w:type="dxa"/>
          </w:tcPr>
          <w:p w14:paraId="4BCF5F25" w14:textId="77777777" w:rsidR="001A3330" w:rsidRDefault="001A3330" w:rsidP="00EE4AC5">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20"/>
                <w:szCs w:val="20"/>
              </w:rPr>
            </w:pPr>
            <w:r>
              <w:rPr>
                <w:rFonts w:cstheme="minorHAnsi"/>
                <w:b/>
                <w:bCs/>
                <w:i/>
                <w:iCs/>
                <w:sz w:val="20"/>
                <w:szCs w:val="20"/>
              </w:rPr>
              <w:t>Examples</w:t>
            </w:r>
          </w:p>
        </w:tc>
      </w:tr>
      <w:tr w:rsidR="001A3330" w:rsidRPr="003C34EB" w14:paraId="1E42F168" w14:textId="77777777" w:rsidTr="00BB23E7">
        <w:tc>
          <w:tcPr>
            <w:cnfStyle w:val="001000000000" w:firstRow="0" w:lastRow="0" w:firstColumn="1" w:lastColumn="0" w:oddVBand="0" w:evenVBand="0" w:oddHBand="0" w:evenHBand="0" w:firstRowFirstColumn="0" w:firstRowLastColumn="0" w:lastRowFirstColumn="0" w:lastRowLastColumn="0"/>
            <w:tcW w:w="14425" w:type="dxa"/>
            <w:gridSpan w:val="3"/>
          </w:tcPr>
          <w:p w14:paraId="740596EE" w14:textId="77777777" w:rsidR="001A3330" w:rsidRDefault="001A3330" w:rsidP="00BB23E7">
            <w:pPr>
              <w:spacing w:before="240" w:line="240" w:lineRule="auto"/>
              <w:rPr>
                <w:rFonts w:cstheme="minorHAnsi"/>
                <w:b w:val="0"/>
                <w:bCs w:val="0"/>
                <w:i/>
                <w:iCs/>
                <w:sz w:val="20"/>
                <w:szCs w:val="20"/>
              </w:rPr>
            </w:pPr>
            <w:r>
              <w:rPr>
                <w:rFonts w:cstheme="minorHAnsi"/>
                <w:i/>
                <w:iCs/>
                <w:sz w:val="20"/>
                <w:szCs w:val="20"/>
              </w:rPr>
              <w:t>Category 1: Involvement with the LA (governmental)</w:t>
            </w:r>
          </w:p>
          <w:p w14:paraId="2BEF815F" w14:textId="4EE9A256" w:rsidR="00BB23E7" w:rsidRDefault="00BB23E7" w:rsidP="00EE4AC5">
            <w:pPr>
              <w:spacing w:line="240" w:lineRule="auto"/>
              <w:rPr>
                <w:rFonts w:cstheme="minorHAnsi"/>
                <w:b w:val="0"/>
                <w:bCs w:val="0"/>
                <w:i/>
                <w:iCs/>
                <w:sz w:val="20"/>
                <w:szCs w:val="20"/>
              </w:rPr>
            </w:pPr>
          </w:p>
        </w:tc>
      </w:tr>
      <w:tr w:rsidR="001A3330" w:rsidRPr="003C34EB" w14:paraId="0C19B870" w14:textId="77777777" w:rsidTr="00BB23E7">
        <w:trPr>
          <w:cnfStyle w:val="000000100000" w:firstRow="0" w:lastRow="0" w:firstColumn="0" w:lastColumn="0" w:oddVBand="0" w:evenVBand="0" w:oddHBand="1" w:evenHBand="0" w:firstRowFirstColumn="0" w:firstRowLastColumn="0" w:lastRowFirstColumn="0" w:lastRowLastColumn="0"/>
          <w:trHeight w:val="1441"/>
        </w:trPr>
        <w:tc>
          <w:tcPr>
            <w:cnfStyle w:val="001000000000" w:firstRow="0" w:lastRow="0" w:firstColumn="1" w:lastColumn="0" w:oddVBand="0" w:evenVBand="0" w:oddHBand="0" w:evenHBand="0" w:firstRowFirstColumn="0" w:firstRowLastColumn="0" w:lastRowFirstColumn="0" w:lastRowLastColumn="0"/>
            <w:tcW w:w="1508" w:type="dxa"/>
          </w:tcPr>
          <w:p w14:paraId="0933D8BC" w14:textId="77777777" w:rsidR="001A3330" w:rsidRPr="00BB23E7" w:rsidRDefault="001A3330" w:rsidP="00EE4AC5">
            <w:pPr>
              <w:spacing w:line="240" w:lineRule="auto"/>
              <w:rPr>
                <w:rFonts w:cstheme="minorHAnsi"/>
                <w:b w:val="0"/>
                <w:bCs w:val="0"/>
                <w:sz w:val="20"/>
                <w:szCs w:val="20"/>
              </w:rPr>
            </w:pPr>
            <w:r w:rsidRPr="00BB23E7">
              <w:rPr>
                <w:rFonts w:cstheme="minorHAnsi"/>
                <w:b w:val="0"/>
                <w:bCs w:val="0"/>
                <w:sz w:val="20"/>
                <w:szCs w:val="20"/>
              </w:rPr>
              <w:t xml:space="preserve">1) Contractual,  legal, and regulatory </w:t>
            </w:r>
          </w:p>
          <w:p w14:paraId="250E4F62" w14:textId="77777777" w:rsidR="001A3330" w:rsidRPr="00BB23E7" w:rsidRDefault="001A3330" w:rsidP="00EE4AC5">
            <w:pPr>
              <w:spacing w:line="240" w:lineRule="auto"/>
              <w:rPr>
                <w:rFonts w:cstheme="minorHAnsi"/>
                <w:b w:val="0"/>
                <w:bCs w:val="0"/>
                <w:i/>
                <w:iCs/>
                <w:sz w:val="20"/>
                <w:szCs w:val="20"/>
              </w:rPr>
            </w:pPr>
          </w:p>
        </w:tc>
        <w:tc>
          <w:tcPr>
            <w:tcW w:w="7956" w:type="dxa"/>
          </w:tcPr>
          <w:p w14:paraId="31082716" w14:textId="0E601B82" w:rsidR="001A3330" w:rsidRPr="00BF79CF" w:rsidRDefault="001A3330" w:rsidP="00EE4AC5">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79CF">
              <w:rPr>
                <w:rFonts w:cstheme="minorHAnsi"/>
                <w:sz w:val="20"/>
                <w:szCs w:val="20"/>
              </w:rPr>
              <w:t xml:space="preserve">Commissioning (e.g. service provision, industry organising an event </w:t>
            </w:r>
            <w:r w:rsidR="00A453DE">
              <w:rPr>
                <w:rFonts w:cstheme="minorHAnsi"/>
                <w:sz w:val="20"/>
                <w:szCs w:val="20"/>
              </w:rPr>
              <w:t>LA</w:t>
            </w:r>
            <w:r w:rsidRPr="00BF79CF">
              <w:rPr>
                <w:rFonts w:cstheme="minorHAnsi"/>
                <w:sz w:val="20"/>
                <w:szCs w:val="20"/>
              </w:rPr>
              <w:t xml:space="preserve"> funds)</w:t>
            </w:r>
          </w:p>
          <w:p w14:paraId="20D05195" w14:textId="796F2261" w:rsidR="001A3330" w:rsidRPr="00BF79CF" w:rsidRDefault="001A3330" w:rsidP="00EE4AC5">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79CF">
              <w:rPr>
                <w:rFonts w:cstheme="minorHAnsi"/>
                <w:sz w:val="20"/>
                <w:szCs w:val="20"/>
              </w:rPr>
              <w:t>Licencing (</w:t>
            </w:r>
            <w:r w:rsidR="00FE3ABF">
              <w:rPr>
                <w:rFonts w:cstheme="minorHAnsi"/>
                <w:sz w:val="20"/>
                <w:szCs w:val="20"/>
              </w:rPr>
              <w:t xml:space="preserve">Premises </w:t>
            </w:r>
            <w:r w:rsidRPr="00BF79CF">
              <w:rPr>
                <w:rFonts w:cstheme="minorHAnsi"/>
                <w:sz w:val="20"/>
                <w:szCs w:val="20"/>
              </w:rPr>
              <w:t>licenc</w:t>
            </w:r>
            <w:r w:rsidR="00957DE0">
              <w:rPr>
                <w:rFonts w:cstheme="minorHAnsi"/>
                <w:sz w:val="20"/>
                <w:szCs w:val="20"/>
              </w:rPr>
              <w:t>es for alcohol/</w:t>
            </w:r>
            <w:r w:rsidRPr="00BF79CF">
              <w:rPr>
                <w:rFonts w:cstheme="minorHAnsi"/>
                <w:sz w:val="20"/>
                <w:szCs w:val="20"/>
              </w:rPr>
              <w:t>drinking establishments,</w:t>
            </w:r>
            <w:r w:rsidR="00957DE0">
              <w:rPr>
                <w:rFonts w:cstheme="minorHAnsi"/>
                <w:sz w:val="20"/>
                <w:szCs w:val="20"/>
              </w:rPr>
              <w:t xml:space="preserve"> </w:t>
            </w:r>
            <w:r w:rsidR="00F95456">
              <w:rPr>
                <w:rFonts w:cstheme="minorHAnsi"/>
                <w:sz w:val="20"/>
                <w:szCs w:val="20"/>
              </w:rPr>
              <w:t xml:space="preserve">fast food outlets and </w:t>
            </w:r>
            <w:r w:rsidRPr="00BF79CF">
              <w:rPr>
                <w:rFonts w:cstheme="minorHAnsi"/>
                <w:sz w:val="20"/>
                <w:szCs w:val="20"/>
              </w:rPr>
              <w:t>operating/premises</w:t>
            </w:r>
            <w:r w:rsidR="00F95456">
              <w:rPr>
                <w:rFonts w:cstheme="minorHAnsi"/>
                <w:sz w:val="20"/>
                <w:szCs w:val="20"/>
              </w:rPr>
              <w:t>/personal licenses for gambling outlets</w:t>
            </w:r>
            <w:r w:rsidRPr="00BF79CF">
              <w:rPr>
                <w:rFonts w:cstheme="minorHAnsi"/>
                <w:sz w:val="20"/>
                <w:szCs w:val="20"/>
              </w:rPr>
              <w:t xml:space="preserve">) </w:t>
            </w:r>
          </w:p>
          <w:p w14:paraId="72D68BC1" w14:textId="77777777" w:rsidR="001A3330" w:rsidRPr="00BF79CF" w:rsidRDefault="001A3330" w:rsidP="00EE4AC5">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79CF">
              <w:rPr>
                <w:rFonts w:cstheme="minorHAnsi"/>
                <w:sz w:val="20"/>
                <w:szCs w:val="20"/>
              </w:rPr>
              <w:t>‘Pouring rights’ contracts, franchises (e.g. sales in a venue, local schools, hospitals)</w:t>
            </w:r>
          </w:p>
          <w:p w14:paraId="2BBC6805" w14:textId="7BF7043E" w:rsidR="001A3330" w:rsidRPr="00BF79CF" w:rsidRDefault="001A3330" w:rsidP="00EE4AC5">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79CF">
              <w:rPr>
                <w:rFonts w:cstheme="minorHAnsi"/>
                <w:sz w:val="20"/>
                <w:szCs w:val="20"/>
              </w:rPr>
              <w:t>Marketing/advertising on the LA platform (</w:t>
            </w:r>
            <w:r w:rsidR="00A453DE">
              <w:rPr>
                <w:rFonts w:cstheme="minorHAnsi"/>
                <w:sz w:val="20"/>
                <w:szCs w:val="20"/>
              </w:rPr>
              <w:t>LA</w:t>
            </w:r>
            <w:r w:rsidR="00AD14D4">
              <w:rPr>
                <w:rFonts w:cstheme="minorHAnsi"/>
                <w:sz w:val="20"/>
                <w:szCs w:val="20"/>
              </w:rPr>
              <w:t>-</w:t>
            </w:r>
            <w:r w:rsidRPr="00BF79CF">
              <w:rPr>
                <w:rFonts w:cstheme="minorHAnsi"/>
                <w:sz w:val="20"/>
                <w:szCs w:val="20"/>
              </w:rPr>
              <w:t>owned property/advertising spaces)</w:t>
            </w:r>
          </w:p>
          <w:p w14:paraId="75EF59DC" w14:textId="77777777" w:rsidR="001A3330" w:rsidRPr="00BF79CF" w:rsidRDefault="001A3330" w:rsidP="00EE4AC5">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79CF">
              <w:rPr>
                <w:rFonts w:cstheme="minorHAnsi"/>
                <w:sz w:val="20"/>
                <w:szCs w:val="20"/>
              </w:rPr>
              <w:t>Industry withdrawal/termination of local investments/contracts/resources/revenue if new local public health policies are introduced</w:t>
            </w:r>
          </w:p>
          <w:p w14:paraId="7A574926" w14:textId="77777777" w:rsidR="001A3330" w:rsidRPr="00BF79CF" w:rsidRDefault="001A3330" w:rsidP="00EE4AC5">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79CF">
              <w:rPr>
                <w:rFonts w:cstheme="minorHAnsi"/>
                <w:sz w:val="20"/>
                <w:szCs w:val="20"/>
              </w:rPr>
              <w:t xml:space="preserve">LA investments/business links/financial ties linked with industry and joint endeavours </w:t>
            </w:r>
          </w:p>
          <w:p w14:paraId="019E3D4E" w14:textId="77777777" w:rsidR="001A3330" w:rsidRPr="00BF79CF" w:rsidRDefault="001A3330" w:rsidP="00EE4AC5">
            <w:pPr>
              <w:pStyle w:val="ListParagraph"/>
              <w:numPr>
                <w:ilvl w:val="0"/>
                <w:numId w:val="2"/>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79CF">
              <w:rPr>
                <w:rFonts w:cstheme="minorHAnsi"/>
                <w:sz w:val="20"/>
                <w:szCs w:val="20"/>
              </w:rPr>
              <w:t>Litigate, sue, use court injunction, or threaten -‘regulatory chill’, against LA policies, organisations, or individuals</w:t>
            </w:r>
          </w:p>
          <w:p w14:paraId="2EA28E9D" w14:textId="22D66677" w:rsidR="001A3330" w:rsidRPr="00BF79CF" w:rsidRDefault="001A3330" w:rsidP="00EE4AC5">
            <w:pPr>
              <w:pStyle w:val="ListParagraph"/>
              <w:numPr>
                <w:ilvl w:val="0"/>
                <w:numId w:val="2"/>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79CF">
              <w:rPr>
                <w:rFonts w:cstheme="minorHAnsi"/>
                <w:sz w:val="20"/>
                <w:szCs w:val="20"/>
              </w:rPr>
              <w:t>Create loopholes in local</w:t>
            </w:r>
            <w:r w:rsidR="00AD14D4">
              <w:rPr>
                <w:rFonts w:cstheme="minorHAnsi"/>
                <w:sz w:val="20"/>
                <w:szCs w:val="20"/>
              </w:rPr>
              <w:t>-</w:t>
            </w:r>
            <w:r w:rsidRPr="00BF79CF">
              <w:rPr>
                <w:rFonts w:cstheme="minorHAnsi"/>
                <w:sz w:val="20"/>
                <w:szCs w:val="20"/>
              </w:rPr>
              <w:t>level laws, agreements, and rights</w:t>
            </w:r>
          </w:p>
          <w:p w14:paraId="2D45D622" w14:textId="3EEA8332" w:rsidR="001A3330" w:rsidRPr="00BF79CF" w:rsidRDefault="001A3330" w:rsidP="00EE4AC5">
            <w:pPr>
              <w:pStyle w:val="ListParagraph"/>
              <w:numPr>
                <w:ilvl w:val="0"/>
                <w:numId w:val="2"/>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79CF">
              <w:rPr>
                <w:rFonts w:cstheme="minorHAnsi"/>
                <w:sz w:val="20"/>
                <w:szCs w:val="20"/>
              </w:rPr>
              <w:t>Illicit trade, price</w:t>
            </w:r>
            <w:r w:rsidR="00AD14D4">
              <w:rPr>
                <w:rFonts w:cstheme="minorHAnsi"/>
                <w:sz w:val="20"/>
                <w:szCs w:val="20"/>
              </w:rPr>
              <w:t>-</w:t>
            </w:r>
            <w:r w:rsidRPr="00BF79CF">
              <w:rPr>
                <w:rFonts w:cstheme="minorHAnsi"/>
                <w:sz w:val="20"/>
                <w:szCs w:val="20"/>
              </w:rPr>
              <w:t>fixing, bribery, grey market activity and corruption in the locality</w:t>
            </w:r>
          </w:p>
        </w:tc>
        <w:tc>
          <w:tcPr>
            <w:tcW w:w="4961" w:type="dxa"/>
          </w:tcPr>
          <w:p w14:paraId="5DAD3CAD" w14:textId="262F7BBD" w:rsidR="001A3330" w:rsidRPr="00BF79CF" w:rsidRDefault="00FE59F1" w:rsidP="00035EC7">
            <w:pPr>
              <w:pStyle w:val="ListParagraph"/>
              <w:numPr>
                <w:ilvl w:val="0"/>
                <w:numId w:val="3"/>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F</w:t>
            </w:r>
            <w:r w:rsidR="001A3330" w:rsidRPr="00BF79CF">
              <w:rPr>
                <w:rFonts w:cstheme="minorHAnsi"/>
                <w:sz w:val="20"/>
                <w:szCs w:val="20"/>
              </w:rPr>
              <w:t>ast-food franchise in</w:t>
            </w:r>
            <w:r w:rsidR="00954AA8">
              <w:rPr>
                <w:rFonts w:cstheme="minorHAnsi"/>
                <w:sz w:val="20"/>
                <w:szCs w:val="20"/>
              </w:rPr>
              <w:t xml:space="preserve"> a </w:t>
            </w:r>
            <w:r w:rsidR="001A3330" w:rsidRPr="00BF79CF">
              <w:rPr>
                <w:rFonts w:cstheme="minorHAnsi"/>
                <w:sz w:val="20"/>
                <w:szCs w:val="20"/>
              </w:rPr>
              <w:t>hospital</w:t>
            </w:r>
          </w:p>
          <w:p w14:paraId="59FDA39F" w14:textId="06AAC925" w:rsidR="001A3330" w:rsidRPr="00BF79CF" w:rsidRDefault="00A453DE" w:rsidP="00035EC7">
            <w:pPr>
              <w:pStyle w:val="ListParagraph"/>
              <w:numPr>
                <w:ilvl w:val="0"/>
                <w:numId w:val="3"/>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LA</w:t>
            </w:r>
            <w:r w:rsidR="001A3330" w:rsidRPr="00BF79CF">
              <w:rPr>
                <w:rFonts w:cstheme="minorHAnsi"/>
                <w:sz w:val="20"/>
                <w:szCs w:val="20"/>
              </w:rPr>
              <w:t xml:space="preserve"> purchase of a retail park (including </w:t>
            </w:r>
            <w:r w:rsidR="00FE59F1">
              <w:rPr>
                <w:rFonts w:cstheme="minorHAnsi"/>
                <w:sz w:val="20"/>
                <w:szCs w:val="20"/>
              </w:rPr>
              <w:t>fast-food</w:t>
            </w:r>
            <w:r w:rsidR="00035EC7">
              <w:rPr>
                <w:rFonts w:cstheme="minorHAnsi"/>
                <w:sz w:val="20"/>
                <w:szCs w:val="20"/>
              </w:rPr>
              <w:t xml:space="preserve"> outlets</w:t>
            </w:r>
            <w:r w:rsidR="001A3330" w:rsidRPr="00BF79CF">
              <w:rPr>
                <w:rFonts w:cstheme="minorHAnsi"/>
                <w:sz w:val="20"/>
                <w:szCs w:val="20"/>
              </w:rPr>
              <w:t>) to generate income</w:t>
            </w:r>
          </w:p>
          <w:p w14:paraId="727ADE61" w14:textId="63385606" w:rsidR="001A3330" w:rsidRPr="00BF79CF" w:rsidRDefault="00A453DE" w:rsidP="00EE4AC5">
            <w:pPr>
              <w:pStyle w:val="ListParagraph"/>
              <w:numPr>
                <w:ilvl w:val="0"/>
                <w:numId w:val="3"/>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LA</w:t>
            </w:r>
            <w:r w:rsidR="001A3330" w:rsidRPr="00BF79CF">
              <w:rPr>
                <w:rFonts w:cstheme="minorHAnsi"/>
                <w:sz w:val="20"/>
                <w:szCs w:val="20"/>
              </w:rPr>
              <w:t xml:space="preserve"> pension investment in Tobacco</w:t>
            </w:r>
            <w:r w:rsidR="00954AA8">
              <w:rPr>
                <w:rFonts w:cstheme="minorHAnsi"/>
                <w:sz w:val="20"/>
                <w:szCs w:val="20"/>
              </w:rPr>
              <w:t xml:space="preserve"> and</w:t>
            </w:r>
            <w:r w:rsidR="001A3330" w:rsidRPr="00BF79CF">
              <w:rPr>
                <w:rFonts w:cstheme="minorHAnsi"/>
                <w:sz w:val="20"/>
                <w:szCs w:val="20"/>
              </w:rPr>
              <w:t xml:space="preserve"> </w:t>
            </w:r>
            <w:r w:rsidR="00BB63C2">
              <w:rPr>
                <w:rFonts w:cstheme="minorHAnsi"/>
                <w:sz w:val="20"/>
                <w:szCs w:val="20"/>
              </w:rPr>
              <w:t>HFSS</w:t>
            </w:r>
          </w:p>
          <w:p w14:paraId="6EB22459" w14:textId="0349218A" w:rsidR="001A3330" w:rsidRPr="00BF79CF" w:rsidRDefault="001A3330" w:rsidP="00EE4AC5">
            <w:pPr>
              <w:pStyle w:val="ListParagraph"/>
              <w:numPr>
                <w:ilvl w:val="0"/>
                <w:numId w:val="3"/>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79CF">
              <w:rPr>
                <w:rFonts w:cstheme="minorHAnsi"/>
                <w:sz w:val="20"/>
                <w:szCs w:val="20"/>
              </w:rPr>
              <w:t xml:space="preserve">LA investment in supermarket </w:t>
            </w:r>
          </w:p>
          <w:p w14:paraId="432966F0" w14:textId="633B65CA" w:rsidR="001A3330" w:rsidRPr="00BF79CF" w:rsidRDefault="00B01ED2" w:rsidP="00035EC7">
            <w:pPr>
              <w:pStyle w:val="ListParagraph"/>
              <w:numPr>
                <w:ilvl w:val="0"/>
                <w:numId w:val="3"/>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HFSS brand</w:t>
            </w:r>
            <w:r w:rsidR="001A3330" w:rsidRPr="00BF79CF">
              <w:rPr>
                <w:rFonts w:cstheme="minorHAnsi"/>
                <w:sz w:val="20"/>
                <w:szCs w:val="20"/>
              </w:rPr>
              <w:t xml:space="preserve"> litigation case</w:t>
            </w:r>
            <w:r w:rsidR="00954AA8">
              <w:rPr>
                <w:rFonts w:cstheme="minorHAnsi"/>
                <w:sz w:val="20"/>
                <w:szCs w:val="20"/>
              </w:rPr>
              <w:t xml:space="preserve"> against </w:t>
            </w:r>
            <w:r w:rsidR="00A453DE">
              <w:rPr>
                <w:rFonts w:cstheme="minorHAnsi"/>
                <w:sz w:val="20"/>
                <w:szCs w:val="20"/>
              </w:rPr>
              <w:t xml:space="preserve">LA </w:t>
            </w:r>
            <w:r w:rsidR="00954AA8">
              <w:rPr>
                <w:rFonts w:cstheme="minorHAnsi"/>
                <w:sz w:val="20"/>
                <w:szCs w:val="20"/>
              </w:rPr>
              <w:t xml:space="preserve">that </w:t>
            </w:r>
            <w:r w:rsidR="001A3330" w:rsidRPr="00BF79CF">
              <w:rPr>
                <w:rFonts w:cstheme="minorHAnsi"/>
                <w:sz w:val="20"/>
                <w:szCs w:val="20"/>
              </w:rPr>
              <w:t xml:space="preserve">rejected planning for a new </w:t>
            </w:r>
            <w:r w:rsidR="00FE59F1">
              <w:rPr>
                <w:rFonts w:cstheme="minorHAnsi"/>
                <w:sz w:val="20"/>
                <w:szCs w:val="20"/>
              </w:rPr>
              <w:t>outlet</w:t>
            </w:r>
            <w:r w:rsidR="001A3330" w:rsidRPr="00BF79CF">
              <w:rPr>
                <w:rFonts w:cstheme="minorHAnsi"/>
                <w:sz w:val="20"/>
                <w:szCs w:val="20"/>
              </w:rPr>
              <w:t xml:space="preserve"> development </w:t>
            </w:r>
          </w:p>
          <w:p w14:paraId="265EE1BA" w14:textId="77777777" w:rsidR="001A3330" w:rsidRPr="00BF79CF" w:rsidRDefault="001A3330" w:rsidP="00035EC7">
            <w:pPr>
              <w:pStyle w:val="ListParagraph"/>
              <w:numPr>
                <w:ilvl w:val="0"/>
                <w:numId w:val="3"/>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79CF">
              <w:rPr>
                <w:rFonts w:cstheme="minorHAnsi"/>
                <w:sz w:val="20"/>
                <w:szCs w:val="20"/>
              </w:rPr>
              <w:t>Appealing LA decisions to reject new planning applications for A5 hot food takeaways</w:t>
            </w:r>
          </w:p>
          <w:p w14:paraId="21065C90" w14:textId="3A616514" w:rsidR="001A3330" w:rsidRPr="00BF79CF" w:rsidRDefault="00FE59F1">
            <w:pPr>
              <w:pStyle w:val="ListParagraph"/>
              <w:numPr>
                <w:ilvl w:val="0"/>
                <w:numId w:val="3"/>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Seasonal </w:t>
            </w:r>
            <w:r w:rsidR="00B01ED2">
              <w:rPr>
                <w:rFonts w:cstheme="minorHAnsi"/>
                <w:sz w:val="20"/>
                <w:szCs w:val="20"/>
              </w:rPr>
              <w:t xml:space="preserve">HCI </w:t>
            </w:r>
            <w:r>
              <w:rPr>
                <w:rFonts w:cstheme="minorHAnsi"/>
                <w:sz w:val="20"/>
                <w:szCs w:val="20"/>
              </w:rPr>
              <w:t>marketing/</w:t>
            </w:r>
            <w:r w:rsidR="001A3330" w:rsidRPr="00BF79CF">
              <w:rPr>
                <w:rFonts w:cstheme="minorHAnsi"/>
                <w:sz w:val="20"/>
                <w:szCs w:val="20"/>
              </w:rPr>
              <w:t>promotional activities on LA owned spaces</w:t>
            </w:r>
          </w:p>
        </w:tc>
      </w:tr>
      <w:tr w:rsidR="001A3330" w:rsidRPr="003C34EB" w14:paraId="4EC90F29" w14:textId="77777777" w:rsidTr="00BB23E7">
        <w:tc>
          <w:tcPr>
            <w:cnfStyle w:val="001000000000" w:firstRow="0" w:lastRow="0" w:firstColumn="1" w:lastColumn="0" w:oddVBand="0" w:evenVBand="0" w:oddHBand="0" w:evenHBand="0" w:firstRowFirstColumn="0" w:firstRowLastColumn="0" w:lastRowFirstColumn="0" w:lastRowLastColumn="0"/>
            <w:tcW w:w="1508" w:type="dxa"/>
          </w:tcPr>
          <w:p w14:paraId="51C55609" w14:textId="77777777" w:rsidR="001A3330" w:rsidRPr="00BB23E7" w:rsidRDefault="001A3330" w:rsidP="00EE4AC5">
            <w:pPr>
              <w:spacing w:line="240" w:lineRule="auto"/>
              <w:rPr>
                <w:rFonts w:cstheme="minorHAnsi"/>
                <w:b w:val="0"/>
                <w:bCs w:val="0"/>
                <w:sz w:val="20"/>
                <w:szCs w:val="20"/>
              </w:rPr>
            </w:pPr>
            <w:r w:rsidRPr="00BB23E7">
              <w:rPr>
                <w:rFonts w:cstheme="minorHAnsi"/>
                <w:b w:val="0"/>
                <w:bCs w:val="0"/>
                <w:sz w:val="20"/>
                <w:szCs w:val="20"/>
              </w:rPr>
              <w:t>2) Voluntary engagements</w:t>
            </w:r>
          </w:p>
          <w:p w14:paraId="1A827DB3" w14:textId="77777777" w:rsidR="001A3330" w:rsidRPr="00BB23E7" w:rsidRDefault="001A3330" w:rsidP="00EE4AC5">
            <w:pPr>
              <w:spacing w:line="240" w:lineRule="auto"/>
              <w:rPr>
                <w:rFonts w:cstheme="minorHAnsi"/>
                <w:b w:val="0"/>
                <w:bCs w:val="0"/>
                <w:i/>
                <w:iCs/>
                <w:sz w:val="20"/>
                <w:szCs w:val="20"/>
              </w:rPr>
            </w:pPr>
          </w:p>
        </w:tc>
        <w:tc>
          <w:tcPr>
            <w:tcW w:w="7956" w:type="dxa"/>
          </w:tcPr>
          <w:p w14:paraId="1B1CFB1F" w14:textId="77777777" w:rsidR="001A3330" w:rsidRPr="00BF79CF" w:rsidRDefault="001A3330" w:rsidP="00EE4AC5">
            <w:pPr>
              <w:pStyle w:val="ListParagraph"/>
              <w:numPr>
                <w:ilvl w:val="0"/>
                <w:numId w:val="2"/>
              </w:num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F79CF">
              <w:rPr>
                <w:rFonts w:cstheme="minorHAnsi"/>
                <w:sz w:val="20"/>
                <w:szCs w:val="20"/>
              </w:rPr>
              <w:t>Public-Private Partnerships between industry and local government (e.g. joint ventures, concessions, grants, project-financed structure, outsourcing, leasing)</w:t>
            </w:r>
          </w:p>
          <w:p w14:paraId="41DA857D" w14:textId="77777777" w:rsidR="001A3330" w:rsidRPr="00BF79CF" w:rsidRDefault="001A3330" w:rsidP="00EE4AC5">
            <w:pPr>
              <w:pStyle w:val="ListParagraph"/>
              <w:numPr>
                <w:ilvl w:val="0"/>
                <w:numId w:val="2"/>
              </w:num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F79CF">
              <w:rPr>
                <w:rFonts w:cstheme="minorHAnsi"/>
                <w:sz w:val="20"/>
                <w:szCs w:val="20"/>
              </w:rPr>
              <w:t>Cooperative arrangements (voluntary/co-/self-regulation, agreements, and pledges)</w:t>
            </w:r>
          </w:p>
          <w:p w14:paraId="773FF335" w14:textId="77777777" w:rsidR="001A3330" w:rsidRPr="00BF79CF" w:rsidRDefault="001A3330" w:rsidP="00EE4AC5">
            <w:pPr>
              <w:pStyle w:val="ListParagraph"/>
              <w:numPr>
                <w:ilvl w:val="0"/>
                <w:numId w:val="2"/>
              </w:num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F79CF">
              <w:rPr>
                <w:rFonts w:cstheme="minorHAnsi"/>
                <w:sz w:val="20"/>
                <w:szCs w:val="20"/>
              </w:rPr>
              <w:t xml:space="preserve">Direct involvement in policy making and the local public health agenda (e.g. meetings, local stakeholder consultations, petitions, working/technical/advisory groups/boards) </w:t>
            </w:r>
          </w:p>
          <w:p w14:paraId="6B62408C" w14:textId="58A6E3AA" w:rsidR="001A3330" w:rsidRPr="00BF79CF" w:rsidRDefault="001A3330" w:rsidP="00EE4AC5">
            <w:pPr>
              <w:pStyle w:val="ListParagraph"/>
              <w:numPr>
                <w:ilvl w:val="0"/>
                <w:numId w:val="2"/>
              </w:num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F79CF">
              <w:rPr>
                <w:rFonts w:cstheme="minorHAnsi"/>
                <w:sz w:val="20"/>
                <w:szCs w:val="20"/>
              </w:rPr>
              <w:t>Provide input to local policy makers and attend workshops, and writ</w:t>
            </w:r>
            <w:r w:rsidR="00AD14D4">
              <w:rPr>
                <w:rFonts w:cstheme="minorHAnsi"/>
                <w:sz w:val="20"/>
                <w:szCs w:val="20"/>
              </w:rPr>
              <w:t>e</w:t>
            </w:r>
            <w:r w:rsidRPr="00BF79CF">
              <w:rPr>
                <w:rFonts w:cstheme="minorHAnsi"/>
                <w:sz w:val="20"/>
                <w:szCs w:val="20"/>
              </w:rPr>
              <w:t>/draft policies</w:t>
            </w:r>
          </w:p>
        </w:tc>
        <w:tc>
          <w:tcPr>
            <w:tcW w:w="4961" w:type="dxa"/>
          </w:tcPr>
          <w:p w14:paraId="33532449" w14:textId="4376EC57" w:rsidR="001A3330" w:rsidRPr="00BF79CF" w:rsidRDefault="00954AA8" w:rsidP="00035EC7">
            <w:pPr>
              <w:pStyle w:val="ListParagraph"/>
              <w:numPr>
                <w:ilvl w:val="0"/>
                <w:numId w:val="4"/>
              </w:num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Children </w:t>
            </w:r>
            <w:r w:rsidR="001A3330" w:rsidRPr="00BF79CF">
              <w:rPr>
                <w:rFonts w:cstheme="minorHAnsi"/>
                <w:sz w:val="20"/>
                <w:szCs w:val="20"/>
              </w:rPr>
              <w:t xml:space="preserve">Programme Primary Authority partnership between </w:t>
            </w:r>
            <w:r w:rsidR="00035EC7">
              <w:rPr>
                <w:rFonts w:cstheme="minorHAnsi"/>
                <w:sz w:val="20"/>
                <w:szCs w:val="20"/>
              </w:rPr>
              <w:t>LA</w:t>
            </w:r>
            <w:r>
              <w:rPr>
                <w:rFonts w:cstheme="minorHAnsi"/>
                <w:sz w:val="20"/>
                <w:szCs w:val="20"/>
              </w:rPr>
              <w:t>s</w:t>
            </w:r>
            <w:r w:rsidR="00035EC7">
              <w:rPr>
                <w:rFonts w:cstheme="minorHAnsi"/>
                <w:sz w:val="20"/>
                <w:szCs w:val="20"/>
              </w:rPr>
              <w:t xml:space="preserve"> </w:t>
            </w:r>
            <w:r w:rsidR="001A3330" w:rsidRPr="00BF79CF">
              <w:rPr>
                <w:rFonts w:cstheme="minorHAnsi"/>
                <w:sz w:val="20"/>
                <w:szCs w:val="20"/>
              </w:rPr>
              <w:t xml:space="preserve">and </w:t>
            </w:r>
            <w:r w:rsidR="00BB63C2">
              <w:rPr>
                <w:rFonts w:cstheme="minorHAnsi"/>
                <w:sz w:val="20"/>
                <w:szCs w:val="20"/>
              </w:rPr>
              <w:t>HFSS</w:t>
            </w:r>
            <w:r w:rsidR="00FE59F1">
              <w:rPr>
                <w:rFonts w:cstheme="minorHAnsi"/>
                <w:sz w:val="20"/>
                <w:szCs w:val="20"/>
              </w:rPr>
              <w:t xml:space="preserve"> brand</w:t>
            </w:r>
            <w:r>
              <w:rPr>
                <w:rFonts w:cstheme="minorHAnsi"/>
                <w:sz w:val="20"/>
                <w:szCs w:val="20"/>
              </w:rPr>
              <w:t>s</w:t>
            </w:r>
          </w:p>
          <w:p w14:paraId="17A3CDE1" w14:textId="6A2AB2B4" w:rsidR="001A3330" w:rsidRPr="00BF79CF" w:rsidRDefault="001A3330" w:rsidP="00035EC7">
            <w:pPr>
              <w:pStyle w:val="ListParagraph"/>
              <w:numPr>
                <w:ilvl w:val="0"/>
                <w:numId w:val="4"/>
              </w:num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F79CF">
              <w:rPr>
                <w:rFonts w:cstheme="minorHAnsi"/>
                <w:sz w:val="20"/>
                <w:szCs w:val="20"/>
              </w:rPr>
              <w:t>LAs outsourcing Public Service contract</w:t>
            </w:r>
            <w:r w:rsidR="00B01ED2">
              <w:rPr>
                <w:rFonts w:cstheme="minorHAnsi"/>
                <w:sz w:val="20"/>
                <w:szCs w:val="20"/>
              </w:rPr>
              <w:t xml:space="preserve">s </w:t>
            </w:r>
            <w:r w:rsidRPr="00BF79CF">
              <w:rPr>
                <w:rFonts w:cstheme="minorHAnsi"/>
                <w:sz w:val="20"/>
                <w:szCs w:val="20"/>
              </w:rPr>
              <w:t>to third sector bodies</w:t>
            </w:r>
          </w:p>
          <w:p w14:paraId="021DDD8D" w14:textId="66D7EB98" w:rsidR="001A3330" w:rsidRPr="00BF79CF" w:rsidRDefault="00954AA8" w:rsidP="00EE4AC5">
            <w:pPr>
              <w:pStyle w:val="ListParagraph"/>
              <w:numPr>
                <w:ilvl w:val="0"/>
                <w:numId w:val="4"/>
              </w:num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V</w:t>
            </w:r>
            <w:r w:rsidR="001A3330" w:rsidRPr="00BF79CF">
              <w:rPr>
                <w:rFonts w:cstheme="minorHAnsi"/>
                <w:sz w:val="20"/>
                <w:szCs w:val="20"/>
              </w:rPr>
              <w:t xml:space="preserve">oluntary </w:t>
            </w:r>
            <w:r w:rsidR="00035EC7">
              <w:rPr>
                <w:rFonts w:cstheme="minorHAnsi"/>
                <w:sz w:val="20"/>
                <w:szCs w:val="20"/>
              </w:rPr>
              <w:t xml:space="preserve">LA </w:t>
            </w:r>
            <w:r w:rsidR="001A3330" w:rsidRPr="00BF79CF">
              <w:rPr>
                <w:rFonts w:cstheme="minorHAnsi"/>
                <w:sz w:val="20"/>
                <w:szCs w:val="20"/>
              </w:rPr>
              <w:t xml:space="preserve">joint project with </w:t>
            </w:r>
            <w:r w:rsidR="00B01ED2">
              <w:rPr>
                <w:rFonts w:cstheme="minorHAnsi"/>
                <w:sz w:val="20"/>
                <w:szCs w:val="20"/>
              </w:rPr>
              <w:t>HFSS</w:t>
            </w:r>
            <w:r w:rsidR="001A3330" w:rsidRPr="00BF79CF">
              <w:rPr>
                <w:rFonts w:cstheme="minorHAnsi"/>
                <w:sz w:val="20"/>
                <w:szCs w:val="20"/>
              </w:rPr>
              <w:t xml:space="preserve"> food outlet to test a nudge intervention </w:t>
            </w:r>
          </w:p>
        </w:tc>
      </w:tr>
      <w:tr w:rsidR="001A3330" w:rsidRPr="003C34EB" w14:paraId="160876B8" w14:textId="77777777" w:rsidTr="00BB2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14:paraId="125786CB" w14:textId="5125BB46" w:rsidR="001A3330" w:rsidRPr="00BB23E7" w:rsidRDefault="001A3330" w:rsidP="00EE4AC5">
            <w:pPr>
              <w:spacing w:line="240" w:lineRule="auto"/>
              <w:rPr>
                <w:rFonts w:cstheme="minorHAnsi"/>
                <w:b w:val="0"/>
                <w:bCs w:val="0"/>
                <w:strike/>
                <w:sz w:val="20"/>
                <w:szCs w:val="20"/>
              </w:rPr>
            </w:pPr>
            <w:r w:rsidRPr="00BB23E7">
              <w:rPr>
                <w:rFonts w:cstheme="minorHAnsi"/>
                <w:b w:val="0"/>
                <w:bCs w:val="0"/>
                <w:sz w:val="20"/>
                <w:szCs w:val="20"/>
              </w:rPr>
              <w:t xml:space="preserve">3) </w:t>
            </w:r>
            <w:r w:rsidR="00B65544">
              <w:rPr>
                <w:rFonts w:cstheme="minorHAnsi"/>
                <w:b w:val="0"/>
                <w:bCs w:val="0"/>
                <w:sz w:val="20"/>
                <w:szCs w:val="20"/>
              </w:rPr>
              <w:t>Other engagement strategies</w:t>
            </w:r>
            <w:r w:rsidRPr="00BB23E7">
              <w:rPr>
                <w:rFonts w:cstheme="minorHAnsi"/>
                <w:b w:val="0"/>
                <w:bCs w:val="0"/>
                <w:strike/>
                <w:sz w:val="20"/>
                <w:szCs w:val="20"/>
              </w:rPr>
              <w:t xml:space="preserve"> </w:t>
            </w:r>
          </w:p>
          <w:p w14:paraId="42DADDA2" w14:textId="77777777" w:rsidR="001A3330" w:rsidRPr="00BB23E7" w:rsidRDefault="001A3330" w:rsidP="00EE4AC5">
            <w:pPr>
              <w:spacing w:line="240" w:lineRule="auto"/>
              <w:rPr>
                <w:rFonts w:cstheme="minorHAnsi"/>
                <w:b w:val="0"/>
                <w:bCs w:val="0"/>
                <w:sz w:val="20"/>
                <w:szCs w:val="20"/>
              </w:rPr>
            </w:pPr>
          </w:p>
        </w:tc>
        <w:tc>
          <w:tcPr>
            <w:tcW w:w="7956" w:type="dxa"/>
          </w:tcPr>
          <w:p w14:paraId="6175590E" w14:textId="1578C894" w:rsidR="001A3330" w:rsidRPr="00BF79CF" w:rsidRDefault="001A3330" w:rsidP="00EE4AC5">
            <w:pPr>
              <w:pStyle w:val="ListParagraph"/>
              <w:numPr>
                <w:ilvl w:val="0"/>
                <w:numId w:val="2"/>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79CF">
              <w:rPr>
                <w:rFonts w:cstheme="minorHAnsi"/>
                <w:sz w:val="20"/>
                <w:szCs w:val="20"/>
              </w:rPr>
              <w:t>Funding/financial incentives to local political parties, policymakers, legislators, groups (e.g. donations, gifts)</w:t>
            </w:r>
          </w:p>
          <w:p w14:paraId="6DE659AE" w14:textId="62F868F4" w:rsidR="001A3330" w:rsidRPr="00BF79CF" w:rsidRDefault="001A3330" w:rsidP="00EE4AC5">
            <w:pPr>
              <w:pStyle w:val="ListParagraph"/>
              <w:numPr>
                <w:ilvl w:val="0"/>
                <w:numId w:val="2"/>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79CF">
              <w:rPr>
                <w:rFonts w:cstheme="minorHAnsi"/>
                <w:sz w:val="20"/>
                <w:szCs w:val="20"/>
              </w:rPr>
              <w:t xml:space="preserve">Local policymakers taking/movement across posts in </w:t>
            </w:r>
            <w:r w:rsidR="00AD14D4">
              <w:rPr>
                <w:rFonts w:cstheme="minorHAnsi"/>
                <w:sz w:val="20"/>
                <w:szCs w:val="20"/>
              </w:rPr>
              <w:t xml:space="preserve">the </w:t>
            </w:r>
            <w:r w:rsidRPr="00BF79CF">
              <w:rPr>
                <w:rFonts w:cstheme="minorHAnsi"/>
                <w:sz w:val="20"/>
                <w:szCs w:val="20"/>
              </w:rPr>
              <w:t xml:space="preserve">industry - the ‘revolving door’ </w:t>
            </w:r>
          </w:p>
          <w:p w14:paraId="390B621F" w14:textId="6EDF431C" w:rsidR="001A3330" w:rsidRPr="00BF79CF" w:rsidRDefault="001A3330" w:rsidP="00EE4AC5">
            <w:pPr>
              <w:pStyle w:val="ListParagraph"/>
              <w:numPr>
                <w:ilvl w:val="0"/>
                <w:numId w:val="2"/>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79CF">
              <w:rPr>
                <w:rFonts w:cstheme="minorHAnsi"/>
                <w:sz w:val="20"/>
                <w:szCs w:val="20"/>
              </w:rPr>
              <w:t xml:space="preserve">Establish relationships and network with decision-makers and key governmental persons, including use of </w:t>
            </w:r>
            <w:r w:rsidR="00AD14D4">
              <w:rPr>
                <w:rFonts w:cstheme="minorHAnsi"/>
                <w:sz w:val="20"/>
                <w:szCs w:val="20"/>
              </w:rPr>
              <w:t xml:space="preserve">the </w:t>
            </w:r>
            <w:r w:rsidRPr="00BF79CF">
              <w:rPr>
                <w:rFonts w:cstheme="minorHAnsi"/>
                <w:sz w:val="20"/>
                <w:szCs w:val="20"/>
              </w:rPr>
              <w:t>internet and social platforms ‘journo-lobbying’, for wider access</w:t>
            </w:r>
          </w:p>
          <w:p w14:paraId="04C0071F" w14:textId="5D2CD22C" w:rsidR="001A3330" w:rsidRPr="00BF79CF" w:rsidRDefault="001A3330" w:rsidP="00EE4AC5">
            <w:pPr>
              <w:pStyle w:val="ListParagraph"/>
              <w:numPr>
                <w:ilvl w:val="0"/>
                <w:numId w:val="2"/>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79CF">
              <w:rPr>
                <w:rFonts w:cstheme="minorHAnsi"/>
                <w:sz w:val="20"/>
                <w:szCs w:val="20"/>
              </w:rPr>
              <w:t>Employ adapted and reactive strategies and campaigns in response to local events</w:t>
            </w:r>
            <w:r w:rsidR="00AD14D4">
              <w:rPr>
                <w:rFonts w:cstheme="minorHAnsi"/>
                <w:sz w:val="20"/>
                <w:szCs w:val="20"/>
              </w:rPr>
              <w:t>/</w:t>
            </w:r>
            <w:r w:rsidRPr="00BF79CF">
              <w:rPr>
                <w:rFonts w:cstheme="minorHAnsi"/>
                <w:sz w:val="20"/>
                <w:szCs w:val="20"/>
              </w:rPr>
              <w:t xml:space="preserve">policy, such as shifting the corporation (jobs and consumers) to localities without restriction </w:t>
            </w:r>
          </w:p>
          <w:p w14:paraId="55DDEB28" w14:textId="77777777" w:rsidR="001A3330" w:rsidRPr="00BF79CF" w:rsidRDefault="001A3330" w:rsidP="00EE4AC5">
            <w:pPr>
              <w:pStyle w:val="ListParagraph"/>
              <w:numPr>
                <w:ilvl w:val="0"/>
                <w:numId w:val="2"/>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79CF">
              <w:rPr>
                <w:rFonts w:cstheme="minorHAnsi"/>
                <w:sz w:val="20"/>
                <w:szCs w:val="20"/>
              </w:rPr>
              <w:t>Delay implementations of regulation/intervention locally, and limit liability</w:t>
            </w:r>
          </w:p>
          <w:p w14:paraId="3D932E87" w14:textId="77777777" w:rsidR="001A3330" w:rsidRPr="00BF79CF" w:rsidRDefault="001A3330" w:rsidP="00EE4AC5">
            <w:pPr>
              <w:pStyle w:val="ListParagraph"/>
              <w:numPr>
                <w:ilvl w:val="0"/>
                <w:numId w:val="2"/>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79CF">
              <w:rPr>
                <w:rFonts w:cstheme="minorHAnsi"/>
                <w:sz w:val="20"/>
                <w:szCs w:val="20"/>
              </w:rPr>
              <w:t>Costs/consequences of policy compliance (all-encompassing local impact, for the LA, the local community), including time, money and business opportunities</w:t>
            </w:r>
          </w:p>
        </w:tc>
        <w:tc>
          <w:tcPr>
            <w:tcW w:w="4961" w:type="dxa"/>
          </w:tcPr>
          <w:p w14:paraId="526CD871" w14:textId="5CF194A6" w:rsidR="001A3330" w:rsidRPr="00BF79CF" w:rsidRDefault="00B01ED2" w:rsidP="00035EC7">
            <w:pPr>
              <w:pStyle w:val="ListParagraph"/>
              <w:numPr>
                <w:ilvl w:val="0"/>
                <w:numId w:val="11"/>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LA and HCI memberships in the </w:t>
            </w:r>
            <w:r w:rsidR="008E784A">
              <w:rPr>
                <w:rFonts w:cstheme="minorHAnsi"/>
                <w:sz w:val="20"/>
                <w:szCs w:val="20"/>
              </w:rPr>
              <w:t>A</w:t>
            </w:r>
            <w:r w:rsidR="001A3330" w:rsidRPr="00BF79CF">
              <w:rPr>
                <w:rFonts w:cstheme="minorHAnsi"/>
                <w:sz w:val="20"/>
                <w:szCs w:val="20"/>
              </w:rPr>
              <w:t>ll-</w:t>
            </w:r>
            <w:r w:rsidR="008E784A">
              <w:rPr>
                <w:rFonts w:cstheme="minorHAnsi"/>
                <w:sz w:val="20"/>
                <w:szCs w:val="20"/>
              </w:rPr>
              <w:t>P</w:t>
            </w:r>
            <w:r w:rsidR="001A3330" w:rsidRPr="00BF79CF">
              <w:rPr>
                <w:rFonts w:cstheme="minorHAnsi"/>
                <w:sz w:val="20"/>
                <w:szCs w:val="20"/>
              </w:rPr>
              <w:t xml:space="preserve">arty </w:t>
            </w:r>
            <w:r w:rsidR="008E784A">
              <w:rPr>
                <w:rFonts w:cstheme="minorHAnsi"/>
                <w:sz w:val="20"/>
                <w:szCs w:val="20"/>
              </w:rPr>
              <w:t>P</w:t>
            </w:r>
            <w:r w:rsidR="001A3330" w:rsidRPr="00BF79CF">
              <w:rPr>
                <w:rFonts w:cstheme="minorHAnsi"/>
                <w:sz w:val="20"/>
                <w:szCs w:val="20"/>
              </w:rPr>
              <w:t xml:space="preserve">arliamentary </w:t>
            </w:r>
            <w:r w:rsidR="008E784A">
              <w:rPr>
                <w:rFonts w:cstheme="minorHAnsi"/>
                <w:sz w:val="20"/>
                <w:szCs w:val="20"/>
              </w:rPr>
              <w:t>G</w:t>
            </w:r>
            <w:r w:rsidR="001A3330" w:rsidRPr="00BF79CF">
              <w:rPr>
                <w:rFonts w:cstheme="minorHAnsi"/>
                <w:sz w:val="20"/>
                <w:szCs w:val="20"/>
              </w:rPr>
              <w:t>roup on a fit and healthy childhood</w:t>
            </w:r>
            <w:r w:rsidR="00954AA8">
              <w:rPr>
                <w:rFonts w:cstheme="minorHAnsi"/>
                <w:sz w:val="20"/>
                <w:szCs w:val="20"/>
              </w:rPr>
              <w:t xml:space="preserve"> </w:t>
            </w:r>
            <w:r>
              <w:rPr>
                <w:rFonts w:cstheme="minorHAnsi"/>
                <w:sz w:val="20"/>
                <w:szCs w:val="20"/>
              </w:rPr>
              <w:t>(the APPG)</w:t>
            </w:r>
          </w:p>
          <w:p w14:paraId="34B85A5E" w14:textId="6B407C77" w:rsidR="001A3330" w:rsidRPr="00BF79CF" w:rsidRDefault="00035EC7" w:rsidP="00EE4AC5">
            <w:pPr>
              <w:pStyle w:val="ListParagraph"/>
              <w:numPr>
                <w:ilvl w:val="0"/>
                <w:numId w:val="11"/>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LA </w:t>
            </w:r>
            <w:r w:rsidR="001A3330" w:rsidRPr="00BF79CF">
              <w:rPr>
                <w:rFonts w:cstheme="minorHAnsi"/>
                <w:sz w:val="20"/>
                <w:szCs w:val="20"/>
              </w:rPr>
              <w:t xml:space="preserve">awarding money to improve the appearance of a </w:t>
            </w:r>
            <w:r w:rsidR="00B01ED2">
              <w:rPr>
                <w:rFonts w:cstheme="minorHAnsi"/>
                <w:sz w:val="20"/>
                <w:szCs w:val="20"/>
              </w:rPr>
              <w:t xml:space="preserve">HFSS </w:t>
            </w:r>
            <w:r w:rsidR="00FE59F1">
              <w:rPr>
                <w:rFonts w:cstheme="minorHAnsi"/>
                <w:sz w:val="20"/>
                <w:szCs w:val="20"/>
              </w:rPr>
              <w:t>food</w:t>
            </w:r>
            <w:r w:rsidR="001A3330" w:rsidRPr="00BF79CF">
              <w:rPr>
                <w:rFonts w:cstheme="minorHAnsi"/>
                <w:sz w:val="20"/>
                <w:szCs w:val="20"/>
              </w:rPr>
              <w:t xml:space="preserve"> </w:t>
            </w:r>
            <w:r>
              <w:rPr>
                <w:rFonts w:cstheme="minorHAnsi"/>
                <w:sz w:val="20"/>
                <w:szCs w:val="20"/>
              </w:rPr>
              <w:t xml:space="preserve">outlet </w:t>
            </w:r>
            <w:r w:rsidR="00AD14D4">
              <w:rPr>
                <w:rFonts w:cstheme="minorHAnsi"/>
                <w:sz w:val="20"/>
                <w:szCs w:val="20"/>
              </w:rPr>
              <w:t>i</w:t>
            </w:r>
            <w:r w:rsidR="001A3330" w:rsidRPr="00BF79CF">
              <w:rPr>
                <w:rFonts w:cstheme="minorHAnsi"/>
                <w:sz w:val="20"/>
                <w:szCs w:val="20"/>
              </w:rPr>
              <w:t>n the</w:t>
            </w:r>
            <w:r w:rsidR="00B01ED2">
              <w:rPr>
                <w:rFonts w:cstheme="minorHAnsi"/>
                <w:sz w:val="20"/>
                <w:szCs w:val="20"/>
              </w:rPr>
              <w:t xml:space="preserve"> local area</w:t>
            </w:r>
          </w:p>
          <w:p w14:paraId="1F6F9088" w14:textId="77777777" w:rsidR="001A3330" w:rsidRPr="00BF79CF" w:rsidRDefault="001A3330" w:rsidP="00035EC7">
            <w:pPr>
              <w:pStyle w:val="ListParagraph"/>
              <w:spacing w:line="240" w:lineRule="auto"/>
              <w:ind w:left="360"/>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A3330" w:rsidRPr="003C34EB" w14:paraId="08FB0E4D" w14:textId="77777777" w:rsidTr="00BB23E7">
        <w:tc>
          <w:tcPr>
            <w:cnfStyle w:val="001000000000" w:firstRow="0" w:lastRow="0" w:firstColumn="1" w:lastColumn="0" w:oddVBand="0" w:evenVBand="0" w:oddHBand="0" w:evenHBand="0" w:firstRowFirstColumn="0" w:firstRowLastColumn="0" w:lastRowFirstColumn="0" w:lastRowLastColumn="0"/>
            <w:tcW w:w="14425" w:type="dxa"/>
            <w:gridSpan w:val="3"/>
          </w:tcPr>
          <w:p w14:paraId="0048C2C6" w14:textId="77777777" w:rsidR="001A3330" w:rsidRDefault="001A3330" w:rsidP="00BB23E7">
            <w:pPr>
              <w:spacing w:before="240" w:line="240" w:lineRule="auto"/>
              <w:rPr>
                <w:rFonts w:cstheme="minorHAnsi"/>
                <w:b w:val="0"/>
                <w:bCs w:val="0"/>
                <w:i/>
                <w:iCs/>
                <w:sz w:val="20"/>
                <w:szCs w:val="20"/>
              </w:rPr>
            </w:pPr>
            <w:r>
              <w:rPr>
                <w:rFonts w:cstheme="minorHAnsi"/>
                <w:i/>
                <w:iCs/>
                <w:sz w:val="20"/>
                <w:szCs w:val="20"/>
              </w:rPr>
              <w:lastRenderedPageBreak/>
              <w:t xml:space="preserve">Category 2: </w:t>
            </w:r>
            <w:r w:rsidRPr="00AA5884">
              <w:rPr>
                <w:rFonts w:cstheme="minorHAnsi"/>
                <w:i/>
                <w:iCs/>
                <w:sz w:val="20"/>
                <w:szCs w:val="20"/>
              </w:rPr>
              <w:t xml:space="preserve">Involvement through </w:t>
            </w:r>
            <w:r>
              <w:rPr>
                <w:rFonts w:cstheme="minorHAnsi"/>
                <w:i/>
                <w:iCs/>
                <w:sz w:val="20"/>
                <w:szCs w:val="20"/>
              </w:rPr>
              <w:t>intermediaries (third part</w:t>
            </w:r>
            <w:r w:rsidR="00E40E42">
              <w:rPr>
                <w:rFonts w:cstheme="minorHAnsi"/>
                <w:i/>
                <w:iCs/>
                <w:sz w:val="20"/>
                <w:szCs w:val="20"/>
              </w:rPr>
              <w:t>ies</w:t>
            </w:r>
            <w:r>
              <w:rPr>
                <w:rFonts w:cstheme="minorHAnsi"/>
                <w:i/>
                <w:iCs/>
                <w:sz w:val="20"/>
                <w:szCs w:val="20"/>
              </w:rPr>
              <w:t>)</w:t>
            </w:r>
          </w:p>
          <w:p w14:paraId="5DBF24FE" w14:textId="617C8009" w:rsidR="00BB23E7" w:rsidRPr="00505F60" w:rsidRDefault="00BB23E7" w:rsidP="00EE4AC5">
            <w:pPr>
              <w:spacing w:line="240" w:lineRule="auto"/>
              <w:rPr>
                <w:rFonts w:cstheme="minorHAnsi"/>
                <w:b w:val="0"/>
                <w:bCs w:val="0"/>
                <w:i/>
                <w:iCs/>
                <w:sz w:val="20"/>
                <w:szCs w:val="20"/>
              </w:rPr>
            </w:pPr>
          </w:p>
        </w:tc>
      </w:tr>
      <w:tr w:rsidR="001A3330" w:rsidRPr="003C34EB" w14:paraId="13ABE02E" w14:textId="77777777" w:rsidTr="00BB23E7">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508" w:type="dxa"/>
          </w:tcPr>
          <w:p w14:paraId="22605446" w14:textId="77777777" w:rsidR="001A3330" w:rsidRPr="00BB23E7" w:rsidRDefault="001A3330" w:rsidP="00EE4AC5">
            <w:pPr>
              <w:spacing w:line="240" w:lineRule="auto"/>
              <w:rPr>
                <w:rFonts w:cstheme="minorHAnsi"/>
                <w:b w:val="0"/>
                <w:bCs w:val="0"/>
                <w:i/>
                <w:iCs/>
                <w:sz w:val="20"/>
                <w:szCs w:val="20"/>
              </w:rPr>
            </w:pPr>
            <w:r w:rsidRPr="00BB23E7">
              <w:rPr>
                <w:rFonts w:cstheme="minorHAnsi"/>
                <w:b w:val="0"/>
                <w:bCs w:val="0"/>
                <w:sz w:val="20"/>
                <w:szCs w:val="20"/>
              </w:rPr>
              <w:t>1) Contractual</w:t>
            </w:r>
          </w:p>
          <w:p w14:paraId="648DD306" w14:textId="77777777" w:rsidR="001A3330" w:rsidRPr="00BB23E7" w:rsidRDefault="001A3330" w:rsidP="00EE4AC5">
            <w:pPr>
              <w:spacing w:line="240" w:lineRule="auto"/>
              <w:rPr>
                <w:rFonts w:cstheme="minorHAnsi"/>
                <w:b w:val="0"/>
                <w:bCs w:val="0"/>
                <w:i/>
                <w:iCs/>
                <w:sz w:val="20"/>
                <w:szCs w:val="20"/>
              </w:rPr>
            </w:pPr>
          </w:p>
        </w:tc>
        <w:tc>
          <w:tcPr>
            <w:tcW w:w="7956" w:type="dxa"/>
          </w:tcPr>
          <w:p w14:paraId="2FE585F7" w14:textId="77777777" w:rsidR="001A3330" w:rsidRDefault="001A3330" w:rsidP="00EE4AC5">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Co-branding initiatives in the locality</w:t>
            </w:r>
          </w:p>
          <w:p w14:paraId="13512714" w14:textId="77777777" w:rsidR="001A3330" w:rsidRDefault="001A3330" w:rsidP="00EE4AC5">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C34EB">
              <w:rPr>
                <w:rFonts w:cstheme="minorHAnsi"/>
                <w:sz w:val="20"/>
                <w:szCs w:val="20"/>
              </w:rPr>
              <w:t>Jobs</w:t>
            </w:r>
            <w:r>
              <w:rPr>
                <w:rFonts w:cstheme="minorHAnsi"/>
                <w:sz w:val="20"/>
                <w:szCs w:val="20"/>
              </w:rPr>
              <w:t xml:space="preserve"> </w:t>
            </w:r>
            <w:r w:rsidRPr="003C34EB">
              <w:rPr>
                <w:rFonts w:cstheme="minorHAnsi"/>
                <w:sz w:val="20"/>
                <w:szCs w:val="20"/>
              </w:rPr>
              <w:t xml:space="preserve">and market created </w:t>
            </w:r>
            <w:r>
              <w:rPr>
                <w:rFonts w:cstheme="minorHAnsi"/>
                <w:sz w:val="20"/>
                <w:szCs w:val="20"/>
              </w:rPr>
              <w:t xml:space="preserve">and contracted </w:t>
            </w:r>
            <w:r w:rsidRPr="003C34EB">
              <w:rPr>
                <w:rFonts w:cstheme="minorHAnsi"/>
                <w:sz w:val="20"/>
                <w:szCs w:val="20"/>
              </w:rPr>
              <w:t>in the locality (e.g.</w:t>
            </w:r>
            <w:r>
              <w:rPr>
                <w:rFonts w:cstheme="minorHAnsi"/>
                <w:sz w:val="20"/>
                <w:szCs w:val="20"/>
              </w:rPr>
              <w:t xml:space="preserve"> </w:t>
            </w:r>
            <w:r w:rsidRPr="003C34EB">
              <w:rPr>
                <w:rFonts w:cstheme="minorHAnsi"/>
                <w:sz w:val="20"/>
                <w:szCs w:val="20"/>
              </w:rPr>
              <w:t>suppliers</w:t>
            </w:r>
            <w:r>
              <w:rPr>
                <w:rFonts w:cstheme="minorHAnsi"/>
                <w:sz w:val="20"/>
                <w:szCs w:val="20"/>
              </w:rPr>
              <w:t xml:space="preserve">, </w:t>
            </w:r>
            <w:r w:rsidRPr="003C34EB">
              <w:rPr>
                <w:rFonts w:cstheme="minorHAnsi"/>
                <w:sz w:val="20"/>
                <w:szCs w:val="20"/>
              </w:rPr>
              <w:t>construction</w:t>
            </w:r>
            <w:r>
              <w:rPr>
                <w:rFonts w:cstheme="minorHAnsi"/>
                <w:sz w:val="20"/>
                <w:szCs w:val="20"/>
              </w:rPr>
              <w:t>)</w:t>
            </w:r>
            <w:r w:rsidRPr="003C34EB">
              <w:rPr>
                <w:rFonts w:cstheme="minorHAnsi"/>
                <w:sz w:val="20"/>
                <w:szCs w:val="20"/>
              </w:rPr>
              <w:t xml:space="preserve"> </w:t>
            </w:r>
          </w:p>
          <w:p w14:paraId="2B54F5A5" w14:textId="77777777" w:rsidR="001A3330" w:rsidRPr="00505F60" w:rsidRDefault="001A3330" w:rsidP="00EE4AC5">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5F60">
              <w:rPr>
                <w:rFonts w:cstheme="minorHAnsi"/>
                <w:sz w:val="20"/>
                <w:szCs w:val="20"/>
              </w:rPr>
              <w:t>Local cause-related marketing (</w:t>
            </w:r>
            <w:r>
              <w:rPr>
                <w:rFonts w:cstheme="minorHAnsi"/>
                <w:sz w:val="20"/>
                <w:szCs w:val="20"/>
              </w:rPr>
              <w:t>profit funds</w:t>
            </w:r>
            <w:r w:rsidRPr="00505F60">
              <w:rPr>
                <w:rFonts w:cstheme="minorHAnsi"/>
                <w:sz w:val="20"/>
                <w:szCs w:val="20"/>
              </w:rPr>
              <w:t xml:space="preserve"> toward a LA project, refurbishment, resource)</w:t>
            </w:r>
          </w:p>
        </w:tc>
        <w:tc>
          <w:tcPr>
            <w:tcW w:w="4961" w:type="dxa"/>
          </w:tcPr>
          <w:p w14:paraId="75608A70" w14:textId="6F22AB3B" w:rsidR="001A3330" w:rsidRPr="00505F60" w:rsidRDefault="00954AA8" w:rsidP="00035EC7">
            <w:pPr>
              <w:pStyle w:val="ListParagraph"/>
              <w:numPr>
                <w:ilvl w:val="0"/>
                <w:numId w:val="13"/>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Health campaign </w:t>
            </w:r>
            <w:r w:rsidR="00035EC7">
              <w:rPr>
                <w:rFonts w:cstheme="minorHAnsi"/>
                <w:sz w:val="20"/>
                <w:szCs w:val="20"/>
              </w:rPr>
              <w:t xml:space="preserve">events co-branded </w:t>
            </w:r>
            <w:r w:rsidR="001A3330">
              <w:rPr>
                <w:rFonts w:cstheme="minorHAnsi"/>
                <w:sz w:val="20"/>
                <w:szCs w:val="20"/>
              </w:rPr>
              <w:t xml:space="preserve">with </w:t>
            </w:r>
            <w:r w:rsidR="00FE59F1">
              <w:rPr>
                <w:rFonts w:cstheme="minorHAnsi"/>
                <w:sz w:val="20"/>
                <w:szCs w:val="20"/>
              </w:rPr>
              <w:t>unhealthy beverage industry</w:t>
            </w:r>
          </w:p>
        </w:tc>
      </w:tr>
      <w:tr w:rsidR="001A3330" w:rsidRPr="003C34EB" w14:paraId="3266F6E1" w14:textId="77777777" w:rsidTr="00BB23E7">
        <w:tc>
          <w:tcPr>
            <w:cnfStyle w:val="001000000000" w:firstRow="0" w:lastRow="0" w:firstColumn="1" w:lastColumn="0" w:oddVBand="0" w:evenVBand="0" w:oddHBand="0" w:evenHBand="0" w:firstRowFirstColumn="0" w:firstRowLastColumn="0" w:lastRowFirstColumn="0" w:lastRowLastColumn="0"/>
            <w:tcW w:w="1508" w:type="dxa"/>
          </w:tcPr>
          <w:p w14:paraId="43C3F0FE" w14:textId="77777777" w:rsidR="001A3330" w:rsidRPr="00BB23E7" w:rsidRDefault="001A3330" w:rsidP="00EE4AC5">
            <w:pPr>
              <w:spacing w:line="240" w:lineRule="auto"/>
              <w:rPr>
                <w:rFonts w:cstheme="minorHAnsi"/>
                <w:b w:val="0"/>
                <w:bCs w:val="0"/>
                <w:i/>
                <w:iCs/>
                <w:sz w:val="20"/>
                <w:szCs w:val="20"/>
              </w:rPr>
            </w:pPr>
            <w:r w:rsidRPr="00BB23E7">
              <w:rPr>
                <w:rFonts w:cstheme="minorHAnsi"/>
                <w:b w:val="0"/>
                <w:bCs w:val="0"/>
                <w:sz w:val="20"/>
                <w:szCs w:val="20"/>
              </w:rPr>
              <w:t>2) Voluntary engagements</w:t>
            </w:r>
          </w:p>
        </w:tc>
        <w:tc>
          <w:tcPr>
            <w:tcW w:w="7956" w:type="dxa"/>
          </w:tcPr>
          <w:p w14:paraId="4F012786" w14:textId="5078B392" w:rsidR="001A3330" w:rsidRPr="00486D30" w:rsidRDefault="001A3330" w:rsidP="00EE4AC5">
            <w:pPr>
              <w:pStyle w:val="ListParagraph"/>
              <w:numPr>
                <w:ilvl w:val="0"/>
                <w:numId w:val="1"/>
              </w:num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86D30">
              <w:rPr>
                <w:rFonts w:cstheme="minorHAnsi"/>
                <w:sz w:val="20"/>
                <w:szCs w:val="20"/>
              </w:rPr>
              <w:t xml:space="preserve">Funding of </w:t>
            </w:r>
            <w:r>
              <w:rPr>
                <w:rFonts w:cstheme="minorHAnsi"/>
                <w:sz w:val="20"/>
                <w:szCs w:val="20"/>
              </w:rPr>
              <w:t>NGOs</w:t>
            </w:r>
            <w:r w:rsidRPr="00486D30">
              <w:rPr>
                <w:rFonts w:cstheme="minorHAnsi"/>
                <w:sz w:val="20"/>
                <w:szCs w:val="20"/>
              </w:rPr>
              <w:t xml:space="preserve"> that work with </w:t>
            </w:r>
            <w:r>
              <w:rPr>
                <w:rFonts w:cstheme="minorHAnsi"/>
                <w:sz w:val="20"/>
                <w:szCs w:val="20"/>
              </w:rPr>
              <w:t xml:space="preserve">the </w:t>
            </w:r>
            <w:r w:rsidRPr="00486D30">
              <w:rPr>
                <w:rFonts w:cstheme="minorHAnsi"/>
                <w:sz w:val="20"/>
                <w:szCs w:val="20"/>
              </w:rPr>
              <w:t>LA (charities, SMEs</w:t>
            </w:r>
            <w:r>
              <w:rPr>
                <w:rFonts w:cstheme="minorHAnsi"/>
                <w:sz w:val="20"/>
                <w:szCs w:val="20"/>
              </w:rPr>
              <w:t>)</w:t>
            </w:r>
          </w:p>
          <w:p w14:paraId="7A56250E" w14:textId="77777777" w:rsidR="001A3330" w:rsidRDefault="001A3330" w:rsidP="00EE4AC5">
            <w:pPr>
              <w:pStyle w:val="ListParagraph"/>
              <w:numPr>
                <w:ilvl w:val="0"/>
                <w:numId w:val="1"/>
              </w:num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86D30">
              <w:rPr>
                <w:rFonts w:cstheme="minorHAnsi"/>
                <w:sz w:val="20"/>
                <w:szCs w:val="20"/>
              </w:rPr>
              <w:t>Support</w:t>
            </w:r>
            <w:r w:rsidRPr="00BB35A8">
              <w:rPr>
                <w:rFonts w:cstheme="minorHAnsi"/>
                <w:sz w:val="20"/>
                <w:szCs w:val="20"/>
              </w:rPr>
              <w:t>/sponsor</w:t>
            </w:r>
            <w:r>
              <w:rPr>
                <w:rFonts w:cstheme="minorHAnsi"/>
                <w:sz w:val="20"/>
                <w:szCs w:val="20"/>
              </w:rPr>
              <w:t xml:space="preserve"> </w:t>
            </w:r>
            <w:r w:rsidRPr="00486D30">
              <w:rPr>
                <w:rFonts w:cstheme="minorHAnsi"/>
                <w:sz w:val="20"/>
                <w:szCs w:val="20"/>
              </w:rPr>
              <w:t>locally (e.g. health, arts, events</w:t>
            </w:r>
            <w:r>
              <w:rPr>
                <w:rFonts w:cstheme="minorHAnsi"/>
                <w:sz w:val="20"/>
                <w:szCs w:val="20"/>
              </w:rPr>
              <w:t>,</w:t>
            </w:r>
            <w:r w:rsidRPr="00486D30">
              <w:rPr>
                <w:rFonts w:cstheme="minorHAnsi"/>
                <w:sz w:val="20"/>
                <w:szCs w:val="20"/>
              </w:rPr>
              <w:t xml:space="preserve"> community-level initiatives, sport), </w:t>
            </w:r>
            <w:r>
              <w:rPr>
                <w:rFonts w:cstheme="minorHAnsi"/>
                <w:sz w:val="20"/>
                <w:szCs w:val="20"/>
              </w:rPr>
              <w:t>contribute to/</w:t>
            </w:r>
            <w:r w:rsidRPr="00486D30">
              <w:rPr>
                <w:rFonts w:cstheme="minorHAnsi"/>
                <w:sz w:val="20"/>
                <w:szCs w:val="20"/>
              </w:rPr>
              <w:t xml:space="preserve">lead </w:t>
            </w:r>
            <w:r>
              <w:rPr>
                <w:rFonts w:cstheme="minorHAnsi"/>
                <w:sz w:val="20"/>
                <w:szCs w:val="20"/>
              </w:rPr>
              <w:t>l</w:t>
            </w:r>
            <w:r w:rsidRPr="00486D30">
              <w:rPr>
                <w:rFonts w:cstheme="minorHAnsi"/>
                <w:sz w:val="20"/>
                <w:szCs w:val="20"/>
              </w:rPr>
              <w:t>ocal programme</w:t>
            </w:r>
            <w:r>
              <w:rPr>
                <w:rFonts w:cstheme="minorHAnsi"/>
                <w:sz w:val="20"/>
                <w:szCs w:val="20"/>
              </w:rPr>
              <w:t xml:space="preserve">s, </w:t>
            </w:r>
            <w:r w:rsidRPr="00486D30">
              <w:rPr>
                <w:rFonts w:cstheme="minorHAnsi"/>
                <w:sz w:val="20"/>
                <w:szCs w:val="20"/>
              </w:rPr>
              <w:t>information</w:t>
            </w:r>
            <w:r>
              <w:rPr>
                <w:rFonts w:cstheme="minorHAnsi"/>
                <w:sz w:val="20"/>
                <w:szCs w:val="20"/>
              </w:rPr>
              <w:t xml:space="preserve">, </w:t>
            </w:r>
            <w:r w:rsidRPr="00486D30">
              <w:rPr>
                <w:rFonts w:cstheme="minorHAnsi"/>
                <w:sz w:val="20"/>
                <w:szCs w:val="20"/>
              </w:rPr>
              <w:t>curriculum</w:t>
            </w:r>
            <w:r>
              <w:rPr>
                <w:rFonts w:cstheme="minorHAnsi"/>
                <w:sz w:val="20"/>
                <w:szCs w:val="20"/>
              </w:rPr>
              <w:t>, resources/</w:t>
            </w:r>
            <w:r w:rsidRPr="00486D30">
              <w:rPr>
                <w:rFonts w:cstheme="minorHAnsi"/>
                <w:sz w:val="20"/>
                <w:szCs w:val="20"/>
              </w:rPr>
              <w:t>technical support</w:t>
            </w:r>
          </w:p>
          <w:p w14:paraId="55D88112" w14:textId="77777777" w:rsidR="001A3330" w:rsidRDefault="001A3330" w:rsidP="00EE4AC5">
            <w:pPr>
              <w:pStyle w:val="ListParagraph"/>
              <w:numPr>
                <w:ilvl w:val="0"/>
                <w:numId w:val="1"/>
              </w:num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C34EB">
              <w:rPr>
                <w:rFonts w:cstheme="minorHAnsi"/>
                <w:sz w:val="20"/>
                <w:szCs w:val="20"/>
              </w:rPr>
              <w:t>Donations to local groups</w:t>
            </w:r>
            <w:r>
              <w:rPr>
                <w:rFonts w:cstheme="minorHAnsi"/>
                <w:sz w:val="20"/>
                <w:szCs w:val="20"/>
              </w:rPr>
              <w:t>/</w:t>
            </w:r>
            <w:r w:rsidRPr="003C34EB">
              <w:rPr>
                <w:rFonts w:cstheme="minorHAnsi"/>
                <w:sz w:val="20"/>
                <w:szCs w:val="20"/>
              </w:rPr>
              <w:t>community ‘worthy causes’</w:t>
            </w:r>
            <w:r>
              <w:rPr>
                <w:rFonts w:cstheme="minorHAnsi"/>
                <w:sz w:val="20"/>
                <w:szCs w:val="20"/>
              </w:rPr>
              <w:t xml:space="preserve"> </w:t>
            </w:r>
            <w:r w:rsidRPr="003C34EB">
              <w:rPr>
                <w:rFonts w:cstheme="minorHAnsi"/>
                <w:sz w:val="20"/>
                <w:szCs w:val="20"/>
              </w:rPr>
              <w:t>(develop</w:t>
            </w:r>
            <w:r>
              <w:rPr>
                <w:rFonts w:cstheme="minorHAnsi"/>
                <w:sz w:val="20"/>
                <w:szCs w:val="20"/>
              </w:rPr>
              <w:t xml:space="preserve">, </w:t>
            </w:r>
            <w:r w:rsidRPr="003C34EB">
              <w:rPr>
                <w:rFonts w:cstheme="minorHAnsi"/>
                <w:sz w:val="20"/>
                <w:szCs w:val="20"/>
              </w:rPr>
              <w:t>renovate</w:t>
            </w:r>
            <w:r>
              <w:rPr>
                <w:rFonts w:cstheme="minorHAnsi"/>
                <w:sz w:val="20"/>
                <w:szCs w:val="20"/>
              </w:rPr>
              <w:t>)</w:t>
            </w:r>
          </w:p>
          <w:p w14:paraId="6DDC7A76" w14:textId="77777777" w:rsidR="001A3330" w:rsidRPr="00505F60" w:rsidRDefault="001A3330" w:rsidP="00EE4AC5">
            <w:pPr>
              <w:pStyle w:val="ListParagraph"/>
              <w:numPr>
                <w:ilvl w:val="0"/>
                <w:numId w:val="1"/>
              </w:num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5F60">
              <w:rPr>
                <w:rFonts w:cstheme="minorHAnsi"/>
                <w:sz w:val="20"/>
                <w:szCs w:val="20"/>
              </w:rPr>
              <w:t xml:space="preserve">Create </w:t>
            </w:r>
            <w:r>
              <w:rPr>
                <w:rFonts w:cstheme="minorHAnsi"/>
                <w:sz w:val="20"/>
                <w:szCs w:val="20"/>
              </w:rPr>
              <w:t xml:space="preserve">local </w:t>
            </w:r>
            <w:r w:rsidRPr="00505F60">
              <w:rPr>
                <w:rFonts w:cstheme="minorHAnsi"/>
                <w:sz w:val="20"/>
                <w:szCs w:val="20"/>
              </w:rPr>
              <w:t>awareness</w:t>
            </w:r>
            <w:r>
              <w:rPr>
                <w:rFonts w:cstheme="minorHAnsi"/>
                <w:sz w:val="20"/>
                <w:szCs w:val="20"/>
              </w:rPr>
              <w:t xml:space="preserve"> </w:t>
            </w:r>
            <w:r w:rsidRPr="00505F60">
              <w:rPr>
                <w:rFonts w:cstheme="minorHAnsi"/>
                <w:sz w:val="20"/>
                <w:szCs w:val="20"/>
              </w:rPr>
              <w:t>groups,</w:t>
            </w:r>
            <w:r>
              <w:rPr>
                <w:rFonts w:cstheme="minorHAnsi"/>
                <w:sz w:val="20"/>
                <w:szCs w:val="20"/>
              </w:rPr>
              <w:t xml:space="preserve"> solution/</w:t>
            </w:r>
            <w:r w:rsidRPr="00505F60">
              <w:rPr>
                <w:rFonts w:cstheme="minorHAnsi"/>
                <w:sz w:val="20"/>
                <w:szCs w:val="20"/>
              </w:rPr>
              <w:t>therapy programmes, youth prevention</w:t>
            </w:r>
          </w:p>
        </w:tc>
        <w:tc>
          <w:tcPr>
            <w:tcW w:w="4961" w:type="dxa"/>
          </w:tcPr>
          <w:p w14:paraId="3E52E26D" w14:textId="200FDD63" w:rsidR="001A3330" w:rsidRPr="00B204D4" w:rsidRDefault="001A3330" w:rsidP="00EE4AC5">
            <w:pPr>
              <w:pStyle w:val="ListParagraph"/>
              <w:numPr>
                <w:ilvl w:val="0"/>
                <w:numId w:val="5"/>
              </w:num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04D4">
              <w:rPr>
                <w:rFonts w:cstheme="minorHAnsi"/>
                <w:sz w:val="20"/>
                <w:szCs w:val="20"/>
              </w:rPr>
              <w:t>Community Alcohol Partnerships</w:t>
            </w:r>
          </w:p>
          <w:p w14:paraId="0CC53642" w14:textId="146D0B26" w:rsidR="001A3330" w:rsidRPr="00B204D4" w:rsidRDefault="001A3330" w:rsidP="00EE4AC5">
            <w:pPr>
              <w:pStyle w:val="ListParagraph"/>
              <w:numPr>
                <w:ilvl w:val="0"/>
                <w:numId w:val="5"/>
              </w:num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04D4">
              <w:rPr>
                <w:rFonts w:cstheme="minorHAnsi"/>
                <w:sz w:val="20"/>
                <w:szCs w:val="20"/>
              </w:rPr>
              <w:t>LA investment portfolios and commercial borrowing</w:t>
            </w:r>
          </w:p>
          <w:p w14:paraId="04BF4079" w14:textId="0616B64B" w:rsidR="001A3330" w:rsidRPr="00B204D4" w:rsidRDefault="00B01ED2" w:rsidP="00EE4AC5">
            <w:pPr>
              <w:pStyle w:val="ListParagraph"/>
              <w:numPr>
                <w:ilvl w:val="0"/>
                <w:numId w:val="5"/>
              </w:num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LA-HCI j</w:t>
            </w:r>
            <w:r w:rsidR="00954AA8">
              <w:rPr>
                <w:rFonts w:cstheme="minorHAnsi"/>
                <w:sz w:val="20"/>
                <w:szCs w:val="20"/>
              </w:rPr>
              <w:t xml:space="preserve">oint membership and funding on environmental, youth, food insecurity, neighbourhood schemes and community groups </w:t>
            </w:r>
          </w:p>
          <w:p w14:paraId="381901CD" w14:textId="73CD6D56" w:rsidR="001A3330" w:rsidRPr="00B204D4" w:rsidRDefault="001A3330" w:rsidP="00EE4AC5">
            <w:pPr>
              <w:pStyle w:val="ListParagraph"/>
              <w:numPr>
                <w:ilvl w:val="0"/>
                <w:numId w:val="5"/>
              </w:num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04D4">
              <w:rPr>
                <w:rFonts w:cstheme="minorHAnsi"/>
                <w:sz w:val="20"/>
                <w:szCs w:val="20"/>
              </w:rPr>
              <w:t>UK</w:t>
            </w:r>
            <w:r w:rsidR="00954AA8">
              <w:rPr>
                <w:rFonts w:cstheme="minorHAnsi"/>
                <w:sz w:val="20"/>
                <w:szCs w:val="20"/>
              </w:rPr>
              <w:t xml:space="preserve"> charity</w:t>
            </w:r>
            <w:r w:rsidRPr="00B204D4">
              <w:rPr>
                <w:rFonts w:cstheme="minorHAnsi"/>
                <w:sz w:val="20"/>
                <w:szCs w:val="20"/>
              </w:rPr>
              <w:t xml:space="preserve"> partnership with </w:t>
            </w:r>
            <w:r w:rsidR="00B01ED2">
              <w:rPr>
                <w:rFonts w:cstheme="minorHAnsi"/>
                <w:sz w:val="20"/>
                <w:szCs w:val="20"/>
              </w:rPr>
              <w:t xml:space="preserve">HFSS brand </w:t>
            </w:r>
            <w:r w:rsidRPr="00B204D4">
              <w:rPr>
                <w:rFonts w:cstheme="minorHAnsi"/>
                <w:sz w:val="20"/>
                <w:szCs w:val="20"/>
              </w:rPr>
              <w:t>to support children’s educational programmes</w:t>
            </w:r>
          </w:p>
        </w:tc>
      </w:tr>
      <w:tr w:rsidR="001A3330" w:rsidRPr="003C34EB" w14:paraId="66368ED3" w14:textId="77777777" w:rsidTr="00BB2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14:paraId="3319F4AC" w14:textId="470EFBAF" w:rsidR="001A3330" w:rsidRPr="00BB23E7" w:rsidRDefault="001A3330" w:rsidP="00EE4AC5">
            <w:pPr>
              <w:spacing w:line="240" w:lineRule="auto"/>
              <w:rPr>
                <w:rFonts w:cstheme="minorHAnsi"/>
                <w:b w:val="0"/>
                <w:bCs w:val="0"/>
                <w:i/>
                <w:iCs/>
                <w:sz w:val="20"/>
                <w:szCs w:val="20"/>
              </w:rPr>
            </w:pPr>
            <w:r w:rsidRPr="00BB23E7">
              <w:rPr>
                <w:rFonts w:cstheme="minorHAnsi"/>
                <w:b w:val="0"/>
                <w:bCs w:val="0"/>
                <w:sz w:val="20"/>
                <w:szCs w:val="20"/>
              </w:rPr>
              <w:t xml:space="preserve">3) </w:t>
            </w:r>
            <w:r w:rsidR="00B65544">
              <w:rPr>
                <w:rFonts w:cstheme="minorHAnsi"/>
                <w:b w:val="0"/>
                <w:bCs w:val="0"/>
                <w:sz w:val="20"/>
                <w:szCs w:val="20"/>
              </w:rPr>
              <w:t>Other engagement strategies</w:t>
            </w:r>
          </w:p>
        </w:tc>
        <w:tc>
          <w:tcPr>
            <w:tcW w:w="7956" w:type="dxa"/>
          </w:tcPr>
          <w:p w14:paraId="05CC49A6" w14:textId="6141CA35" w:rsidR="001A3330" w:rsidRPr="003C34EB" w:rsidRDefault="00E909DF" w:rsidP="00EE4AC5">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P</w:t>
            </w:r>
            <w:r w:rsidR="001A3330" w:rsidRPr="003C34EB">
              <w:rPr>
                <w:rFonts w:cstheme="minorHAnsi"/>
                <w:sz w:val="20"/>
                <w:szCs w:val="20"/>
              </w:rPr>
              <w:t>lacement of industry-friendly persons</w:t>
            </w:r>
            <w:r w:rsidR="001A3330">
              <w:rPr>
                <w:rFonts w:cstheme="minorHAnsi"/>
                <w:sz w:val="20"/>
                <w:szCs w:val="20"/>
              </w:rPr>
              <w:t>/</w:t>
            </w:r>
            <w:r w:rsidR="001A3330" w:rsidRPr="003C34EB">
              <w:rPr>
                <w:rFonts w:cstheme="minorHAnsi"/>
                <w:sz w:val="20"/>
                <w:szCs w:val="20"/>
              </w:rPr>
              <w:t xml:space="preserve">advocates within local key influential </w:t>
            </w:r>
            <w:r w:rsidR="001A3330">
              <w:rPr>
                <w:rFonts w:cstheme="minorHAnsi"/>
                <w:sz w:val="20"/>
                <w:szCs w:val="20"/>
              </w:rPr>
              <w:t>NGOs</w:t>
            </w:r>
          </w:p>
          <w:p w14:paraId="09320CA5" w14:textId="77777777" w:rsidR="001A3330" w:rsidRDefault="001A3330" w:rsidP="00EE4AC5">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r w:rsidRPr="003C34EB">
              <w:rPr>
                <w:rFonts w:cstheme="minorHAnsi"/>
                <w:sz w:val="20"/>
                <w:szCs w:val="20"/>
              </w:rPr>
              <w:t>Interlocking</w:t>
            </w:r>
            <w:r>
              <w:rPr>
                <w:rFonts w:cstheme="minorHAnsi"/>
                <w:sz w:val="20"/>
                <w:szCs w:val="20"/>
              </w:rPr>
              <w:t>’</w:t>
            </w:r>
            <w:r w:rsidRPr="003C34EB">
              <w:rPr>
                <w:rFonts w:cstheme="minorHAnsi"/>
                <w:sz w:val="20"/>
                <w:szCs w:val="20"/>
              </w:rPr>
              <w:t xml:space="preserve"> directorates</w:t>
            </w:r>
            <w:r>
              <w:rPr>
                <w:rFonts w:cstheme="minorHAnsi"/>
                <w:sz w:val="20"/>
                <w:szCs w:val="20"/>
              </w:rPr>
              <w:t>/</w:t>
            </w:r>
            <w:r w:rsidRPr="003C34EB">
              <w:rPr>
                <w:rFonts w:cstheme="minorHAnsi"/>
                <w:sz w:val="20"/>
                <w:szCs w:val="20"/>
              </w:rPr>
              <w:t>presence on board of directors, legal, PR</w:t>
            </w:r>
            <w:r>
              <w:rPr>
                <w:rFonts w:cstheme="minorHAnsi"/>
                <w:sz w:val="20"/>
                <w:szCs w:val="20"/>
              </w:rPr>
              <w:t>/</w:t>
            </w:r>
            <w:r w:rsidRPr="003C34EB">
              <w:rPr>
                <w:rFonts w:cstheme="minorHAnsi"/>
                <w:sz w:val="20"/>
                <w:szCs w:val="20"/>
              </w:rPr>
              <w:t>marketing firms and lobbyists across local industry</w:t>
            </w:r>
          </w:p>
          <w:p w14:paraId="601BD747" w14:textId="77777777" w:rsidR="001A3330" w:rsidRPr="003C34EB" w:rsidRDefault="001A3330" w:rsidP="00EE4AC5">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C34EB">
              <w:rPr>
                <w:rFonts w:cstheme="minorHAnsi"/>
                <w:sz w:val="20"/>
                <w:szCs w:val="20"/>
              </w:rPr>
              <w:t xml:space="preserve">Establish relationships with key opinion leaders </w:t>
            </w:r>
            <w:r>
              <w:rPr>
                <w:rFonts w:cstheme="minorHAnsi"/>
                <w:sz w:val="20"/>
                <w:szCs w:val="20"/>
              </w:rPr>
              <w:t xml:space="preserve">and spokespersons </w:t>
            </w:r>
            <w:r w:rsidRPr="003C34EB">
              <w:rPr>
                <w:rFonts w:cstheme="minorHAnsi"/>
                <w:sz w:val="20"/>
                <w:szCs w:val="20"/>
              </w:rPr>
              <w:t>in the local area</w:t>
            </w:r>
          </w:p>
          <w:p w14:paraId="271EA79F" w14:textId="2B178049" w:rsidR="001A3330" w:rsidRPr="003C34EB" w:rsidRDefault="001A3330" w:rsidP="00EE4AC5">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C34EB">
              <w:rPr>
                <w:rFonts w:cstheme="minorHAnsi"/>
                <w:sz w:val="20"/>
                <w:szCs w:val="20"/>
              </w:rPr>
              <w:t>Establis</w:t>
            </w:r>
            <w:r>
              <w:rPr>
                <w:rFonts w:cstheme="minorHAnsi"/>
                <w:sz w:val="20"/>
                <w:szCs w:val="20"/>
              </w:rPr>
              <w:t xml:space="preserve">h </w:t>
            </w:r>
            <w:r w:rsidRPr="003C34EB">
              <w:rPr>
                <w:rFonts w:cstheme="minorHAnsi"/>
                <w:sz w:val="20"/>
                <w:szCs w:val="20"/>
              </w:rPr>
              <w:t xml:space="preserve">relationships with local media, PR associations, journalists, bloggers to communicate </w:t>
            </w:r>
            <w:r w:rsidR="00527842">
              <w:rPr>
                <w:rFonts w:cstheme="minorHAnsi"/>
                <w:sz w:val="20"/>
                <w:szCs w:val="20"/>
              </w:rPr>
              <w:t>concerning</w:t>
            </w:r>
            <w:r w:rsidRPr="003C34EB">
              <w:rPr>
                <w:rFonts w:cstheme="minorHAnsi"/>
                <w:sz w:val="20"/>
                <w:szCs w:val="20"/>
              </w:rPr>
              <w:t xml:space="preserve"> LA issues</w:t>
            </w:r>
            <w:r>
              <w:rPr>
                <w:rFonts w:cstheme="minorHAnsi"/>
                <w:sz w:val="20"/>
                <w:szCs w:val="20"/>
              </w:rPr>
              <w:t xml:space="preserve"> </w:t>
            </w:r>
          </w:p>
          <w:p w14:paraId="5E1136A8" w14:textId="77777777" w:rsidR="001A3330" w:rsidRDefault="001A3330" w:rsidP="00EE4AC5">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C34EB">
              <w:rPr>
                <w:rFonts w:cstheme="minorHAnsi"/>
                <w:sz w:val="20"/>
                <w:szCs w:val="20"/>
              </w:rPr>
              <w:t>Local ‘pan-industry’ groups, multi-stakeholder networks, think-tanks (joining</w:t>
            </w:r>
            <w:r>
              <w:rPr>
                <w:rFonts w:cstheme="minorHAnsi"/>
                <w:sz w:val="20"/>
                <w:szCs w:val="20"/>
              </w:rPr>
              <w:t xml:space="preserve"> local industry)</w:t>
            </w:r>
            <w:r w:rsidRPr="003C34EB">
              <w:rPr>
                <w:rFonts w:cstheme="minorHAnsi"/>
                <w:sz w:val="20"/>
                <w:szCs w:val="20"/>
              </w:rPr>
              <w:t xml:space="preserve"> </w:t>
            </w:r>
          </w:p>
          <w:p w14:paraId="556AB833" w14:textId="3FA14231" w:rsidR="001A3330" w:rsidRPr="00505F60" w:rsidRDefault="001A3330" w:rsidP="00EE4AC5">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5F60">
              <w:rPr>
                <w:rFonts w:cstheme="minorHAnsi"/>
                <w:sz w:val="20"/>
                <w:szCs w:val="20"/>
              </w:rPr>
              <w:t>Create local grassroot</w:t>
            </w:r>
            <w:r w:rsidR="00527842">
              <w:rPr>
                <w:rFonts w:cstheme="minorHAnsi"/>
                <w:sz w:val="20"/>
                <w:szCs w:val="20"/>
              </w:rPr>
              <w:t>s</w:t>
            </w:r>
            <w:r w:rsidRPr="00505F60">
              <w:rPr>
                <w:rFonts w:cstheme="minorHAnsi"/>
                <w:sz w:val="20"/>
                <w:szCs w:val="20"/>
              </w:rPr>
              <w:t xml:space="preserve">, or fake </w:t>
            </w:r>
            <w:r>
              <w:rPr>
                <w:rFonts w:cstheme="minorHAnsi"/>
                <w:sz w:val="20"/>
                <w:szCs w:val="20"/>
              </w:rPr>
              <w:t>-</w:t>
            </w:r>
            <w:r w:rsidRPr="00505F60">
              <w:rPr>
                <w:rFonts w:cstheme="minorHAnsi"/>
                <w:sz w:val="20"/>
                <w:szCs w:val="20"/>
              </w:rPr>
              <w:t>‘Astroturf’</w:t>
            </w:r>
            <w:r>
              <w:rPr>
                <w:rFonts w:cstheme="minorHAnsi"/>
                <w:sz w:val="20"/>
                <w:szCs w:val="20"/>
              </w:rPr>
              <w:t xml:space="preserve"> o</w:t>
            </w:r>
            <w:r w:rsidRPr="00505F60">
              <w:rPr>
                <w:rFonts w:cstheme="minorHAnsi"/>
                <w:sz w:val="20"/>
                <w:szCs w:val="20"/>
              </w:rPr>
              <w:t>rganisations, front groups, forums</w:t>
            </w:r>
            <w:r>
              <w:rPr>
                <w:rFonts w:cstheme="minorHAnsi"/>
                <w:sz w:val="20"/>
                <w:szCs w:val="20"/>
              </w:rPr>
              <w:t xml:space="preserve"> </w:t>
            </w:r>
          </w:p>
        </w:tc>
        <w:tc>
          <w:tcPr>
            <w:tcW w:w="4961" w:type="dxa"/>
          </w:tcPr>
          <w:p w14:paraId="7A296F50" w14:textId="5AAFAE4F" w:rsidR="001A3330" w:rsidRPr="00B204D4" w:rsidRDefault="00954AA8" w:rsidP="00035EC7">
            <w:pPr>
              <w:pStyle w:val="ListParagraph"/>
              <w:numPr>
                <w:ilvl w:val="0"/>
                <w:numId w:val="6"/>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Research centres </w:t>
            </w:r>
            <w:r w:rsidR="001A3330" w:rsidRPr="00B204D4">
              <w:rPr>
                <w:rFonts w:cstheme="minorHAnsi"/>
                <w:sz w:val="20"/>
                <w:szCs w:val="20"/>
              </w:rPr>
              <w:t xml:space="preserve">funded by </w:t>
            </w:r>
            <w:r w:rsidR="00BB63C2">
              <w:rPr>
                <w:rFonts w:cstheme="minorHAnsi"/>
                <w:sz w:val="20"/>
                <w:szCs w:val="20"/>
              </w:rPr>
              <w:t>HFSS industries</w:t>
            </w:r>
          </w:p>
          <w:p w14:paraId="22A05AC2" w14:textId="21B3044C" w:rsidR="001A3330" w:rsidRPr="00B204D4" w:rsidRDefault="00B01ED2" w:rsidP="00035EC7">
            <w:pPr>
              <w:pStyle w:val="ListParagraph"/>
              <w:numPr>
                <w:ilvl w:val="0"/>
                <w:numId w:val="12"/>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HFSS </w:t>
            </w:r>
            <w:r w:rsidR="00BB63C2">
              <w:rPr>
                <w:rFonts w:cstheme="minorHAnsi"/>
                <w:sz w:val="20"/>
                <w:szCs w:val="20"/>
              </w:rPr>
              <w:t>food F</w:t>
            </w:r>
            <w:r w:rsidR="001A3330" w:rsidRPr="00B204D4">
              <w:rPr>
                <w:rFonts w:cstheme="minorHAnsi"/>
                <w:sz w:val="20"/>
                <w:szCs w:val="20"/>
              </w:rPr>
              <w:t>ranchisee maintain</w:t>
            </w:r>
            <w:r w:rsidR="00954AA8">
              <w:rPr>
                <w:rFonts w:cstheme="minorHAnsi"/>
                <w:sz w:val="20"/>
                <w:szCs w:val="20"/>
              </w:rPr>
              <w:t xml:space="preserve">ing close </w:t>
            </w:r>
            <w:r w:rsidR="001A3330" w:rsidRPr="00B204D4">
              <w:rPr>
                <w:rFonts w:cstheme="minorHAnsi"/>
                <w:sz w:val="20"/>
                <w:szCs w:val="20"/>
              </w:rPr>
              <w:t xml:space="preserve">connections with LA and </w:t>
            </w:r>
            <w:r w:rsidR="00527842">
              <w:rPr>
                <w:rFonts w:cstheme="minorHAnsi"/>
                <w:sz w:val="20"/>
                <w:szCs w:val="20"/>
              </w:rPr>
              <w:t xml:space="preserve">the </w:t>
            </w:r>
            <w:r w:rsidR="001A3330" w:rsidRPr="00B204D4">
              <w:rPr>
                <w:rFonts w:cstheme="minorHAnsi"/>
                <w:sz w:val="20"/>
                <w:szCs w:val="20"/>
              </w:rPr>
              <w:t>local community</w:t>
            </w:r>
          </w:p>
          <w:p w14:paraId="7CC68057" w14:textId="3697D3EB" w:rsidR="001A3330" w:rsidRPr="00B204D4" w:rsidRDefault="00BB63C2">
            <w:pPr>
              <w:pStyle w:val="ListParagraph"/>
              <w:numPr>
                <w:ilvl w:val="0"/>
                <w:numId w:val="6"/>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Unhealthy beverage industry</w:t>
            </w:r>
            <w:r w:rsidR="001A3330" w:rsidRPr="00B204D4">
              <w:rPr>
                <w:rFonts w:cstheme="minorHAnsi"/>
                <w:sz w:val="20"/>
                <w:szCs w:val="20"/>
              </w:rPr>
              <w:t xml:space="preserve"> acquir</w:t>
            </w:r>
            <w:r w:rsidR="00954AA8">
              <w:rPr>
                <w:rFonts w:cstheme="minorHAnsi"/>
                <w:sz w:val="20"/>
                <w:szCs w:val="20"/>
              </w:rPr>
              <w:t xml:space="preserve">ing healthful brand </w:t>
            </w:r>
            <w:r w:rsidR="001B4AEC">
              <w:rPr>
                <w:rFonts w:cstheme="minorHAnsi"/>
                <w:sz w:val="20"/>
                <w:szCs w:val="20"/>
              </w:rPr>
              <w:t>and</w:t>
            </w:r>
            <w:r w:rsidR="001A3330" w:rsidRPr="00B204D4">
              <w:rPr>
                <w:rFonts w:cstheme="minorHAnsi"/>
                <w:sz w:val="20"/>
                <w:szCs w:val="20"/>
              </w:rPr>
              <w:t xml:space="preserve"> partner</w:t>
            </w:r>
            <w:r w:rsidR="001B4AEC">
              <w:rPr>
                <w:rFonts w:cstheme="minorHAnsi"/>
                <w:sz w:val="20"/>
                <w:szCs w:val="20"/>
              </w:rPr>
              <w:t>ing with school campaigns</w:t>
            </w:r>
            <w:r w:rsidR="001A3330" w:rsidRPr="00B204D4">
              <w:rPr>
                <w:rFonts w:cstheme="minorHAnsi"/>
                <w:sz w:val="20"/>
                <w:szCs w:val="20"/>
              </w:rPr>
              <w:t xml:space="preserve"> </w:t>
            </w:r>
            <w:r w:rsidR="00AB6E5E">
              <w:rPr>
                <w:rFonts w:cstheme="minorHAnsi"/>
                <w:sz w:val="20"/>
                <w:szCs w:val="20"/>
              </w:rPr>
              <w:t xml:space="preserve">in LA funded schools </w:t>
            </w:r>
            <w:r w:rsidR="001A3330" w:rsidRPr="00B204D4">
              <w:rPr>
                <w:rFonts w:cstheme="minorHAnsi"/>
                <w:sz w:val="20"/>
                <w:szCs w:val="20"/>
              </w:rPr>
              <w:t>across the UK</w:t>
            </w:r>
          </w:p>
        </w:tc>
      </w:tr>
      <w:tr w:rsidR="001A3330" w:rsidRPr="003C34EB" w14:paraId="134909D2" w14:textId="77777777" w:rsidTr="00BB23E7">
        <w:tc>
          <w:tcPr>
            <w:cnfStyle w:val="001000000000" w:firstRow="0" w:lastRow="0" w:firstColumn="1" w:lastColumn="0" w:oddVBand="0" w:evenVBand="0" w:oddHBand="0" w:evenHBand="0" w:firstRowFirstColumn="0" w:firstRowLastColumn="0" w:lastRowFirstColumn="0" w:lastRowLastColumn="0"/>
            <w:tcW w:w="14425" w:type="dxa"/>
            <w:gridSpan w:val="3"/>
          </w:tcPr>
          <w:p w14:paraId="79434172" w14:textId="77777777" w:rsidR="001A3330" w:rsidRDefault="001A3330" w:rsidP="00BB23E7">
            <w:pPr>
              <w:spacing w:before="240" w:line="240" w:lineRule="auto"/>
              <w:rPr>
                <w:rFonts w:cstheme="minorHAnsi"/>
                <w:b w:val="0"/>
                <w:bCs w:val="0"/>
                <w:i/>
                <w:iCs/>
                <w:sz w:val="20"/>
                <w:szCs w:val="20"/>
              </w:rPr>
            </w:pPr>
            <w:r w:rsidRPr="00B204D4">
              <w:rPr>
                <w:rFonts w:cstheme="minorHAnsi"/>
                <w:i/>
                <w:iCs/>
                <w:sz w:val="20"/>
                <w:szCs w:val="20"/>
              </w:rPr>
              <w:t xml:space="preserve">Category 3: Involvement through the </w:t>
            </w:r>
            <w:r w:rsidR="00FE68C2">
              <w:rPr>
                <w:rFonts w:cstheme="minorHAnsi"/>
                <w:i/>
                <w:iCs/>
                <w:sz w:val="20"/>
                <w:szCs w:val="20"/>
              </w:rPr>
              <w:t xml:space="preserve">local </w:t>
            </w:r>
            <w:r w:rsidRPr="00B204D4">
              <w:rPr>
                <w:rFonts w:cstheme="minorHAnsi"/>
                <w:i/>
                <w:iCs/>
                <w:sz w:val="20"/>
                <w:szCs w:val="20"/>
              </w:rPr>
              <w:t xml:space="preserve">knowledge </w:t>
            </w:r>
            <w:r w:rsidR="00FE68C2">
              <w:rPr>
                <w:rFonts w:cstheme="minorHAnsi"/>
                <w:i/>
                <w:iCs/>
                <w:sz w:val="20"/>
                <w:szCs w:val="20"/>
              </w:rPr>
              <w:t>space</w:t>
            </w:r>
          </w:p>
          <w:p w14:paraId="5612335B" w14:textId="3218B778" w:rsidR="00BB23E7" w:rsidRPr="00B204D4" w:rsidRDefault="00BB23E7" w:rsidP="00EE4AC5">
            <w:pPr>
              <w:spacing w:line="240" w:lineRule="auto"/>
              <w:rPr>
                <w:rFonts w:cstheme="minorHAnsi"/>
                <w:sz w:val="20"/>
                <w:szCs w:val="20"/>
              </w:rPr>
            </w:pPr>
          </w:p>
        </w:tc>
      </w:tr>
      <w:tr w:rsidR="001A3330" w:rsidRPr="003C34EB" w14:paraId="514BE58A" w14:textId="77777777" w:rsidTr="00BB2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14:paraId="740A7602" w14:textId="7009A6E1" w:rsidR="001A3330" w:rsidRPr="00BB23E7" w:rsidRDefault="001A3330" w:rsidP="00EE4AC5">
            <w:pPr>
              <w:spacing w:line="240" w:lineRule="auto"/>
              <w:rPr>
                <w:rFonts w:cstheme="minorHAnsi"/>
                <w:b w:val="0"/>
                <w:bCs w:val="0"/>
                <w:i/>
                <w:iCs/>
                <w:sz w:val="20"/>
                <w:szCs w:val="20"/>
              </w:rPr>
            </w:pPr>
            <w:r w:rsidRPr="00BB23E7">
              <w:rPr>
                <w:rFonts w:cstheme="minorHAnsi"/>
                <w:b w:val="0"/>
                <w:bCs w:val="0"/>
                <w:sz w:val="20"/>
                <w:szCs w:val="20"/>
              </w:rPr>
              <w:t>1) Influence local health message</w:t>
            </w:r>
            <w:r w:rsidR="000450D2" w:rsidRPr="00BB23E7">
              <w:rPr>
                <w:rFonts w:cstheme="minorHAnsi"/>
                <w:b w:val="0"/>
                <w:bCs w:val="0"/>
                <w:sz w:val="20"/>
                <w:szCs w:val="20"/>
              </w:rPr>
              <w:t>s</w:t>
            </w:r>
          </w:p>
        </w:tc>
        <w:tc>
          <w:tcPr>
            <w:tcW w:w="7956" w:type="dxa"/>
          </w:tcPr>
          <w:p w14:paraId="505E17D2" w14:textId="1C56D1DF" w:rsidR="001A3330" w:rsidRPr="003C34EB" w:rsidRDefault="001A3330" w:rsidP="00EE4AC5">
            <w:pPr>
              <w:pStyle w:val="ListParagraph"/>
              <w:numPr>
                <w:ilvl w:val="0"/>
                <w:numId w:val="2"/>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C34EB">
              <w:rPr>
                <w:rFonts w:cstheme="minorHAnsi"/>
                <w:sz w:val="20"/>
                <w:szCs w:val="20"/>
              </w:rPr>
              <w:t>Fund and co-opt researchers, scientists, academics, chairs, university programs, ghost</w:t>
            </w:r>
            <w:r w:rsidR="00AB6E5E">
              <w:rPr>
                <w:rFonts w:cstheme="minorHAnsi"/>
                <w:sz w:val="20"/>
                <w:szCs w:val="20"/>
              </w:rPr>
              <w:t xml:space="preserve"> </w:t>
            </w:r>
            <w:r w:rsidRPr="003C34EB">
              <w:rPr>
                <w:rFonts w:cstheme="minorHAnsi"/>
                <w:sz w:val="20"/>
                <w:szCs w:val="20"/>
              </w:rPr>
              <w:t>writers, institutions, foundations</w:t>
            </w:r>
            <w:r>
              <w:rPr>
                <w:rFonts w:cstheme="minorHAnsi"/>
                <w:sz w:val="20"/>
                <w:szCs w:val="20"/>
              </w:rPr>
              <w:t>,</w:t>
            </w:r>
            <w:r w:rsidRPr="003C34EB">
              <w:rPr>
                <w:rFonts w:cstheme="minorHAnsi"/>
                <w:sz w:val="20"/>
                <w:szCs w:val="20"/>
              </w:rPr>
              <w:t xml:space="preserve"> consultants, and spokespersons on public health matters</w:t>
            </w:r>
            <w:r w:rsidRPr="003428F4">
              <w:rPr>
                <w:rFonts w:cstheme="minorHAnsi"/>
                <w:sz w:val="20"/>
                <w:szCs w:val="20"/>
                <w:highlight w:val="yellow"/>
              </w:rPr>
              <w:t xml:space="preserve"> </w:t>
            </w:r>
          </w:p>
          <w:p w14:paraId="44C4BF1C" w14:textId="77777777" w:rsidR="001A3330" w:rsidRPr="003C34EB" w:rsidRDefault="001A3330" w:rsidP="00EE4AC5">
            <w:pPr>
              <w:pStyle w:val="ListParagraph"/>
              <w:numPr>
                <w:ilvl w:val="0"/>
                <w:numId w:val="2"/>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C34EB">
              <w:rPr>
                <w:rFonts w:cstheme="minorHAnsi"/>
                <w:sz w:val="20"/>
                <w:szCs w:val="20"/>
              </w:rPr>
              <w:t>Maintain relationships with research funding councils to shape the research agenda</w:t>
            </w:r>
            <w:r>
              <w:rPr>
                <w:rFonts w:cstheme="minorHAnsi"/>
                <w:sz w:val="20"/>
                <w:szCs w:val="20"/>
              </w:rPr>
              <w:t xml:space="preserve"> (in terms of research questions and how to frame them, and priorities for funding)</w:t>
            </w:r>
            <w:r w:rsidRPr="003C34EB">
              <w:rPr>
                <w:rFonts w:cstheme="minorHAnsi"/>
                <w:sz w:val="20"/>
                <w:szCs w:val="20"/>
              </w:rPr>
              <w:t xml:space="preserve"> </w:t>
            </w:r>
          </w:p>
          <w:p w14:paraId="4AE47D9F" w14:textId="3396FCED" w:rsidR="001A3330" w:rsidRDefault="001A3330" w:rsidP="00EE4AC5">
            <w:pPr>
              <w:pStyle w:val="ListParagraph"/>
              <w:numPr>
                <w:ilvl w:val="0"/>
                <w:numId w:val="2"/>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C34EB">
              <w:rPr>
                <w:rFonts w:cstheme="minorHAnsi"/>
                <w:sz w:val="20"/>
                <w:szCs w:val="20"/>
              </w:rPr>
              <w:t>Participate/host scientific events</w:t>
            </w:r>
            <w:r>
              <w:rPr>
                <w:rFonts w:cstheme="minorHAnsi"/>
                <w:sz w:val="20"/>
                <w:szCs w:val="20"/>
              </w:rPr>
              <w:t xml:space="preserve">, </w:t>
            </w:r>
            <w:r w:rsidRPr="003C34EB">
              <w:rPr>
                <w:rFonts w:cstheme="minorHAnsi"/>
                <w:sz w:val="20"/>
                <w:szCs w:val="20"/>
              </w:rPr>
              <w:t>pre-conference</w:t>
            </w:r>
            <w:r w:rsidR="00F6324B">
              <w:rPr>
                <w:rFonts w:cstheme="minorHAnsi"/>
                <w:sz w:val="20"/>
                <w:szCs w:val="20"/>
              </w:rPr>
              <w:t>s</w:t>
            </w:r>
            <w:r w:rsidRPr="003C34EB">
              <w:rPr>
                <w:rFonts w:cstheme="minorHAnsi"/>
                <w:sz w:val="20"/>
                <w:szCs w:val="20"/>
              </w:rPr>
              <w:t>, and side</w:t>
            </w:r>
            <w:r w:rsidR="00527842">
              <w:rPr>
                <w:rFonts w:cstheme="minorHAnsi"/>
                <w:sz w:val="20"/>
                <w:szCs w:val="20"/>
              </w:rPr>
              <w:t xml:space="preserve"> </w:t>
            </w:r>
            <w:r w:rsidRPr="003C34EB">
              <w:rPr>
                <w:rFonts w:cstheme="minorHAnsi"/>
                <w:sz w:val="20"/>
                <w:szCs w:val="20"/>
              </w:rPr>
              <w:t>events (e.g. briefings)</w:t>
            </w:r>
            <w:r>
              <w:rPr>
                <w:rFonts w:cstheme="minorHAnsi"/>
                <w:sz w:val="20"/>
                <w:szCs w:val="20"/>
              </w:rPr>
              <w:t xml:space="preserve"> </w:t>
            </w:r>
          </w:p>
          <w:p w14:paraId="3AB41E8B" w14:textId="77777777" w:rsidR="001A3330" w:rsidRPr="00505F60" w:rsidRDefault="001A3330" w:rsidP="00EE4AC5">
            <w:pPr>
              <w:pStyle w:val="ListParagraph"/>
              <w:numPr>
                <w:ilvl w:val="0"/>
                <w:numId w:val="2"/>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5F60">
              <w:rPr>
                <w:rFonts w:cstheme="minorHAnsi"/>
                <w:sz w:val="20"/>
                <w:szCs w:val="20"/>
              </w:rPr>
              <w:t xml:space="preserve">Promotion of public health data and messages aligned with industry goals </w:t>
            </w:r>
          </w:p>
        </w:tc>
        <w:tc>
          <w:tcPr>
            <w:tcW w:w="4961" w:type="dxa"/>
          </w:tcPr>
          <w:p w14:paraId="2B0495E9" w14:textId="0F722DB7" w:rsidR="001A3330" w:rsidRPr="00B204D4" w:rsidRDefault="00BB63C2" w:rsidP="00035EC7">
            <w:pPr>
              <w:pStyle w:val="ListParagraph"/>
              <w:numPr>
                <w:ilvl w:val="0"/>
                <w:numId w:val="7"/>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Unhealthy beverage industry</w:t>
            </w:r>
            <w:r w:rsidR="001A3330" w:rsidRPr="00B204D4">
              <w:rPr>
                <w:rFonts w:cstheme="minorHAnsi"/>
                <w:sz w:val="20"/>
                <w:szCs w:val="20"/>
              </w:rPr>
              <w:t xml:space="preserve"> funding </w:t>
            </w:r>
            <w:r w:rsidR="001B4AEC">
              <w:rPr>
                <w:rFonts w:cstheme="minorHAnsi"/>
                <w:sz w:val="20"/>
                <w:szCs w:val="20"/>
              </w:rPr>
              <w:t>research foundations</w:t>
            </w:r>
          </w:p>
          <w:p w14:paraId="69F7D632" w14:textId="01A31BFE" w:rsidR="001A3330" w:rsidRPr="00B204D4" w:rsidRDefault="00BB63C2" w:rsidP="00035EC7">
            <w:pPr>
              <w:pStyle w:val="ListParagraph"/>
              <w:numPr>
                <w:ilvl w:val="0"/>
                <w:numId w:val="7"/>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Unhealthy beverage</w:t>
            </w:r>
            <w:r w:rsidR="001A3330" w:rsidRPr="00B204D4">
              <w:rPr>
                <w:rFonts w:cstheme="minorHAnsi"/>
                <w:sz w:val="20"/>
                <w:szCs w:val="20"/>
              </w:rPr>
              <w:t xml:space="preserve"> </w:t>
            </w:r>
            <w:r w:rsidR="005B70A3">
              <w:rPr>
                <w:rFonts w:cstheme="minorHAnsi"/>
                <w:sz w:val="20"/>
                <w:szCs w:val="20"/>
              </w:rPr>
              <w:t xml:space="preserve">industry membership </w:t>
            </w:r>
            <w:r w:rsidR="005B70A3" w:rsidRPr="005B70A3">
              <w:rPr>
                <w:rFonts w:cstheme="minorHAnsi"/>
                <w:sz w:val="20"/>
                <w:szCs w:val="20"/>
              </w:rPr>
              <w:t xml:space="preserve">in </w:t>
            </w:r>
            <w:r w:rsidR="001B4AEC">
              <w:rPr>
                <w:rFonts w:cstheme="minorHAnsi"/>
                <w:sz w:val="20"/>
                <w:szCs w:val="20"/>
              </w:rPr>
              <w:t>health research ‘clubs’</w:t>
            </w:r>
            <w:r w:rsidR="005B70A3" w:rsidRPr="005B70A3">
              <w:rPr>
                <w:rFonts w:cstheme="minorHAnsi"/>
                <w:sz w:val="20"/>
                <w:szCs w:val="20"/>
              </w:rPr>
              <w:t xml:space="preserve"> </w:t>
            </w:r>
            <w:r w:rsidR="00AB6E5E" w:rsidRPr="00B204D4">
              <w:rPr>
                <w:rFonts w:cstheme="minorHAnsi"/>
                <w:sz w:val="20"/>
                <w:szCs w:val="20"/>
              </w:rPr>
              <w:t xml:space="preserve"> </w:t>
            </w:r>
          </w:p>
          <w:p w14:paraId="63E13219" w14:textId="69758C3A" w:rsidR="001A3330" w:rsidRPr="00B204D4" w:rsidRDefault="001A3330">
            <w:pPr>
              <w:pStyle w:val="ListParagraph"/>
              <w:numPr>
                <w:ilvl w:val="0"/>
                <w:numId w:val="7"/>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204D4">
              <w:rPr>
                <w:rFonts w:cstheme="minorHAnsi"/>
                <w:sz w:val="20"/>
                <w:szCs w:val="20"/>
              </w:rPr>
              <w:t xml:space="preserve">Conference on </w:t>
            </w:r>
            <w:r w:rsidR="00AB6E5E">
              <w:rPr>
                <w:rFonts w:cstheme="minorHAnsi"/>
                <w:sz w:val="20"/>
                <w:szCs w:val="20"/>
              </w:rPr>
              <w:t>h</w:t>
            </w:r>
            <w:r w:rsidR="00AB6E5E" w:rsidRPr="00B204D4">
              <w:rPr>
                <w:rFonts w:cstheme="minorHAnsi"/>
                <w:sz w:val="20"/>
                <w:szCs w:val="20"/>
              </w:rPr>
              <w:t xml:space="preserve">ealthy </w:t>
            </w:r>
            <w:r w:rsidRPr="00B204D4">
              <w:rPr>
                <w:rFonts w:cstheme="minorHAnsi"/>
                <w:sz w:val="20"/>
                <w:szCs w:val="20"/>
              </w:rPr>
              <w:t xml:space="preserve">eating and </w:t>
            </w:r>
            <w:r w:rsidR="00AB6E5E">
              <w:rPr>
                <w:rFonts w:cstheme="minorHAnsi"/>
                <w:sz w:val="20"/>
                <w:szCs w:val="20"/>
              </w:rPr>
              <w:t>p</w:t>
            </w:r>
            <w:r w:rsidR="00AB6E5E" w:rsidRPr="00B204D4">
              <w:rPr>
                <w:rFonts w:cstheme="minorHAnsi"/>
                <w:sz w:val="20"/>
                <w:szCs w:val="20"/>
              </w:rPr>
              <w:t xml:space="preserve">hysical </w:t>
            </w:r>
            <w:r w:rsidRPr="00B204D4">
              <w:rPr>
                <w:rFonts w:cstheme="minorHAnsi"/>
                <w:sz w:val="20"/>
                <w:szCs w:val="20"/>
              </w:rPr>
              <w:t xml:space="preserve">activity partnered with </w:t>
            </w:r>
            <w:r w:rsidR="00BB63C2">
              <w:rPr>
                <w:rFonts w:cstheme="minorHAnsi"/>
                <w:sz w:val="20"/>
                <w:szCs w:val="20"/>
              </w:rPr>
              <w:t>unhealthy beverage industry</w:t>
            </w:r>
          </w:p>
        </w:tc>
      </w:tr>
      <w:tr w:rsidR="001A3330" w:rsidRPr="003C34EB" w14:paraId="1DC6C36F" w14:textId="77777777" w:rsidTr="00BB23E7">
        <w:tc>
          <w:tcPr>
            <w:cnfStyle w:val="001000000000" w:firstRow="0" w:lastRow="0" w:firstColumn="1" w:lastColumn="0" w:oddVBand="0" w:evenVBand="0" w:oddHBand="0" w:evenHBand="0" w:firstRowFirstColumn="0" w:firstRowLastColumn="0" w:lastRowFirstColumn="0" w:lastRowLastColumn="0"/>
            <w:tcW w:w="1508" w:type="dxa"/>
          </w:tcPr>
          <w:p w14:paraId="67B1ADA8" w14:textId="77777777" w:rsidR="001A3330" w:rsidRPr="00BB23E7" w:rsidRDefault="001A3330" w:rsidP="00EE4AC5">
            <w:pPr>
              <w:spacing w:line="240" w:lineRule="auto"/>
              <w:rPr>
                <w:rFonts w:cstheme="minorHAnsi"/>
                <w:b w:val="0"/>
                <w:bCs w:val="0"/>
                <w:sz w:val="20"/>
                <w:szCs w:val="20"/>
              </w:rPr>
            </w:pPr>
            <w:r w:rsidRPr="00BB23E7">
              <w:rPr>
                <w:rFonts w:cstheme="minorHAnsi"/>
                <w:b w:val="0"/>
                <w:bCs w:val="0"/>
                <w:sz w:val="20"/>
                <w:szCs w:val="20"/>
              </w:rPr>
              <w:t>2) Challenge the local public health narrative</w:t>
            </w:r>
          </w:p>
        </w:tc>
        <w:tc>
          <w:tcPr>
            <w:tcW w:w="7956" w:type="dxa"/>
          </w:tcPr>
          <w:p w14:paraId="265FEDA9" w14:textId="77777777" w:rsidR="001A3330" w:rsidRPr="008512A4" w:rsidRDefault="001A3330" w:rsidP="00EE4AC5">
            <w:pPr>
              <w:pStyle w:val="ListParagraph"/>
              <w:numPr>
                <w:ilvl w:val="0"/>
                <w:numId w:val="2"/>
              </w:num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Undermine those promoting alternative public health viewpoints (</w:t>
            </w:r>
            <w:r w:rsidRPr="00CB6C76">
              <w:rPr>
                <w:rFonts w:cstheme="minorHAnsi"/>
                <w:sz w:val="20"/>
                <w:szCs w:val="20"/>
              </w:rPr>
              <w:t>LA</w:t>
            </w:r>
            <w:r>
              <w:rPr>
                <w:rFonts w:cstheme="minorHAnsi"/>
                <w:sz w:val="20"/>
                <w:szCs w:val="20"/>
              </w:rPr>
              <w:t xml:space="preserve"> </w:t>
            </w:r>
            <w:r w:rsidRPr="00CB6C76">
              <w:rPr>
                <w:rFonts w:cstheme="minorHAnsi"/>
                <w:sz w:val="20"/>
                <w:szCs w:val="20"/>
              </w:rPr>
              <w:t>advocates, organisations, experts, and key local spokespersons</w:t>
            </w:r>
            <w:r>
              <w:rPr>
                <w:rFonts w:cstheme="minorHAnsi"/>
                <w:sz w:val="20"/>
                <w:szCs w:val="20"/>
              </w:rPr>
              <w:t>)</w:t>
            </w:r>
          </w:p>
          <w:p w14:paraId="492D27E3" w14:textId="77777777" w:rsidR="001A3330" w:rsidRPr="00CB6C76" w:rsidRDefault="001A3330" w:rsidP="00EE4AC5">
            <w:pPr>
              <w:pStyle w:val="ListParagraph"/>
              <w:numPr>
                <w:ilvl w:val="0"/>
                <w:numId w:val="2"/>
              </w:num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6C76">
              <w:rPr>
                <w:rFonts w:cstheme="minorHAnsi"/>
                <w:sz w:val="20"/>
                <w:szCs w:val="20"/>
              </w:rPr>
              <w:t>Re-frame the LA intentions, create controversy (</w:t>
            </w:r>
            <w:r>
              <w:rPr>
                <w:rFonts w:cstheme="minorHAnsi"/>
                <w:sz w:val="20"/>
                <w:szCs w:val="20"/>
              </w:rPr>
              <w:t>overprotective LA  -</w:t>
            </w:r>
            <w:r w:rsidRPr="00CB6C76">
              <w:rPr>
                <w:rFonts w:cstheme="minorHAnsi"/>
                <w:sz w:val="20"/>
                <w:szCs w:val="20"/>
              </w:rPr>
              <w:t>‘nanny state’</w:t>
            </w:r>
            <w:r>
              <w:rPr>
                <w:rFonts w:cstheme="minorHAnsi"/>
                <w:sz w:val="20"/>
                <w:szCs w:val="20"/>
              </w:rPr>
              <w:t xml:space="preserve">, </w:t>
            </w:r>
            <w:r w:rsidRPr="00CB6C76">
              <w:rPr>
                <w:rFonts w:cstheme="minorHAnsi"/>
                <w:sz w:val="20"/>
                <w:szCs w:val="20"/>
              </w:rPr>
              <w:t>coercive</w:t>
            </w:r>
            <w:r>
              <w:rPr>
                <w:rFonts w:cstheme="minorHAnsi"/>
                <w:sz w:val="20"/>
                <w:szCs w:val="20"/>
              </w:rPr>
              <w:t xml:space="preserve">, commodity consumption is a </w:t>
            </w:r>
            <w:r w:rsidRPr="00CB6C76">
              <w:rPr>
                <w:rFonts w:cstheme="minorHAnsi"/>
                <w:sz w:val="20"/>
                <w:szCs w:val="20"/>
              </w:rPr>
              <w:t>personal choice</w:t>
            </w:r>
            <w:r>
              <w:rPr>
                <w:rFonts w:cstheme="minorHAnsi"/>
                <w:sz w:val="20"/>
                <w:szCs w:val="20"/>
              </w:rPr>
              <w:t>/</w:t>
            </w:r>
            <w:r w:rsidRPr="00CB6C76">
              <w:rPr>
                <w:rFonts w:cstheme="minorHAnsi"/>
                <w:sz w:val="20"/>
                <w:szCs w:val="20"/>
              </w:rPr>
              <w:t>blame the victim)</w:t>
            </w:r>
          </w:p>
          <w:p w14:paraId="646011D8" w14:textId="77777777" w:rsidR="001A3330" w:rsidRDefault="001A3330" w:rsidP="00EE4AC5">
            <w:pPr>
              <w:pStyle w:val="ListParagraph"/>
              <w:numPr>
                <w:ilvl w:val="0"/>
                <w:numId w:val="2"/>
              </w:num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6C76">
              <w:rPr>
                <w:rFonts w:cstheme="minorHAnsi"/>
                <w:sz w:val="20"/>
                <w:szCs w:val="20"/>
              </w:rPr>
              <w:lastRenderedPageBreak/>
              <w:t xml:space="preserve">Create antagonisms/rivalry between LA </w:t>
            </w:r>
            <w:r>
              <w:rPr>
                <w:rFonts w:cstheme="minorHAnsi"/>
                <w:sz w:val="20"/>
                <w:szCs w:val="20"/>
              </w:rPr>
              <w:t>departments and p</w:t>
            </w:r>
            <w:r w:rsidRPr="00CB6C76">
              <w:rPr>
                <w:rFonts w:cstheme="minorHAnsi"/>
                <w:sz w:val="20"/>
                <w:szCs w:val="20"/>
              </w:rPr>
              <w:t xml:space="preserve">rofessionals </w:t>
            </w:r>
          </w:p>
          <w:p w14:paraId="54997844" w14:textId="77777777" w:rsidR="001A3330" w:rsidRPr="00CB6C76" w:rsidRDefault="001A3330" w:rsidP="00EE4AC5">
            <w:pPr>
              <w:pStyle w:val="ListParagraph"/>
              <w:numPr>
                <w:ilvl w:val="0"/>
                <w:numId w:val="2"/>
              </w:num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6C76">
              <w:rPr>
                <w:rFonts w:cstheme="minorHAnsi"/>
                <w:sz w:val="20"/>
                <w:szCs w:val="20"/>
              </w:rPr>
              <w:t>Monitoring activities, operations, and advocacy strategies of local public health functions</w:t>
            </w:r>
          </w:p>
          <w:p w14:paraId="1EA798A7" w14:textId="77777777" w:rsidR="001A3330" w:rsidRPr="00CB6C76" w:rsidRDefault="001A3330" w:rsidP="00EE4AC5">
            <w:pPr>
              <w:pStyle w:val="ListParagraph"/>
              <w:numPr>
                <w:ilvl w:val="0"/>
                <w:numId w:val="2"/>
              </w:num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6C76">
              <w:rPr>
                <w:rFonts w:cstheme="minorHAnsi"/>
                <w:sz w:val="20"/>
                <w:szCs w:val="20"/>
              </w:rPr>
              <w:t xml:space="preserve">Gather intelligence of public attitudes, policy development, and key persons </w:t>
            </w:r>
          </w:p>
          <w:p w14:paraId="1E98113E" w14:textId="0B6D2A8B" w:rsidR="001A3330" w:rsidRPr="00B47E24" w:rsidRDefault="001A3330" w:rsidP="00EE4AC5">
            <w:pPr>
              <w:pStyle w:val="ListParagraph"/>
              <w:numPr>
                <w:ilvl w:val="0"/>
                <w:numId w:val="2"/>
              </w:num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6C76">
              <w:rPr>
                <w:rFonts w:cstheme="minorHAnsi"/>
                <w:sz w:val="20"/>
                <w:szCs w:val="20"/>
              </w:rPr>
              <w:t>Advocat</w:t>
            </w:r>
            <w:r w:rsidR="00F6324B">
              <w:rPr>
                <w:rFonts w:cstheme="minorHAnsi"/>
                <w:sz w:val="20"/>
                <w:szCs w:val="20"/>
              </w:rPr>
              <w:t>e</w:t>
            </w:r>
            <w:r w:rsidRPr="00CB6C76">
              <w:rPr>
                <w:rFonts w:cstheme="minorHAnsi"/>
                <w:sz w:val="20"/>
                <w:szCs w:val="20"/>
              </w:rPr>
              <w:t xml:space="preserve"> data favouring industry, and promote non-peer</w:t>
            </w:r>
            <w:r w:rsidR="00AD14D4">
              <w:rPr>
                <w:rFonts w:cstheme="minorHAnsi"/>
                <w:sz w:val="20"/>
                <w:szCs w:val="20"/>
              </w:rPr>
              <w:t>-</w:t>
            </w:r>
            <w:r w:rsidRPr="00CB6C76">
              <w:rPr>
                <w:rFonts w:cstheme="minorHAnsi"/>
                <w:sz w:val="20"/>
                <w:szCs w:val="20"/>
              </w:rPr>
              <w:t>reviewed</w:t>
            </w:r>
            <w:r>
              <w:rPr>
                <w:rFonts w:cstheme="minorHAnsi"/>
                <w:sz w:val="20"/>
                <w:szCs w:val="20"/>
              </w:rPr>
              <w:t>,</w:t>
            </w:r>
            <w:r w:rsidRPr="00CB6C76">
              <w:rPr>
                <w:rFonts w:cstheme="minorHAnsi"/>
                <w:sz w:val="20"/>
                <w:szCs w:val="20"/>
              </w:rPr>
              <w:t xml:space="preserve"> unpublished</w:t>
            </w:r>
            <w:r>
              <w:rPr>
                <w:rFonts w:cstheme="minorHAnsi"/>
                <w:sz w:val="20"/>
                <w:szCs w:val="20"/>
              </w:rPr>
              <w:t xml:space="preserve">, or </w:t>
            </w:r>
            <w:r w:rsidRPr="00CB6C76">
              <w:rPr>
                <w:rFonts w:cstheme="minorHAnsi"/>
                <w:sz w:val="20"/>
                <w:szCs w:val="20"/>
              </w:rPr>
              <w:t>misleading</w:t>
            </w:r>
            <w:r>
              <w:rPr>
                <w:rFonts w:cstheme="minorHAnsi"/>
                <w:sz w:val="20"/>
                <w:szCs w:val="20"/>
              </w:rPr>
              <w:t>/</w:t>
            </w:r>
            <w:r w:rsidRPr="00CB6C76">
              <w:rPr>
                <w:rFonts w:cstheme="minorHAnsi"/>
                <w:sz w:val="20"/>
                <w:szCs w:val="20"/>
              </w:rPr>
              <w:t xml:space="preserve">skewed </w:t>
            </w:r>
            <w:r>
              <w:rPr>
                <w:rFonts w:cstheme="minorHAnsi"/>
                <w:sz w:val="20"/>
                <w:szCs w:val="20"/>
              </w:rPr>
              <w:t>information -</w:t>
            </w:r>
            <w:r w:rsidRPr="00CB6C76">
              <w:rPr>
                <w:rFonts w:cstheme="minorHAnsi"/>
                <w:sz w:val="20"/>
                <w:szCs w:val="20"/>
              </w:rPr>
              <w:t xml:space="preserve">‘junk science’ </w:t>
            </w:r>
            <w:r w:rsidRPr="003353EB">
              <w:rPr>
                <w:rFonts w:cstheme="minorHAnsi"/>
                <w:sz w:val="20"/>
                <w:szCs w:val="20"/>
              </w:rPr>
              <w:t xml:space="preserve"> </w:t>
            </w:r>
          </w:p>
          <w:p w14:paraId="4ADA3171" w14:textId="77777777" w:rsidR="001A3330" w:rsidRPr="00CB6C76" w:rsidRDefault="001A3330" w:rsidP="00EE4AC5">
            <w:pPr>
              <w:pStyle w:val="ListParagraph"/>
              <w:numPr>
                <w:ilvl w:val="0"/>
                <w:numId w:val="2"/>
              </w:num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Manage information sources and availability of sources</w:t>
            </w:r>
            <w:r w:rsidRPr="00CB6C76">
              <w:rPr>
                <w:rFonts w:cstheme="minorHAnsi"/>
                <w:sz w:val="20"/>
                <w:szCs w:val="20"/>
              </w:rPr>
              <w:t>, through co-opted spokespersons</w:t>
            </w:r>
          </w:p>
          <w:p w14:paraId="2FA7A58D" w14:textId="77777777" w:rsidR="001A3330" w:rsidRDefault="001A3330" w:rsidP="00EE4AC5">
            <w:pPr>
              <w:pStyle w:val="ListParagraph"/>
              <w:numPr>
                <w:ilvl w:val="0"/>
                <w:numId w:val="2"/>
              </w:num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6C76">
              <w:rPr>
                <w:rFonts w:cstheme="minorHAnsi"/>
                <w:sz w:val="20"/>
                <w:szCs w:val="20"/>
              </w:rPr>
              <w:t xml:space="preserve">Seek to control local public health-related research </w:t>
            </w:r>
            <w:r>
              <w:rPr>
                <w:rFonts w:cstheme="minorHAnsi"/>
                <w:sz w:val="20"/>
                <w:szCs w:val="20"/>
              </w:rPr>
              <w:t>not aligned</w:t>
            </w:r>
            <w:r w:rsidRPr="00CB6C76">
              <w:rPr>
                <w:rFonts w:cstheme="minorHAnsi"/>
                <w:sz w:val="20"/>
                <w:szCs w:val="20"/>
              </w:rPr>
              <w:t xml:space="preserve"> with industry arguments</w:t>
            </w:r>
          </w:p>
          <w:p w14:paraId="4D86E278" w14:textId="77777777" w:rsidR="001A3330" w:rsidRPr="00505F60" w:rsidRDefault="001A3330" w:rsidP="00EE4AC5">
            <w:pPr>
              <w:pStyle w:val="ListParagraph"/>
              <w:numPr>
                <w:ilvl w:val="0"/>
                <w:numId w:val="2"/>
              </w:num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Change the frame of the LA narrative (e</w:t>
            </w:r>
            <w:r w:rsidRPr="00505F60">
              <w:rPr>
                <w:rFonts w:cstheme="minorHAnsi"/>
                <w:sz w:val="20"/>
                <w:szCs w:val="20"/>
              </w:rPr>
              <w:t>mphasize doubt, disagreement, bias</w:t>
            </w:r>
            <w:r>
              <w:rPr>
                <w:rFonts w:cstheme="minorHAnsi"/>
                <w:sz w:val="20"/>
                <w:szCs w:val="20"/>
              </w:rPr>
              <w:t>)</w:t>
            </w:r>
          </w:p>
        </w:tc>
        <w:tc>
          <w:tcPr>
            <w:tcW w:w="4961" w:type="dxa"/>
          </w:tcPr>
          <w:p w14:paraId="4AAB040A" w14:textId="0F54ADC6" w:rsidR="005B70A3" w:rsidRPr="00E12C8C" w:rsidRDefault="001B4AEC" w:rsidP="00E12C8C">
            <w:pPr>
              <w:pStyle w:val="ListParagraph"/>
              <w:numPr>
                <w:ilvl w:val="0"/>
                <w:numId w:val="8"/>
              </w:num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lastRenderedPageBreak/>
              <w:t>L</w:t>
            </w:r>
            <w:r w:rsidR="00AB6E5E">
              <w:rPr>
                <w:rFonts w:cstheme="minorHAnsi"/>
                <w:sz w:val="20"/>
                <w:szCs w:val="20"/>
              </w:rPr>
              <w:t xml:space="preserve">A </w:t>
            </w:r>
            <w:r w:rsidR="001A3330" w:rsidRPr="00B204D4">
              <w:rPr>
                <w:rFonts w:cstheme="minorHAnsi"/>
                <w:sz w:val="20"/>
                <w:szCs w:val="20"/>
              </w:rPr>
              <w:t>collaborative programme</w:t>
            </w:r>
            <w:r w:rsidR="009942BA">
              <w:rPr>
                <w:rFonts w:cstheme="minorHAnsi"/>
                <w:sz w:val="20"/>
                <w:szCs w:val="20"/>
              </w:rPr>
              <w:t xml:space="preserve"> (</w:t>
            </w:r>
            <w:r w:rsidR="009942BA" w:rsidRPr="009942BA">
              <w:rPr>
                <w:rFonts w:cstheme="minorHAnsi"/>
                <w:sz w:val="20"/>
                <w:szCs w:val="20"/>
              </w:rPr>
              <w:t>JCDecaux UK and Outsmart</w:t>
            </w:r>
            <w:r w:rsidR="009942BA">
              <w:rPr>
                <w:rFonts w:cstheme="minorHAnsi"/>
                <w:sz w:val="20"/>
                <w:szCs w:val="20"/>
              </w:rPr>
              <w:t xml:space="preserve">) </w:t>
            </w:r>
            <w:r w:rsidR="001A3330" w:rsidRPr="00B204D4">
              <w:rPr>
                <w:rFonts w:cstheme="minorHAnsi"/>
                <w:sz w:val="20"/>
                <w:szCs w:val="20"/>
              </w:rPr>
              <w:t xml:space="preserve">to ban HFSS food advertising from </w:t>
            </w:r>
            <w:r w:rsidR="00A453DE">
              <w:rPr>
                <w:rFonts w:cstheme="minorHAnsi"/>
                <w:sz w:val="20"/>
                <w:szCs w:val="20"/>
              </w:rPr>
              <w:t>LA-</w:t>
            </w:r>
            <w:r w:rsidR="001A3330" w:rsidRPr="00B204D4">
              <w:rPr>
                <w:rFonts w:cstheme="minorHAnsi"/>
                <w:sz w:val="20"/>
                <w:szCs w:val="20"/>
              </w:rPr>
              <w:t>owned advertising spaces</w:t>
            </w:r>
          </w:p>
        </w:tc>
      </w:tr>
      <w:tr w:rsidR="001A3330" w:rsidRPr="003C34EB" w14:paraId="6A79EF16" w14:textId="77777777" w:rsidTr="00BB2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14:paraId="6D443DF5" w14:textId="77777777" w:rsidR="001A3330" w:rsidRPr="00BB23E7" w:rsidRDefault="001A3330" w:rsidP="00EE4AC5">
            <w:pPr>
              <w:spacing w:line="240" w:lineRule="auto"/>
              <w:rPr>
                <w:rFonts w:cstheme="minorHAnsi"/>
                <w:b w:val="0"/>
                <w:bCs w:val="0"/>
                <w:sz w:val="20"/>
                <w:szCs w:val="20"/>
              </w:rPr>
            </w:pPr>
            <w:r w:rsidRPr="00BB23E7">
              <w:rPr>
                <w:rFonts w:cstheme="minorHAnsi"/>
                <w:b w:val="0"/>
                <w:bCs w:val="0"/>
                <w:sz w:val="20"/>
                <w:szCs w:val="20"/>
              </w:rPr>
              <w:t>3) CSR interactions (LA promotion of CSR)</w:t>
            </w:r>
          </w:p>
          <w:p w14:paraId="6E09C887" w14:textId="77777777" w:rsidR="001A3330" w:rsidRPr="00BB23E7" w:rsidRDefault="001A3330" w:rsidP="00EE4AC5">
            <w:pPr>
              <w:spacing w:line="240" w:lineRule="auto"/>
              <w:rPr>
                <w:rFonts w:cstheme="minorHAnsi"/>
                <w:b w:val="0"/>
                <w:bCs w:val="0"/>
                <w:sz w:val="20"/>
                <w:szCs w:val="20"/>
              </w:rPr>
            </w:pPr>
          </w:p>
        </w:tc>
        <w:tc>
          <w:tcPr>
            <w:tcW w:w="7956" w:type="dxa"/>
          </w:tcPr>
          <w:p w14:paraId="085ECBDF" w14:textId="5587F014" w:rsidR="001A3330" w:rsidRPr="004F3CBD" w:rsidRDefault="001A3330" w:rsidP="00EE4AC5">
            <w:pPr>
              <w:pStyle w:val="ListParagraph"/>
              <w:numPr>
                <w:ilvl w:val="0"/>
                <w:numId w:val="2"/>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F3CBD">
              <w:rPr>
                <w:rFonts w:cstheme="minorHAnsi"/>
                <w:sz w:val="20"/>
                <w:szCs w:val="20"/>
              </w:rPr>
              <w:t>L</w:t>
            </w:r>
            <w:r w:rsidR="0043050E">
              <w:rPr>
                <w:rFonts w:cstheme="minorHAnsi"/>
                <w:sz w:val="20"/>
                <w:szCs w:val="20"/>
              </w:rPr>
              <w:t>A</w:t>
            </w:r>
            <w:r w:rsidRPr="004F3CBD">
              <w:rPr>
                <w:rFonts w:cstheme="minorHAnsi"/>
                <w:sz w:val="20"/>
                <w:szCs w:val="20"/>
              </w:rPr>
              <w:t xml:space="preserve"> promoting, endorsing, display support of initiatives with industry </w:t>
            </w:r>
          </w:p>
          <w:p w14:paraId="37BFE1FC" w14:textId="5CCBBD46" w:rsidR="001A3330" w:rsidRPr="004F3CBD" w:rsidRDefault="001A3330" w:rsidP="00EE4AC5">
            <w:pPr>
              <w:pStyle w:val="ListParagraph"/>
              <w:numPr>
                <w:ilvl w:val="0"/>
                <w:numId w:val="2"/>
              </w:numPr>
              <w:spacing w:before="240"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F3CBD">
              <w:rPr>
                <w:rFonts w:cstheme="minorHAnsi"/>
                <w:sz w:val="20"/>
                <w:szCs w:val="20"/>
              </w:rPr>
              <w:t xml:space="preserve">LA promoting industry local initiatives </w:t>
            </w:r>
            <w:r w:rsidR="00807221" w:rsidRPr="004F3CBD">
              <w:rPr>
                <w:rFonts w:cstheme="minorHAnsi"/>
                <w:sz w:val="20"/>
                <w:szCs w:val="20"/>
              </w:rPr>
              <w:t xml:space="preserve">(e.g. environmental </w:t>
            </w:r>
            <w:r w:rsidRPr="004F3CBD">
              <w:rPr>
                <w:rFonts w:cstheme="minorHAnsi"/>
                <w:sz w:val="20"/>
                <w:szCs w:val="20"/>
              </w:rPr>
              <w:t>- ‘greenwashing’</w:t>
            </w:r>
            <w:r w:rsidR="00807221" w:rsidRPr="004F3CBD">
              <w:rPr>
                <w:rFonts w:cstheme="minorHAnsi"/>
                <w:sz w:val="20"/>
                <w:szCs w:val="20"/>
              </w:rPr>
              <w:t>)</w:t>
            </w:r>
            <w:r w:rsidRPr="004F3CBD">
              <w:rPr>
                <w:rFonts w:cstheme="minorHAnsi"/>
                <w:sz w:val="20"/>
                <w:szCs w:val="20"/>
              </w:rPr>
              <w:t xml:space="preserve"> </w:t>
            </w:r>
          </w:p>
          <w:p w14:paraId="574D4E52" w14:textId="01E7D155" w:rsidR="001A3330" w:rsidRPr="004F3CBD" w:rsidRDefault="001A3330" w:rsidP="00EE4AC5">
            <w:pPr>
              <w:pStyle w:val="ListParagraph"/>
              <w:numPr>
                <w:ilvl w:val="0"/>
                <w:numId w:val="2"/>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F3CBD">
              <w:rPr>
                <w:rFonts w:cstheme="minorHAnsi"/>
                <w:sz w:val="20"/>
                <w:szCs w:val="20"/>
              </w:rPr>
              <w:t>Run</w:t>
            </w:r>
            <w:r w:rsidR="009942BA" w:rsidRPr="004F3CBD">
              <w:rPr>
                <w:rFonts w:cstheme="minorHAnsi"/>
                <w:sz w:val="20"/>
                <w:szCs w:val="20"/>
              </w:rPr>
              <w:t xml:space="preserve"> c</w:t>
            </w:r>
            <w:r w:rsidRPr="004F3CBD">
              <w:rPr>
                <w:rFonts w:cstheme="minorHAnsi"/>
                <w:sz w:val="20"/>
                <w:szCs w:val="20"/>
              </w:rPr>
              <w:t xml:space="preserve">ampaigns with industry </w:t>
            </w:r>
          </w:p>
          <w:p w14:paraId="4BC28E75" w14:textId="3FD6D3A9" w:rsidR="001A3330" w:rsidRPr="004F3CBD" w:rsidRDefault="001A3330" w:rsidP="00EE4AC5">
            <w:pPr>
              <w:pStyle w:val="ListParagraph"/>
              <w:numPr>
                <w:ilvl w:val="0"/>
                <w:numId w:val="2"/>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F3CBD">
              <w:rPr>
                <w:rFonts w:cstheme="minorHAnsi"/>
                <w:sz w:val="20"/>
                <w:szCs w:val="20"/>
              </w:rPr>
              <w:t>Fund public health services (e.g. school/hospital related CSR)</w:t>
            </w:r>
          </w:p>
        </w:tc>
        <w:tc>
          <w:tcPr>
            <w:tcW w:w="4961" w:type="dxa"/>
          </w:tcPr>
          <w:p w14:paraId="01E00336" w14:textId="57C6E77E" w:rsidR="001A3330" w:rsidRPr="00B204D4" w:rsidRDefault="00AB6E5E" w:rsidP="00035EC7">
            <w:pPr>
              <w:pStyle w:val="ListParagraph"/>
              <w:numPr>
                <w:ilvl w:val="0"/>
                <w:numId w:val="9"/>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LA </w:t>
            </w:r>
            <w:r w:rsidR="001A3330" w:rsidRPr="00B204D4">
              <w:rPr>
                <w:rFonts w:cstheme="minorHAnsi"/>
                <w:sz w:val="20"/>
                <w:szCs w:val="20"/>
              </w:rPr>
              <w:t xml:space="preserve">endorsing </w:t>
            </w:r>
            <w:r w:rsidR="001B4AEC">
              <w:rPr>
                <w:rFonts w:cstheme="minorHAnsi"/>
                <w:sz w:val="20"/>
                <w:szCs w:val="20"/>
              </w:rPr>
              <w:t xml:space="preserve">a </w:t>
            </w:r>
            <w:r w:rsidR="001A3330" w:rsidRPr="00B204D4">
              <w:rPr>
                <w:rFonts w:cstheme="minorHAnsi"/>
                <w:sz w:val="20"/>
                <w:szCs w:val="20"/>
              </w:rPr>
              <w:t xml:space="preserve">campaign, including explicit link with </w:t>
            </w:r>
            <w:r w:rsidR="00BB63C2">
              <w:rPr>
                <w:rFonts w:cstheme="minorHAnsi"/>
                <w:sz w:val="20"/>
                <w:szCs w:val="20"/>
              </w:rPr>
              <w:t>unhealthy beverage industry</w:t>
            </w:r>
          </w:p>
          <w:p w14:paraId="09E7E6E4" w14:textId="04ABB23B" w:rsidR="001A3330" w:rsidRPr="00B204D4" w:rsidRDefault="00BB63C2" w:rsidP="00035EC7">
            <w:pPr>
              <w:pStyle w:val="ListParagraph"/>
              <w:numPr>
                <w:ilvl w:val="0"/>
                <w:numId w:val="9"/>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Unhealthy beverage industry</w:t>
            </w:r>
            <w:r w:rsidR="001A3330" w:rsidRPr="00B204D4">
              <w:rPr>
                <w:rFonts w:cstheme="minorHAnsi"/>
                <w:sz w:val="20"/>
                <w:szCs w:val="20"/>
              </w:rPr>
              <w:t xml:space="preserve"> and </w:t>
            </w:r>
            <w:r w:rsidR="00AB6E5E">
              <w:rPr>
                <w:rFonts w:cstheme="minorHAnsi"/>
                <w:sz w:val="20"/>
                <w:szCs w:val="20"/>
              </w:rPr>
              <w:t xml:space="preserve">LA </w:t>
            </w:r>
            <w:r w:rsidR="001A3330" w:rsidRPr="00B204D4">
              <w:rPr>
                <w:rFonts w:cstheme="minorHAnsi"/>
                <w:sz w:val="20"/>
                <w:szCs w:val="20"/>
              </w:rPr>
              <w:t xml:space="preserve">exclusive sponsorship </w:t>
            </w:r>
            <w:r w:rsidR="00AB6E5E">
              <w:rPr>
                <w:rFonts w:cstheme="minorHAnsi"/>
                <w:sz w:val="20"/>
                <w:szCs w:val="20"/>
              </w:rPr>
              <w:t xml:space="preserve">of </w:t>
            </w:r>
            <w:r w:rsidR="001A3330" w:rsidRPr="00B204D4">
              <w:rPr>
                <w:rFonts w:cstheme="minorHAnsi"/>
                <w:sz w:val="20"/>
                <w:szCs w:val="20"/>
              </w:rPr>
              <w:t>recycling bins in public spaces</w:t>
            </w:r>
          </w:p>
          <w:p w14:paraId="20917C1E" w14:textId="49E132A9" w:rsidR="001A3330" w:rsidRPr="00B204D4" w:rsidRDefault="00AB6E5E">
            <w:pPr>
              <w:pStyle w:val="ListParagraph"/>
              <w:numPr>
                <w:ilvl w:val="0"/>
                <w:numId w:val="9"/>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LA </w:t>
            </w:r>
            <w:r w:rsidR="001A3330" w:rsidRPr="00B204D4">
              <w:rPr>
                <w:rFonts w:cstheme="minorHAnsi"/>
                <w:sz w:val="20"/>
                <w:szCs w:val="20"/>
              </w:rPr>
              <w:t xml:space="preserve">promoting </w:t>
            </w:r>
            <w:r w:rsidR="00BB63C2">
              <w:rPr>
                <w:rFonts w:cstheme="minorHAnsi"/>
                <w:sz w:val="20"/>
                <w:szCs w:val="20"/>
              </w:rPr>
              <w:t xml:space="preserve">fast-food </w:t>
            </w:r>
            <w:r w:rsidR="00527842">
              <w:rPr>
                <w:rFonts w:cstheme="minorHAnsi"/>
                <w:sz w:val="20"/>
                <w:szCs w:val="20"/>
              </w:rPr>
              <w:t>‘</w:t>
            </w:r>
            <w:r w:rsidR="001A3330" w:rsidRPr="00B204D4">
              <w:rPr>
                <w:rFonts w:cstheme="minorHAnsi"/>
                <w:sz w:val="20"/>
                <w:szCs w:val="20"/>
              </w:rPr>
              <w:t>good times’ summer activities programme</w:t>
            </w:r>
          </w:p>
          <w:p w14:paraId="00A58F5F" w14:textId="3312D989" w:rsidR="001A3330" w:rsidRPr="00B01ED2" w:rsidRDefault="001B4AEC" w:rsidP="00B01ED2">
            <w:pPr>
              <w:pStyle w:val="ListParagraph"/>
              <w:numPr>
                <w:ilvl w:val="0"/>
                <w:numId w:val="9"/>
              </w:num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Industry primary</w:t>
            </w:r>
            <w:r w:rsidR="001A3330" w:rsidRPr="00B204D4">
              <w:rPr>
                <w:rFonts w:cstheme="minorHAnsi"/>
                <w:sz w:val="20"/>
                <w:szCs w:val="20"/>
              </w:rPr>
              <w:t xml:space="preserve"> sponsor of the Daily Mile</w:t>
            </w:r>
          </w:p>
        </w:tc>
      </w:tr>
      <w:tr w:rsidR="001A3330" w:rsidRPr="003C34EB" w14:paraId="594BC9A5" w14:textId="77777777" w:rsidTr="00BB23E7">
        <w:tc>
          <w:tcPr>
            <w:cnfStyle w:val="001000000000" w:firstRow="0" w:lastRow="0" w:firstColumn="1" w:lastColumn="0" w:oddVBand="0" w:evenVBand="0" w:oddHBand="0" w:evenHBand="0" w:firstRowFirstColumn="0" w:firstRowLastColumn="0" w:lastRowFirstColumn="0" w:lastRowLastColumn="0"/>
            <w:tcW w:w="1508" w:type="dxa"/>
          </w:tcPr>
          <w:p w14:paraId="62D610B2" w14:textId="151BDDCE" w:rsidR="001A3330" w:rsidRPr="00BB23E7" w:rsidRDefault="001A3330" w:rsidP="00EE4AC5">
            <w:pPr>
              <w:spacing w:line="240" w:lineRule="auto"/>
              <w:rPr>
                <w:rFonts w:cstheme="minorHAnsi"/>
                <w:b w:val="0"/>
                <w:bCs w:val="0"/>
                <w:sz w:val="20"/>
                <w:szCs w:val="20"/>
              </w:rPr>
            </w:pPr>
            <w:r w:rsidRPr="00BB23E7">
              <w:rPr>
                <w:rFonts w:cstheme="minorHAnsi"/>
                <w:b w:val="0"/>
                <w:bCs w:val="0"/>
                <w:sz w:val="20"/>
                <w:szCs w:val="20"/>
              </w:rPr>
              <w:t>4) CSR aligned with LA goals (</w:t>
            </w:r>
            <w:r w:rsidR="00FA66D2" w:rsidRPr="00BB23E7">
              <w:rPr>
                <w:rFonts w:cstheme="minorHAnsi"/>
                <w:b w:val="0"/>
                <w:bCs w:val="0"/>
                <w:sz w:val="20"/>
                <w:szCs w:val="20"/>
              </w:rPr>
              <w:t xml:space="preserve">HCIs presenting themselves as acting within the interests of LAs and communities)  </w:t>
            </w:r>
          </w:p>
        </w:tc>
        <w:tc>
          <w:tcPr>
            <w:tcW w:w="7956" w:type="dxa"/>
          </w:tcPr>
          <w:p w14:paraId="494B675D" w14:textId="77777777" w:rsidR="001A3330" w:rsidRPr="004F3CBD" w:rsidRDefault="001A3330" w:rsidP="002C0A35">
            <w:pPr>
              <w:pStyle w:val="ListParagraph"/>
              <w:numPr>
                <w:ilvl w:val="0"/>
                <w:numId w:val="2"/>
              </w:num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CBD">
              <w:rPr>
                <w:rFonts w:cstheme="minorHAnsi"/>
                <w:sz w:val="20"/>
                <w:szCs w:val="20"/>
              </w:rPr>
              <w:t xml:space="preserve">Good traits of industry (individual and collective benefit/contributions to local area/society)  </w:t>
            </w:r>
          </w:p>
          <w:p w14:paraId="311FFEC4" w14:textId="4766B9C0" w:rsidR="00DD3937" w:rsidRDefault="00DD3937" w:rsidP="002C0A35">
            <w:pPr>
              <w:pStyle w:val="ListParagraph"/>
              <w:numPr>
                <w:ilvl w:val="0"/>
                <w:numId w:val="2"/>
              </w:num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CBD">
              <w:rPr>
                <w:rFonts w:cstheme="minorHAnsi"/>
                <w:sz w:val="20"/>
                <w:szCs w:val="20"/>
              </w:rPr>
              <w:t>Re</w:t>
            </w:r>
            <w:r w:rsidR="00302058" w:rsidRPr="004F3CBD">
              <w:rPr>
                <w:rFonts w:cstheme="minorHAnsi"/>
                <w:sz w:val="20"/>
                <w:szCs w:val="20"/>
              </w:rPr>
              <w:t>venue generated from re</w:t>
            </w:r>
            <w:r w:rsidR="001A3330" w:rsidRPr="004F3CBD">
              <w:rPr>
                <w:rFonts w:cstheme="minorHAnsi"/>
                <w:sz w:val="20"/>
                <w:szCs w:val="20"/>
              </w:rPr>
              <w:t>nts, taxes, business rates</w:t>
            </w:r>
          </w:p>
          <w:p w14:paraId="029E8A50" w14:textId="6BC5985E" w:rsidR="002C0A35" w:rsidRDefault="00744208" w:rsidP="002C0A35">
            <w:pPr>
              <w:pStyle w:val="ListParagraph"/>
              <w:numPr>
                <w:ilvl w:val="0"/>
                <w:numId w:val="2"/>
              </w:num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D</w:t>
            </w:r>
            <w:r w:rsidR="00FA66D2">
              <w:rPr>
                <w:rFonts w:cstheme="minorHAnsi"/>
                <w:sz w:val="20"/>
                <w:szCs w:val="20"/>
              </w:rPr>
              <w:t>raw on p</w:t>
            </w:r>
            <w:r w:rsidR="002C0A35">
              <w:rPr>
                <w:rFonts w:cstheme="minorHAnsi"/>
                <w:sz w:val="20"/>
                <w:szCs w:val="20"/>
              </w:rPr>
              <w:t>erception</w:t>
            </w:r>
            <w:r w:rsidR="00FA66D2">
              <w:rPr>
                <w:rFonts w:cstheme="minorHAnsi"/>
                <w:sz w:val="20"/>
                <w:szCs w:val="20"/>
              </w:rPr>
              <w:t>s</w:t>
            </w:r>
            <w:r w:rsidR="002C0A35">
              <w:rPr>
                <w:rFonts w:cstheme="minorHAnsi"/>
                <w:sz w:val="20"/>
                <w:szCs w:val="20"/>
              </w:rPr>
              <w:t xml:space="preserve"> that industry expertise could reduce costs, raise quality, innovation, efficiency)</w:t>
            </w:r>
          </w:p>
          <w:p w14:paraId="5EA031E4" w14:textId="77777777" w:rsidR="001A3330" w:rsidRPr="002C0A35" w:rsidRDefault="001A3330" w:rsidP="002C0A35">
            <w:pPr>
              <w:pStyle w:val="ListParagraph"/>
              <w:numPr>
                <w:ilvl w:val="0"/>
                <w:numId w:val="2"/>
              </w:num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C0A35">
              <w:rPr>
                <w:rFonts w:cstheme="minorHAnsi"/>
                <w:sz w:val="20"/>
                <w:szCs w:val="20"/>
              </w:rPr>
              <w:t xml:space="preserve">Industry is responsible/part of the solution – solving/actions to address public health issues (including problems they create) </w:t>
            </w:r>
          </w:p>
          <w:p w14:paraId="42A6DEDB" w14:textId="1AA7B99C" w:rsidR="001A3330" w:rsidRPr="004F3CBD" w:rsidRDefault="001A3330" w:rsidP="002C0A35">
            <w:pPr>
              <w:pStyle w:val="ListParagraph"/>
              <w:numPr>
                <w:ilvl w:val="0"/>
                <w:numId w:val="2"/>
              </w:num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CBD">
              <w:rPr>
                <w:rFonts w:cstheme="minorHAnsi"/>
                <w:sz w:val="20"/>
                <w:szCs w:val="20"/>
              </w:rPr>
              <w:t xml:space="preserve">Shift responsibility away from </w:t>
            </w:r>
            <w:r w:rsidR="00744208">
              <w:rPr>
                <w:rFonts w:cstheme="minorHAnsi"/>
                <w:sz w:val="20"/>
                <w:szCs w:val="20"/>
              </w:rPr>
              <w:t>HCI</w:t>
            </w:r>
            <w:r w:rsidRPr="004F3CBD">
              <w:rPr>
                <w:rFonts w:cstheme="minorHAnsi"/>
                <w:sz w:val="20"/>
                <w:szCs w:val="20"/>
              </w:rPr>
              <w:t xml:space="preserve"> (focus on sub-populations, individual responsibility to consume according to industry recommendations, focus on other industries, or events)</w:t>
            </w:r>
          </w:p>
          <w:p w14:paraId="16C04809" w14:textId="77777777" w:rsidR="001A3330" w:rsidRPr="004F3CBD" w:rsidRDefault="001A3330" w:rsidP="002C0A35">
            <w:pPr>
              <w:pStyle w:val="ListParagraph"/>
              <w:numPr>
                <w:ilvl w:val="0"/>
                <w:numId w:val="2"/>
              </w:num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CBD">
              <w:rPr>
                <w:rFonts w:cstheme="minorHAnsi"/>
                <w:sz w:val="20"/>
                <w:szCs w:val="20"/>
              </w:rPr>
              <w:t>Emphasizing localism and ‘place narrative’ of the brand/industry, links with local roots, elite circles, and cultural patronage</w:t>
            </w:r>
          </w:p>
          <w:p w14:paraId="699837E4" w14:textId="1B6F660C" w:rsidR="001A3330" w:rsidRPr="004F3CBD" w:rsidRDefault="001A3330" w:rsidP="002C0A35">
            <w:pPr>
              <w:pStyle w:val="ListParagraph"/>
              <w:numPr>
                <w:ilvl w:val="0"/>
                <w:numId w:val="2"/>
              </w:num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CBD">
              <w:rPr>
                <w:rFonts w:cstheme="minorHAnsi"/>
                <w:sz w:val="20"/>
                <w:szCs w:val="20"/>
              </w:rPr>
              <w:t xml:space="preserve">Locality integration -‘localisation’, aligning industry products with </w:t>
            </w:r>
            <w:r w:rsidR="00FE68C2" w:rsidRPr="004F3CBD">
              <w:rPr>
                <w:rFonts w:cstheme="minorHAnsi"/>
                <w:sz w:val="20"/>
                <w:szCs w:val="20"/>
              </w:rPr>
              <w:t>LA</w:t>
            </w:r>
            <w:r w:rsidR="0063412F" w:rsidRPr="004F3CBD">
              <w:rPr>
                <w:rFonts w:cstheme="minorHAnsi"/>
                <w:sz w:val="20"/>
                <w:szCs w:val="20"/>
              </w:rPr>
              <w:t xml:space="preserve"> area</w:t>
            </w:r>
            <w:r w:rsidRPr="004F3CBD">
              <w:rPr>
                <w:rFonts w:cstheme="minorHAnsi"/>
                <w:sz w:val="20"/>
                <w:szCs w:val="20"/>
              </w:rPr>
              <w:t xml:space="preserve"> desire/demand</w:t>
            </w:r>
          </w:p>
          <w:p w14:paraId="0FA50FA1" w14:textId="77777777" w:rsidR="001A3330" w:rsidRPr="004F3CBD" w:rsidRDefault="001A3330" w:rsidP="002C0A35">
            <w:pPr>
              <w:pStyle w:val="ListParagraph"/>
              <w:numPr>
                <w:ilvl w:val="0"/>
                <w:numId w:val="2"/>
              </w:num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CBD">
              <w:rPr>
                <w:rFonts w:cstheme="minorHAnsi"/>
                <w:sz w:val="20"/>
                <w:szCs w:val="20"/>
              </w:rPr>
              <w:t>Local workforce benefits (wages, health and safety, employee quality of life)</w:t>
            </w:r>
          </w:p>
        </w:tc>
        <w:tc>
          <w:tcPr>
            <w:tcW w:w="4961" w:type="dxa"/>
          </w:tcPr>
          <w:p w14:paraId="4A55593F" w14:textId="7F24D1E4" w:rsidR="001A3330" w:rsidRPr="00B204D4" w:rsidRDefault="00BB63C2" w:rsidP="00035EC7">
            <w:pPr>
              <w:pStyle w:val="ListParagraph"/>
              <w:numPr>
                <w:ilvl w:val="0"/>
                <w:numId w:val="10"/>
              </w:num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r>
              <w:rPr>
                <w:rFonts w:cstheme="minorHAnsi"/>
                <w:sz w:val="20"/>
                <w:szCs w:val="20"/>
              </w:rPr>
              <w:t>Gambling industry</w:t>
            </w:r>
            <w:r w:rsidR="001A3330" w:rsidRPr="00B204D4">
              <w:rPr>
                <w:rFonts w:cstheme="minorHAnsi"/>
                <w:sz w:val="20"/>
                <w:szCs w:val="20"/>
              </w:rPr>
              <w:t xml:space="preserve"> highlight £292m in taxes in 2020 </w:t>
            </w:r>
          </w:p>
          <w:p w14:paraId="474DA3D9" w14:textId="0C066754" w:rsidR="001A3330" w:rsidRPr="00B204D4" w:rsidRDefault="001A3330" w:rsidP="00035EC7">
            <w:pPr>
              <w:pStyle w:val="ListParagraph"/>
              <w:numPr>
                <w:ilvl w:val="0"/>
                <w:numId w:val="10"/>
              </w:num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04D4">
              <w:rPr>
                <w:rFonts w:cstheme="minorHAnsi"/>
                <w:sz w:val="20"/>
                <w:szCs w:val="20"/>
              </w:rPr>
              <w:t>'Project ope</w:t>
            </w:r>
            <w:r w:rsidR="001B4AEC">
              <w:rPr>
                <w:rFonts w:cstheme="minorHAnsi"/>
                <w:sz w:val="20"/>
                <w:szCs w:val="20"/>
              </w:rPr>
              <w:t>n’ p</w:t>
            </w:r>
            <w:r w:rsidRPr="00B204D4">
              <w:rPr>
                <w:rFonts w:cstheme="minorHAnsi"/>
                <w:sz w:val="20"/>
                <w:szCs w:val="20"/>
              </w:rPr>
              <w:t xml:space="preserve">ersonalised business support from </w:t>
            </w:r>
            <w:r w:rsidR="00BB63C2">
              <w:rPr>
                <w:rFonts w:cstheme="minorHAnsi"/>
                <w:sz w:val="20"/>
                <w:szCs w:val="20"/>
              </w:rPr>
              <w:t>unhealthy beverage industry</w:t>
            </w:r>
          </w:p>
          <w:p w14:paraId="08938D22" w14:textId="77777777" w:rsidR="001A3330" w:rsidRPr="00B204D4" w:rsidRDefault="001A3330">
            <w:pPr>
              <w:pStyle w:val="ListParagraph"/>
              <w:numPr>
                <w:ilvl w:val="0"/>
                <w:numId w:val="10"/>
              </w:num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04D4">
              <w:rPr>
                <w:rFonts w:cstheme="minorHAnsi"/>
                <w:sz w:val="20"/>
                <w:szCs w:val="20"/>
              </w:rPr>
              <w:t>Tobacco industry campaigns against illicit trade, linking them with local police</w:t>
            </w:r>
          </w:p>
          <w:p w14:paraId="1F9A07E7" w14:textId="5D75A504" w:rsidR="001A3330" w:rsidRPr="00B204D4" w:rsidRDefault="00BB63C2">
            <w:pPr>
              <w:pStyle w:val="ListParagraph"/>
              <w:numPr>
                <w:ilvl w:val="0"/>
                <w:numId w:val="10"/>
              </w:num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r>
              <w:rPr>
                <w:rFonts w:cstheme="minorHAnsi"/>
                <w:sz w:val="20"/>
                <w:szCs w:val="20"/>
              </w:rPr>
              <w:t>HFSS industry F</w:t>
            </w:r>
            <w:r w:rsidR="001A3330" w:rsidRPr="00B204D4">
              <w:rPr>
                <w:rFonts w:cstheme="minorHAnsi"/>
                <w:sz w:val="20"/>
                <w:szCs w:val="20"/>
              </w:rPr>
              <w:t>oundation funding community events and activities in</w:t>
            </w:r>
            <w:r w:rsidR="001B4AEC">
              <w:rPr>
                <w:rFonts w:cstheme="minorHAnsi"/>
                <w:sz w:val="20"/>
                <w:szCs w:val="20"/>
              </w:rPr>
              <w:t xml:space="preserve"> </w:t>
            </w:r>
            <w:r w:rsidR="00AB6E5E">
              <w:rPr>
                <w:rFonts w:cstheme="minorHAnsi"/>
                <w:sz w:val="20"/>
                <w:szCs w:val="20"/>
              </w:rPr>
              <w:t>LA</w:t>
            </w:r>
          </w:p>
          <w:p w14:paraId="732DE562" w14:textId="39218E3A" w:rsidR="001A3330" w:rsidRPr="00B204D4" w:rsidRDefault="00BB63C2">
            <w:pPr>
              <w:pStyle w:val="ListParagraph"/>
              <w:numPr>
                <w:ilvl w:val="0"/>
                <w:numId w:val="10"/>
              </w:num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HFSS industry</w:t>
            </w:r>
            <w:r w:rsidR="001A3330" w:rsidRPr="00B204D4">
              <w:rPr>
                <w:rFonts w:cstheme="minorHAnsi"/>
                <w:sz w:val="20"/>
                <w:szCs w:val="20"/>
              </w:rPr>
              <w:t xml:space="preserve"> campaign to drive local purchasing, playing to their origins as a small business and high street partners</w:t>
            </w:r>
          </w:p>
          <w:p w14:paraId="42C5D0D8" w14:textId="40DBC3F7" w:rsidR="001A3330" w:rsidRPr="00B204D4" w:rsidRDefault="00BB63C2">
            <w:pPr>
              <w:pStyle w:val="ListParagraph"/>
              <w:numPr>
                <w:ilvl w:val="0"/>
                <w:numId w:val="10"/>
              </w:num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r>
              <w:rPr>
                <w:rFonts w:cstheme="minorHAnsi"/>
                <w:sz w:val="20"/>
                <w:szCs w:val="20"/>
              </w:rPr>
              <w:t>Gambling industry</w:t>
            </w:r>
            <w:r w:rsidR="001A3330" w:rsidRPr="00B204D4">
              <w:rPr>
                <w:rFonts w:cstheme="minorHAnsi"/>
                <w:sz w:val="20"/>
                <w:szCs w:val="20"/>
              </w:rPr>
              <w:t xml:space="preserve"> highlight</w:t>
            </w:r>
            <w:r w:rsidR="00AD14D4">
              <w:rPr>
                <w:rFonts w:cstheme="minorHAnsi"/>
                <w:sz w:val="20"/>
                <w:szCs w:val="20"/>
              </w:rPr>
              <w:t>s</w:t>
            </w:r>
            <w:r w:rsidR="001A3330" w:rsidRPr="00B204D4">
              <w:rPr>
                <w:rFonts w:cstheme="minorHAnsi"/>
                <w:sz w:val="20"/>
                <w:szCs w:val="20"/>
              </w:rPr>
              <w:t xml:space="preserve"> </w:t>
            </w:r>
            <w:r w:rsidR="00AD14D4">
              <w:rPr>
                <w:rFonts w:cstheme="minorHAnsi"/>
                <w:sz w:val="20"/>
                <w:szCs w:val="20"/>
              </w:rPr>
              <w:t xml:space="preserve">the </w:t>
            </w:r>
            <w:r w:rsidR="001A3330" w:rsidRPr="00B204D4">
              <w:rPr>
                <w:rFonts w:cstheme="minorHAnsi"/>
                <w:sz w:val="20"/>
                <w:szCs w:val="20"/>
              </w:rPr>
              <w:t>employment of around 100,000 people in the UK</w:t>
            </w:r>
          </w:p>
          <w:p w14:paraId="39E9CC34" w14:textId="6FA06D3F" w:rsidR="009942BA" w:rsidRPr="001B4AEC" w:rsidRDefault="00BB63C2" w:rsidP="001B4AEC">
            <w:pPr>
              <w:pStyle w:val="ListParagraph"/>
              <w:numPr>
                <w:ilvl w:val="0"/>
                <w:numId w:val="10"/>
              </w:num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r>
              <w:rPr>
                <w:rFonts w:cstheme="minorHAnsi"/>
                <w:sz w:val="20"/>
                <w:szCs w:val="20"/>
              </w:rPr>
              <w:t>Tobacco</w:t>
            </w:r>
            <w:r w:rsidR="001A3330" w:rsidRPr="00B204D4">
              <w:rPr>
                <w:rFonts w:cstheme="minorHAnsi"/>
                <w:sz w:val="20"/>
                <w:szCs w:val="20"/>
              </w:rPr>
              <w:t xml:space="preserve"> funding the Clean-up Britain campaign</w:t>
            </w:r>
          </w:p>
        </w:tc>
      </w:tr>
    </w:tbl>
    <w:bookmarkEnd w:id="6"/>
    <w:p w14:paraId="28E6E91D" w14:textId="60670948" w:rsidR="001A3330" w:rsidRDefault="001A3330" w:rsidP="001A3330">
      <w:pPr>
        <w:spacing w:line="240" w:lineRule="auto"/>
        <w:rPr>
          <w:i/>
          <w:iCs/>
          <w:sz w:val="20"/>
          <w:szCs w:val="20"/>
        </w:rPr>
      </w:pPr>
      <w:r w:rsidRPr="001A3330">
        <w:rPr>
          <w:i/>
          <w:iCs/>
          <w:sz w:val="20"/>
          <w:szCs w:val="20"/>
        </w:rPr>
        <w:t>Abbreviations: LA: Local Authority, e.g.: example, NGO: Non-Governmental Organisations, SME: Small-to-Medium</w:t>
      </w:r>
      <w:r w:rsidR="00AB6E5E">
        <w:rPr>
          <w:i/>
          <w:iCs/>
          <w:sz w:val="20"/>
          <w:szCs w:val="20"/>
        </w:rPr>
        <w:t xml:space="preserve"> sized</w:t>
      </w:r>
      <w:r w:rsidRPr="001A3330">
        <w:rPr>
          <w:i/>
          <w:iCs/>
          <w:sz w:val="20"/>
          <w:szCs w:val="20"/>
        </w:rPr>
        <w:t xml:space="preserve"> Enterprise, PR: Public Relations, HFSS: High in Fat Sugar and Salt</w:t>
      </w:r>
      <w:r w:rsidR="00440499">
        <w:rPr>
          <w:i/>
          <w:iCs/>
          <w:sz w:val="20"/>
          <w:szCs w:val="20"/>
        </w:rPr>
        <w:t xml:space="preserve">, CSR: Corporate Social </w:t>
      </w:r>
      <w:r w:rsidR="00AB6E5E">
        <w:rPr>
          <w:i/>
          <w:iCs/>
          <w:sz w:val="20"/>
          <w:szCs w:val="20"/>
        </w:rPr>
        <w:t>Responsibility</w:t>
      </w:r>
      <w:r w:rsidR="00440499">
        <w:rPr>
          <w:i/>
          <w:iCs/>
          <w:sz w:val="20"/>
          <w:szCs w:val="20"/>
        </w:rPr>
        <w:t>.</w:t>
      </w:r>
      <w:r w:rsidRPr="001A3330">
        <w:rPr>
          <w:i/>
          <w:iCs/>
          <w:sz w:val="20"/>
          <w:szCs w:val="20"/>
        </w:rPr>
        <w:t xml:space="preserve"> </w:t>
      </w:r>
      <w:r w:rsidRPr="001A3330">
        <w:rPr>
          <w:b/>
          <w:bCs/>
          <w:i/>
          <w:iCs/>
          <w:sz w:val="20"/>
          <w:szCs w:val="20"/>
        </w:rPr>
        <w:t>Note:</w:t>
      </w:r>
      <w:r w:rsidRPr="001A3330">
        <w:rPr>
          <w:i/>
          <w:iCs/>
          <w:sz w:val="20"/>
          <w:szCs w:val="20"/>
        </w:rPr>
        <w:t xml:space="preserve"> Some of the interactions may fall into more than one category or link with other themes (not mutually exclusiv</w:t>
      </w:r>
      <w:r w:rsidR="004B13F0">
        <w:rPr>
          <w:i/>
          <w:iCs/>
          <w:sz w:val="20"/>
          <w:szCs w:val="20"/>
        </w:rPr>
        <w:t>e)</w:t>
      </w:r>
      <w:r w:rsidR="00096ACE">
        <w:rPr>
          <w:i/>
          <w:iCs/>
          <w:sz w:val="20"/>
          <w:szCs w:val="20"/>
        </w:rPr>
        <w:t>. Further information for each example interaction can be found in Supplementary Table 7.</w:t>
      </w:r>
    </w:p>
    <w:p w14:paraId="6AD65E07" w14:textId="77777777" w:rsidR="004B13F0" w:rsidRDefault="004B13F0" w:rsidP="001A3330">
      <w:pPr>
        <w:spacing w:line="240" w:lineRule="auto"/>
        <w:rPr>
          <w:i/>
          <w:iCs/>
          <w:sz w:val="20"/>
          <w:szCs w:val="20"/>
        </w:rPr>
      </w:pPr>
    </w:p>
    <w:p w14:paraId="75595454" w14:textId="3D89CEFC" w:rsidR="004B13F0" w:rsidRPr="001A3330" w:rsidRDefault="004B13F0" w:rsidP="001A3330">
      <w:pPr>
        <w:spacing w:line="240" w:lineRule="auto"/>
        <w:rPr>
          <w:i/>
          <w:iCs/>
          <w:sz w:val="20"/>
          <w:szCs w:val="20"/>
        </w:rPr>
        <w:sectPr w:rsidR="004B13F0" w:rsidRPr="001A3330" w:rsidSect="001A3330">
          <w:pgSz w:w="16838" w:h="11906" w:orient="landscape"/>
          <w:pgMar w:top="1440" w:right="1440" w:bottom="1440" w:left="1440" w:header="708" w:footer="708" w:gutter="0"/>
          <w:cols w:space="708"/>
          <w:docGrid w:linePitch="360"/>
        </w:sectPr>
      </w:pPr>
    </w:p>
    <w:p w14:paraId="10B216E2" w14:textId="4C0C05AD" w:rsidR="00BB5EA1" w:rsidRPr="00865E0C" w:rsidRDefault="00131564" w:rsidP="00865E0C">
      <w:pPr>
        <w:spacing w:line="259" w:lineRule="auto"/>
        <w:rPr>
          <w:b/>
          <w:bCs/>
        </w:rPr>
      </w:pPr>
      <w:r w:rsidRPr="00465A7B">
        <w:rPr>
          <w:b/>
          <w:bCs/>
          <w:sz w:val="24"/>
          <w:szCs w:val="24"/>
        </w:rPr>
        <w:lastRenderedPageBreak/>
        <w:t>D</w:t>
      </w:r>
      <w:r w:rsidR="00A440E5">
        <w:rPr>
          <w:b/>
          <w:bCs/>
          <w:sz w:val="24"/>
          <w:szCs w:val="24"/>
        </w:rPr>
        <w:t>ISCUSSION</w:t>
      </w:r>
      <w:r w:rsidR="008D1BB4">
        <w:rPr>
          <w:b/>
          <w:bCs/>
          <w:sz w:val="24"/>
          <w:szCs w:val="24"/>
        </w:rPr>
        <w:t xml:space="preserve"> </w:t>
      </w:r>
    </w:p>
    <w:p w14:paraId="7290890D" w14:textId="399904AF" w:rsidR="00B365C4" w:rsidRPr="00EE4AC5" w:rsidRDefault="00B365C4" w:rsidP="00EE4AC5">
      <w:pPr>
        <w:spacing w:line="259" w:lineRule="auto"/>
        <w:jc w:val="both"/>
        <w:rPr>
          <w:b/>
          <w:bCs/>
        </w:rPr>
      </w:pPr>
      <w:r w:rsidRPr="00EE4AC5">
        <w:rPr>
          <w:b/>
          <w:bCs/>
        </w:rPr>
        <w:t>Summary of main findings</w:t>
      </w:r>
    </w:p>
    <w:p w14:paraId="4F42B271" w14:textId="4837DBC0" w:rsidR="00BB5EA1" w:rsidRPr="004F3CBD" w:rsidRDefault="00BE6481" w:rsidP="008C7935">
      <w:pPr>
        <w:jc w:val="both"/>
      </w:pPr>
      <w:r>
        <w:t>To our knowledge</w:t>
      </w:r>
      <w:r w:rsidR="00BB5EA1">
        <w:t>, this</w:t>
      </w:r>
      <w:r w:rsidR="002007B2">
        <w:t xml:space="preserve"> </w:t>
      </w:r>
      <w:r w:rsidR="00BB5EA1">
        <w:t xml:space="preserve">is the first </w:t>
      </w:r>
      <w:r w:rsidR="00B365C4">
        <w:t xml:space="preserve">study </w:t>
      </w:r>
      <w:r w:rsidR="009E1CE2">
        <w:t xml:space="preserve">to </w:t>
      </w:r>
      <w:r w:rsidR="00103A1E">
        <w:t xml:space="preserve">develop </w:t>
      </w:r>
      <w:r w:rsidR="009E1CE2">
        <w:t>a typology of</w:t>
      </w:r>
      <w:r w:rsidR="00BB5EA1">
        <w:t xml:space="preserve"> the</w:t>
      </w:r>
      <w:r w:rsidR="009E1CE2">
        <w:t xml:space="preserve"> potential </w:t>
      </w:r>
      <w:r w:rsidR="00CD5235">
        <w:t xml:space="preserve">interactions between </w:t>
      </w:r>
      <w:r w:rsidR="009E1CE2">
        <w:t>HCI</w:t>
      </w:r>
      <w:r w:rsidR="00B557D3">
        <w:t>s</w:t>
      </w:r>
      <w:r w:rsidR="009E1CE2">
        <w:t xml:space="preserve"> </w:t>
      </w:r>
      <w:r w:rsidR="00CD5235">
        <w:t>and</w:t>
      </w:r>
      <w:r w:rsidR="00953723">
        <w:t xml:space="preserve"> </w:t>
      </w:r>
      <w:r>
        <w:t>local government</w:t>
      </w:r>
      <w:r w:rsidR="00F6324B">
        <w:t xml:space="preserve">, with case examples drawn from </w:t>
      </w:r>
      <w:r>
        <w:t>England</w:t>
      </w:r>
      <w:r w:rsidR="009E1CE2">
        <w:t>.</w:t>
      </w:r>
      <w:r w:rsidR="0062061F">
        <w:t xml:space="preserve"> </w:t>
      </w:r>
      <w:r w:rsidR="00B854EC" w:rsidRPr="001A6A1E">
        <w:t xml:space="preserve">Drawing on previous </w:t>
      </w:r>
      <w:r w:rsidR="00103A1E">
        <w:t xml:space="preserve">published </w:t>
      </w:r>
      <w:r w:rsidR="00B854EC" w:rsidRPr="001A6A1E">
        <w:t xml:space="preserve">frameworks and conceptualisations, </w:t>
      </w:r>
      <w:r w:rsidR="00CA50A8">
        <w:t xml:space="preserve">and </w:t>
      </w:r>
      <w:r w:rsidR="00B854EC" w:rsidRPr="001A6A1E">
        <w:t>grey literature</w:t>
      </w:r>
      <w:r w:rsidR="00920CCB">
        <w:t>,</w:t>
      </w:r>
      <w:r w:rsidR="00B854EC" w:rsidRPr="001A6A1E">
        <w:t xml:space="preserve"> </w:t>
      </w:r>
      <w:r w:rsidR="00C744AF">
        <w:t xml:space="preserve">our </w:t>
      </w:r>
      <w:r w:rsidR="00420EDB">
        <w:t>typology classifies potential</w:t>
      </w:r>
      <w:r w:rsidR="00BB5EA1" w:rsidRPr="001A6A1E">
        <w:t xml:space="preserve"> interactions </w:t>
      </w:r>
      <w:r w:rsidR="006D57E9">
        <w:t>according to the medium th</w:t>
      </w:r>
      <w:r w:rsidR="00726448">
        <w:t>r</w:t>
      </w:r>
      <w:r w:rsidR="006D57E9">
        <w:t xml:space="preserve">ough which </w:t>
      </w:r>
      <w:r w:rsidR="00B365C4">
        <w:t xml:space="preserve">they </w:t>
      </w:r>
      <w:r w:rsidR="00726448">
        <w:t>take place</w:t>
      </w:r>
      <w:r w:rsidR="00953723">
        <w:t xml:space="preserve">. Interactions occur </w:t>
      </w:r>
      <w:r w:rsidR="007171ED">
        <w:t xml:space="preserve">both </w:t>
      </w:r>
      <w:r w:rsidR="00BB5EA1" w:rsidRPr="001A6A1E">
        <w:t>directly with the LA</w:t>
      </w:r>
      <w:r w:rsidR="00B557D3">
        <w:t xml:space="preserve"> </w:t>
      </w:r>
      <w:r w:rsidR="002C27B9" w:rsidRPr="001A6A1E">
        <w:t xml:space="preserve">and </w:t>
      </w:r>
      <w:r w:rsidR="00CD5235">
        <w:t xml:space="preserve">indirectly </w:t>
      </w:r>
      <w:r w:rsidR="00BB5EA1" w:rsidRPr="001A6A1E">
        <w:t>through intermediaries</w:t>
      </w:r>
      <w:r w:rsidR="00726448">
        <w:t xml:space="preserve"> </w:t>
      </w:r>
      <w:r w:rsidR="008C7935">
        <w:t>by</w:t>
      </w:r>
      <w:r w:rsidR="00930B04" w:rsidRPr="001A6A1E">
        <w:t xml:space="preserve"> </w:t>
      </w:r>
      <w:r w:rsidR="00930B04" w:rsidRPr="004F3CBD">
        <w:t xml:space="preserve">contractual, </w:t>
      </w:r>
      <w:r w:rsidR="00EE4AC5" w:rsidRPr="004F3CBD">
        <w:t>voluntary,</w:t>
      </w:r>
      <w:r w:rsidR="0062061F" w:rsidRPr="004F3CBD">
        <w:t xml:space="preserve"> </w:t>
      </w:r>
      <w:r w:rsidR="00930B04" w:rsidRPr="004F3CBD">
        <w:t xml:space="preserve">and </w:t>
      </w:r>
      <w:r w:rsidR="002007B2" w:rsidRPr="004F3CBD">
        <w:t>influential means</w:t>
      </w:r>
      <w:r w:rsidR="007171ED" w:rsidRPr="004F3CBD">
        <w:t>, and</w:t>
      </w:r>
      <w:r w:rsidR="00930B04" w:rsidRPr="004F3CBD">
        <w:t xml:space="preserve"> via the local knowledge space, </w:t>
      </w:r>
      <w:r w:rsidR="002C27B9" w:rsidRPr="004F3CBD">
        <w:t>involving local health messages, the local public health narrative, and CSR.</w:t>
      </w:r>
      <w:r w:rsidR="00BB5EA1" w:rsidRPr="004F3CBD">
        <w:t xml:space="preserve"> Our perspective and findings </w:t>
      </w:r>
      <w:r w:rsidR="00B365C4" w:rsidRPr="004F3CBD">
        <w:t xml:space="preserve">acknowledge </w:t>
      </w:r>
      <w:r w:rsidR="00BB5EA1" w:rsidRPr="004F3CBD">
        <w:t>the wider CD</w:t>
      </w:r>
      <w:r w:rsidR="00A964FB" w:rsidRPr="004F3CBD">
        <w:t>o</w:t>
      </w:r>
      <w:r w:rsidR="00BB5EA1" w:rsidRPr="004F3CBD">
        <w:t>H environment, and</w:t>
      </w:r>
      <w:r w:rsidR="0062061F" w:rsidRPr="004F3CBD">
        <w:t xml:space="preserve"> </w:t>
      </w:r>
      <w:r w:rsidR="00BB5EA1" w:rsidRPr="004F3CBD">
        <w:t>upstream contextual factors,</w:t>
      </w:r>
      <w:r w:rsidR="0062061F" w:rsidRPr="004F3CBD">
        <w:t xml:space="preserve"> </w:t>
      </w:r>
      <w:r w:rsidR="002C27B9" w:rsidRPr="004F3CBD">
        <w:t>whi</w:t>
      </w:r>
      <w:r w:rsidR="00C525E2" w:rsidRPr="004F3CBD">
        <w:t xml:space="preserve">ch </w:t>
      </w:r>
      <w:r w:rsidR="002A785D" w:rsidRPr="004F3CBD">
        <w:t>shape</w:t>
      </w:r>
      <w:r w:rsidR="00BB5EA1" w:rsidRPr="004F3CBD">
        <w:t xml:space="preserve"> </w:t>
      </w:r>
      <w:r w:rsidR="008C7935" w:rsidRPr="004F3CBD">
        <w:t xml:space="preserve">the </w:t>
      </w:r>
      <w:r w:rsidR="00BB5EA1" w:rsidRPr="004F3CBD">
        <w:t>interaction landscape</w:t>
      </w:r>
      <w:r w:rsidR="008C7935" w:rsidRPr="004F3CBD">
        <w:t xml:space="preserve"> at a local</w:t>
      </w:r>
      <w:r w:rsidR="00AC1283" w:rsidRPr="004F3CBD">
        <w:t xml:space="preserve"> </w:t>
      </w:r>
      <w:r w:rsidR="008C7935" w:rsidRPr="004F3CBD">
        <w:t>level</w:t>
      </w:r>
      <w:r w:rsidR="00BB5EA1" w:rsidRPr="004F3CBD">
        <w:t>.</w:t>
      </w:r>
    </w:p>
    <w:p w14:paraId="063DE9E4" w14:textId="13CF04B7" w:rsidR="00C359D1" w:rsidRPr="004F3CBD" w:rsidRDefault="00B365C4" w:rsidP="008C7935">
      <w:pPr>
        <w:jc w:val="both"/>
        <w:rPr>
          <w:b/>
          <w:bCs/>
          <w:sz w:val="24"/>
          <w:szCs w:val="24"/>
        </w:rPr>
      </w:pPr>
      <w:r w:rsidRPr="004F3CBD">
        <w:t>Given the extent of potential interactions</w:t>
      </w:r>
      <w:r w:rsidR="00AD14D4" w:rsidRPr="004F3CBD">
        <w:t>,</w:t>
      </w:r>
      <w:r w:rsidR="00A25F07" w:rsidRPr="004F3CBD">
        <w:t xml:space="preserve"> we suggest that the interactions between </w:t>
      </w:r>
      <w:r w:rsidRPr="004F3CBD">
        <w:t xml:space="preserve">HCIs </w:t>
      </w:r>
      <w:r w:rsidR="008E784A" w:rsidRPr="004F3CBD">
        <w:t>and</w:t>
      </w:r>
      <w:r w:rsidR="00BE6481" w:rsidRPr="004F3CBD">
        <w:t xml:space="preserve"> local government</w:t>
      </w:r>
      <w:r w:rsidR="008E784A" w:rsidRPr="004F3CBD">
        <w:t xml:space="preserve"> </w:t>
      </w:r>
      <w:r w:rsidR="00DE254F" w:rsidRPr="004F3CBD">
        <w:t xml:space="preserve">may </w:t>
      </w:r>
      <w:r w:rsidR="00A25F07" w:rsidRPr="004F3CBD">
        <w:t>have a significant role in shaping local environment</w:t>
      </w:r>
      <w:r w:rsidRPr="004F3CBD">
        <w:t>s</w:t>
      </w:r>
      <w:r w:rsidR="00A25F07" w:rsidRPr="004F3CBD">
        <w:t xml:space="preserve"> </w:t>
      </w:r>
      <w:r w:rsidR="00FE3ABF" w:rsidRPr="004F3CBD">
        <w:t xml:space="preserve">in which people work and live, </w:t>
      </w:r>
      <w:r w:rsidRPr="004F3CBD">
        <w:t xml:space="preserve">and thus </w:t>
      </w:r>
      <w:r w:rsidR="00A25F07" w:rsidRPr="004F3CBD">
        <w:t>health behaviours</w:t>
      </w:r>
      <w:r w:rsidRPr="004F3CBD">
        <w:t xml:space="preserve"> and associated outcomes</w:t>
      </w:r>
      <w:r w:rsidR="00FE3ABF" w:rsidRPr="004F3CBD">
        <w:t xml:space="preserve"> at a population level</w:t>
      </w:r>
      <w:r w:rsidR="00A25F07" w:rsidRPr="004F3CBD">
        <w:t xml:space="preserve">. </w:t>
      </w:r>
      <w:r w:rsidR="00C359D1" w:rsidRPr="004F3CBD">
        <w:t xml:space="preserve">Our </w:t>
      </w:r>
      <w:r w:rsidR="006E056D" w:rsidRPr="004F3CBD">
        <w:t xml:space="preserve">conceptualisation </w:t>
      </w:r>
      <w:r w:rsidR="00A25F07" w:rsidRPr="004F3CBD">
        <w:t>of interactions</w:t>
      </w:r>
      <w:r w:rsidR="00C359D1" w:rsidRPr="004F3CBD">
        <w:t xml:space="preserve"> acknowledges the LA</w:t>
      </w:r>
      <w:r w:rsidR="00F14DBD" w:rsidRPr="004F3CBD">
        <w:t xml:space="preserve"> perspective, </w:t>
      </w:r>
      <w:r w:rsidR="00A25F07" w:rsidRPr="004F3CBD">
        <w:t>in which</w:t>
      </w:r>
      <w:r w:rsidR="00F14DBD" w:rsidRPr="004F3CBD">
        <w:t xml:space="preserve"> </w:t>
      </w:r>
      <w:r w:rsidR="00B557D3" w:rsidRPr="004F3CBD">
        <w:t>working</w:t>
      </w:r>
      <w:r w:rsidR="00C359D1" w:rsidRPr="004F3CBD">
        <w:t xml:space="preserve"> with </w:t>
      </w:r>
      <w:r w:rsidR="00DE254F" w:rsidRPr="004F3CBD">
        <w:t>the p</w:t>
      </w:r>
      <w:r w:rsidR="00392BA1" w:rsidRPr="004F3CBD">
        <w:t>rivate</w:t>
      </w:r>
      <w:r w:rsidR="00DE254F" w:rsidRPr="004F3CBD">
        <w:t xml:space="preserve"> sector generally </w:t>
      </w:r>
      <w:r w:rsidR="00A25F07" w:rsidRPr="004F3CBD">
        <w:t>is</w:t>
      </w:r>
      <w:r w:rsidR="00CB600F">
        <w:t xml:space="preserve"> often seen as acceptable by LAs</w:t>
      </w:r>
      <w:r w:rsidR="00C359D1" w:rsidRPr="004F3CBD">
        <w:t xml:space="preserve"> to execute </w:t>
      </w:r>
      <w:r w:rsidR="00A25F07" w:rsidRPr="004F3CBD">
        <w:t>functions</w:t>
      </w:r>
      <w:r w:rsidR="00A6723B" w:rsidRPr="004F3CBD">
        <w:t xml:space="preserve"> </w:t>
      </w:r>
      <w:r w:rsidR="00A25F07" w:rsidRPr="004F3CBD">
        <w:t>t</w:t>
      </w:r>
      <w:r w:rsidR="00C359D1" w:rsidRPr="004F3CBD">
        <w:t xml:space="preserve">o enhance </w:t>
      </w:r>
      <w:r w:rsidR="00006EE4" w:rsidRPr="004F3CBD">
        <w:t xml:space="preserve">local </w:t>
      </w:r>
      <w:r w:rsidR="00C359D1" w:rsidRPr="004F3CBD">
        <w:t>society</w:t>
      </w:r>
      <w:r w:rsidR="00006EE4" w:rsidRPr="004F3CBD">
        <w:t xml:space="preserve">, </w:t>
      </w:r>
      <w:r w:rsidR="00584C6B" w:rsidRPr="004F3CBD">
        <w:t>in</w:t>
      </w:r>
      <w:r w:rsidR="00C359D1" w:rsidRPr="004F3CBD">
        <w:t xml:space="preserve"> and out of the </w:t>
      </w:r>
      <w:r w:rsidR="00E40E42">
        <w:t>public</w:t>
      </w:r>
      <w:r w:rsidR="00C359D1" w:rsidRPr="004F3CBD">
        <w:t xml:space="preserve"> health domai</w:t>
      </w:r>
      <w:r w:rsidR="00A04209" w:rsidRPr="004F3CBD">
        <w:t>n (e.g. planning, community development, transport).</w:t>
      </w:r>
      <w:r w:rsidR="00DE254F" w:rsidRPr="004F3CBD">
        <w:t xml:space="preserve"> </w:t>
      </w:r>
      <w:r w:rsidRPr="004F3CBD">
        <w:t>T</w:t>
      </w:r>
      <w:r w:rsidR="00C359D1" w:rsidRPr="004F3CBD">
        <w:t xml:space="preserve">he </w:t>
      </w:r>
      <w:r w:rsidRPr="004F3CBD">
        <w:t xml:space="preserve">proposed </w:t>
      </w:r>
      <w:r w:rsidR="00C359D1" w:rsidRPr="004F3CBD">
        <w:t>typology</w:t>
      </w:r>
      <w:r w:rsidR="005871ED" w:rsidRPr="004F3CBD">
        <w:t xml:space="preserve"> is not definitive, </w:t>
      </w:r>
      <w:r w:rsidRPr="004F3CBD">
        <w:t xml:space="preserve">and could be enhanced with further </w:t>
      </w:r>
      <w:r w:rsidR="00C359D1" w:rsidRPr="004F3CBD">
        <w:t>evidence, synthesis, and future research</w:t>
      </w:r>
      <w:r w:rsidR="005871ED" w:rsidRPr="004F3CBD">
        <w:t>.</w:t>
      </w:r>
    </w:p>
    <w:p w14:paraId="070C0955" w14:textId="77777777" w:rsidR="00F030E2" w:rsidRPr="004F3CBD" w:rsidRDefault="00F030E2" w:rsidP="00F030E2">
      <w:pPr>
        <w:rPr>
          <w:b/>
          <w:bCs/>
        </w:rPr>
      </w:pPr>
      <w:r w:rsidRPr="004F3CBD">
        <w:rPr>
          <w:b/>
          <w:bCs/>
        </w:rPr>
        <w:t>Strengths and limitations</w:t>
      </w:r>
    </w:p>
    <w:p w14:paraId="73CEB115" w14:textId="6DF55F87" w:rsidR="00F030E2" w:rsidRPr="004F3CBD" w:rsidRDefault="00F030E2" w:rsidP="00F030E2">
      <w:pPr>
        <w:jc w:val="both"/>
      </w:pPr>
      <w:r w:rsidRPr="004F3CBD">
        <w:t xml:space="preserve">A major strength of this study is that it proposes a novel and detailed typology with methodological rigour, that identifies ways HCIs and LAs interact, which may be used by LAs to assess their own practices. To the best of our knowledge, this is the first framework to consider HCI interactions at a LA level. Drawn on well-established CDoH theories and frameworks, our typology offers new utility and applicability for research and practice. The provided typology should enable further study of these interactions and develop pragmatic ways in which LAs and </w:t>
      </w:r>
      <w:r w:rsidR="00302058" w:rsidRPr="004F3CBD">
        <w:t xml:space="preserve">HCIs </w:t>
      </w:r>
      <w:r w:rsidRPr="004F3CBD">
        <w:t xml:space="preserve">can interact, </w:t>
      </w:r>
      <w:r w:rsidR="00374789" w:rsidRPr="004F3CBD">
        <w:t>to maximise</w:t>
      </w:r>
      <w:r w:rsidRPr="004F3CBD">
        <w:t xml:space="preserve"> p</w:t>
      </w:r>
      <w:r w:rsidR="00E40E42">
        <w:t>opulation</w:t>
      </w:r>
      <w:r w:rsidRPr="004F3CBD">
        <w:t xml:space="preserve"> health interests.</w:t>
      </w:r>
    </w:p>
    <w:p w14:paraId="5B6C5D1A" w14:textId="3BB08C85" w:rsidR="00F030E2" w:rsidRDefault="00F030E2" w:rsidP="00F030E2">
      <w:pPr>
        <w:jc w:val="both"/>
      </w:pPr>
      <w:r w:rsidRPr="004F3CBD">
        <w:t xml:space="preserve">This study has some limitations. First, we only used five databases for our literature search, which although in combination offered a diverse range of literature, may not fully depict the business relations documented in the wider literature. Although this paper did not aim to review </w:t>
      </w:r>
      <w:r w:rsidRPr="004F3CBD">
        <w:rPr>
          <w:i/>
          <w:iCs/>
        </w:rPr>
        <w:t>all</w:t>
      </w:r>
      <w:r w:rsidRPr="004F3CBD">
        <w:t xml:space="preserve"> the relevant work, some important, related work, may not have been included. The lens, of studying ‘interactions’ with HCIs</w:t>
      </w:r>
      <w:r w:rsidR="0043050E">
        <w:t>,</w:t>
      </w:r>
      <w:r w:rsidRPr="004F3CBD">
        <w:t xml:space="preserve"> has not been previously adopted and previous literature, including the underpinning theory, methods, and illustrative cases, is mostly skewed toward a CPA lens. In addition, despite the aim to adopt a lens that reflects the LA viewpoint besides the p</w:t>
      </w:r>
      <w:r w:rsidR="00E40E42">
        <w:t>ublic</w:t>
      </w:r>
      <w:r w:rsidRPr="004F3CBD">
        <w:t xml:space="preserve"> health perspective, we acknowledge the potential for bias in our interpretation. </w:t>
      </w:r>
    </w:p>
    <w:p w14:paraId="673C8CA1" w14:textId="03B5B6D4" w:rsidR="00F030E2" w:rsidRDefault="00BB23E7" w:rsidP="00F030E2">
      <w:pPr>
        <w:jc w:val="both"/>
        <w:rPr>
          <w:b/>
          <w:bCs/>
        </w:rPr>
      </w:pPr>
      <w:r w:rsidRPr="00BB23E7">
        <w:lastRenderedPageBreak/>
        <w:t>Although we aimed to capture local level interactions, we acknowledge that there are other influences, including at national and international level, which manifest locally but are not captured in detail in this manuscript, due to the specific focus on LA levers.</w:t>
      </w:r>
      <w:r>
        <w:t xml:space="preserve"> </w:t>
      </w:r>
      <w:r w:rsidR="00B95021" w:rsidRPr="00B95021">
        <w:t>We acknowledge that by applying our typology to the English LA context, our examples may be most aligned with similar political systems in HIC settings. However, transnational harmful commodity organisations operate on global markets and their approaches share commonalities across both HIC and LMIC settings, but this has not been explored at a LA level and warrants further research.</w:t>
      </w:r>
      <w:r w:rsidR="00B95021">
        <w:t xml:space="preserve"> </w:t>
      </w:r>
      <w:r w:rsidR="00F030E2">
        <w:t xml:space="preserve">The reliance on publicly available information to gain the LA context </w:t>
      </w:r>
      <w:r w:rsidR="005C50FE">
        <w:t xml:space="preserve">also </w:t>
      </w:r>
      <w:r w:rsidR="00F030E2">
        <w:t xml:space="preserve">has limitations. Some of the interactions lack documented evidence and are dominated by opinion-based and anecdotal evidence, and hidden, invisible, informal and some indirect interactions were not captured. </w:t>
      </w:r>
    </w:p>
    <w:p w14:paraId="1D147177" w14:textId="497259A6" w:rsidR="00BD5812" w:rsidRPr="001A6A1E" w:rsidRDefault="00F6324B" w:rsidP="001A6A1E">
      <w:pPr>
        <w:spacing w:line="259" w:lineRule="auto"/>
        <w:jc w:val="both"/>
        <w:rPr>
          <w:b/>
          <w:bCs/>
        </w:rPr>
      </w:pPr>
      <w:r>
        <w:rPr>
          <w:b/>
          <w:bCs/>
        </w:rPr>
        <w:t xml:space="preserve">Situating the typology within the wider </w:t>
      </w:r>
      <w:r w:rsidR="00E4326A" w:rsidRPr="001A6A1E">
        <w:rPr>
          <w:b/>
          <w:bCs/>
        </w:rPr>
        <w:t>literature</w:t>
      </w:r>
    </w:p>
    <w:p w14:paraId="26755223" w14:textId="379DBABF" w:rsidR="00016F8F" w:rsidRPr="00CF6230" w:rsidRDefault="00B557D3" w:rsidP="001A6A1E">
      <w:pPr>
        <w:jc w:val="both"/>
      </w:pPr>
      <w:r w:rsidRPr="001A6A1E">
        <w:t xml:space="preserve">While previous efforts to describe and monitor the practices of HCIs have focused on </w:t>
      </w:r>
      <w:r w:rsidR="00CF5A6F">
        <w:t>CPA</w:t>
      </w:r>
      <w:r w:rsidRPr="001A6A1E">
        <w:t xml:space="preserve"> efforts and in a wider context, </w:t>
      </w:r>
      <w:r w:rsidR="002007B2">
        <w:t>we focus o</w:t>
      </w:r>
      <w:r w:rsidRPr="001A6A1E">
        <w:t xml:space="preserve">n </w:t>
      </w:r>
      <w:r w:rsidR="00A6723B">
        <w:t>interaction</w:t>
      </w:r>
      <w:r w:rsidRPr="001A6A1E">
        <w:t xml:space="preserve">, </w:t>
      </w:r>
      <w:r w:rsidR="008E784A">
        <w:t xml:space="preserve">specifically </w:t>
      </w:r>
      <w:r w:rsidRPr="001A6A1E">
        <w:t xml:space="preserve">in </w:t>
      </w:r>
      <w:r w:rsidR="00FC6681">
        <w:t>the English</w:t>
      </w:r>
      <w:r w:rsidRPr="001A6A1E">
        <w:t xml:space="preserve"> LA context. </w:t>
      </w:r>
      <w:r w:rsidR="00805EDD">
        <w:t>W</w:t>
      </w:r>
      <w:r w:rsidR="004606A4" w:rsidRPr="001A6A1E">
        <w:t xml:space="preserve">e </w:t>
      </w:r>
      <w:r w:rsidR="002A785D">
        <w:t>have not attempted</w:t>
      </w:r>
      <w:r w:rsidR="001A1AF9" w:rsidRPr="001A6A1E">
        <w:t xml:space="preserve"> to describe</w:t>
      </w:r>
      <w:r w:rsidR="00440499">
        <w:t xml:space="preserve"> or define</w:t>
      </w:r>
      <w:r w:rsidR="001A1AF9" w:rsidRPr="001A6A1E">
        <w:t xml:space="preserve"> the CD</w:t>
      </w:r>
      <w:r w:rsidR="00A964FB">
        <w:t>o</w:t>
      </w:r>
      <w:r w:rsidR="001A1AF9" w:rsidRPr="001A6A1E">
        <w:t>H</w:t>
      </w:r>
      <w:r w:rsidR="00440499">
        <w:t xml:space="preserve"> or </w:t>
      </w:r>
      <w:r w:rsidR="001A1AF9" w:rsidRPr="001A6A1E">
        <w:t>CPA</w:t>
      </w:r>
      <w:r w:rsidR="00A6723B">
        <w:t xml:space="preserve">, </w:t>
      </w:r>
      <w:r w:rsidR="00440499">
        <w:t xml:space="preserve">or </w:t>
      </w:r>
      <w:r w:rsidR="001A1AF9" w:rsidRPr="001A6A1E">
        <w:t xml:space="preserve">the broad dynamics that </w:t>
      </w:r>
      <w:r w:rsidR="004606A4" w:rsidRPr="001A6A1E">
        <w:t>constitute</w:t>
      </w:r>
      <w:r w:rsidR="001A1AF9" w:rsidRPr="001A6A1E">
        <w:t xml:space="preserve"> elements </w:t>
      </w:r>
      <w:r w:rsidR="00AF51C0">
        <w:t>previously</w:t>
      </w:r>
      <w:r w:rsidR="00440499">
        <w:t xml:space="preserve"> </w:t>
      </w:r>
      <w:r w:rsidR="00A6723B">
        <w:t>comprehensively synthesise</w:t>
      </w:r>
      <w:r w:rsidR="001A1AF9" w:rsidRPr="001A6A1E">
        <w:t>d</w:t>
      </w:r>
      <w:r w:rsidR="00920CCB">
        <w:t xml:space="preserve"> </w:t>
      </w:r>
      <w:r w:rsidR="00DD2FED">
        <w:t>[</w:t>
      </w:r>
      <w:r w:rsidR="00BB53B6">
        <w:t>5</w:t>
      </w:r>
      <w:r w:rsidR="008C4C4E">
        <w:t>2</w:t>
      </w:r>
      <w:r w:rsidR="00BB53B6">
        <w:t>,</w:t>
      </w:r>
      <w:r w:rsidR="005D7310">
        <w:t xml:space="preserve"> </w:t>
      </w:r>
      <w:r w:rsidR="00BB53B6">
        <w:t>8</w:t>
      </w:r>
      <w:r w:rsidR="008C4C4E">
        <w:t>2</w:t>
      </w:r>
      <w:r w:rsidR="00DD2FED">
        <w:t>]</w:t>
      </w:r>
      <w:r w:rsidR="00455336">
        <w:t xml:space="preserve">. </w:t>
      </w:r>
      <w:r w:rsidR="00440499">
        <w:t>However</w:t>
      </w:r>
      <w:r w:rsidR="004606A4" w:rsidRPr="001A6A1E">
        <w:t xml:space="preserve">, the current typology </w:t>
      </w:r>
      <w:r w:rsidR="00440499">
        <w:t>is derived from</w:t>
      </w:r>
      <w:r w:rsidR="008707F0">
        <w:t xml:space="preserve"> </w:t>
      </w:r>
      <w:r w:rsidR="004606A4" w:rsidRPr="001A6A1E">
        <w:t>th</w:t>
      </w:r>
      <w:r w:rsidR="00440499">
        <w:t>is</w:t>
      </w:r>
      <w:r w:rsidR="004606A4" w:rsidRPr="001A6A1E">
        <w:t xml:space="preserve"> literature, most prominently utilising aspects of CPA </w:t>
      </w:r>
      <w:r w:rsidR="00AF51C0">
        <w:t>formerly</w:t>
      </w:r>
      <w:r w:rsidR="004606A4" w:rsidRPr="001A6A1E">
        <w:t xml:space="preserve"> identified</w:t>
      </w:r>
      <w:r w:rsidR="00920CCB">
        <w:t xml:space="preserve"> </w:t>
      </w:r>
      <w:r w:rsidR="00DD2FED">
        <w:t>[</w:t>
      </w:r>
      <w:r w:rsidR="00BB53B6">
        <w:t>4</w:t>
      </w:r>
      <w:r w:rsidR="008C4C4E">
        <w:t>6</w:t>
      </w:r>
      <w:r w:rsidR="00BB53B6">
        <w:t>,</w:t>
      </w:r>
      <w:r w:rsidR="005D7310">
        <w:t xml:space="preserve"> </w:t>
      </w:r>
      <w:r w:rsidR="00BB53B6">
        <w:t>6</w:t>
      </w:r>
      <w:r w:rsidR="008C4C4E">
        <w:t>3</w:t>
      </w:r>
      <w:r w:rsidR="00DD2FED">
        <w:t>]</w:t>
      </w:r>
      <w:r w:rsidR="00455336">
        <w:t xml:space="preserve">. </w:t>
      </w:r>
      <w:r w:rsidR="002A785D">
        <w:t xml:space="preserve">Mialon </w:t>
      </w:r>
      <w:r w:rsidR="00805EDD">
        <w:t>and colleagues</w:t>
      </w:r>
      <w:r w:rsidR="00920CCB">
        <w:t xml:space="preserve"> </w:t>
      </w:r>
      <w:r w:rsidR="00DD2FED">
        <w:t>[</w:t>
      </w:r>
      <w:r w:rsidR="00BB53B6">
        <w:t>4</w:t>
      </w:r>
      <w:r w:rsidR="008C4C4E">
        <w:t>6</w:t>
      </w:r>
      <w:r w:rsidR="00DD2FED">
        <w:t>]</w:t>
      </w:r>
      <w:r w:rsidR="002A785D">
        <w:t xml:space="preserve"> </w:t>
      </w:r>
      <w:r w:rsidR="00016F8F" w:rsidRPr="001A6A1E">
        <w:t>develop</w:t>
      </w:r>
      <w:r w:rsidR="002A785D">
        <w:t>ed</w:t>
      </w:r>
      <w:r w:rsidR="00016F8F" w:rsidRPr="001A6A1E">
        <w:t xml:space="preserve"> a step-by-step approach to monitor the CPA of the food industry within countries</w:t>
      </w:r>
      <w:r w:rsidR="00E53B13">
        <w:t xml:space="preserve">. In addition, </w:t>
      </w:r>
      <w:r w:rsidR="00805EDD" w:rsidRPr="001A6A1E">
        <w:t xml:space="preserve">the ‘Corporate </w:t>
      </w:r>
      <w:r w:rsidR="00805EDD">
        <w:t>P</w:t>
      </w:r>
      <w:r w:rsidR="00805EDD" w:rsidRPr="001A6A1E">
        <w:t>ermeation Index</w:t>
      </w:r>
      <w:r w:rsidR="00DA2971">
        <w:t>’</w:t>
      </w:r>
      <w:r w:rsidR="00920CCB">
        <w:t xml:space="preserve"> </w:t>
      </w:r>
      <w:r w:rsidR="00DA2971">
        <w:t>[8</w:t>
      </w:r>
      <w:r w:rsidR="008C4C4E">
        <w:t>3</w:t>
      </w:r>
      <w:r w:rsidR="00DA2971">
        <w:t>]</w:t>
      </w:r>
      <w:r w:rsidR="00805EDD">
        <w:t xml:space="preserve"> </w:t>
      </w:r>
      <w:r w:rsidR="00805EDD" w:rsidRPr="001A6A1E">
        <w:t>quantif</w:t>
      </w:r>
      <w:r w:rsidR="00805EDD">
        <w:t xml:space="preserve">ies </w:t>
      </w:r>
      <w:r w:rsidR="00805EDD" w:rsidRPr="001A6A1E">
        <w:t>the penetration of corporations in a given country</w:t>
      </w:r>
      <w:r w:rsidR="00016F8F" w:rsidRPr="001A6A1E">
        <w:t xml:space="preserve">. </w:t>
      </w:r>
      <w:r w:rsidR="00CD5235">
        <w:t>S</w:t>
      </w:r>
      <w:r w:rsidR="00B220E9" w:rsidRPr="001A6A1E">
        <w:t>imilar method</w:t>
      </w:r>
      <w:r w:rsidR="00B220E9">
        <w:t>s</w:t>
      </w:r>
      <w:r w:rsidR="00CD5235">
        <w:t xml:space="preserve"> could be developed</w:t>
      </w:r>
      <w:r w:rsidR="00B220E9" w:rsidRPr="001A6A1E">
        <w:t xml:space="preserve"> to examine</w:t>
      </w:r>
      <w:r w:rsidR="002D2746">
        <w:t xml:space="preserve"> and </w:t>
      </w:r>
      <w:r w:rsidR="00440499">
        <w:t>monitor</w:t>
      </w:r>
      <w:r w:rsidR="002D2746">
        <w:t xml:space="preserve"> </w:t>
      </w:r>
      <w:r w:rsidR="00B220E9" w:rsidRPr="001A6A1E">
        <w:t>interactions</w:t>
      </w:r>
      <w:r w:rsidR="00B220E9">
        <w:t xml:space="preserve"> between </w:t>
      </w:r>
      <w:r w:rsidR="00B220E9" w:rsidRPr="001A6A1E">
        <w:t>HCIs, and LAs</w:t>
      </w:r>
      <w:r w:rsidR="00CD5235">
        <w:t>, using the current typology.</w:t>
      </w:r>
    </w:p>
    <w:p w14:paraId="4F30A61F" w14:textId="3D7C67AD" w:rsidR="00340982" w:rsidRPr="004F3CBD" w:rsidRDefault="008707F0" w:rsidP="001A6A1E">
      <w:pPr>
        <w:jc w:val="both"/>
        <w:rPr>
          <w:rFonts w:cstheme="minorHAnsi"/>
        </w:rPr>
      </w:pPr>
      <w:r>
        <w:rPr>
          <w:rFonts w:cstheme="minorHAnsi"/>
        </w:rPr>
        <w:t>The</w:t>
      </w:r>
      <w:r w:rsidRPr="001A6A1E">
        <w:rPr>
          <w:rFonts w:cstheme="minorHAnsi"/>
        </w:rPr>
        <w:t xml:space="preserve"> lens and typology </w:t>
      </w:r>
      <w:r>
        <w:rPr>
          <w:rFonts w:cstheme="minorHAnsi"/>
        </w:rPr>
        <w:t xml:space="preserve">we </w:t>
      </w:r>
      <w:r w:rsidRPr="001A6A1E">
        <w:rPr>
          <w:rFonts w:cstheme="minorHAnsi"/>
        </w:rPr>
        <w:t xml:space="preserve">present </w:t>
      </w:r>
      <w:r w:rsidR="00AF51C0">
        <w:rPr>
          <w:rFonts w:cstheme="minorHAnsi"/>
        </w:rPr>
        <w:t>recognise</w:t>
      </w:r>
      <w:r w:rsidR="00CD5235">
        <w:rPr>
          <w:rFonts w:cstheme="minorHAnsi"/>
        </w:rPr>
        <w:t>s that</w:t>
      </w:r>
      <w:r w:rsidRPr="001A6A1E">
        <w:rPr>
          <w:rFonts w:cstheme="minorHAnsi"/>
        </w:rPr>
        <w:t xml:space="preserve"> interactions between HCIs and LAs a</w:t>
      </w:r>
      <w:r>
        <w:rPr>
          <w:rFonts w:cstheme="minorHAnsi"/>
        </w:rPr>
        <w:t>re</w:t>
      </w:r>
      <w:r w:rsidRPr="001A6A1E">
        <w:rPr>
          <w:rFonts w:cstheme="minorHAnsi"/>
        </w:rPr>
        <w:t xml:space="preserve"> fundamental</w:t>
      </w:r>
      <w:r w:rsidR="00993F61">
        <w:rPr>
          <w:rFonts w:cstheme="minorHAnsi"/>
        </w:rPr>
        <w:t xml:space="preserve"> for LA functioning</w:t>
      </w:r>
      <w:r w:rsidRPr="001A6A1E">
        <w:rPr>
          <w:rFonts w:cstheme="minorHAnsi"/>
        </w:rPr>
        <w:t>.</w:t>
      </w:r>
      <w:r>
        <w:rPr>
          <w:rFonts w:cstheme="minorHAnsi"/>
        </w:rPr>
        <w:t xml:space="preserve"> </w:t>
      </w:r>
      <w:r w:rsidR="00CD5235">
        <w:rPr>
          <w:rFonts w:cstheme="minorHAnsi"/>
        </w:rPr>
        <w:t xml:space="preserve">Overwhelming </w:t>
      </w:r>
      <w:r w:rsidR="00AF51C0">
        <w:rPr>
          <w:rFonts w:cstheme="minorHAnsi"/>
        </w:rPr>
        <w:t>evidenc</w:t>
      </w:r>
      <w:r w:rsidR="00DD2FED">
        <w:rPr>
          <w:rFonts w:cstheme="minorHAnsi"/>
        </w:rPr>
        <w:t>e</w:t>
      </w:r>
      <w:r w:rsidR="00920CCB">
        <w:rPr>
          <w:rFonts w:cstheme="minorHAnsi"/>
        </w:rPr>
        <w:t xml:space="preserve"> </w:t>
      </w:r>
      <w:r w:rsidR="00DD2FED">
        <w:rPr>
          <w:rFonts w:cstheme="minorHAnsi"/>
        </w:rPr>
        <w:t>[1,</w:t>
      </w:r>
      <w:r w:rsidR="005D7310">
        <w:rPr>
          <w:rFonts w:cstheme="minorHAnsi"/>
        </w:rPr>
        <w:t xml:space="preserve"> </w:t>
      </w:r>
      <w:r w:rsidR="00DD2FED">
        <w:rPr>
          <w:rFonts w:cstheme="minorHAnsi"/>
        </w:rPr>
        <w:t>2,</w:t>
      </w:r>
      <w:r w:rsidR="005D7310">
        <w:rPr>
          <w:rFonts w:cstheme="minorHAnsi"/>
        </w:rPr>
        <w:t xml:space="preserve"> </w:t>
      </w:r>
      <w:r w:rsidR="00BB53B6">
        <w:rPr>
          <w:rFonts w:cstheme="minorHAnsi"/>
        </w:rPr>
        <w:t>6</w:t>
      </w:r>
      <w:r w:rsidR="00DD2FED">
        <w:rPr>
          <w:rFonts w:cstheme="minorHAnsi"/>
        </w:rPr>
        <w:t>-15</w:t>
      </w:r>
      <w:r w:rsidR="00BB53B6">
        <w:rPr>
          <w:rFonts w:cstheme="minorHAnsi"/>
        </w:rPr>
        <w:t>,</w:t>
      </w:r>
      <w:r w:rsidR="005D7310">
        <w:rPr>
          <w:rFonts w:cstheme="minorHAnsi"/>
        </w:rPr>
        <w:t xml:space="preserve"> </w:t>
      </w:r>
      <w:r w:rsidR="00BB53B6">
        <w:rPr>
          <w:rFonts w:cstheme="minorHAnsi"/>
        </w:rPr>
        <w:t>8</w:t>
      </w:r>
      <w:r w:rsidR="008C4C4E">
        <w:rPr>
          <w:rFonts w:cstheme="minorHAnsi"/>
        </w:rPr>
        <w:t>4</w:t>
      </w:r>
      <w:r w:rsidR="00DD2FED">
        <w:rPr>
          <w:rFonts w:cstheme="minorHAnsi"/>
        </w:rPr>
        <w:t>]</w:t>
      </w:r>
      <w:r w:rsidR="00300AD3">
        <w:rPr>
          <w:rFonts w:cstheme="minorHAnsi"/>
        </w:rPr>
        <w:t xml:space="preserve"> opposes </w:t>
      </w:r>
      <w:r w:rsidR="007658EC">
        <w:rPr>
          <w:rFonts w:cstheme="minorHAnsi"/>
        </w:rPr>
        <w:t>HCI</w:t>
      </w:r>
      <w:r w:rsidR="00300AD3">
        <w:rPr>
          <w:rFonts w:cstheme="minorHAnsi"/>
        </w:rPr>
        <w:t xml:space="preserve"> involvement, and </w:t>
      </w:r>
      <w:r w:rsidR="00AF51C0">
        <w:rPr>
          <w:rFonts w:cstheme="minorHAnsi"/>
        </w:rPr>
        <w:t xml:space="preserve">stresses the </w:t>
      </w:r>
      <w:r w:rsidR="00AF51C0" w:rsidRPr="001A6A1E">
        <w:rPr>
          <w:rFonts w:cstheme="minorHAnsi"/>
        </w:rPr>
        <w:t>significant harm</w:t>
      </w:r>
      <w:r w:rsidR="00993F61">
        <w:rPr>
          <w:rFonts w:cstheme="minorHAnsi"/>
        </w:rPr>
        <w:t xml:space="preserve"> to the health of the public</w:t>
      </w:r>
      <w:r w:rsidR="00AF51C0">
        <w:rPr>
          <w:rFonts w:cstheme="minorHAnsi"/>
        </w:rPr>
        <w:t xml:space="preserve"> from </w:t>
      </w:r>
      <w:r w:rsidR="00AF51C0" w:rsidRPr="001A6A1E">
        <w:rPr>
          <w:rFonts w:cstheme="minorHAnsi"/>
        </w:rPr>
        <w:t>p</w:t>
      </w:r>
      <w:r w:rsidR="00E40E42">
        <w:rPr>
          <w:rFonts w:cstheme="minorHAnsi"/>
        </w:rPr>
        <w:t>ublic</w:t>
      </w:r>
      <w:r w:rsidR="00AF51C0" w:rsidRPr="001A6A1E">
        <w:rPr>
          <w:rFonts w:cstheme="minorHAnsi"/>
        </w:rPr>
        <w:t xml:space="preserve"> health and corporate </w:t>
      </w:r>
      <w:r w:rsidR="007658EC">
        <w:rPr>
          <w:rFonts w:cstheme="minorHAnsi"/>
        </w:rPr>
        <w:t xml:space="preserve">HCI </w:t>
      </w:r>
      <w:r w:rsidR="00AF51C0" w:rsidRPr="001A6A1E">
        <w:rPr>
          <w:rFonts w:cstheme="minorHAnsi"/>
        </w:rPr>
        <w:t xml:space="preserve">partnerships, with limited </w:t>
      </w:r>
      <w:r w:rsidR="00AF51C0" w:rsidRPr="00DD148B">
        <w:rPr>
          <w:rFonts w:cstheme="minorHAnsi"/>
        </w:rPr>
        <w:t>benefits</w:t>
      </w:r>
      <w:r w:rsidR="00920CCB">
        <w:rPr>
          <w:rFonts w:cstheme="minorHAnsi"/>
        </w:rPr>
        <w:t xml:space="preserve"> </w:t>
      </w:r>
      <w:r w:rsidR="00300AD3">
        <w:rPr>
          <w:rFonts w:cstheme="minorHAnsi"/>
        </w:rPr>
        <w:t>[</w:t>
      </w:r>
      <w:r w:rsidR="00BB53B6">
        <w:rPr>
          <w:rFonts w:cstheme="minorHAnsi"/>
        </w:rPr>
        <w:t>8</w:t>
      </w:r>
      <w:r w:rsidR="008C4C4E">
        <w:rPr>
          <w:rFonts w:cstheme="minorHAnsi"/>
        </w:rPr>
        <w:t>5</w:t>
      </w:r>
      <w:r w:rsidR="00300AD3">
        <w:rPr>
          <w:rFonts w:cstheme="minorHAnsi"/>
        </w:rPr>
        <w:t>]</w:t>
      </w:r>
      <w:r w:rsidR="00AF51C0">
        <w:rPr>
          <w:rFonts w:cstheme="minorHAnsi"/>
        </w:rPr>
        <w:t xml:space="preserve">. </w:t>
      </w:r>
      <w:r w:rsidR="008F1DEE">
        <w:rPr>
          <w:rFonts w:cstheme="minorHAnsi"/>
        </w:rPr>
        <w:t>Contrasting</w:t>
      </w:r>
      <w:r w:rsidR="002C1F34">
        <w:rPr>
          <w:rFonts w:cstheme="minorHAnsi"/>
        </w:rPr>
        <w:t xml:space="preserve"> </w:t>
      </w:r>
      <w:r w:rsidR="00340982" w:rsidRPr="001A6A1E">
        <w:rPr>
          <w:rFonts w:cstheme="minorHAnsi"/>
        </w:rPr>
        <w:t xml:space="preserve">arguments </w:t>
      </w:r>
      <w:r w:rsidR="00440499">
        <w:rPr>
          <w:rFonts w:cstheme="minorHAnsi"/>
        </w:rPr>
        <w:t>suggest</w:t>
      </w:r>
      <w:r w:rsidR="00880F57">
        <w:rPr>
          <w:rFonts w:cstheme="minorHAnsi"/>
        </w:rPr>
        <w:t xml:space="preserve"> </w:t>
      </w:r>
      <w:r w:rsidR="00440499">
        <w:rPr>
          <w:rFonts w:cstheme="minorHAnsi"/>
        </w:rPr>
        <w:t xml:space="preserve">that </w:t>
      </w:r>
      <w:r w:rsidR="00AD14D4">
        <w:rPr>
          <w:rFonts w:cstheme="minorHAnsi"/>
        </w:rPr>
        <w:t xml:space="preserve">the </w:t>
      </w:r>
      <w:r w:rsidR="00440499">
        <w:rPr>
          <w:rFonts w:cstheme="minorHAnsi"/>
        </w:rPr>
        <w:t>benefits</w:t>
      </w:r>
      <w:r w:rsidR="002C1F34">
        <w:rPr>
          <w:rFonts w:cstheme="minorHAnsi"/>
        </w:rPr>
        <w:t xml:space="preserve"> of commercial influence (e.g. economic growth) outweigh</w:t>
      </w:r>
      <w:r w:rsidR="007171ED">
        <w:rPr>
          <w:rFonts w:cstheme="minorHAnsi"/>
        </w:rPr>
        <w:t>s</w:t>
      </w:r>
      <w:r w:rsidR="002C1F34">
        <w:rPr>
          <w:rFonts w:cstheme="minorHAnsi"/>
        </w:rPr>
        <w:t xml:space="preserve"> </w:t>
      </w:r>
      <w:r w:rsidR="00340982" w:rsidRPr="001A6A1E">
        <w:rPr>
          <w:rFonts w:cstheme="minorHAnsi"/>
        </w:rPr>
        <w:t>adverse</w:t>
      </w:r>
      <w:r w:rsidR="002C1F34">
        <w:rPr>
          <w:rFonts w:cstheme="minorHAnsi"/>
        </w:rPr>
        <w:t xml:space="preserve"> </w:t>
      </w:r>
      <w:r w:rsidR="00340982" w:rsidRPr="001A6A1E">
        <w:rPr>
          <w:rFonts w:cstheme="minorHAnsi"/>
        </w:rPr>
        <w:t>health outcomes</w:t>
      </w:r>
      <w:r w:rsidR="0050560F">
        <w:rPr>
          <w:rFonts w:cstheme="minorHAnsi"/>
        </w:rPr>
        <w:t xml:space="preserve"> </w:t>
      </w:r>
      <w:r w:rsidR="00300AD3">
        <w:rPr>
          <w:rFonts w:cstheme="minorHAnsi"/>
        </w:rPr>
        <w:t>[</w:t>
      </w:r>
      <w:r w:rsidR="00BB53B6">
        <w:rPr>
          <w:rFonts w:cstheme="minorHAnsi"/>
        </w:rPr>
        <w:t>8</w:t>
      </w:r>
      <w:r w:rsidR="008C4C4E">
        <w:rPr>
          <w:rFonts w:cstheme="minorHAnsi"/>
        </w:rPr>
        <w:t>6</w:t>
      </w:r>
      <w:r w:rsidR="00300AD3">
        <w:rPr>
          <w:rFonts w:cstheme="minorHAnsi"/>
        </w:rPr>
        <w:t>]</w:t>
      </w:r>
      <w:r w:rsidR="0050560F">
        <w:rPr>
          <w:rFonts w:cstheme="minorHAnsi"/>
        </w:rPr>
        <w:t xml:space="preserve">, and private sector interactions more generally are viewed as potentially mutually beneficial </w:t>
      </w:r>
      <w:r w:rsidR="00932766">
        <w:rPr>
          <w:rFonts w:cstheme="minorHAnsi"/>
        </w:rPr>
        <w:t xml:space="preserve">to </w:t>
      </w:r>
      <w:r w:rsidR="007171ED">
        <w:rPr>
          <w:rFonts w:cstheme="minorHAnsi"/>
        </w:rPr>
        <w:t>the wider,</w:t>
      </w:r>
      <w:r w:rsidR="00932766">
        <w:rPr>
          <w:rFonts w:cstheme="minorHAnsi"/>
        </w:rPr>
        <w:t xml:space="preserve"> non-public health stakeholder </w:t>
      </w:r>
      <w:r w:rsidR="0050560F">
        <w:rPr>
          <w:rFonts w:cstheme="minorHAnsi"/>
        </w:rPr>
        <w:t>[</w:t>
      </w:r>
      <w:r w:rsidR="00BB53B6">
        <w:rPr>
          <w:rFonts w:cstheme="minorHAnsi"/>
        </w:rPr>
        <w:t>18,</w:t>
      </w:r>
      <w:r w:rsidR="005D7310">
        <w:rPr>
          <w:rFonts w:cstheme="minorHAnsi"/>
        </w:rPr>
        <w:t xml:space="preserve"> </w:t>
      </w:r>
      <w:r w:rsidR="00BB53B6">
        <w:rPr>
          <w:rFonts w:cstheme="minorHAnsi"/>
        </w:rPr>
        <w:t>8</w:t>
      </w:r>
      <w:r w:rsidR="008C4C4E">
        <w:rPr>
          <w:rFonts w:cstheme="minorHAnsi"/>
        </w:rPr>
        <w:t>6</w:t>
      </w:r>
      <w:r w:rsidR="00BB53B6">
        <w:rPr>
          <w:rFonts w:cstheme="minorHAnsi"/>
        </w:rPr>
        <w:t>,</w:t>
      </w:r>
      <w:r w:rsidR="005D7310">
        <w:rPr>
          <w:rFonts w:cstheme="minorHAnsi"/>
        </w:rPr>
        <w:t xml:space="preserve"> </w:t>
      </w:r>
      <w:r w:rsidR="00BB53B6">
        <w:rPr>
          <w:rFonts w:cstheme="minorHAnsi"/>
        </w:rPr>
        <w:t>8</w:t>
      </w:r>
      <w:r w:rsidR="008C4C4E">
        <w:rPr>
          <w:rFonts w:cstheme="minorHAnsi"/>
        </w:rPr>
        <w:t>7</w:t>
      </w:r>
      <w:r w:rsidR="0050560F">
        <w:rPr>
          <w:rFonts w:cstheme="minorHAnsi"/>
        </w:rPr>
        <w:t>]. Whilst a</w:t>
      </w:r>
      <w:r w:rsidR="00A51A9C" w:rsidRPr="001A6A1E">
        <w:rPr>
          <w:rFonts w:cstheme="minorHAnsi"/>
        </w:rPr>
        <w:t>cknowledging that p</w:t>
      </w:r>
      <w:r w:rsidR="00E40E42">
        <w:rPr>
          <w:rFonts w:cstheme="minorHAnsi"/>
        </w:rPr>
        <w:t>opulation</w:t>
      </w:r>
      <w:r w:rsidR="00A51A9C" w:rsidRPr="001A6A1E">
        <w:rPr>
          <w:rFonts w:cstheme="minorHAnsi"/>
        </w:rPr>
        <w:t xml:space="preserve"> health improvement</w:t>
      </w:r>
      <w:r w:rsidR="0050560F">
        <w:rPr>
          <w:rFonts w:cstheme="minorHAnsi"/>
        </w:rPr>
        <w:t xml:space="preserve"> may</w:t>
      </w:r>
      <w:r w:rsidR="00A51A9C" w:rsidRPr="001A6A1E">
        <w:rPr>
          <w:rFonts w:cstheme="minorHAnsi"/>
        </w:rPr>
        <w:t xml:space="preserve"> necessitate inter</w:t>
      </w:r>
      <w:r w:rsidR="00A51A9C" w:rsidRPr="004F3CBD">
        <w:rPr>
          <w:rFonts w:cstheme="minorHAnsi"/>
        </w:rPr>
        <w:t>action with</w:t>
      </w:r>
      <w:r w:rsidR="00953723">
        <w:rPr>
          <w:rFonts w:cstheme="minorHAnsi"/>
        </w:rPr>
        <w:t xml:space="preserve"> </w:t>
      </w:r>
      <w:r w:rsidR="00A51A9C" w:rsidRPr="004F3CBD">
        <w:rPr>
          <w:rFonts w:cstheme="minorHAnsi"/>
        </w:rPr>
        <w:t xml:space="preserve">the private sector </w:t>
      </w:r>
      <w:r w:rsidR="00DD2FED" w:rsidRPr="004F3CBD">
        <w:rPr>
          <w:rFonts w:cstheme="minorHAnsi"/>
        </w:rPr>
        <w:t>[</w:t>
      </w:r>
      <w:r w:rsidR="00964F17" w:rsidRPr="004F3CBD">
        <w:rPr>
          <w:rFonts w:cstheme="minorHAnsi"/>
        </w:rPr>
        <w:t>18</w:t>
      </w:r>
      <w:r w:rsidR="00DD2FED" w:rsidRPr="004F3CBD">
        <w:rPr>
          <w:rFonts w:cstheme="minorHAnsi"/>
        </w:rPr>
        <w:t>]</w:t>
      </w:r>
      <w:r w:rsidR="00482CC0" w:rsidRPr="004F3CBD">
        <w:rPr>
          <w:rFonts w:cstheme="minorHAnsi"/>
        </w:rPr>
        <w:t>,</w:t>
      </w:r>
      <w:r w:rsidR="0050560F" w:rsidRPr="004F3CBD">
        <w:rPr>
          <w:rFonts w:cstheme="minorHAnsi"/>
        </w:rPr>
        <w:t xml:space="preserve"> the wider</w:t>
      </w:r>
      <w:r w:rsidR="00993F61">
        <w:rPr>
          <w:rFonts w:cstheme="minorHAnsi"/>
        </w:rPr>
        <w:t xml:space="preserve"> long-term harmful</w:t>
      </w:r>
      <w:r w:rsidR="0050560F" w:rsidRPr="004F3CBD">
        <w:rPr>
          <w:rFonts w:cstheme="minorHAnsi"/>
        </w:rPr>
        <w:t xml:space="preserve"> effects of HCI </w:t>
      </w:r>
      <w:r w:rsidR="006608B3" w:rsidRPr="004F3CBD">
        <w:rPr>
          <w:rFonts w:cstheme="minorHAnsi"/>
        </w:rPr>
        <w:t>interactions</w:t>
      </w:r>
      <w:r w:rsidR="0050560F" w:rsidRPr="004F3CBD">
        <w:rPr>
          <w:rFonts w:cstheme="minorHAnsi"/>
        </w:rPr>
        <w:t xml:space="preserve"> may not be </w:t>
      </w:r>
      <w:r w:rsidR="00953723">
        <w:rPr>
          <w:rFonts w:cstheme="minorHAnsi"/>
        </w:rPr>
        <w:t xml:space="preserve">adequately </w:t>
      </w:r>
      <w:r w:rsidR="0050560F" w:rsidRPr="004F3CBD">
        <w:rPr>
          <w:rFonts w:cstheme="minorHAnsi"/>
        </w:rPr>
        <w:t>considered and accounted for, necessitating</w:t>
      </w:r>
      <w:r w:rsidR="00A51A9C" w:rsidRPr="004F3CBD">
        <w:rPr>
          <w:rFonts w:cstheme="minorHAnsi"/>
        </w:rPr>
        <w:t xml:space="preserve"> </w:t>
      </w:r>
      <w:r w:rsidR="00953723">
        <w:rPr>
          <w:rFonts w:cstheme="minorHAnsi"/>
        </w:rPr>
        <w:t xml:space="preserve">the application of </w:t>
      </w:r>
      <w:r w:rsidR="00A51A9C" w:rsidRPr="004F3CBD">
        <w:rPr>
          <w:rFonts w:cstheme="minorHAnsi"/>
        </w:rPr>
        <w:t>criteria, conditions, and safeguards to govern the commercial influences on p</w:t>
      </w:r>
      <w:r w:rsidR="00E40E42">
        <w:rPr>
          <w:rFonts w:cstheme="minorHAnsi"/>
        </w:rPr>
        <w:t>opulation</w:t>
      </w:r>
      <w:r w:rsidR="00A51A9C" w:rsidRPr="004F3CBD">
        <w:rPr>
          <w:rFonts w:cstheme="minorHAnsi"/>
        </w:rPr>
        <w:t xml:space="preserve"> health. </w:t>
      </w:r>
      <w:r w:rsidR="00817A09" w:rsidRPr="004F3CBD">
        <w:rPr>
          <w:rFonts w:cstheme="minorHAnsi"/>
        </w:rPr>
        <w:t xml:space="preserve">Further, the significance of the problem is likely to continue as local government financing constrictions prevail </w:t>
      </w:r>
      <w:r w:rsidR="006608B3" w:rsidRPr="004F3CBD">
        <w:rPr>
          <w:rFonts w:cstheme="minorHAnsi"/>
        </w:rPr>
        <w:t>(UK and internationally) d</w:t>
      </w:r>
      <w:r w:rsidR="00817A09" w:rsidRPr="004F3CBD">
        <w:rPr>
          <w:rFonts w:cstheme="minorHAnsi"/>
        </w:rPr>
        <w:t>ue to COVID-19 pressure</w:t>
      </w:r>
      <w:r w:rsidR="006608B3" w:rsidRPr="004F3CBD">
        <w:rPr>
          <w:rFonts w:cstheme="minorHAnsi"/>
        </w:rPr>
        <w:t>,</w:t>
      </w:r>
      <w:r w:rsidR="00817A09" w:rsidRPr="004F3CBD">
        <w:rPr>
          <w:rFonts w:cstheme="minorHAnsi"/>
        </w:rPr>
        <w:t xml:space="preserve"> </w:t>
      </w:r>
      <w:r w:rsidR="00587BF7" w:rsidRPr="004F3CBD">
        <w:rPr>
          <w:rFonts w:cstheme="minorHAnsi"/>
        </w:rPr>
        <w:t xml:space="preserve">requiring more </w:t>
      </w:r>
      <w:r w:rsidR="00817A09" w:rsidRPr="004F3CBD">
        <w:rPr>
          <w:rFonts w:cstheme="minorHAnsi"/>
        </w:rPr>
        <w:t>local funding</w:t>
      </w:r>
      <w:r w:rsidR="00587BF7" w:rsidRPr="004F3CBD">
        <w:rPr>
          <w:rFonts w:cstheme="minorHAnsi"/>
        </w:rPr>
        <w:t xml:space="preserve"> </w:t>
      </w:r>
      <w:r w:rsidR="00953723">
        <w:rPr>
          <w:rFonts w:cstheme="minorHAnsi"/>
        </w:rPr>
        <w:t>activities</w:t>
      </w:r>
      <w:r w:rsidR="00817A09" w:rsidRPr="004F3CBD">
        <w:rPr>
          <w:rFonts w:cstheme="minorHAnsi"/>
        </w:rPr>
        <w:t xml:space="preserve">, including through interactions with HCIs. </w:t>
      </w:r>
      <w:r w:rsidR="00A51A9C" w:rsidRPr="004F3CBD">
        <w:rPr>
          <w:rFonts w:cstheme="minorHAnsi"/>
        </w:rPr>
        <w:t>T</w:t>
      </w:r>
      <w:r w:rsidR="00340982" w:rsidRPr="004F3CBD">
        <w:rPr>
          <w:rFonts w:cstheme="minorHAnsi"/>
        </w:rPr>
        <w:t>h</w:t>
      </w:r>
      <w:r w:rsidR="00526605" w:rsidRPr="004F3CBD">
        <w:rPr>
          <w:rFonts w:cstheme="minorHAnsi"/>
        </w:rPr>
        <w:t>us, our</w:t>
      </w:r>
      <w:r w:rsidR="00340982" w:rsidRPr="004F3CBD">
        <w:rPr>
          <w:rFonts w:cstheme="minorHAnsi"/>
        </w:rPr>
        <w:t xml:space="preserve"> </w:t>
      </w:r>
      <w:r w:rsidR="000E5888" w:rsidRPr="004F3CBD">
        <w:rPr>
          <w:rFonts w:cstheme="minorHAnsi"/>
        </w:rPr>
        <w:t xml:space="preserve">analysis suggests there is the need and </w:t>
      </w:r>
      <w:r w:rsidR="00340982" w:rsidRPr="004F3CBD">
        <w:rPr>
          <w:rFonts w:cstheme="minorHAnsi"/>
        </w:rPr>
        <w:t xml:space="preserve">opportunity to develop </w:t>
      </w:r>
      <w:r w:rsidR="00526605" w:rsidRPr="004F3CBD">
        <w:rPr>
          <w:rFonts w:cstheme="minorHAnsi"/>
        </w:rPr>
        <w:t xml:space="preserve">LA </w:t>
      </w:r>
      <w:r w:rsidR="00340982" w:rsidRPr="004F3CBD">
        <w:rPr>
          <w:rFonts w:cstheme="minorHAnsi"/>
        </w:rPr>
        <w:lastRenderedPageBreak/>
        <w:t xml:space="preserve">guidance to </w:t>
      </w:r>
      <w:r w:rsidR="00DD3937" w:rsidRPr="004F3CBD">
        <w:rPr>
          <w:rFonts w:cstheme="minorHAnsi"/>
        </w:rPr>
        <w:t xml:space="preserve">support local decision-making that considers the </w:t>
      </w:r>
      <w:r w:rsidR="00D334A0" w:rsidRPr="004F3CBD">
        <w:rPr>
          <w:rFonts w:cstheme="minorHAnsi"/>
        </w:rPr>
        <w:t>p</w:t>
      </w:r>
      <w:r w:rsidR="00E40E42">
        <w:rPr>
          <w:rFonts w:cstheme="minorHAnsi"/>
        </w:rPr>
        <w:t>opulation</w:t>
      </w:r>
      <w:r w:rsidR="00D334A0" w:rsidRPr="004F3CBD">
        <w:rPr>
          <w:rFonts w:cstheme="minorHAnsi"/>
        </w:rPr>
        <w:t xml:space="preserve"> </w:t>
      </w:r>
      <w:r w:rsidR="00DD3937" w:rsidRPr="004F3CBD">
        <w:rPr>
          <w:rFonts w:cstheme="minorHAnsi"/>
        </w:rPr>
        <w:t xml:space="preserve">health impacts and </w:t>
      </w:r>
      <w:r w:rsidR="00D334A0" w:rsidRPr="004F3CBD">
        <w:rPr>
          <w:rFonts w:cstheme="minorHAnsi"/>
        </w:rPr>
        <w:t xml:space="preserve">minimises </w:t>
      </w:r>
      <w:r w:rsidR="00993F61">
        <w:rPr>
          <w:rFonts w:cstheme="minorHAnsi"/>
        </w:rPr>
        <w:t xml:space="preserve">the health and </w:t>
      </w:r>
      <w:r w:rsidR="00DD3937" w:rsidRPr="004F3CBD">
        <w:rPr>
          <w:rFonts w:cstheme="minorHAnsi"/>
        </w:rPr>
        <w:t>reputational risks of HCI interactions</w:t>
      </w:r>
      <w:r w:rsidR="00D334A0" w:rsidRPr="004F3CBD">
        <w:rPr>
          <w:rFonts w:cstheme="minorHAnsi"/>
        </w:rPr>
        <w:t>.</w:t>
      </w:r>
    </w:p>
    <w:p w14:paraId="2654B13C" w14:textId="112ED398" w:rsidR="00440499" w:rsidRPr="004F3CBD" w:rsidRDefault="00F14DBD" w:rsidP="001A6A1E">
      <w:pPr>
        <w:jc w:val="both"/>
        <w:rPr>
          <w:rFonts w:cstheme="minorHAnsi"/>
          <w:shd w:val="clear" w:color="auto" w:fill="FFFFFF"/>
        </w:rPr>
      </w:pPr>
      <w:r w:rsidRPr="004F3CBD">
        <w:rPr>
          <w:rFonts w:cstheme="minorHAnsi"/>
        </w:rPr>
        <w:t xml:space="preserve">In recognising the wider context in which our typology </w:t>
      </w:r>
      <w:r w:rsidR="0053709C" w:rsidRPr="004F3CBD">
        <w:rPr>
          <w:rFonts w:cstheme="minorHAnsi"/>
        </w:rPr>
        <w:t>is situated</w:t>
      </w:r>
      <w:r w:rsidRPr="001A6A1E">
        <w:rPr>
          <w:rFonts w:cstheme="minorHAnsi"/>
        </w:rPr>
        <w:t xml:space="preserve">, we echo the importance of </w:t>
      </w:r>
      <w:r w:rsidR="000F548C">
        <w:rPr>
          <w:rFonts w:cstheme="minorHAnsi"/>
        </w:rPr>
        <w:t xml:space="preserve">wider </w:t>
      </w:r>
      <w:r w:rsidRPr="001A6A1E">
        <w:rPr>
          <w:rFonts w:cstheme="minorHAnsi"/>
        </w:rPr>
        <w:t>interconnected elements</w:t>
      </w:r>
      <w:r w:rsidR="000F548C">
        <w:rPr>
          <w:rFonts w:cstheme="minorHAnsi"/>
        </w:rPr>
        <w:t xml:space="preserve"> and need for </w:t>
      </w:r>
      <w:r w:rsidR="0053709C">
        <w:rPr>
          <w:rFonts w:cstheme="minorHAnsi"/>
        </w:rPr>
        <w:t xml:space="preserve">interventions across </w:t>
      </w:r>
      <w:r w:rsidR="000F548C">
        <w:rPr>
          <w:rFonts w:cstheme="minorHAnsi"/>
        </w:rPr>
        <w:t>whole system</w:t>
      </w:r>
      <w:r w:rsidR="0053709C">
        <w:rPr>
          <w:rFonts w:cstheme="minorHAnsi"/>
        </w:rPr>
        <w:t>s</w:t>
      </w:r>
      <w:r w:rsidR="000F548C">
        <w:rPr>
          <w:rFonts w:cstheme="minorHAnsi"/>
        </w:rPr>
        <w:t xml:space="preserve"> </w:t>
      </w:r>
      <w:r w:rsidR="0053709C">
        <w:rPr>
          <w:rFonts w:cstheme="minorHAnsi"/>
        </w:rPr>
        <w:t>at the LA level</w:t>
      </w:r>
      <w:r w:rsidR="0043050E">
        <w:rPr>
          <w:rFonts w:cstheme="minorHAnsi"/>
        </w:rPr>
        <w:t xml:space="preserve"> </w:t>
      </w:r>
      <w:r w:rsidR="00B34396">
        <w:rPr>
          <w:rFonts w:cstheme="minorHAnsi"/>
        </w:rPr>
        <w:t>[</w:t>
      </w:r>
      <w:r w:rsidR="00964F17">
        <w:rPr>
          <w:rFonts w:cstheme="minorHAnsi"/>
        </w:rPr>
        <w:t>8</w:t>
      </w:r>
      <w:r w:rsidR="008C4C4E">
        <w:rPr>
          <w:rFonts w:cstheme="minorHAnsi"/>
        </w:rPr>
        <w:t>8</w:t>
      </w:r>
      <w:r w:rsidR="00B34396">
        <w:rPr>
          <w:rFonts w:cstheme="minorHAnsi"/>
        </w:rPr>
        <w:t>]</w:t>
      </w:r>
      <w:r w:rsidR="00835C56">
        <w:rPr>
          <w:rFonts w:cstheme="minorHAnsi"/>
        </w:rPr>
        <w:t>.</w:t>
      </w:r>
      <w:r w:rsidRPr="001A6A1E">
        <w:rPr>
          <w:rFonts w:cstheme="minorHAnsi"/>
        </w:rPr>
        <w:t xml:space="preserve"> LAs </w:t>
      </w:r>
      <w:r w:rsidR="003419B4" w:rsidRPr="001A6A1E">
        <w:rPr>
          <w:rFonts w:cstheme="minorHAnsi"/>
        </w:rPr>
        <w:t xml:space="preserve">hold unique </w:t>
      </w:r>
      <w:r w:rsidR="00C1278F">
        <w:rPr>
          <w:rFonts w:cstheme="minorHAnsi"/>
        </w:rPr>
        <w:t xml:space="preserve">and substantial powers </w:t>
      </w:r>
      <w:r w:rsidR="003419B4" w:rsidRPr="001A6A1E">
        <w:rPr>
          <w:rFonts w:cstheme="minorHAnsi"/>
        </w:rPr>
        <w:t xml:space="preserve">to </w:t>
      </w:r>
      <w:r w:rsidR="00C1278F">
        <w:rPr>
          <w:rFonts w:cstheme="minorHAnsi"/>
        </w:rPr>
        <w:t xml:space="preserve">shape </w:t>
      </w:r>
      <w:r w:rsidR="000F548C">
        <w:rPr>
          <w:rFonts w:cstheme="minorHAnsi"/>
        </w:rPr>
        <w:t xml:space="preserve">local </w:t>
      </w:r>
      <w:r w:rsidR="00C1278F">
        <w:rPr>
          <w:rFonts w:cstheme="minorHAnsi"/>
        </w:rPr>
        <w:t>environments through various mechanisms</w:t>
      </w:r>
      <w:r w:rsidR="000F548C">
        <w:rPr>
          <w:rFonts w:cstheme="minorHAnsi"/>
        </w:rPr>
        <w:t xml:space="preserve">. </w:t>
      </w:r>
      <w:r w:rsidR="00BB23E7" w:rsidRPr="00BB23E7">
        <w:rPr>
          <w:rFonts w:cstheme="minorHAnsi"/>
        </w:rPr>
        <w:t>Despite LAs having powers to govern HCI interactions and protect public health, we found that the extent to which LAs use their levers varied. For example, while some LAs have enacted commercial policies to restrict interactions such as those mirroring the TFL junk food advertisement ban, other interaction examples specifically demonstrate LAs seeking out commercial opportunities with HCIs, enabling advertisement and sponsorship of their products in the local area.</w:t>
      </w:r>
      <w:r w:rsidR="00BB23E7">
        <w:rPr>
          <w:rFonts w:cstheme="minorHAnsi"/>
        </w:rPr>
        <w:t xml:space="preserve"> </w:t>
      </w:r>
      <w:r w:rsidR="00440499">
        <w:rPr>
          <w:rFonts w:cstheme="minorHAnsi"/>
          <w:color w:val="222222"/>
          <w:shd w:val="clear" w:color="auto" w:fill="FFFFFF"/>
        </w:rPr>
        <w:t>Recent work</w:t>
      </w:r>
      <w:r w:rsidR="0050560F">
        <w:rPr>
          <w:rFonts w:cstheme="minorHAnsi"/>
          <w:color w:val="222222"/>
          <w:shd w:val="clear" w:color="auto" w:fill="FFFFFF"/>
        </w:rPr>
        <w:t xml:space="preserve"> </w:t>
      </w:r>
      <w:r w:rsidR="00B34396">
        <w:rPr>
          <w:rFonts w:cstheme="minorHAnsi"/>
          <w:color w:val="222222"/>
          <w:shd w:val="clear" w:color="auto" w:fill="FFFFFF"/>
        </w:rPr>
        <w:t>[</w:t>
      </w:r>
      <w:r w:rsidR="00964F17">
        <w:rPr>
          <w:rFonts w:cstheme="minorHAnsi"/>
          <w:color w:val="222222"/>
          <w:shd w:val="clear" w:color="auto" w:fill="FFFFFF"/>
        </w:rPr>
        <w:t>8</w:t>
      </w:r>
      <w:r w:rsidR="008C4C4E">
        <w:rPr>
          <w:rFonts w:cstheme="minorHAnsi"/>
          <w:color w:val="222222"/>
          <w:shd w:val="clear" w:color="auto" w:fill="FFFFFF"/>
        </w:rPr>
        <w:t>9</w:t>
      </w:r>
      <w:r w:rsidR="00B34396">
        <w:rPr>
          <w:rFonts w:cstheme="minorHAnsi"/>
          <w:color w:val="222222"/>
          <w:shd w:val="clear" w:color="auto" w:fill="FFFFFF"/>
        </w:rPr>
        <w:t>]</w:t>
      </w:r>
      <w:r w:rsidR="00835C56">
        <w:rPr>
          <w:rFonts w:cstheme="minorHAnsi"/>
          <w:color w:val="222222"/>
          <w:shd w:val="clear" w:color="auto" w:fill="FFFFFF"/>
        </w:rPr>
        <w:t xml:space="preserve"> </w:t>
      </w:r>
      <w:r w:rsidR="00440499">
        <w:rPr>
          <w:rFonts w:cstheme="minorHAnsi"/>
          <w:color w:val="222222"/>
          <w:shd w:val="clear" w:color="auto" w:fill="FFFFFF"/>
        </w:rPr>
        <w:t xml:space="preserve">reviewed </w:t>
      </w:r>
      <w:r w:rsidR="00FC1897">
        <w:rPr>
          <w:rFonts w:cstheme="minorHAnsi"/>
        </w:rPr>
        <w:t>LAs ability t</w:t>
      </w:r>
      <w:r w:rsidR="003419B4" w:rsidRPr="001A6A1E">
        <w:rPr>
          <w:rFonts w:cstheme="minorHAnsi"/>
        </w:rPr>
        <w:t xml:space="preserve">o contribute to the change process for healthy food systems and </w:t>
      </w:r>
      <w:r w:rsidR="00CD5235" w:rsidRPr="001A6A1E">
        <w:rPr>
          <w:rFonts w:cstheme="minorHAnsi"/>
        </w:rPr>
        <w:t>environments</w:t>
      </w:r>
      <w:r w:rsidR="00CD5235">
        <w:rPr>
          <w:rFonts w:cstheme="minorHAnsi"/>
        </w:rPr>
        <w:t xml:space="preserve"> and</w:t>
      </w:r>
      <w:r w:rsidR="003419B4" w:rsidRPr="001A6A1E">
        <w:rPr>
          <w:rFonts w:cstheme="minorHAnsi"/>
        </w:rPr>
        <w:t xml:space="preserve"> </w:t>
      </w:r>
      <w:r w:rsidR="00440499" w:rsidRPr="001A6A1E">
        <w:rPr>
          <w:rFonts w:cstheme="minorHAnsi"/>
        </w:rPr>
        <w:t>stressed</w:t>
      </w:r>
      <w:r w:rsidR="003419B4" w:rsidRPr="001A6A1E">
        <w:rPr>
          <w:rFonts w:cstheme="minorHAnsi"/>
        </w:rPr>
        <w:t xml:space="preserve"> the need to empower LAs.</w:t>
      </w:r>
      <w:r w:rsidR="00526605">
        <w:rPr>
          <w:rFonts w:cstheme="minorHAnsi"/>
        </w:rPr>
        <w:t xml:space="preserve"> </w:t>
      </w:r>
      <w:r w:rsidR="00801CAD">
        <w:rPr>
          <w:rFonts w:cstheme="minorHAnsi"/>
        </w:rPr>
        <w:t>A lack of LA e</w:t>
      </w:r>
      <w:r w:rsidR="00600603" w:rsidRPr="001A6A1E">
        <w:rPr>
          <w:rFonts w:cstheme="minorHAnsi"/>
        </w:rPr>
        <w:t>mpowerment</w:t>
      </w:r>
      <w:r w:rsidR="00F829C5" w:rsidRPr="001A6A1E">
        <w:rPr>
          <w:rFonts w:cstheme="minorHAnsi"/>
        </w:rPr>
        <w:t xml:space="preserve"> </w:t>
      </w:r>
      <w:r w:rsidR="00993F61">
        <w:rPr>
          <w:rFonts w:cstheme="minorHAnsi"/>
        </w:rPr>
        <w:t xml:space="preserve">or involvement </w:t>
      </w:r>
      <w:r w:rsidR="003419B4" w:rsidRPr="001A6A1E">
        <w:rPr>
          <w:rFonts w:cstheme="minorHAnsi"/>
        </w:rPr>
        <w:t>could</w:t>
      </w:r>
      <w:r w:rsidR="00B3012A">
        <w:rPr>
          <w:rFonts w:cstheme="minorHAnsi"/>
        </w:rPr>
        <w:t>, in part, explain</w:t>
      </w:r>
      <w:r w:rsidR="003419B4" w:rsidRPr="001A6A1E">
        <w:rPr>
          <w:rFonts w:cstheme="minorHAnsi"/>
        </w:rPr>
        <w:t xml:space="preserve"> several of the</w:t>
      </w:r>
      <w:r w:rsidR="00B3012A">
        <w:rPr>
          <w:rFonts w:cstheme="minorHAnsi"/>
        </w:rPr>
        <w:t xml:space="preserve"> identified</w:t>
      </w:r>
      <w:r w:rsidR="006079E2">
        <w:rPr>
          <w:rFonts w:cstheme="minorHAnsi"/>
        </w:rPr>
        <w:t xml:space="preserve"> potentially harmful</w:t>
      </w:r>
      <w:r w:rsidR="003419B4" w:rsidRPr="001A6A1E">
        <w:rPr>
          <w:rFonts w:cstheme="minorHAnsi"/>
        </w:rPr>
        <w:t xml:space="preserve"> interactions</w:t>
      </w:r>
      <w:r w:rsidR="00C23D7E" w:rsidRPr="001A6A1E">
        <w:rPr>
          <w:rFonts w:cstheme="minorHAnsi"/>
        </w:rPr>
        <w:t xml:space="preserve">, </w:t>
      </w:r>
      <w:r w:rsidR="00290E4B">
        <w:rPr>
          <w:rFonts w:cstheme="minorHAnsi"/>
        </w:rPr>
        <w:t>such as</w:t>
      </w:r>
      <w:r w:rsidR="003419B4" w:rsidRPr="001A6A1E">
        <w:rPr>
          <w:rFonts w:cstheme="minorHAnsi"/>
        </w:rPr>
        <w:t xml:space="preserve">, </w:t>
      </w:r>
      <w:r w:rsidR="00C23D7E" w:rsidRPr="001A6A1E">
        <w:rPr>
          <w:rFonts w:cstheme="minorHAnsi"/>
          <w:shd w:val="clear" w:color="auto" w:fill="FFFFFF"/>
        </w:rPr>
        <w:t>licencing and planning. A recent census stud</w:t>
      </w:r>
      <w:r w:rsidR="00B34396">
        <w:rPr>
          <w:rFonts w:cstheme="minorHAnsi"/>
          <w:shd w:val="clear" w:color="auto" w:fill="FFFFFF"/>
        </w:rPr>
        <w:t>y</w:t>
      </w:r>
      <w:r w:rsidR="0050560F">
        <w:rPr>
          <w:rFonts w:cstheme="minorHAnsi"/>
          <w:shd w:val="clear" w:color="auto" w:fill="FFFFFF"/>
        </w:rPr>
        <w:t xml:space="preserve"> </w:t>
      </w:r>
      <w:r w:rsidR="00B34396">
        <w:rPr>
          <w:rFonts w:cstheme="minorHAnsi"/>
          <w:shd w:val="clear" w:color="auto" w:fill="FFFFFF"/>
        </w:rPr>
        <w:t>[</w:t>
      </w:r>
      <w:r w:rsidR="008C4C4E">
        <w:rPr>
          <w:rFonts w:cstheme="minorHAnsi"/>
          <w:shd w:val="clear" w:color="auto" w:fill="FFFFFF"/>
        </w:rPr>
        <w:t>90</w:t>
      </w:r>
      <w:r w:rsidR="00B34396">
        <w:rPr>
          <w:rFonts w:cstheme="minorHAnsi"/>
          <w:shd w:val="clear" w:color="auto" w:fill="FFFFFF"/>
        </w:rPr>
        <w:t>]</w:t>
      </w:r>
      <w:r w:rsidR="00C23D7E" w:rsidRPr="001A6A1E">
        <w:rPr>
          <w:rFonts w:cstheme="minorHAnsi"/>
          <w:shd w:val="clear" w:color="auto" w:fill="FFFFFF"/>
        </w:rPr>
        <w:t xml:space="preserve"> </w:t>
      </w:r>
      <w:r w:rsidR="00CD5235">
        <w:rPr>
          <w:rFonts w:cstheme="minorHAnsi"/>
          <w:shd w:val="clear" w:color="auto" w:fill="FFFFFF"/>
        </w:rPr>
        <w:t xml:space="preserve">across </w:t>
      </w:r>
      <w:r w:rsidR="00801CAD">
        <w:rPr>
          <w:rFonts w:cstheme="minorHAnsi"/>
          <w:shd w:val="clear" w:color="auto" w:fill="FFFFFF"/>
        </w:rPr>
        <w:t>English LA</w:t>
      </w:r>
      <w:r w:rsidR="00CD5235">
        <w:rPr>
          <w:rFonts w:cstheme="minorHAnsi"/>
          <w:shd w:val="clear" w:color="auto" w:fill="FFFFFF"/>
        </w:rPr>
        <w:t xml:space="preserve">s explored </w:t>
      </w:r>
      <w:r w:rsidR="00C23D7E" w:rsidRPr="001A6A1E">
        <w:rPr>
          <w:rFonts w:cstheme="minorHAnsi"/>
          <w:shd w:val="clear" w:color="auto" w:fill="FFFFFF"/>
        </w:rPr>
        <w:t>takeaway food outlet</w:t>
      </w:r>
      <w:r w:rsidR="00801CAD">
        <w:rPr>
          <w:rFonts w:cstheme="minorHAnsi"/>
          <w:shd w:val="clear" w:color="auto" w:fill="FFFFFF"/>
        </w:rPr>
        <w:t xml:space="preserve"> planning and </w:t>
      </w:r>
      <w:r w:rsidR="0096226D">
        <w:rPr>
          <w:rFonts w:cstheme="minorHAnsi"/>
          <w:shd w:val="clear" w:color="auto" w:fill="FFFFFF"/>
        </w:rPr>
        <w:t>regulation</w:t>
      </w:r>
      <w:r w:rsidR="00CD5235">
        <w:rPr>
          <w:rFonts w:cstheme="minorHAnsi"/>
          <w:shd w:val="clear" w:color="auto" w:fill="FFFFFF"/>
        </w:rPr>
        <w:t xml:space="preserve">. </w:t>
      </w:r>
      <w:r w:rsidR="000E5888">
        <w:rPr>
          <w:rFonts w:cstheme="minorHAnsi"/>
          <w:shd w:val="clear" w:color="auto" w:fill="FFFFFF"/>
        </w:rPr>
        <w:t xml:space="preserve">The authors </w:t>
      </w:r>
      <w:r w:rsidR="00801CAD" w:rsidRPr="001A6A1E">
        <w:rPr>
          <w:rFonts w:cstheme="minorHAnsi"/>
          <w:shd w:val="clear" w:color="auto" w:fill="FFFFFF"/>
        </w:rPr>
        <w:t>observed</w:t>
      </w:r>
      <w:r w:rsidR="00CD5235">
        <w:rPr>
          <w:rFonts w:cstheme="minorHAnsi"/>
          <w:shd w:val="clear" w:color="auto" w:fill="FFFFFF"/>
        </w:rPr>
        <w:t xml:space="preserve"> </w:t>
      </w:r>
      <w:r w:rsidR="001F457D" w:rsidRPr="001A6A1E">
        <w:rPr>
          <w:rFonts w:cstheme="minorHAnsi"/>
          <w:shd w:val="clear" w:color="auto" w:fill="FFFFFF"/>
        </w:rPr>
        <w:t xml:space="preserve">just 56 </w:t>
      </w:r>
      <w:r w:rsidR="00AF51C0">
        <w:rPr>
          <w:rFonts w:cstheme="minorHAnsi"/>
          <w:shd w:val="clear" w:color="auto" w:fill="FFFFFF"/>
        </w:rPr>
        <w:t xml:space="preserve">of 325 LAs </w:t>
      </w:r>
      <w:r w:rsidR="00C23D7E" w:rsidRPr="001A6A1E">
        <w:rPr>
          <w:rFonts w:cstheme="minorHAnsi"/>
          <w:shd w:val="clear" w:color="auto" w:fill="FFFFFF"/>
        </w:rPr>
        <w:t xml:space="preserve">had </w:t>
      </w:r>
      <w:r w:rsidR="008D707D">
        <w:rPr>
          <w:rFonts w:cstheme="minorHAnsi"/>
          <w:shd w:val="clear" w:color="auto" w:fill="FFFFFF"/>
        </w:rPr>
        <w:t>health-specifi</w:t>
      </w:r>
      <w:r w:rsidR="00B3012A">
        <w:rPr>
          <w:rFonts w:cstheme="minorHAnsi"/>
          <w:shd w:val="clear" w:color="auto" w:fill="FFFFFF"/>
        </w:rPr>
        <w:t>c</w:t>
      </w:r>
      <w:r w:rsidR="00CD5235">
        <w:rPr>
          <w:rFonts w:cstheme="minorHAnsi"/>
          <w:shd w:val="clear" w:color="auto" w:fill="FFFFFF"/>
        </w:rPr>
        <w:t xml:space="preserve"> planning criteria</w:t>
      </w:r>
      <w:r w:rsidR="00C23D7E" w:rsidRPr="001A6A1E">
        <w:rPr>
          <w:rFonts w:cstheme="minorHAnsi"/>
          <w:shd w:val="clear" w:color="auto" w:fill="FFFFFF"/>
        </w:rPr>
        <w:t xml:space="preserve">, </w:t>
      </w:r>
      <w:r w:rsidR="001F457D" w:rsidRPr="001A6A1E">
        <w:rPr>
          <w:rFonts w:cstheme="minorHAnsi"/>
          <w:shd w:val="clear" w:color="auto" w:fill="FFFFFF"/>
        </w:rPr>
        <w:t>compared with</w:t>
      </w:r>
      <w:r w:rsidR="00C23D7E" w:rsidRPr="001A6A1E">
        <w:rPr>
          <w:rFonts w:cstheme="minorHAnsi"/>
          <w:shd w:val="clear" w:color="auto" w:fill="FFFFFF"/>
        </w:rPr>
        <w:t xml:space="preserve"> 80% </w:t>
      </w:r>
      <w:r w:rsidR="001F457D" w:rsidRPr="001A6A1E">
        <w:rPr>
          <w:rFonts w:cstheme="minorHAnsi"/>
          <w:shd w:val="clear" w:color="auto" w:fill="FFFFFF"/>
        </w:rPr>
        <w:t>non-health</w:t>
      </w:r>
      <w:r w:rsidR="00CD5235">
        <w:rPr>
          <w:rFonts w:cstheme="minorHAnsi"/>
          <w:shd w:val="clear" w:color="auto" w:fill="FFFFFF"/>
        </w:rPr>
        <w:t xml:space="preserve"> </w:t>
      </w:r>
      <w:r w:rsidR="00440499">
        <w:rPr>
          <w:rFonts w:cstheme="minorHAnsi"/>
          <w:shd w:val="clear" w:color="auto" w:fill="FFFFFF"/>
        </w:rPr>
        <w:t xml:space="preserve">(e.g. </w:t>
      </w:r>
      <w:r w:rsidR="00440499" w:rsidRPr="001A6A1E">
        <w:rPr>
          <w:rFonts w:cstheme="minorHAnsi"/>
          <w:shd w:val="clear" w:color="auto" w:fill="FFFFFF"/>
        </w:rPr>
        <w:t>litter,</w:t>
      </w:r>
      <w:r w:rsidR="00290E4B">
        <w:rPr>
          <w:rFonts w:cstheme="minorHAnsi"/>
          <w:shd w:val="clear" w:color="auto" w:fill="FFFFFF"/>
        </w:rPr>
        <w:t xml:space="preserve"> </w:t>
      </w:r>
      <w:r w:rsidR="00440499" w:rsidRPr="001A6A1E">
        <w:rPr>
          <w:rFonts w:cstheme="minorHAnsi"/>
          <w:shd w:val="clear" w:color="auto" w:fill="FFFFFF"/>
        </w:rPr>
        <w:t>anti-social behaviour</w:t>
      </w:r>
      <w:r w:rsidR="00440499">
        <w:rPr>
          <w:rFonts w:cstheme="minorHAnsi"/>
          <w:shd w:val="clear" w:color="auto" w:fill="FFFFFF"/>
        </w:rPr>
        <w:t>)</w:t>
      </w:r>
      <w:r w:rsidR="008D707D">
        <w:rPr>
          <w:rFonts w:cstheme="minorHAnsi"/>
          <w:shd w:val="clear" w:color="auto" w:fill="FFFFFF"/>
        </w:rPr>
        <w:t>,</w:t>
      </w:r>
      <w:r w:rsidR="00CD5235">
        <w:rPr>
          <w:rFonts w:cstheme="minorHAnsi"/>
          <w:shd w:val="clear" w:color="auto" w:fill="FFFFFF"/>
        </w:rPr>
        <w:t xml:space="preserve"> </w:t>
      </w:r>
      <w:r w:rsidR="00B3012A">
        <w:rPr>
          <w:rFonts w:cstheme="minorHAnsi"/>
          <w:shd w:val="clear" w:color="auto" w:fill="FFFFFF"/>
        </w:rPr>
        <w:t xml:space="preserve">owing to the acceptability, and </w:t>
      </w:r>
      <w:r w:rsidR="00440499">
        <w:rPr>
          <w:rFonts w:cstheme="minorHAnsi"/>
          <w:shd w:val="clear" w:color="auto" w:fill="FFFFFF"/>
        </w:rPr>
        <w:t>probability</w:t>
      </w:r>
      <w:r w:rsidR="00B3012A">
        <w:rPr>
          <w:rFonts w:cstheme="minorHAnsi"/>
          <w:shd w:val="clear" w:color="auto" w:fill="FFFFFF"/>
        </w:rPr>
        <w:t xml:space="preserve"> of challenge</w:t>
      </w:r>
      <w:r w:rsidR="0050560F">
        <w:rPr>
          <w:rFonts w:cstheme="minorHAnsi"/>
          <w:shd w:val="clear" w:color="auto" w:fill="FFFFFF"/>
        </w:rPr>
        <w:t xml:space="preserve"> </w:t>
      </w:r>
      <w:r w:rsidR="00B34396">
        <w:rPr>
          <w:rFonts w:cstheme="minorHAnsi"/>
          <w:shd w:val="clear" w:color="auto" w:fill="FFFFFF"/>
        </w:rPr>
        <w:t>[</w:t>
      </w:r>
      <w:r w:rsidR="008C4C4E">
        <w:rPr>
          <w:rFonts w:cstheme="minorHAnsi"/>
          <w:shd w:val="clear" w:color="auto" w:fill="FFFFFF"/>
        </w:rPr>
        <w:t>90</w:t>
      </w:r>
      <w:r w:rsidR="00B34396">
        <w:rPr>
          <w:rFonts w:cstheme="minorHAnsi"/>
          <w:shd w:val="clear" w:color="auto" w:fill="FFFFFF"/>
        </w:rPr>
        <w:t>]</w:t>
      </w:r>
      <w:r w:rsidR="00C23D7E" w:rsidRPr="001A6A1E">
        <w:rPr>
          <w:rFonts w:cstheme="minorHAnsi"/>
          <w:shd w:val="clear" w:color="auto" w:fill="FFFFFF"/>
        </w:rPr>
        <w:t>.</w:t>
      </w:r>
      <w:r w:rsidR="00920CCB">
        <w:rPr>
          <w:rFonts w:cstheme="minorHAnsi"/>
          <w:shd w:val="clear" w:color="auto" w:fill="FFFFFF"/>
        </w:rPr>
        <w:t xml:space="preserve"> It is important that considerations</w:t>
      </w:r>
      <w:r w:rsidR="00C23D7E" w:rsidRPr="001A6A1E">
        <w:rPr>
          <w:rFonts w:cstheme="minorHAnsi"/>
          <w:shd w:val="clear" w:color="auto" w:fill="FFFFFF"/>
        </w:rPr>
        <w:t xml:space="preserve"> </w:t>
      </w:r>
      <w:r w:rsidR="00920CCB">
        <w:rPr>
          <w:rFonts w:cstheme="minorHAnsi"/>
          <w:shd w:val="clear" w:color="auto" w:fill="FFFFFF"/>
        </w:rPr>
        <w:t xml:space="preserve">for health should be embedded across </w:t>
      </w:r>
      <w:r w:rsidR="00920CCB" w:rsidRPr="004F3CBD">
        <w:rPr>
          <w:rFonts w:cstheme="minorHAnsi"/>
          <w:shd w:val="clear" w:color="auto" w:fill="FFFFFF"/>
        </w:rPr>
        <w:t>all LA functions and decisions, as existing beliefs may dichotomise LA roles</w:t>
      </w:r>
      <w:r w:rsidR="00290E4B" w:rsidRPr="004F3CBD">
        <w:rPr>
          <w:rFonts w:cstheme="minorHAnsi"/>
          <w:shd w:val="clear" w:color="auto" w:fill="FFFFFF"/>
        </w:rPr>
        <w:t xml:space="preserve"> and </w:t>
      </w:r>
      <w:r w:rsidR="00920CCB" w:rsidRPr="004F3CBD">
        <w:rPr>
          <w:rFonts w:cstheme="minorHAnsi"/>
          <w:shd w:val="clear" w:color="auto" w:fill="FFFFFF"/>
        </w:rPr>
        <w:t xml:space="preserve">functions into those which </w:t>
      </w:r>
      <w:r w:rsidR="00C23D7E" w:rsidRPr="004F3CBD">
        <w:rPr>
          <w:rFonts w:cstheme="minorHAnsi"/>
          <w:shd w:val="clear" w:color="auto" w:fill="FFFFFF"/>
        </w:rPr>
        <w:t xml:space="preserve">are </w:t>
      </w:r>
      <w:r w:rsidR="008C489F" w:rsidRPr="004F3CBD">
        <w:rPr>
          <w:rFonts w:cstheme="minorHAnsi"/>
          <w:shd w:val="clear" w:color="auto" w:fill="FFFFFF"/>
        </w:rPr>
        <w:t>health-focused</w:t>
      </w:r>
      <w:r w:rsidR="00C23D7E" w:rsidRPr="004F3CBD">
        <w:rPr>
          <w:rFonts w:cstheme="minorHAnsi"/>
          <w:shd w:val="clear" w:color="auto" w:fill="FFFFFF"/>
        </w:rPr>
        <w:t>, and those which are not</w:t>
      </w:r>
      <w:r w:rsidR="00920CCB" w:rsidRPr="004F3CBD">
        <w:rPr>
          <w:rFonts w:cstheme="minorHAnsi"/>
          <w:shd w:val="clear" w:color="auto" w:fill="FFFFFF"/>
        </w:rPr>
        <w:t xml:space="preserve"> [</w:t>
      </w:r>
      <w:r w:rsidR="008C4C4E">
        <w:rPr>
          <w:rFonts w:cstheme="minorHAnsi"/>
          <w:shd w:val="clear" w:color="auto" w:fill="FFFFFF"/>
        </w:rPr>
        <w:t>91</w:t>
      </w:r>
      <w:r w:rsidR="00920CCB" w:rsidRPr="004F3CBD">
        <w:rPr>
          <w:rFonts w:cstheme="minorHAnsi"/>
          <w:shd w:val="clear" w:color="auto" w:fill="FFFFFF"/>
        </w:rPr>
        <w:t>]</w:t>
      </w:r>
      <w:r w:rsidR="00C23D7E" w:rsidRPr="004F3CBD">
        <w:rPr>
          <w:rFonts w:cstheme="minorHAnsi"/>
          <w:shd w:val="clear" w:color="auto" w:fill="FFFFFF"/>
        </w:rPr>
        <w:t xml:space="preserve">. </w:t>
      </w:r>
    </w:p>
    <w:p w14:paraId="61289C98" w14:textId="1DBC0934" w:rsidR="003419B4" w:rsidRPr="004F3CBD" w:rsidRDefault="007A5281" w:rsidP="007A5281">
      <w:pPr>
        <w:pStyle w:val="NormalWeb"/>
        <w:shd w:val="clear" w:color="auto" w:fill="FFFFFF"/>
        <w:spacing w:line="360" w:lineRule="auto"/>
        <w:jc w:val="both"/>
        <w:textAlignment w:val="baseline"/>
        <w:rPr>
          <w:rFonts w:asciiTheme="minorHAnsi" w:hAnsiTheme="minorHAnsi" w:cstheme="minorHAnsi"/>
          <w:sz w:val="22"/>
          <w:szCs w:val="22"/>
        </w:rPr>
      </w:pPr>
      <w:r w:rsidRPr="004F3CBD">
        <w:rPr>
          <w:rFonts w:asciiTheme="minorHAnsi" w:hAnsiTheme="minorHAnsi" w:cstheme="minorHAnsi"/>
          <w:sz w:val="22"/>
          <w:szCs w:val="22"/>
        </w:rPr>
        <w:t>LAs have proven capacity to take effective action, advance p</w:t>
      </w:r>
      <w:r w:rsidR="00E40E42">
        <w:rPr>
          <w:rFonts w:asciiTheme="minorHAnsi" w:hAnsiTheme="minorHAnsi" w:cstheme="minorHAnsi"/>
          <w:sz w:val="22"/>
          <w:szCs w:val="22"/>
        </w:rPr>
        <w:t xml:space="preserve">opulation </w:t>
      </w:r>
      <w:r w:rsidRPr="004F3CBD">
        <w:rPr>
          <w:rFonts w:asciiTheme="minorHAnsi" w:hAnsiTheme="minorHAnsi" w:cstheme="minorHAnsi"/>
          <w:sz w:val="22"/>
          <w:szCs w:val="22"/>
        </w:rPr>
        <w:t>health goals and overcome the CD</w:t>
      </w:r>
      <w:r w:rsidR="00A964FB" w:rsidRPr="004F3CBD">
        <w:rPr>
          <w:rFonts w:asciiTheme="minorHAnsi" w:hAnsiTheme="minorHAnsi" w:cstheme="minorHAnsi"/>
          <w:sz w:val="22"/>
          <w:szCs w:val="22"/>
        </w:rPr>
        <w:t>o</w:t>
      </w:r>
      <w:r w:rsidRPr="004F3CBD">
        <w:rPr>
          <w:rFonts w:asciiTheme="minorHAnsi" w:hAnsiTheme="minorHAnsi" w:cstheme="minorHAnsi"/>
          <w:sz w:val="22"/>
          <w:szCs w:val="22"/>
        </w:rPr>
        <w:t>H</w:t>
      </w:r>
      <w:r w:rsidR="00920CCB" w:rsidRPr="004F3CBD">
        <w:rPr>
          <w:rFonts w:asciiTheme="minorHAnsi" w:hAnsiTheme="minorHAnsi" w:cstheme="minorHAnsi"/>
          <w:sz w:val="22"/>
          <w:szCs w:val="22"/>
        </w:rPr>
        <w:t xml:space="preserve"> </w:t>
      </w:r>
      <w:r w:rsidR="00B34396" w:rsidRPr="004F3CBD">
        <w:rPr>
          <w:rFonts w:asciiTheme="minorHAnsi" w:hAnsiTheme="minorHAnsi" w:cstheme="minorHAnsi"/>
          <w:sz w:val="22"/>
          <w:szCs w:val="22"/>
        </w:rPr>
        <w:t>[</w:t>
      </w:r>
      <w:r w:rsidR="00964F17" w:rsidRPr="004F3CBD">
        <w:rPr>
          <w:rFonts w:asciiTheme="minorHAnsi" w:hAnsiTheme="minorHAnsi" w:cstheme="minorHAnsi"/>
          <w:sz w:val="22"/>
          <w:szCs w:val="22"/>
        </w:rPr>
        <w:t>8</w:t>
      </w:r>
      <w:r w:rsidR="008C4C4E">
        <w:rPr>
          <w:rFonts w:asciiTheme="minorHAnsi" w:hAnsiTheme="minorHAnsi" w:cstheme="minorHAnsi"/>
          <w:sz w:val="22"/>
          <w:szCs w:val="22"/>
        </w:rPr>
        <w:t>9</w:t>
      </w:r>
      <w:r w:rsidR="00B34396" w:rsidRPr="004F3CBD">
        <w:rPr>
          <w:rFonts w:asciiTheme="minorHAnsi" w:hAnsiTheme="minorHAnsi" w:cstheme="minorHAnsi"/>
          <w:sz w:val="22"/>
          <w:szCs w:val="22"/>
        </w:rPr>
        <w:t>]</w:t>
      </w:r>
      <w:r w:rsidRPr="004F3CBD">
        <w:rPr>
          <w:rFonts w:asciiTheme="minorHAnsi" w:hAnsiTheme="minorHAnsi" w:cstheme="minorHAnsi"/>
          <w:sz w:val="22"/>
          <w:szCs w:val="22"/>
        </w:rPr>
        <w:t xml:space="preserve">, </w:t>
      </w:r>
      <w:r w:rsidR="008C489F" w:rsidRPr="004F3CBD">
        <w:rPr>
          <w:rFonts w:asciiTheme="minorHAnsi" w:hAnsiTheme="minorHAnsi" w:cstheme="minorHAnsi"/>
          <w:sz w:val="22"/>
          <w:szCs w:val="22"/>
          <w:shd w:val="clear" w:color="auto" w:fill="FFFFFF"/>
        </w:rPr>
        <w:t>including managing the built environment</w:t>
      </w:r>
      <w:r w:rsidR="00920CCB" w:rsidRPr="004F3CBD">
        <w:rPr>
          <w:rFonts w:asciiTheme="minorHAnsi" w:hAnsiTheme="minorHAnsi" w:cstheme="minorHAnsi"/>
          <w:sz w:val="22"/>
          <w:szCs w:val="22"/>
          <w:shd w:val="clear" w:color="auto" w:fill="FFFFFF"/>
        </w:rPr>
        <w:t xml:space="preserve"> </w:t>
      </w:r>
      <w:r w:rsidR="00B34396" w:rsidRPr="004F3CBD">
        <w:rPr>
          <w:rFonts w:asciiTheme="minorHAnsi" w:hAnsiTheme="minorHAnsi" w:cstheme="minorHAnsi"/>
          <w:sz w:val="22"/>
          <w:szCs w:val="22"/>
          <w:shd w:val="clear" w:color="auto" w:fill="FFFFFF"/>
        </w:rPr>
        <w:t>[</w:t>
      </w:r>
      <w:r w:rsidR="008C4C4E">
        <w:rPr>
          <w:rFonts w:asciiTheme="minorHAnsi" w:hAnsiTheme="minorHAnsi" w:cstheme="minorHAnsi"/>
          <w:sz w:val="22"/>
          <w:szCs w:val="22"/>
          <w:shd w:val="clear" w:color="auto" w:fill="FFFFFF"/>
        </w:rPr>
        <w:t>90</w:t>
      </w:r>
      <w:r w:rsidR="00B34396" w:rsidRPr="004F3CBD">
        <w:rPr>
          <w:rFonts w:asciiTheme="minorHAnsi" w:hAnsiTheme="minorHAnsi" w:cstheme="minorHAnsi"/>
          <w:sz w:val="22"/>
          <w:szCs w:val="22"/>
          <w:shd w:val="clear" w:color="auto" w:fill="FFFFFF"/>
        </w:rPr>
        <w:t>]</w:t>
      </w:r>
      <w:r w:rsidR="008C489F" w:rsidRPr="004F3CBD">
        <w:rPr>
          <w:rFonts w:asciiTheme="minorHAnsi" w:hAnsiTheme="minorHAnsi" w:cstheme="minorHAnsi"/>
          <w:sz w:val="22"/>
          <w:szCs w:val="22"/>
          <w:shd w:val="clear" w:color="auto" w:fill="FFFFFF"/>
        </w:rPr>
        <w:t xml:space="preserve">, yet, </w:t>
      </w:r>
      <w:r w:rsidR="00C23D7E" w:rsidRPr="004F3CBD">
        <w:rPr>
          <w:rFonts w:asciiTheme="minorHAnsi" w:hAnsiTheme="minorHAnsi" w:cstheme="minorHAnsi"/>
          <w:sz w:val="22"/>
          <w:szCs w:val="22"/>
          <w:shd w:val="clear" w:color="auto" w:fill="FFFFFF"/>
        </w:rPr>
        <w:t>more often</w:t>
      </w:r>
      <w:r w:rsidR="00221342">
        <w:rPr>
          <w:rFonts w:asciiTheme="minorHAnsi" w:hAnsiTheme="minorHAnsi" w:cstheme="minorHAnsi"/>
          <w:sz w:val="22"/>
          <w:szCs w:val="22"/>
          <w:shd w:val="clear" w:color="auto" w:fill="FFFFFF"/>
        </w:rPr>
        <w:t>,</w:t>
      </w:r>
      <w:r w:rsidR="003B6DE2" w:rsidRPr="004F3CBD">
        <w:rPr>
          <w:rFonts w:asciiTheme="minorHAnsi" w:hAnsiTheme="minorHAnsi" w:cstheme="minorHAnsi"/>
          <w:sz w:val="22"/>
          <w:szCs w:val="22"/>
          <w:shd w:val="clear" w:color="auto" w:fill="FFFFFF"/>
        </w:rPr>
        <w:t xml:space="preserve"> intervention</w:t>
      </w:r>
      <w:r w:rsidR="00962AED">
        <w:rPr>
          <w:rFonts w:asciiTheme="minorHAnsi" w:hAnsiTheme="minorHAnsi" w:cstheme="minorHAnsi"/>
          <w:sz w:val="22"/>
          <w:szCs w:val="22"/>
          <w:shd w:val="clear" w:color="auto" w:fill="FFFFFF"/>
        </w:rPr>
        <w:t xml:space="preserve"> </w:t>
      </w:r>
      <w:r w:rsidR="00221342">
        <w:rPr>
          <w:rFonts w:asciiTheme="minorHAnsi" w:hAnsiTheme="minorHAnsi" w:cstheme="minorHAnsi"/>
          <w:sz w:val="22"/>
          <w:szCs w:val="22"/>
          <w:shd w:val="clear" w:color="auto" w:fill="FFFFFF"/>
        </w:rPr>
        <w:t xml:space="preserve">design </w:t>
      </w:r>
      <w:r w:rsidR="00962AED">
        <w:rPr>
          <w:rFonts w:asciiTheme="minorHAnsi" w:hAnsiTheme="minorHAnsi" w:cstheme="minorHAnsi"/>
          <w:sz w:val="22"/>
          <w:szCs w:val="22"/>
          <w:shd w:val="clear" w:color="auto" w:fill="FFFFFF"/>
        </w:rPr>
        <w:t>prioritises</w:t>
      </w:r>
      <w:r w:rsidR="00221342">
        <w:rPr>
          <w:rFonts w:asciiTheme="minorHAnsi" w:hAnsiTheme="minorHAnsi" w:cstheme="minorHAnsi"/>
          <w:sz w:val="22"/>
          <w:szCs w:val="22"/>
          <w:shd w:val="clear" w:color="auto" w:fill="FFFFFF"/>
        </w:rPr>
        <w:t xml:space="preserve"> </w:t>
      </w:r>
      <w:r w:rsidR="00D5357E" w:rsidRPr="004F3CBD">
        <w:rPr>
          <w:rFonts w:asciiTheme="minorHAnsi" w:hAnsiTheme="minorHAnsi" w:cstheme="minorHAnsi"/>
          <w:sz w:val="22"/>
          <w:szCs w:val="22"/>
          <w:shd w:val="clear" w:color="auto" w:fill="FFFFFF"/>
        </w:rPr>
        <w:t>avoid</w:t>
      </w:r>
      <w:r w:rsidR="00962AED">
        <w:rPr>
          <w:rFonts w:asciiTheme="minorHAnsi" w:hAnsiTheme="minorHAnsi" w:cstheme="minorHAnsi"/>
          <w:sz w:val="22"/>
          <w:szCs w:val="22"/>
          <w:shd w:val="clear" w:color="auto" w:fill="FFFFFF"/>
        </w:rPr>
        <w:t>ing</w:t>
      </w:r>
      <w:r w:rsidR="00D5357E" w:rsidRPr="004F3CBD">
        <w:rPr>
          <w:rFonts w:asciiTheme="minorHAnsi" w:hAnsiTheme="minorHAnsi" w:cstheme="minorHAnsi"/>
          <w:sz w:val="22"/>
          <w:szCs w:val="22"/>
          <w:shd w:val="clear" w:color="auto" w:fill="FFFFFF"/>
        </w:rPr>
        <w:t xml:space="preserve"> </w:t>
      </w:r>
      <w:r w:rsidR="00270B60" w:rsidRPr="004F3CBD">
        <w:rPr>
          <w:rFonts w:asciiTheme="minorHAnsi" w:hAnsiTheme="minorHAnsi" w:cstheme="minorHAnsi"/>
          <w:sz w:val="22"/>
          <w:szCs w:val="22"/>
          <w:shd w:val="clear" w:color="auto" w:fill="FFFFFF"/>
        </w:rPr>
        <w:t xml:space="preserve">potential </w:t>
      </w:r>
      <w:r w:rsidR="00221342">
        <w:rPr>
          <w:rFonts w:asciiTheme="minorHAnsi" w:hAnsiTheme="minorHAnsi" w:cstheme="minorHAnsi"/>
          <w:sz w:val="22"/>
          <w:szCs w:val="22"/>
          <w:shd w:val="clear" w:color="auto" w:fill="FFFFFF"/>
        </w:rPr>
        <w:t>confrontation</w:t>
      </w:r>
      <w:r w:rsidR="00D5357E" w:rsidRPr="004F3CBD">
        <w:rPr>
          <w:rFonts w:asciiTheme="minorHAnsi" w:hAnsiTheme="minorHAnsi" w:cstheme="minorHAnsi"/>
          <w:sz w:val="22"/>
          <w:szCs w:val="22"/>
          <w:shd w:val="clear" w:color="auto" w:fill="FFFFFF"/>
        </w:rPr>
        <w:t xml:space="preserve"> </w:t>
      </w:r>
      <w:r w:rsidR="00270B60" w:rsidRPr="004F3CBD">
        <w:rPr>
          <w:rFonts w:asciiTheme="minorHAnsi" w:hAnsiTheme="minorHAnsi" w:cstheme="minorHAnsi"/>
          <w:sz w:val="22"/>
          <w:szCs w:val="22"/>
          <w:shd w:val="clear" w:color="auto" w:fill="FFFFFF"/>
        </w:rPr>
        <w:t>or</w:t>
      </w:r>
      <w:r w:rsidR="00D5357E" w:rsidRPr="004F3CBD">
        <w:rPr>
          <w:rFonts w:asciiTheme="minorHAnsi" w:hAnsiTheme="minorHAnsi" w:cstheme="minorHAnsi"/>
          <w:sz w:val="22"/>
          <w:szCs w:val="22"/>
          <w:shd w:val="clear" w:color="auto" w:fill="FFFFFF"/>
        </w:rPr>
        <w:t xml:space="preserve"> dispute </w:t>
      </w:r>
      <w:r w:rsidR="00B41C4F" w:rsidRPr="004F3CBD">
        <w:rPr>
          <w:rFonts w:asciiTheme="minorHAnsi" w:hAnsiTheme="minorHAnsi" w:cstheme="minorHAnsi"/>
          <w:sz w:val="22"/>
          <w:szCs w:val="22"/>
          <w:shd w:val="clear" w:color="auto" w:fill="FFFFFF"/>
        </w:rPr>
        <w:t xml:space="preserve">(e.g. </w:t>
      </w:r>
      <w:r w:rsidR="00C23D7E" w:rsidRPr="004F3CBD">
        <w:rPr>
          <w:rFonts w:asciiTheme="minorHAnsi" w:hAnsiTheme="minorHAnsi" w:cstheme="minorHAnsi"/>
          <w:sz w:val="22"/>
          <w:szCs w:val="22"/>
          <w:shd w:val="clear" w:color="auto" w:fill="FFFFFF"/>
        </w:rPr>
        <w:t>improving the healthfulness of takeaway outlets</w:t>
      </w:r>
      <w:r w:rsidR="004536B0" w:rsidRPr="004F3CBD">
        <w:rPr>
          <w:rFonts w:asciiTheme="minorHAnsi" w:hAnsiTheme="minorHAnsi" w:cstheme="minorHAnsi"/>
          <w:sz w:val="22"/>
          <w:szCs w:val="22"/>
          <w:shd w:val="clear" w:color="auto" w:fill="FFFFFF"/>
        </w:rPr>
        <w:t>)</w:t>
      </w:r>
      <w:r w:rsidR="00920CCB" w:rsidRPr="004F3CBD">
        <w:rPr>
          <w:rFonts w:asciiTheme="minorHAnsi" w:hAnsiTheme="minorHAnsi" w:cstheme="minorHAnsi"/>
          <w:sz w:val="22"/>
          <w:szCs w:val="22"/>
          <w:shd w:val="clear" w:color="auto" w:fill="FFFFFF"/>
        </w:rPr>
        <w:t xml:space="preserve"> </w:t>
      </w:r>
      <w:r w:rsidR="004536B0" w:rsidRPr="004F3CBD">
        <w:rPr>
          <w:rFonts w:asciiTheme="minorHAnsi" w:hAnsiTheme="minorHAnsi" w:cstheme="minorHAnsi"/>
          <w:sz w:val="22"/>
          <w:szCs w:val="22"/>
          <w:shd w:val="clear" w:color="auto" w:fill="FFFFFF"/>
        </w:rPr>
        <w:t>[</w:t>
      </w:r>
      <w:r w:rsidR="00964F17" w:rsidRPr="004F3CBD">
        <w:rPr>
          <w:rFonts w:asciiTheme="minorHAnsi" w:hAnsiTheme="minorHAnsi" w:cstheme="minorHAnsi"/>
          <w:sz w:val="22"/>
          <w:szCs w:val="22"/>
          <w:shd w:val="clear" w:color="auto" w:fill="FFFFFF"/>
        </w:rPr>
        <w:t>9</w:t>
      </w:r>
      <w:r w:rsidR="008C4C4E">
        <w:rPr>
          <w:rFonts w:asciiTheme="minorHAnsi" w:hAnsiTheme="minorHAnsi" w:cstheme="minorHAnsi"/>
          <w:sz w:val="22"/>
          <w:szCs w:val="22"/>
          <w:shd w:val="clear" w:color="auto" w:fill="FFFFFF"/>
        </w:rPr>
        <w:t>2</w:t>
      </w:r>
      <w:r w:rsidR="004536B0" w:rsidRPr="004F3CBD">
        <w:rPr>
          <w:rFonts w:asciiTheme="minorHAnsi" w:hAnsiTheme="minorHAnsi" w:cstheme="minorHAnsi"/>
          <w:sz w:val="22"/>
          <w:szCs w:val="22"/>
          <w:shd w:val="clear" w:color="auto" w:fill="FFFFFF"/>
        </w:rPr>
        <w:t>]</w:t>
      </w:r>
      <w:r w:rsidR="00C27370" w:rsidRPr="004F3CBD">
        <w:rPr>
          <w:rFonts w:asciiTheme="minorHAnsi" w:hAnsiTheme="minorHAnsi" w:cstheme="minorHAnsi"/>
          <w:sz w:val="22"/>
          <w:szCs w:val="22"/>
          <w:shd w:val="clear" w:color="auto" w:fill="FFFFFF"/>
        </w:rPr>
        <w:t xml:space="preserve">. </w:t>
      </w:r>
      <w:r w:rsidR="00440499" w:rsidRPr="004F3CBD">
        <w:rPr>
          <w:rFonts w:asciiTheme="minorHAnsi" w:hAnsiTheme="minorHAnsi" w:cstheme="minorHAnsi"/>
          <w:sz w:val="22"/>
          <w:szCs w:val="22"/>
        </w:rPr>
        <w:t>Recent work by Mialon et al</w:t>
      </w:r>
      <w:r w:rsidR="004536B0" w:rsidRPr="004F3CBD">
        <w:rPr>
          <w:rFonts w:asciiTheme="minorHAnsi" w:hAnsiTheme="minorHAnsi" w:cstheme="minorHAnsi"/>
          <w:sz w:val="22"/>
          <w:szCs w:val="22"/>
        </w:rPr>
        <w:t>.</w:t>
      </w:r>
      <w:r w:rsidR="00920CCB" w:rsidRPr="004F3CBD">
        <w:rPr>
          <w:rFonts w:asciiTheme="minorHAnsi" w:hAnsiTheme="minorHAnsi" w:cstheme="minorHAnsi"/>
          <w:sz w:val="22"/>
          <w:szCs w:val="22"/>
        </w:rPr>
        <w:t xml:space="preserve"> </w:t>
      </w:r>
      <w:r w:rsidR="004536B0" w:rsidRPr="004F3CBD">
        <w:rPr>
          <w:rFonts w:asciiTheme="minorHAnsi" w:hAnsiTheme="minorHAnsi" w:cstheme="minorHAnsi"/>
          <w:sz w:val="22"/>
          <w:szCs w:val="22"/>
        </w:rPr>
        <w:t>[</w:t>
      </w:r>
      <w:r w:rsidR="00964F17" w:rsidRPr="004F3CBD">
        <w:rPr>
          <w:rFonts w:asciiTheme="minorHAnsi" w:hAnsiTheme="minorHAnsi" w:cstheme="minorHAnsi"/>
          <w:sz w:val="22"/>
          <w:szCs w:val="22"/>
        </w:rPr>
        <w:t>9</w:t>
      </w:r>
      <w:r w:rsidR="008C4C4E">
        <w:rPr>
          <w:rFonts w:asciiTheme="minorHAnsi" w:hAnsiTheme="minorHAnsi" w:cstheme="minorHAnsi"/>
          <w:sz w:val="22"/>
          <w:szCs w:val="22"/>
        </w:rPr>
        <w:t>3</w:t>
      </w:r>
      <w:r w:rsidR="004536B0" w:rsidRPr="004F3CBD">
        <w:rPr>
          <w:rFonts w:asciiTheme="minorHAnsi" w:hAnsiTheme="minorHAnsi" w:cstheme="minorHAnsi"/>
          <w:sz w:val="22"/>
          <w:szCs w:val="22"/>
        </w:rPr>
        <w:t>]</w:t>
      </w:r>
      <w:r w:rsidR="00440499" w:rsidRPr="004F3CBD">
        <w:rPr>
          <w:rFonts w:asciiTheme="minorHAnsi" w:hAnsiTheme="minorHAnsi" w:cstheme="minorHAnsi"/>
          <w:sz w:val="22"/>
          <w:szCs w:val="22"/>
        </w:rPr>
        <w:t xml:space="preserve"> identified how </w:t>
      </w:r>
      <w:r w:rsidR="00B37501" w:rsidRPr="004F3CBD">
        <w:rPr>
          <w:rFonts w:asciiTheme="minorHAnsi" w:hAnsiTheme="minorHAnsi" w:cstheme="minorHAnsi"/>
          <w:sz w:val="22"/>
          <w:szCs w:val="22"/>
        </w:rPr>
        <w:t xml:space="preserve">Freedom </w:t>
      </w:r>
      <w:r w:rsidR="000E5888" w:rsidRPr="004F3CBD">
        <w:rPr>
          <w:rFonts w:asciiTheme="minorHAnsi" w:hAnsiTheme="minorHAnsi" w:cstheme="minorHAnsi"/>
          <w:sz w:val="22"/>
          <w:szCs w:val="22"/>
        </w:rPr>
        <w:t xml:space="preserve">of </w:t>
      </w:r>
      <w:r w:rsidR="00B37501" w:rsidRPr="004F3CBD">
        <w:rPr>
          <w:rFonts w:asciiTheme="minorHAnsi" w:hAnsiTheme="minorHAnsi" w:cstheme="minorHAnsi"/>
          <w:sz w:val="22"/>
          <w:szCs w:val="22"/>
        </w:rPr>
        <w:t xml:space="preserve">Information </w:t>
      </w:r>
      <w:r w:rsidR="000E5888" w:rsidRPr="004F3CBD">
        <w:rPr>
          <w:rFonts w:asciiTheme="minorHAnsi" w:hAnsiTheme="minorHAnsi" w:cstheme="minorHAnsi"/>
          <w:sz w:val="22"/>
          <w:szCs w:val="22"/>
        </w:rPr>
        <w:t xml:space="preserve">(FoI) </w:t>
      </w:r>
      <w:r w:rsidR="00B37501" w:rsidRPr="004F3CBD">
        <w:rPr>
          <w:rFonts w:asciiTheme="minorHAnsi" w:hAnsiTheme="minorHAnsi" w:cstheme="minorHAnsi"/>
          <w:sz w:val="22"/>
          <w:szCs w:val="22"/>
        </w:rPr>
        <w:t>d</w:t>
      </w:r>
      <w:r w:rsidR="00440499" w:rsidRPr="004F3CBD">
        <w:rPr>
          <w:rFonts w:asciiTheme="minorHAnsi" w:hAnsiTheme="minorHAnsi" w:cstheme="minorHAnsi"/>
          <w:sz w:val="22"/>
          <w:szCs w:val="22"/>
        </w:rPr>
        <w:t>isclosure</w:t>
      </w:r>
      <w:r w:rsidR="000D7EF3" w:rsidRPr="004F3CBD">
        <w:rPr>
          <w:rFonts w:asciiTheme="minorHAnsi" w:hAnsiTheme="minorHAnsi" w:cstheme="minorHAnsi"/>
          <w:sz w:val="22"/>
          <w:szCs w:val="22"/>
        </w:rPr>
        <w:t xml:space="preserve"> logs</w:t>
      </w:r>
      <w:r w:rsidR="00440499" w:rsidRPr="004F3CBD">
        <w:rPr>
          <w:rFonts w:asciiTheme="minorHAnsi" w:hAnsiTheme="minorHAnsi" w:cstheme="minorHAnsi"/>
          <w:sz w:val="22"/>
          <w:szCs w:val="22"/>
        </w:rPr>
        <w:t xml:space="preserve">, and disclosures of conflicts of interests have been adopted in the UK as mechanisms to </w:t>
      </w:r>
      <w:r w:rsidR="00962AED">
        <w:rPr>
          <w:rFonts w:asciiTheme="minorHAnsi" w:hAnsiTheme="minorHAnsi" w:cstheme="minorHAnsi"/>
          <w:sz w:val="22"/>
          <w:szCs w:val="22"/>
        </w:rPr>
        <w:t xml:space="preserve">monitor and </w:t>
      </w:r>
      <w:r w:rsidR="00440499" w:rsidRPr="004F3CBD">
        <w:rPr>
          <w:rFonts w:asciiTheme="minorHAnsi" w:hAnsiTheme="minorHAnsi" w:cstheme="minorHAnsi"/>
          <w:sz w:val="22"/>
          <w:szCs w:val="22"/>
        </w:rPr>
        <w:t>address the influence of corporations on p</w:t>
      </w:r>
      <w:r w:rsidR="00E40E42">
        <w:rPr>
          <w:rFonts w:asciiTheme="minorHAnsi" w:hAnsiTheme="minorHAnsi" w:cstheme="minorHAnsi"/>
          <w:sz w:val="22"/>
          <w:szCs w:val="22"/>
        </w:rPr>
        <w:t>opulation</w:t>
      </w:r>
      <w:r w:rsidR="00440499" w:rsidRPr="004F3CBD">
        <w:rPr>
          <w:rFonts w:asciiTheme="minorHAnsi" w:hAnsiTheme="minorHAnsi" w:cstheme="minorHAnsi"/>
          <w:sz w:val="22"/>
          <w:szCs w:val="22"/>
        </w:rPr>
        <w:t xml:space="preserve"> health. Yet, their findings are at national, regional, and global levels, without LA level evidence</w:t>
      </w:r>
      <w:r w:rsidR="00920CCB" w:rsidRPr="004F3CBD">
        <w:rPr>
          <w:rFonts w:asciiTheme="minorHAnsi" w:hAnsiTheme="minorHAnsi" w:cstheme="minorHAnsi"/>
          <w:sz w:val="22"/>
          <w:szCs w:val="22"/>
        </w:rPr>
        <w:t xml:space="preserve"> </w:t>
      </w:r>
      <w:r w:rsidR="004536B0" w:rsidRPr="004F3CBD">
        <w:rPr>
          <w:rFonts w:asciiTheme="minorHAnsi" w:hAnsiTheme="minorHAnsi" w:cstheme="minorHAnsi"/>
          <w:sz w:val="22"/>
          <w:szCs w:val="22"/>
        </w:rPr>
        <w:t>[</w:t>
      </w:r>
      <w:r w:rsidR="00964F17" w:rsidRPr="004F3CBD">
        <w:rPr>
          <w:rFonts w:asciiTheme="minorHAnsi" w:hAnsiTheme="minorHAnsi" w:cstheme="minorHAnsi"/>
          <w:sz w:val="22"/>
          <w:szCs w:val="22"/>
        </w:rPr>
        <w:t>9</w:t>
      </w:r>
      <w:r w:rsidR="008C4C4E">
        <w:rPr>
          <w:rFonts w:asciiTheme="minorHAnsi" w:hAnsiTheme="minorHAnsi" w:cstheme="minorHAnsi"/>
          <w:sz w:val="22"/>
          <w:szCs w:val="22"/>
        </w:rPr>
        <w:t>3</w:t>
      </w:r>
      <w:r w:rsidR="004536B0" w:rsidRPr="004F3CBD">
        <w:rPr>
          <w:rFonts w:asciiTheme="minorHAnsi" w:hAnsiTheme="minorHAnsi" w:cstheme="minorHAnsi"/>
          <w:sz w:val="22"/>
          <w:szCs w:val="22"/>
        </w:rPr>
        <w:t>]</w:t>
      </w:r>
      <w:r w:rsidR="00440499" w:rsidRPr="004F3CBD">
        <w:rPr>
          <w:rFonts w:asciiTheme="minorHAnsi" w:hAnsiTheme="minorHAnsi" w:cstheme="minorHAnsi"/>
          <w:sz w:val="22"/>
          <w:szCs w:val="22"/>
        </w:rPr>
        <w:t xml:space="preserve">. </w:t>
      </w:r>
      <w:r w:rsidR="0096226D" w:rsidRPr="004F3CBD">
        <w:rPr>
          <w:rFonts w:asciiTheme="minorHAnsi" w:hAnsiTheme="minorHAnsi" w:cstheme="minorHAnsi"/>
          <w:sz w:val="22"/>
          <w:szCs w:val="22"/>
        </w:rPr>
        <w:t>LAs, through legislative and regulatory powers</w:t>
      </w:r>
      <w:r w:rsidR="00AD14D4" w:rsidRPr="004F3CBD">
        <w:rPr>
          <w:rFonts w:asciiTheme="minorHAnsi" w:hAnsiTheme="minorHAnsi" w:cstheme="minorHAnsi"/>
          <w:sz w:val="22"/>
          <w:szCs w:val="22"/>
        </w:rPr>
        <w:t>,</w:t>
      </w:r>
      <w:r w:rsidR="0096226D" w:rsidRPr="004F3CBD">
        <w:rPr>
          <w:rFonts w:asciiTheme="minorHAnsi" w:hAnsiTheme="minorHAnsi" w:cstheme="minorHAnsi"/>
          <w:sz w:val="22"/>
          <w:szCs w:val="22"/>
        </w:rPr>
        <w:t xml:space="preserve"> can make significant and meaningful changes to business activities, structures, rules, norms, and practices</w:t>
      </w:r>
      <w:r w:rsidR="00920CCB" w:rsidRPr="004F3CBD">
        <w:rPr>
          <w:rFonts w:asciiTheme="minorHAnsi" w:hAnsiTheme="minorHAnsi" w:cstheme="minorHAnsi"/>
          <w:sz w:val="22"/>
          <w:szCs w:val="22"/>
        </w:rPr>
        <w:t xml:space="preserve"> </w:t>
      </w:r>
      <w:r w:rsidR="00DD2FED" w:rsidRPr="004F3CBD">
        <w:rPr>
          <w:rFonts w:asciiTheme="minorHAnsi" w:hAnsiTheme="minorHAnsi" w:cstheme="minorHAnsi"/>
          <w:sz w:val="22"/>
          <w:szCs w:val="22"/>
        </w:rPr>
        <w:t>[</w:t>
      </w:r>
      <w:r w:rsidR="00964F17" w:rsidRPr="004F3CBD">
        <w:rPr>
          <w:rFonts w:asciiTheme="minorHAnsi" w:hAnsiTheme="minorHAnsi" w:cstheme="minorHAnsi"/>
          <w:sz w:val="22"/>
          <w:szCs w:val="22"/>
        </w:rPr>
        <w:t>9</w:t>
      </w:r>
      <w:r w:rsidR="008C4C4E">
        <w:rPr>
          <w:rFonts w:asciiTheme="minorHAnsi" w:hAnsiTheme="minorHAnsi" w:cstheme="minorHAnsi"/>
          <w:sz w:val="22"/>
          <w:szCs w:val="22"/>
        </w:rPr>
        <w:t>4</w:t>
      </w:r>
      <w:r w:rsidR="00DD2FED" w:rsidRPr="004F3CBD">
        <w:rPr>
          <w:rFonts w:asciiTheme="minorHAnsi" w:hAnsiTheme="minorHAnsi" w:cstheme="minorHAnsi"/>
          <w:sz w:val="22"/>
          <w:szCs w:val="22"/>
        </w:rPr>
        <w:t>]</w:t>
      </w:r>
      <w:r w:rsidR="0096226D" w:rsidRPr="004F3CBD">
        <w:rPr>
          <w:rFonts w:asciiTheme="minorHAnsi" w:hAnsiTheme="minorHAnsi" w:cstheme="minorHAnsi"/>
          <w:sz w:val="22"/>
          <w:szCs w:val="22"/>
        </w:rPr>
        <w:t xml:space="preserve">. </w:t>
      </w:r>
      <w:r w:rsidR="004536B0" w:rsidRPr="004F3CBD">
        <w:rPr>
          <w:rFonts w:asciiTheme="minorHAnsi" w:hAnsiTheme="minorHAnsi" w:cstheme="minorHAnsi"/>
          <w:sz w:val="22"/>
          <w:szCs w:val="22"/>
          <w:shd w:val="clear" w:color="auto" w:fill="FFFFFF"/>
        </w:rPr>
        <w:t>Developing g</w:t>
      </w:r>
      <w:r w:rsidR="00440499" w:rsidRPr="004F3CBD">
        <w:rPr>
          <w:rFonts w:asciiTheme="minorHAnsi" w:hAnsiTheme="minorHAnsi" w:cstheme="minorHAnsi"/>
          <w:sz w:val="22"/>
          <w:szCs w:val="22"/>
          <w:shd w:val="clear" w:color="auto" w:fill="FFFFFF"/>
        </w:rPr>
        <w:t xml:space="preserve">uidance and standards </w:t>
      </w:r>
      <w:r w:rsidR="00CD5235" w:rsidRPr="004F3CBD">
        <w:rPr>
          <w:rFonts w:asciiTheme="minorHAnsi" w:hAnsiTheme="minorHAnsi" w:cstheme="minorHAnsi"/>
          <w:sz w:val="22"/>
          <w:szCs w:val="22"/>
          <w:shd w:val="clear" w:color="auto" w:fill="FFFFFF"/>
        </w:rPr>
        <w:t xml:space="preserve">for interactions with HCIs </w:t>
      </w:r>
      <w:r w:rsidR="00440499" w:rsidRPr="004F3CBD">
        <w:rPr>
          <w:rFonts w:asciiTheme="minorHAnsi" w:hAnsiTheme="minorHAnsi" w:cstheme="minorHAnsi"/>
          <w:sz w:val="22"/>
          <w:szCs w:val="22"/>
          <w:shd w:val="clear" w:color="auto" w:fill="FFFFFF"/>
        </w:rPr>
        <w:t>could</w:t>
      </w:r>
      <w:r w:rsidR="00BD300B" w:rsidRPr="004F3CBD">
        <w:rPr>
          <w:rFonts w:asciiTheme="minorHAnsi" w:hAnsiTheme="minorHAnsi" w:cstheme="minorHAnsi"/>
          <w:sz w:val="22"/>
          <w:szCs w:val="22"/>
          <w:shd w:val="clear" w:color="auto" w:fill="FFFFFF"/>
        </w:rPr>
        <w:t xml:space="preserve"> </w:t>
      </w:r>
      <w:r w:rsidR="00440499" w:rsidRPr="004F3CBD">
        <w:rPr>
          <w:rFonts w:asciiTheme="minorHAnsi" w:hAnsiTheme="minorHAnsi" w:cstheme="minorHAnsi"/>
          <w:sz w:val="22"/>
          <w:szCs w:val="22"/>
          <w:shd w:val="clear" w:color="auto" w:fill="FFFFFF"/>
        </w:rPr>
        <w:t>increase</w:t>
      </w:r>
      <w:r w:rsidR="00CD5235" w:rsidRPr="004F3CBD">
        <w:rPr>
          <w:rFonts w:asciiTheme="minorHAnsi" w:hAnsiTheme="minorHAnsi" w:cstheme="minorHAnsi"/>
          <w:sz w:val="22"/>
          <w:szCs w:val="22"/>
          <w:shd w:val="clear" w:color="auto" w:fill="FFFFFF"/>
        </w:rPr>
        <w:t xml:space="preserve"> </w:t>
      </w:r>
      <w:r w:rsidR="00440499" w:rsidRPr="004F3CBD">
        <w:rPr>
          <w:rFonts w:asciiTheme="minorHAnsi" w:hAnsiTheme="minorHAnsi" w:cstheme="minorHAnsi"/>
          <w:sz w:val="22"/>
          <w:szCs w:val="22"/>
          <w:shd w:val="clear" w:color="auto" w:fill="FFFFFF"/>
        </w:rPr>
        <w:t>transparency and e</w:t>
      </w:r>
      <w:r w:rsidR="00BD300B" w:rsidRPr="004F3CBD">
        <w:rPr>
          <w:rFonts w:asciiTheme="minorHAnsi" w:hAnsiTheme="minorHAnsi" w:cstheme="minorHAnsi"/>
          <w:sz w:val="22"/>
          <w:szCs w:val="22"/>
          <w:shd w:val="clear" w:color="auto" w:fill="FFFFFF"/>
        </w:rPr>
        <w:t>mpower LAs to</w:t>
      </w:r>
      <w:r w:rsidR="006E056D" w:rsidRPr="004F3CBD">
        <w:rPr>
          <w:rFonts w:asciiTheme="minorHAnsi" w:hAnsiTheme="minorHAnsi" w:cstheme="minorHAnsi"/>
          <w:sz w:val="22"/>
          <w:szCs w:val="22"/>
        </w:rPr>
        <w:t xml:space="preserve"> </w:t>
      </w:r>
      <w:r w:rsidR="006079E2">
        <w:rPr>
          <w:rFonts w:asciiTheme="minorHAnsi" w:hAnsiTheme="minorHAnsi" w:cstheme="minorHAnsi"/>
          <w:sz w:val="22"/>
          <w:szCs w:val="22"/>
        </w:rPr>
        <w:t>assess potential</w:t>
      </w:r>
      <w:r w:rsidR="006E056D" w:rsidRPr="004F3CBD">
        <w:rPr>
          <w:rFonts w:asciiTheme="minorHAnsi" w:hAnsiTheme="minorHAnsi" w:cstheme="minorHAnsi"/>
          <w:sz w:val="22"/>
          <w:szCs w:val="22"/>
        </w:rPr>
        <w:t xml:space="preserve"> health impacts </w:t>
      </w:r>
      <w:r w:rsidR="00EC5A69">
        <w:rPr>
          <w:rFonts w:asciiTheme="minorHAnsi" w:hAnsiTheme="minorHAnsi" w:cstheme="minorHAnsi"/>
          <w:sz w:val="22"/>
          <w:szCs w:val="22"/>
        </w:rPr>
        <w:t xml:space="preserve">to the local population as well as possibilities of associated </w:t>
      </w:r>
      <w:r w:rsidR="006E056D" w:rsidRPr="004F3CBD">
        <w:rPr>
          <w:rFonts w:asciiTheme="minorHAnsi" w:hAnsiTheme="minorHAnsi" w:cstheme="minorHAnsi"/>
          <w:sz w:val="22"/>
          <w:szCs w:val="22"/>
        </w:rPr>
        <w:t>reputational risks</w:t>
      </w:r>
      <w:r w:rsidR="001A059D" w:rsidRPr="004F3CBD">
        <w:rPr>
          <w:rFonts w:asciiTheme="minorHAnsi" w:hAnsiTheme="minorHAnsi" w:cstheme="minorHAnsi"/>
          <w:sz w:val="22"/>
          <w:szCs w:val="22"/>
        </w:rPr>
        <w:t>.</w:t>
      </w:r>
      <w:r w:rsidR="00C27370" w:rsidRPr="004F3CBD">
        <w:rPr>
          <w:rFonts w:asciiTheme="minorHAnsi" w:hAnsiTheme="minorHAnsi" w:cstheme="minorHAnsi"/>
          <w:sz w:val="22"/>
          <w:szCs w:val="22"/>
        </w:rPr>
        <w:t xml:space="preserve"> </w:t>
      </w:r>
    </w:p>
    <w:p w14:paraId="09DD899E" w14:textId="13F2D197" w:rsidR="00E4326A" w:rsidRPr="004F3CBD" w:rsidRDefault="00155ED7">
      <w:pPr>
        <w:spacing w:line="259" w:lineRule="auto"/>
        <w:rPr>
          <w:b/>
          <w:bCs/>
        </w:rPr>
      </w:pPr>
      <w:r w:rsidRPr="004F3CBD">
        <w:rPr>
          <w:b/>
          <w:bCs/>
        </w:rPr>
        <w:t>Research i</w:t>
      </w:r>
      <w:r w:rsidR="00FF749E" w:rsidRPr="004F3CBD">
        <w:rPr>
          <w:b/>
          <w:bCs/>
        </w:rPr>
        <w:t>mplications</w:t>
      </w:r>
      <w:r w:rsidR="00762EFE" w:rsidRPr="004F3CBD">
        <w:rPr>
          <w:b/>
          <w:bCs/>
        </w:rPr>
        <w:t xml:space="preserve"> </w:t>
      </w:r>
    </w:p>
    <w:p w14:paraId="0E8FE5A5" w14:textId="3C79DF9D" w:rsidR="00094017" w:rsidRDefault="006651E5" w:rsidP="004B4E3B">
      <w:pPr>
        <w:jc w:val="both"/>
      </w:pPr>
      <w:r>
        <w:t>The proposed typology of interactions presented</w:t>
      </w:r>
      <w:r w:rsidR="00962AED">
        <w:t xml:space="preserve"> can now be used to systematically explore further opportunities to add new interactions, and tailor the manifestation of interactions in both similar, and </w:t>
      </w:r>
      <w:r w:rsidR="00962AED">
        <w:lastRenderedPageBreak/>
        <w:t xml:space="preserve">distal contexts. The typology </w:t>
      </w:r>
      <w:r>
        <w:t xml:space="preserve">is not </w:t>
      </w:r>
      <w:r w:rsidR="00094017">
        <w:t>definitive but is a conceptual starting point to be modified and built upon.</w:t>
      </w:r>
      <w:r w:rsidR="00EA152A">
        <w:t xml:space="preserve"> </w:t>
      </w:r>
      <w:r w:rsidR="007600C2">
        <w:t>Future work to s</w:t>
      </w:r>
      <w:r w:rsidR="00094017">
        <w:t>upplement missing information</w:t>
      </w:r>
      <w:r w:rsidR="007600C2">
        <w:t xml:space="preserve"> could</w:t>
      </w:r>
      <w:r w:rsidR="00094017">
        <w:t xml:space="preserve"> increase</w:t>
      </w:r>
      <w:r w:rsidR="00BF6A00">
        <w:t xml:space="preserve"> the</w:t>
      </w:r>
      <w:r w:rsidR="00094017">
        <w:t xml:space="preserve"> v</w:t>
      </w:r>
      <w:r w:rsidR="00C018C3">
        <w:t>alidity</w:t>
      </w:r>
      <w:r w:rsidR="00C63E42">
        <w:t xml:space="preserve">, for example </w:t>
      </w:r>
      <w:r w:rsidR="00094017">
        <w:t>through wider sharing of the typolog</w:t>
      </w:r>
      <w:r w:rsidR="00440499">
        <w:t>y and surveys</w:t>
      </w:r>
      <w:r w:rsidR="000E5888">
        <w:t xml:space="preserve"> to build consensus</w:t>
      </w:r>
      <w:r w:rsidR="00F95F74">
        <w:t>. I</w:t>
      </w:r>
      <w:r w:rsidR="00094017">
        <w:t>nterviews with key stakeholders, such as LA</w:t>
      </w:r>
      <w:r w:rsidR="00F95F74">
        <w:t xml:space="preserve"> actors</w:t>
      </w:r>
      <w:r w:rsidR="00094017">
        <w:t xml:space="preserve">, third party organisations and public representatives </w:t>
      </w:r>
      <w:r w:rsidR="00F95F74">
        <w:t>could describe</w:t>
      </w:r>
      <w:r w:rsidR="00C63E42">
        <w:t xml:space="preserve"> </w:t>
      </w:r>
      <w:r w:rsidR="00F95F74">
        <w:t>the</w:t>
      </w:r>
      <w:r w:rsidR="007600C2">
        <w:t xml:space="preserve">ir positionality, </w:t>
      </w:r>
      <w:r w:rsidR="00F95F74">
        <w:t xml:space="preserve">interactions used, </w:t>
      </w:r>
      <w:r w:rsidR="007751E4">
        <w:t>an</w:t>
      </w:r>
      <w:r w:rsidR="007600C2">
        <w:t>d</w:t>
      </w:r>
      <w:r w:rsidR="00580755">
        <w:t xml:space="preserve"> </w:t>
      </w:r>
      <w:r w:rsidR="00F95F74">
        <w:t>outcomes</w:t>
      </w:r>
      <w:r w:rsidR="00094017">
        <w:t>.</w:t>
      </w:r>
      <w:r w:rsidR="00F95F74">
        <w:t xml:space="preserve"> </w:t>
      </w:r>
      <w:r w:rsidR="00C63E42">
        <w:t>Involving</w:t>
      </w:r>
      <w:r w:rsidR="00094017">
        <w:t xml:space="preserve"> stakeholders most affected is warranted to </w:t>
      </w:r>
      <w:r w:rsidR="00C63E42">
        <w:t>incentivise</w:t>
      </w:r>
      <w:r w:rsidR="00094017">
        <w:t xml:space="preserve"> </w:t>
      </w:r>
      <w:r w:rsidR="00A41B7A">
        <w:t>and empower</w:t>
      </w:r>
      <w:r w:rsidR="00094017">
        <w:t xml:space="preserve"> policy-makers to act, which otherwise present</w:t>
      </w:r>
      <w:r w:rsidR="007600C2">
        <w:t>s a challenge</w:t>
      </w:r>
      <w:r w:rsidR="00094017">
        <w:t xml:space="preserve"> </w:t>
      </w:r>
      <w:r w:rsidR="00AD14D4">
        <w:t>to</w:t>
      </w:r>
      <w:r w:rsidR="00094017">
        <w:t xml:space="preserve"> the</w:t>
      </w:r>
      <w:r w:rsidR="00C63E42">
        <w:t xml:space="preserve"> acceptability</w:t>
      </w:r>
      <w:r w:rsidR="00440499">
        <w:t xml:space="preserve"> </w:t>
      </w:r>
      <w:r w:rsidR="00094017">
        <w:t xml:space="preserve">and </w:t>
      </w:r>
      <w:r w:rsidR="00C63E42">
        <w:t xml:space="preserve">practical </w:t>
      </w:r>
      <w:r w:rsidR="007600C2">
        <w:t xml:space="preserve">usability </w:t>
      </w:r>
      <w:r w:rsidR="00C63E42">
        <w:t>of the research</w:t>
      </w:r>
      <w:r w:rsidR="00094017">
        <w:t xml:space="preserve">. </w:t>
      </w:r>
      <w:r w:rsidR="00270B60">
        <w:t>In addition this would assist in identifying interactions that may not currently be evidenced in the public domain.</w:t>
      </w:r>
    </w:p>
    <w:p w14:paraId="39DF6B8B" w14:textId="77777777" w:rsidR="00B95021" w:rsidRDefault="00D82C8E" w:rsidP="004B4E3B">
      <w:pPr>
        <w:jc w:val="both"/>
      </w:pPr>
      <w:r>
        <w:t>T</w:t>
      </w:r>
      <w:r w:rsidR="00C018C3">
        <w:t xml:space="preserve">he typology was informed by international </w:t>
      </w:r>
      <w:r>
        <w:t>literature and translated to a local</w:t>
      </w:r>
      <w:r w:rsidR="00165580">
        <w:t>-</w:t>
      </w:r>
      <w:r>
        <w:t>level context. W</w:t>
      </w:r>
      <w:r w:rsidR="00C018C3">
        <w:t xml:space="preserve">hile we acknowledge </w:t>
      </w:r>
      <w:r>
        <w:t xml:space="preserve">the findings </w:t>
      </w:r>
      <w:r w:rsidR="00C018C3">
        <w:t xml:space="preserve">may be most aligned with </w:t>
      </w:r>
      <w:r w:rsidR="00440499">
        <w:t xml:space="preserve">similar political systems in </w:t>
      </w:r>
      <w:r w:rsidR="00C018C3">
        <w:t xml:space="preserve">high-income country settings, we suggest that the ‘interaction’ lens, within a local context, has the potential to be applied more generally. </w:t>
      </w:r>
      <w:r w:rsidR="00B95021" w:rsidRPr="00B95021">
        <w:t>Further research is needed which accounts for the wider socioeconomic, and the importance of political economy and governance context, on HCI-LA interactions, to enhance the practical applicability of adopting this Framework.</w:t>
      </w:r>
      <w:r w:rsidR="00B95021">
        <w:t xml:space="preserve"> </w:t>
      </w:r>
    </w:p>
    <w:p w14:paraId="39A839E9" w14:textId="7FE2C653" w:rsidR="00484C46" w:rsidRDefault="00B60979" w:rsidP="004B4E3B">
      <w:pPr>
        <w:jc w:val="both"/>
      </w:pPr>
      <w:r>
        <w:t xml:space="preserve">We do not attempt to quantify </w:t>
      </w:r>
      <w:r w:rsidR="00440499">
        <w:t>the</w:t>
      </w:r>
      <w:r>
        <w:t xml:space="preserve"> extent</w:t>
      </w:r>
      <w:r w:rsidR="008E784A">
        <w:t xml:space="preserve"> to which</w:t>
      </w:r>
      <w:r>
        <w:t xml:space="preserve"> the interactions are attributed to outcomes, such as local NCD prevalence, health inequalities, </w:t>
      </w:r>
      <w:r w:rsidR="00440499">
        <w:t xml:space="preserve">commercial, </w:t>
      </w:r>
      <w:r>
        <w:t xml:space="preserve">and wider public implications. </w:t>
      </w:r>
      <w:r>
        <w:rPr>
          <w:shd w:val="clear" w:color="auto" w:fill="FFFFFF"/>
        </w:rPr>
        <w:t>O</w:t>
      </w:r>
      <w:r>
        <w:t xml:space="preserve">utcomes of the interactions should be assessed, to understand who benefits and </w:t>
      </w:r>
      <w:r w:rsidR="00AD14D4">
        <w:t xml:space="preserve">the </w:t>
      </w:r>
      <w:r>
        <w:t xml:space="preserve">net consequences, for the industries, LAs and local communities involved. </w:t>
      </w:r>
      <w:r w:rsidR="00C018C3">
        <w:t xml:space="preserve">In addition, </w:t>
      </w:r>
      <w:r w:rsidR="00A31C61">
        <w:t xml:space="preserve">interactions between LAs and other industries </w:t>
      </w:r>
      <w:r w:rsidR="00440499">
        <w:t xml:space="preserve">(e.g. coal, oil, gas) </w:t>
      </w:r>
      <w:r w:rsidR="00484C46">
        <w:t xml:space="preserve">are </w:t>
      </w:r>
      <w:r w:rsidR="00A31C61">
        <w:t>also of</w:t>
      </w:r>
      <w:r w:rsidR="00484C46">
        <w:t xml:space="preserve"> public health concern</w:t>
      </w:r>
      <w:r w:rsidR="00A31C61">
        <w:t xml:space="preserve"> and </w:t>
      </w:r>
      <w:r w:rsidR="00484C46">
        <w:t xml:space="preserve">future work </w:t>
      </w:r>
      <w:r w:rsidR="00D82C8E">
        <w:t>c</w:t>
      </w:r>
      <w:r w:rsidR="00484C46">
        <w:t>ould extend the concepts described in this paper, across other</w:t>
      </w:r>
      <w:r w:rsidR="00A8600F">
        <w:t xml:space="preserve"> </w:t>
      </w:r>
      <w:r w:rsidR="00C675A0">
        <w:t>HCIs</w:t>
      </w:r>
      <w:r w:rsidR="00440499">
        <w:t>.</w:t>
      </w:r>
    </w:p>
    <w:p w14:paraId="1345E0F3" w14:textId="484C702C" w:rsidR="00155ED7" w:rsidRPr="00155ED7" w:rsidRDefault="00155ED7" w:rsidP="004B4E3B">
      <w:pPr>
        <w:jc w:val="both"/>
        <w:rPr>
          <w:b/>
          <w:bCs/>
        </w:rPr>
      </w:pPr>
      <w:r w:rsidRPr="00155ED7">
        <w:rPr>
          <w:b/>
          <w:bCs/>
        </w:rPr>
        <w:t>P</w:t>
      </w:r>
      <w:r w:rsidR="00F6324B">
        <w:rPr>
          <w:b/>
          <w:bCs/>
        </w:rPr>
        <w:t>olicy and p</w:t>
      </w:r>
      <w:r>
        <w:rPr>
          <w:b/>
          <w:bCs/>
        </w:rPr>
        <w:t>ractice</w:t>
      </w:r>
      <w:r w:rsidRPr="00155ED7">
        <w:rPr>
          <w:b/>
          <w:bCs/>
        </w:rPr>
        <w:t xml:space="preserve"> implications</w:t>
      </w:r>
    </w:p>
    <w:p w14:paraId="538CB052" w14:textId="62F26BFE" w:rsidR="00357D19" w:rsidRPr="004F3CBD" w:rsidRDefault="00686416" w:rsidP="002B2AFE">
      <w:pPr>
        <w:jc w:val="both"/>
      </w:pPr>
      <w:r>
        <w:rPr>
          <w:shd w:val="clear" w:color="auto" w:fill="FFFFFF"/>
        </w:rPr>
        <w:t xml:space="preserve">To make meaningful improvements in health, future work </w:t>
      </w:r>
      <w:r w:rsidR="002B2AFE">
        <w:rPr>
          <w:shd w:val="clear" w:color="auto" w:fill="FFFFFF"/>
        </w:rPr>
        <w:t>could</w:t>
      </w:r>
      <w:r>
        <w:rPr>
          <w:shd w:val="clear" w:color="auto" w:fill="FFFFFF"/>
        </w:rPr>
        <w:t xml:space="preserve"> </w:t>
      </w:r>
      <w:r w:rsidR="007E4512">
        <w:rPr>
          <w:shd w:val="clear" w:color="auto" w:fill="FFFFFF"/>
        </w:rPr>
        <w:t>build on these findings</w:t>
      </w:r>
      <w:r>
        <w:rPr>
          <w:shd w:val="clear" w:color="auto" w:fill="FFFFFF"/>
        </w:rPr>
        <w:t xml:space="preserve"> to develop interventions and practical tools </w:t>
      </w:r>
      <w:r w:rsidR="00AD14D4">
        <w:rPr>
          <w:shd w:val="clear" w:color="auto" w:fill="FFFFFF"/>
        </w:rPr>
        <w:t>for</w:t>
      </w:r>
      <w:r>
        <w:rPr>
          <w:shd w:val="clear" w:color="auto" w:fill="FFFFFF"/>
        </w:rPr>
        <w:t xml:space="preserve"> specific actions that </w:t>
      </w:r>
      <w:r w:rsidR="007E4512">
        <w:rPr>
          <w:shd w:val="clear" w:color="auto" w:fill="FFFFFF"/>
        </w:rPr>
        <w:t xml:space="preserve">LAs </w:t>
      </w:r>
      <w:r>
        <w:rPr>
          <w:shd w:val="clear" w:color="auto" w:fill="FFFFFF"/>
        </w:rPr>
        <w:t xml:space="preserve">can take. </w:t>
      </w:r>
      <w:r w:rsidR="000217F8" w:rsidRPr="007A5281">
        <w:rPr>
          <w:rFonts w:cstheme="minorHAnsi"/>
          <w:shd w:val="clear" w:color="auto" w:fill="FFFFFF"/>
        </w:rPr>
        <w:t xml:space="preserve">Standards </w:t>
      </w:r>
      <w:r w:rsidR="000217F8">
        <w:rPr>
          <w:rFonts w:cstheme="minorHAnsi"/>
        </w:rPr>
        <w:t>c</w:t>
      </w:r>
      <w:r w:rsidR="000217F8" w:rsidRPr="007A5281">
        <w:rPr>
          <w:rFonts w:cstheme="minorHAnsi"/>
        </w:rPr>
        <w:t>ould be adapted and applied to govern local interactions,</w:t>
      </w:r>
      <w:r w:rsidR="00270B60">
        <w:rPr>
          <w:rFonts w:cstheme="minorHAnsi"/>
        </w:rPr>
        <w:t xml:space="preserve"> such a</w:t>
      </w:r>
      <w:r w:rsidR="005A53F7">
        <w:rPr>
          <w:rFonts w:cstheme="minorHAnsi"/>
        </w:rPr>
        <w:t>s previous work</w:t>
      </w:r>
      <w:r w:rsidR="00270B60">
        <w:rPr>
          <w:rFonts w:cstheme="minorHAnsi"/>
        </w:rPr>
        <w:t xml:space="preserve"> extend</w:t>
      </w:r>
      <w:r w:rsidR="005A53F7">
        <w:rPr>
          <w:rFonts w:cstheme="minorHAnsi"/>
        </w:rPr>
        <w:t>ing</w:t>
      </w:r>
      <w:r w:rsidR="00270B60">
        <w:rPr>
          <w:rFonts w:cstheme="minorHAnsi"/>
        </w:rPr>
        <w:t xml:space="preserve"> </w:t>
      </w:r>
      <w:r w:rsidR="00152F88">
        <w:rPr>
          <w:rFonts w:cstheme="minorHAnsi"/>
        </w:rPr>
        <w:t>and tailor</w:t>
      </w:r>
      <w:r w:rsidR="005A53F7">
        <w:rPr>
          <w:rFonts w:cstheme="minorHAnsi"/>
        </w:rPr>
        <w:t xml:space="preserve">ing the </w:t>
      </w:r>
      <w:r w:rsidR="00270B60">
        <w:rPr>
          <w:rFonts w:cstheme="minorHAnsi"/>
        </w:rPr>
        <w:t>use of</w:t>
      </w:r>
      <w:r w:rsidR="000217F8" w:rsidRPr="007A5281">
        <w:rPr>
          <w:rFonts w:cstheme="minorHAnsi"/>
          <w:shd w:val="clear" w:color="auto" w:fill="FFFFFF"/>
        </w:rPr>
        <w:t xml:space="preserve"> </w:t>
      </w:r>
      <w:r w:rsidR="0043050E">
        <w:rPr>
          <w:rFonts w:cstheme="minorHAnsi"/>
          <w:shd w:val="clear" w:color="auto" w:fill="FFFFFF"/>
        </w:rPr>
        <w:t xml:space="preserve">the </w:t>
      </w:r>
      <w:r w:rsidR="000217F8" w:rsidRPr="007A5281">
        <w:rPr>
          <w:rFonts w:cstheme="minorHAnsi"/>
          <w:shd w:val="clear" w:color="auto" w:fill="FFFFFF"/>
        </w:rPr>
        <w:t>‘MPOWERR’</w:t>
      </w:r>
      <w:r w:rsidR="00962AED">
        <w:rPr>
          <w:rFonts w:cstheme="minorHAnsi"/>
          <w:shd w:val="clear" w:color="auto" w:fill="FFFFFF"/>
        </w:rPr>
        <w:t xml:space="preserve"> tool</w:t>
      </w:r>
      <w:r w:rsidR="00270B60">
        <w:rPr>
          <w:rFonts w:cstheme="minorHAnsi"/>
          <w:shd w:val="clear" w:color="auto" w:fill="FFFFFF"/>
        </w:rPr>
        <w:t xml:space="preserve"> </w:t>
      </w:r>
      <w:r w:rsidR="00270B60">
        <w:rPr>
          <w:rFonts w:cstheme="minorHAnsi"/>
        </w:rPr>
        <w:t>[8</w:t>
      </w:r>
      <w:r w:rsidR="008C4C4E">
        <w:rPr>
          <w:rFonts w:cstheme="minorHAnsi"/>
        </w:rPr>
        <w:t>9</w:t>
      </w:r>
      <w:r w:rsidR="00270B60">
        <w:rPr>
          <w:rFonts w:cstheme="minorHAnsi"/>
        </w:rPr>
        <w:t>]</w:t>
      </w:r>
      <w:r w:rsidR="00962AED">
        <w:rPr>
          <w:rFonts w:cstheme="minorHAnsi"/>
        </w:rPr>
        <w:t xml:space="preserve"> c</w:t>
      </w:r>
      <w:r w:rsidR="000217F8" w:rsidRPr="004F3CBD">
        <w:rPr>
          <w:rFonts w:cstheme="minorHAnsi"/>
        </w:rPr>
        <w:t>overing marketing, advertising, sponsorship, and planning provisions</w:t>
      </w:r>
      <w:r w:rsidR="000217F8" w:rsidRPr="004F3CBD">
        <w:rPr>
          <w:rFonts w:cstheme="minorHAnsi"/>
          <w:shd w:val="clear" w:color="auto" w:fill="FFFFFF"/>
        </w:rPr>
        <w:t xml:space="preserve">. </w:t>
      </w:r>
      <w:r w:rsidR="00EA152A" w:rsidRPr="004F3CBD">
        <w:t>Guidance</w:t>
      </w:r>
      <w:r w:rsidR="000217F8" w:rsidRPr="004F3CBD">
        <w:t xml:space="preserve"> </w:t>
      </w:r>
      <w:r w:rsidR="00110A59" w:rsidRPr="004F3CBD">
        <w:t xml:space="preserve">that </w:t>
      </w:r>
      <w:r w:rsidR="00D334A0" w:rsidRPr="004F3CBD">
        <w:t>incorporates</w:t>
      </w:r>
      <w:r w:rsidR="00110A59" w:rsidRPr="004F3CBD">
        <w:t xml:space="preserve"> a </w:t>
      </w:r>
      <w:r w:rsidR="00D334A0" w:rsidRPr="004F3CBD">
        <w:t xml:space="preserve">LA perspective, </w:t>
      </w:r>
      <w:r w:rsidR="00110A59" w:rsidRPr="004F3CBD">
        <w:t>could ensure that LAs interact with HCIs in a way that</w:t>
      </w:r>
      <w:r w:rsidR="00111E56" w:rsidRPr="004F3CBD">
        <w:t xml:space="preserve"> optimises business opportunities whilst</w:t>
      </w:r>
      <w:r w:rsidR="00110A59" w:rsidRPr="004F3CBD">
        <w:t xml:space="preserve"> </w:t>
      </w:r>
      <w:r w:rsidR="00440499" w:rsidRPr="004F3CBD">
        <w:t>protect</w:t>
      </w:r>
      <w:r w:rsidR="00111E56" w:rsidRPr="004F3CBD">
        <w:t>ing</w:t>
      </w:r>
      <w:r w:rsidR="00110A59" w:rsidRPr="004F3CBD">
        <w:t xml:space="preserve"> p</w:t>
      </w:r>
      <w:r w:rsidR="00E40E42">
        <w:t>opulation</w:t>
      </w:r>
      <w:r w:rsidR="00110A59" w:rsidRPr="004F3CBD">
        <w:t xml:space="preserve"> </w:t>
      </w:r>
      <w:r w:rsidR="000217F8" w:rsidRPr="004F3CBD">
        <w:t>health,</w:t>
      </w:r>
      <w:r w:rsidR="000E5888" w:rsidRPr="004F3CBD">
        <w:t xml:space="preserve"> </w:t>
      </w:r>
      <w:r w:rsidR="00111E56" w:rsidRPr="004F3CBD">
        <w:t xml:space="preserve">and </w:t>
      </w:r>
      <w:r w:rsidR="000E5888" w:rsidRPr="004F3CBD">
        <w:t>avoid</w:t>
      </w:r>
      <w:r w:rsidR="00111E56" w:rsidRPr="004F3CBD">
        <w:t>ing</w:t>
      </w:r>
      <w:r w:rsidR="000E5888" w:rsidRPr="004F3CBD">
        <w:t xml:space="preserve"> reputational risks</w:t>
      </w:r>
      <w:r w:rsidR="00110A59" w:rsidRPr="004F3CBD">
        <w:t xml:space="preserve">. </w:t>
      </w:r>
    </w:p>
    <w:p w14:paraId="41B2ED1C" w14:textId="779E0882" w:rsidR="00131564" w:rsidRPr="004F3CBD" w:rsidRDefault="00131564" w:rsidP="00055E1C">
      <w:pPr>
        <w:jc w:val="both"/>
      </w:pPr>
      <w:r w:rsidRPr="004F3CBD">
        <w:rPr>
          <w:b/>
          <w:bCs/>
        </w:rPr>
        <w:t>C</w:t>
      </w:r>
      <w:r w:rsidR="0046335A" w:rsidRPr="004F3CBD">
        <w:rPr>
          <w:b/>
          <w:bCs/>
        </w:rPr>
        <w:t>ONCLUSION</w:t>
      </w:r>
    </w:p>
    <w:p w14:paraId="0D45881C" w14:textId="6BD68399" w:rsidR="004C4CB7" w:rsidRDefault="00E4326A" w:rsidP="00E4326A">
      <w:pPr>
        <w:jc w:val="both"/>
      </w:pPr>
      <w:r w:rsidRPr="004F3CBD">
        <w:t>This study describes</w:t>
      </w:r>
      <w:r w:rsidR="00FF4477" w:rsidRPr="004F3CBD">
        <w:t xml:space="preserve"> the development of a typology, drawn from</w:t>
      </w:r>
      <w:r w:rsidR="00184149" w:rsidRPr="004F3CBD">
        <w:t xml:space="preserve"> a</w:t>
      </w:r>
      <w:r w:rsidRPr="004F3CBD">
        <w:t xml:space="preserve"> synthesis of the </w:t>
      </w:r>
      <w:r w:rsidR="00FF4477" w:rsidRPr="004F3CBD">
        <w:t>well-established academic literature in combination with local</w:t>
      </w:r>
      <w:r w:rsidR="00AD14D4" w:rsidRPr="004F3CBD">
        <w:t>-</w:t>
      </w:r>
      <w:r w:rsidR="00FF4477" w:rsidRPr="004F3CBD">
        <w:t xml:space="preserve">level evidence. Our typology </w:t>
      </w:r>
      <w:r w:rsidRPr="004F3CBD">
        <w:t>provides a</w:t>
      </w:r>
      <w:r w:rsidR="00FF4477" w:rsidRPr="004F3CBD">
        <w:t xml:space="preserve">n overview of the </w:t>
      </w:r>
      <w:r w:rsidRPr="004F3CBD">
        <w:t xml:space="preserve">potential interactions between </w:t>
      </w:r>
      <w:r w:rsidR="004D771A" w:rsidRPr="004F3CBD">
        <w:t>HCIs</w:t>
      </w:r>
      <w:r w:rsidRPr="004F3CBD">
        <w:t xml:space="preserve"> and </w:t>
      </w:r>
      <w:r w:rsidR="00184149" w:rsidRPr="004F3CBD">
        <w:t>LAs</w:t>
      </w:r>
      <w:r w:rsidRPr="004F3CBD">
        <w:t xml:space="preserve">. The typology can facilitate </w:t>
      </w:r>
      <w:r w:rsidR="00FF4477" w:rsidRPr="004F3CBD">
        <w:t xml:space="preserve">new </w:t>
      </w:r>
      <w:r w:rsidRPr="004F3CBD">
        <w:t xml:space="preserve">understanding </w:t>
      </w:r>
      <w:r w:rsidR="00FF4477" w:rsidRPr="004F3CBD">
        <w:t xml:space="preserve">that </w:t>
      </w:r>
      <w:r w:rsidR="00D334A0" w:rsidRPr="004F3CBD">
        <w:t>explores the LA perspective of</w:t>
      </w:r>
      <w:r w:rsidR="00590412" w:rsidRPr="004F3CBD">
        <w:t xml:space="preserve"> </w:t>
      </w:r>
      <w:r w:rsidR="00FF79FA" w:rsidRPr="004F3CBD">
        <w:t xml:space="preserve">interactions with </w:t>
      </w:r>
      <w:r w:rsidR="00567F9D" w:rsidRPr="004F3CBD">
        <w:t>HCIs</w:t>
      </w:r>
      <w:r w:rsidR="00D334A0" w:rsidRPr="004F3CBD">
        <w:t>,</w:t>
      </w:r>
      <w:r w:rsidR="00FF79FA" w:rsidRPr="004F3CBD">
        <w:t xml:space="preserve"> </w:t>
      </w:r>
      <w:r w:rsidR="00FF4477" w:rsidRPr="004F3CBD">
        <w:t>to support</w:t>
      </w:r>
      <w:r w:rsidRPr="004F3CBD">
        <w:t xml:space="preserve"> LA policy and decision-makers, in and </w:t>
      </w:r>
      <w:r w:rsidRPr="004F3CBD">
        <w:lastRenderedPageBreak/>
        <w:t>out</w:t>
      </w:r>
      <w:r w:rsidR="00FF4477" w:rsidRPr="004F3CBD">
        <w:t>side</w:t>
      </w:r>
      <w:r w:rsidRPr="004F3CBD">
        <w:t xml:space="preserve"> of public health</w:t>
      </w:r>
      <w:r w:rsidR="00FF79FA" w:rsidRPr="004F3CBD">
        <w:t>.</w:t>
      </w:r>
      <w:r w:rsidRPr="004F3CBD">
        <w:t xml:space="preserve"> Furthermore, the typology </w:t>
      </w:r>
      <w:r w:rsidR="00CC0CE7" w:rsidRPr="004F3CBD">
        <w:t xml:space="preserve">should serve as a platform </w:t>
      </w:r>
      <w:r w:rsidR="00FF79FA" w:rsidRPr="004F3CBD">
        <w:t xml:space="preserve">for future research </w:t>
      </w:r>
      <w:r w:rsidR="00CC0CE7" w:rsidRPr="004F3CBD">
        <w:t xml:space="preserve">to build </w:t>
      </w:r>
      <w:r w:rsidR="00FF79FA" w:rsidRPr="004F3CBD">
        <w:t>up</w:t>
      </w:r>
      <w:r w:rsidR="00CC0CE7" w:rsidRPr="004F3CBD">
        <w:t>on</w:t>
      </w:r>
      <w:r w:rsidRPr="004F3CBD">
        <w:t>,</w:t>
      </w:r>
      <w:r w:rsidR="00184149" w:rsidRPr="004F3CBD">
        <w:t xml:space="preserve"> as a practical approach to </w:t>
      </w:r>
      <w:r w:rsidR="009E3EB7" w:rsidRPr="004F3CBD">
        <w:t>curtail</w:t>
      </w:r>
      <w:r w:rsidR="00184149" w:rsidRPr="004F3CBD">
        <w:t xml:space="preserve"> the CD</w:t>
      </w:r>
      <w:r w:rsidR="00A964FB" w:rsidRPr="004F3CBD">
        <w:t>o</w:t>
      </w:r>
      <w:r w:rsidR="00184149" w:rsidRPr="004F3CBD">
        <w:t>H</w:t>
      </w:r>
      <w:r w:rsidR="00184149">
        <w:t xml:space="preserve">-NCD </w:t>
      </w:r>
      <w:r w:rsidR="002078DC">
        <w:t>pan</w:t>
      </w:r>
      <w:r w:rsidR="00184149">
        <w:t>demic</w:t>
      </w:r>
      <w:r w:rsidR="005A53F7">
        <w:t>,</w:t>
      </w:r>
      <w:r w:rsidR="00432980">
        <w:t xml:space="preserve"> and further supplement national level NCD policy actions (e.g. obesity strategy)</w:t>
      </w:r>
      <w:r w:rsidR="00EC7557">
        <w:t xml:space="preserve">, </w:t>
      </w:r>
      <w:r w:rsidR="00184149">
        <w:t xml:space="preserve">by </w:t>
      </w:r>
      <w:r w:rsidR="00EC7557">
        <w:t>focusing on</w:t>
      </w:r>
      <w:r>
        <w:t xml:space="preserve"> </w:t>
      </w:r>
      <w:r w:rsidR="002F1007">
        <w:t xml:space="preserve">HCI </w:t>
      </w:r>
      <w:r w:rsidR="00567F9D">
        <w:t xml:space="preserve">and </w:t>
      </w:r>
      <w:r w:rsidR="00A726AE">
        <w:t>LA interactions</w:t>
      </w:r>
      <w:r w:rsidR="00432980">
        <w:t>.</w:t>
      </w:r>
    </w:p>
    <w:p w14:paraId="2145E8E3" w14:textId="36E1421B" w:rsidR="00FE14A0" w:rsidRDefault="00E92F7E" w:rsidP="00FE14A0">
      <w:pPr>
        <w:jc w:val="both"/>
        <w:rPr>
          <w:rFonts w:cstheme="minorHAnsi"/>
          <w:b/>
          <w:bCs/>
        </w:rPr>
      </w:pPr>
      <w:r>
        <w:rPr>
          <w:rFonts w:cstheme="minorHAnsi"/>
          <w:b/>
          <w:bCs/>
        </w:rPr>
        <w:t>Funding</w:t>
      </w:r>
    </w:p>
    <w:p w14:paraId="11BA6A59" w14:textId="1F368540" w:rsidR="009E3EB7" w:rsidRPr="00374789" w:rsidRDefault="000C2102" w:rsidP="00FE14A0">
      <w:pPr>
        <w:jc w:val="both"/>
        <w:rPr>
          <w:rFonts w:cstheme="minorHAnsi"/>
        </w:rPr>
      </w:pPr>
      <w:r>
        <w:rPr>
          <w:rFonts w:ascii="Calibri" w:hAnsi="Calibri" w:cs="Calibri"/>
          <w:color w:val="000000"/>
          <w:shd w:val="clear" w:color="auto" w:fill="FFFFFF"/>
        </w:rPr>
        <w:t xml:space="preserve">This study </w:t>
      </w:r>
      <w:r w:rsidR="008E784A">
        <w:rPr>
          <w:rFonts w:ascii="Calibri" w:hAnsi="Calibri" w:cs="Calibri"/>
          <w:color w:val="000000"/>
          <w:shd w:val="clear" w:color="auto" w:fill="FFFFFF"/>
        </w:rPr>
        <w:t>wa</w:t>
      </w:r>
      <w:r>
        <w:rPr>
          <w:rFonts w:ascii="Calibri" w:hAnsi="Calibri" w:cs="Calibri"/>
          <w:color w:val="000000"/>
          <w:shd w:val="clear" w:color="auto" w:fill="FFFFFF"/>
        </w:rPr>
        <w:t xml:space="preserve">s funded by the National Institute for Health Research (NIHR) School for Public Health Research (SPHR), </w:t>
      </w:r>
      <w:r w:rsidRPr="00DD3937">
        <w:rPr>
          <w:rFonts w:ascii="Calibri" w:hAnsi="Calibri" w:cs="Calibri"/>
          <w:shd w:val="clear" w:color="auto" w:fill="FFFFFF"/>
        </w:rPr>
        <w:t>Grant Reference Number PD-SPH-2015.</w:t>
      </w:r>
      <w:r w:rsidR="00FE14A0" w:rsidRPr="00DD3937">
        <w:rPr>
          <w:rFonts w:cstheme="minorHAnsi"/>
        </w:rPr>
        <w:t xml:space="preserve"> </w:t>
      </w:r>
      <w:r w:rsidR="00432980" w:rsidRPr="00DD3937">
        <w:rPr>
          <w:rFonts w:cstheme="minorHAnsi"/>
        </w:rPr>
        <w:t>CJs salary is part funded by Public Health at Westminster City Council and the Royal Borough of Kensington and Chelsea</w:t>
      </w:r>
      <w:r w:rsidR="00915613">
        <w:rPr>
          <w:rFonts w:cstheme="minorHAnsi"/>
        </w:rPr>
        <w:t xml:space="preserve"> and supported in part by the </w:t>
      </w:r>
      <w:r w:rsidR="00915613" w:rsidRPr="00915613">
        <w:rPr>
          <w:rFonts w:cstheme="minorHAnsi"/>
        </w:rPr>
        <w:t>Northwest London NIHR Applied Research Collaborative. Imperial College London is grateful for support from the Northwest London NIHR Applied Research Collaborative and the Imperial NIHR Biomedical Research Centre. The views expressed in this article are those of the authors and not necessarily those of the NIHR or the Department of Health and Social Care</w:t>
      </w:r>
      <w:r w:rsidR="00432980" w:rsidRPr="00DD3937">
        <w:rPr>
          <w:rFonts w:cstheme="minorHAnsi"/>
        </w:rPr>
        <w:t>.</w:t>
      </w:r>
      <w:r w:rsidR="00A0368A">
        <w:rPr>
          <w:rFonts w:cstheme="minorHAnsi"/>
        </w:rPr>
        <w:t xml:space="preserve"> MW is </w:t>
      </w:r>
      <w:r w:rsidR="00A0368A" w:rsidRPr="00374789">
        <w:rPr>
          <w:rFonts w:cstheme="minorHAnsi"/>
        </w:rPr>
        <w:t>supported by the MRC Epidemiology Unit, University of Cambridge [grant number MC/UU/00006/7].</w:t>
      </w:r>
    </w:p>
    <w:p w14:paraId="000B5413" w14:textId="77777777" w:rsidR="00E92F7E" w:rsidRDefault="00E92F7E" w:rsidP="004C4CB7">
      <w:pPr>
        <w:jc w:val="both"/>
        <w:rPr>
          <w:rFonts w:cstheme="minorHAnsi"/>
          <w:b/>
          <w:bCs/>
        </w:rPr>
      </w:pPr>
      <w:r>
        <w:rPr>
          <w:rFonts w:cstheme="minorHAnsi"/>
          <w:b/>
          <w:bCs/>
        </w:rPr>
        <w:t>Contributions</w:t>
      </w:r>
    </w:p>
    <w:p w14:paraId="2139D520" w14:textId="4DAF8510" w:rsidR="0069367A" w:rsidRPr="00EE4AC5" w:rsidRDefault="0069367A" w:rsidP="0069367A">
      <w:pPr>
        <w:jc w:val="both"/>
        <w:rPr>
          <w:rFonts w:cstheme="minorHAnsi"/>
        </w:rPr>
      </w:pPr>
      <w:r>
        <w:rPr>
          <w:rFonts w:cstheme="minorHAnsi"/>
        </w:rPr>
        <w:t>All authors (SM</w:t>
      </w:r>
      <w:r w:rsidR="004C3F6E">
        <w:rPr>
          <w:rFonts w:cstheme="minorHAnsi"/>
        </w:rPr>
        <w:t>,</w:t>
      </w:r>
      <w:r>
        <w:rPr>
          <w:rFonts w:cstheme="minorHAnsi"/>
        </w:rPr>
        <w:t xml:space="preserve"> EV</w:t>
      </w:r>
      <w:r w:rsidR="004C3F6E">
        <w:rPr>
          <w:rFonts w:cstheme="minorHAnsi"/>
        </w:rPr>
        <w:t>,</w:t>
      </w:r>
      <w:r>
        <w:rPr>
          <w:rFonts w:cstheme="minorHAnsi"/>
        </w:rPr>
        <w:t xml:space="preserve"> MW</w:t>
      </w:r>
      <w:r w:rsidR="004C3F6E">
        <w:rPr>
          <w:rFonts w:cstheme="minorHAnsi"/>
        </w:rPr>
        <w:t>,</w:t>
      </w:r>
      <w:r>
        <w:rPr>
          <w:rFonts w:cstheme="minorHAnsi"/>
        </w:rPr>
        <w:t xml:space="preserve"> MP</w:t>
      </w:r>
      <w:r w:rsidR="004C3F6E">
        <w:rPr>
          <w:rFonts w:cstheme="minorHAnsi"/>
        </w:rPr>
        <w:t>,</w:t>
      </w:r>
      <w:r>
        <w:rPr>
          <w:rFonts w:cstheme="minorHAnsi"/>
        </w:rPr>
        <w:t xml:space="preserve"> CS</w:t>
      </w:r>
      <w:r w:rsidR="004C3F6E">
        <w:rPr>
          <w:rFonts w:cstheme="minorHAnsi"/>
        </w:rPr>
        <w:t>,</w:t>
      </w:r>
      <w:r>
        <w:rPr>
          <w:rFonts w:cstheme="minorHAnsi"/>
        </w:rPr>
        <w:t xml:space="preserve"> MV</w:t>
      </w:r>
      <w:r w:rsidR="004C3F6E">
        <w:rPr>
          <w:rFonts w:cstheme="minorHAnsi"/>
        </w:rPr>
        <w:t>,</w:t>
      </w:r>
      <w:r>
        <w:rPr>
          <w:rFonts w:cstheme="minorHAnsi"/>
        </w:rPr>
        <w:t xml:space="preserve"> EB</w:t>
      </w:r>
      <w:r w:rsidR="004C3F6E">
        <w:rPr>
          <w:rFonts w:cstheme="minorHAnsi"/>
        </w:rPr>
        <w:t>,</w:t>
      </w:r>
      <w:r>
        <w:rPr>
          <w:rFonts w:cstheme="minorHAnsi"/>
        </w:rPr>
        <w:t xml:space="preserve"> SC</w:t>
      </w:r>
      <w:r w:rsidR="004C3F6E">
        <w:rPr>
          <w:rFonts w:cstheme="minorHAnsi"/>
        </w:rPr>
        <w:t>,</w:t>
      </w:r>
      <w:r>
        <w:rPr>
          <w:rFonts w:cstheme="minorHAnsi"/>
        </w:rPr>
        <w:t xml:space="preserve"> AL</w:t>
      </w:r>
      <w:r w:rsidR="004C3F6E">
        <w:rPr>
          <w:rFonts w:cstheme="minorHAnsi"/>
        </w:rPr>
        <w:t>,</w:t>
      </w:r>
      <w:r>
        <w:rPr>
          <w:rFonts w:cstheme="minorHAnsi"/>
        </w:rPr>
        <w:t xml:space="preserve"> CJ</w:t>
      </w:r>
      <w:r w:rsidR="004C3F6E">
        <w:rPr>
          <w:rFonts w:cstheme="minorHAnsi"/>
        </w:rPr>
        <w:t>,</w:t>
      </w:r>
      <w:r>
        <w:rPr>
          <w:rFonts w:cstheme="minorHAnsi"/>
        </w:rPr>
        <w:t xml:space="preserve"> CM</w:t>
      </w:r>
      <w:r w:rsidR="004C3F6E">
        <w:rPr>
          <w:rFonts w:cstheme="minorHAnsi"/>
        </w:rPr>
        <w:t>,</w:t>
      </w:r>
      <w:r>
        <w:rPr>
          <w:rFonts w:cstheme="minorHAnsi"/>
        </w:rPr>
        <w:t xml:space="preserve"> FDV</w:t>
      </w:r>
      <w:r w:rsidR="004C3F6E">
        <w:rPr>
          <w:rFonts w:cstheme="minorHAnsi"/>
        </w:rPr>
        <w:t>,</w:t>
      </w:r>
      <w:r>
        <w:rPr>
          <w:rFonts w:cstheme="minorHAnsi"/>
        </w:rPr>
        <w:t xml:space="preserve"> EH) contributed to the development of the research concept and methods.</w:t>
      </w:r>
      <w:r w:rsidR="004C4CB7">
        <w:rPr>
          <w:rFonts w:cstheme="minorHAnsi"/>
        </w:rPr>
        <w:t xml:space="preserve"> SM led data collection, </w:t>
      </w:r>
      <w:r w:rsidR="00E92F7E">
        <w:rPr>
          <w:rFonts w:cstheme="minorHAnsi"/>
        </w:rPr>
        <w:t>analysis and writing of the manuscript. EV supported in the review process.</w:t>
      </w:r>
      <w:r>
        <w:rPr>
          <w:rFonts w:cstheme="minorHAnsi"/>
        </w:rPr>
        <w:t xml:space="preserve"> All authors contributed to data interpretation. </w:t>
      </w:r>
      <w:r w:rsidR="004C4CB7">
        <w:rPr>
          <w:rFonts w:cstheme="minorHAnsi"/>
        </w:rPr>
        <w:t>All authors</w:t>
      </w:r>
      <w:r w:rsidR="00E92F7E">
        <w:rPr>
          <w:rFonts w:cstheme="minorHAnsi"/>
        </w:rPr>
        <w:t xml:space="preserve"> contributed to the editing</w:t>
      </w:r>
      <w:r w:rsidR="004C4CB7">
        <w:rPr>
          <w:rFonts w:cstheme="minorHAnsi"/>
        </w:rPr>
        <w:t xml:space="preserve"> of the manuscript </w:t>
      </w:r>
      <w:r w:rsidR="00AD14D4">
        <w:rPr>
          <w:rFonts w:cstheme="minorHAnsi"/>
        </w:rPr>
        <w:t>before</w:t>
      </w:r>
      <w:r w:rsidR="004C4CB7">
        <w:rPr>
          <w:rFonts w:cstheme="minorHAnsi"/>
        </w:rPr>
        <w:t xml:space="preserve"> publication. </w:t>
      </w:r>
      <w:r w:rsidR="00080E68">
        <w:rPr>
          <w:rFonts w:cstheme="minorHAnsi"/>
        </w:rPr>
        <w:t xml:space="preserve"> </w:t>
      </w:r>
      <w:r w:rsidR="004C3F6E">
        <w:rPr>
          <w:rFonts w:cstheme="minorHAnsi"/>
        </w:rPr>
        <w:t xml:space="preserve">SM </w:t>
      </w:r>
      <w:r w:rsidR="004C3F6E" w:rsidRPr="004C3F6E">
        <w:rPr>
          <w:rFonts w:cstheme="minorHAnsi"/>
        </w:rPr>
        <w:t>accepts full responsibility for the finished work and the conduct of the study</w:t>
      </w:r>
      <w:r w:rsidR="004C3F6E">
        <w:rPr>
          <w:rFonts w:cstheme="minorHAnsi"/>
        </w:rPr>
        <w:t xml:space="preserve">. </w:t>
      </w:r>
      <w:r>
        <w:rPr>
          <w:rFonts w:cstheme="minorHAnsi"/>
        </w:rPr>
        <w:t xml:space="preserve">The authors would like to </w:t>
      </w:r>
      <w:r w:rsidR="004C3F6E">
        <w:rPr>
          <w:rFonts w:cstheme="minorHAnsi"/>
        </w:rPr>
        <w:t>acknowledge the contributions of</w:t>
      </w:r>
      <w:r w:rsidR="00E02073">
        <w:rPr>
          <w:rFonts w:cstheme="minorHAnsi"/>
        </w:rPr>
        <w:t xml:space="preserve"> </w:t>
      </w:r>
      <w:r w:rsidR="004C3F6E">
        <w:rPr>
          <w:rFonts w:cstheme="minorHAnsi"/>
        </w:rPr>
        <w:t xml:space="preserve">Eugene Milne, </w:t>
      </w:r>
      <w:r>
        <w:rPr>
          <w:rFonts w:cstheme="minorHAnsi"/>
        </w:rPr>
        <w:t>Karen Lock, Felix Greaves,</w:t>
      </w:r>
      <w:r w:rsidR="00B35B23">
        <w:rPr>
          <w:rFonts w:cstheme="minorHAnsi"/>
        </w:rPr>
        <w:t xml:space="preserve"> and</w:t>
      </w:r>
      <w:r>
        <w:rPr>
          <w:rFonts w:cstheme="minorHAnsi"/>
        </w:rPr>
        <w:t xml:space="preserve"> Vanessa </w:t>
      </w:r>
      <w:r w:rsidR="004C3F6E">
        <w:rPr>
          <w:rFonts w:cstheme="minorHAnsi"/>
        </w:rPr>
        <w:t>Er</w:t>
      </w:r>
      <w:r w:rsidR="00B35B23">
        <w:rPr>
          <w:rFonts w:cstheme="minorHAnsi"/>
        </w:rPr>
        <w:t xml:space="preserve"> </w:t>
      </w:r>
      <w:r w:rsidR="004C3F6E">
        <w:rPr>
          <w:rFonts w:cstheme="minorHAnsi"/>
        </w:rPr>
        <w:t xml:space="preserve">to the development of the research concept and discussions. </w:t>
      </w:r>
      <w:r>
        <w:rPr>
          <w:rFonts w:cstheme="minorHAnsi"/>
        </w:rPr>
        <w:t xml:space="preserve">We thank our public collaborators who assisted as research volunteers throughout the research process, including the methodological planning, and consultation of the research appropriateness and relevance. These </w:t>
      </w:r>
      <w:r w:rsidR="00221342">
        <w:rPr>
          <w:rFonts w:cstheme="minorHAnsi"/>
        </w:rPr>
        <w:t>were</w:t>
      </w:r>
      <w:r>
        <w:rPr>
          <w:rFonts w:cstheme="minorHAnsi"/>
        </w:rPr>
        <w:t xml:space="preserve"> Mike Etkind, Maisie McKenzie, Sandra Jayacodi, Prisha </w:t>
      </w:r>
      <w:r w:rsidR="000E682E">
        <w:rPr>
          <w:rFonts w:cstheme="minorHAnsi"/>
        </w:rPr>
        <w:t>Shah,</w:t>
      </w:r>
      <w:r>
        <w:rPr>
          <w:rFonts w:cstheme="minorHAnsi"/>
        </w:rPr>
        <w:t xml:space="preserve"> and Deborah Smith. </w:t>
      </w:r>
    </w:p>
    <w:p w14:paraId="7850808C" w14:textId="07F6499B" w:rsidR="00FE14A0" w:rsidRDefault="00FE14A0" w:rsidP="004C4CB7">
      <w:pPr>
        <w:jc w:val="both"/>
        <w:rPr>
          <w:rFonts w:cstheme="minorHAnsi"/>
          <w:b/>
          <w:bCs/>
        </w:rPr>
      </w:pPr>
      <w:r>
        <w:rPr>
          <w:rFonts w:cstheme="minorHAnsi"/>
          <w:b/>
          <w:bCs/>
        </w:rPr>
        <w:t>Competing interests</w:t>
      </w:r>
    </w:p>
    <w:p w14:paraId="7CEDC9FD" w14:textId="0904F940" w:rsidR="00B47DA9" w:rsidRPr="007C2342" w:rsidRDefault="00FE14A0" w:rsidP="004C4CB7">
      <w:pPr>
        <w:jc w:val="both"/>
        <w:rPr>
          <w:rFonts w:cstheme="minorHAnsi"/>
        </w:rPr>
      </w:pPr>
      <w:r>
        <w:rPr>
          <w:rFonts w:cstheme="minorHAnsi"/>
        </w:rPr>
        <w:t>The authors have nothing to disclose and no competing interests to declare</w:t>
      </w:r>
      <w:r w:rsidR="007C2342">
        <w:rPr>
          <w:rFonts w:cstheme="minorHAnsi"/>
        </w:rPr>
        <w:t xml:space="preserve">. </w:t>
      </w:r>
    </w:p>
    <w:p w14:paraId="0DA5CC8F" w14:textId="77777777" w:rsidR="005A53F7" w:rsidRDefault="005A53F7">
      <w:pPr>
        <w:spacing w:line="259" w:lineRule="auto"/>
        <w:rPr>
          <w:b/>
          <w:bCs/>
        </w:rPr>
      </w:pPr>
      <w:r>
        <w:rPr>
          <w:b/>
          <w:bCs/>
        </w:rPr>
        <w:br w:type="page"/>
      </w:r>
    </w:p>
    <w:p w14:paraId="5482DB4D" w14:textId="53876E78" w:rsidR="00131564" w:rsidRDefault="00131564" w:rsidP="002C3B6A">
      <w:pPr>
        <w:rPr>
          <w:b/>
          <w:bCs/>
        </w:rPr>
      </w:pPr>
      <w:r>
        <w:rPr>
          <w:b/>
          <w:bCs/>
        </w:rPr>
        <w:lastRenderedPageBreak/>
        <w:t xml:space="preserve">References  </w:t>
      </w:r>
    </w:p>
    <w:p w14:paraId="1B5BA8B9" w14:textId="77777777" w:rsidR="00924326" w:rsidRPr="008B7A40" w:rsidRDefault="00924326" w:rsidP="00924326">
      <w:pPr>
        <w:pStyle w:val="ListParagraph"/>
        <w:numPr>
          <w:ilvl w:val="0"/>
          <w:numId w:val="15"/>
        </w:numPr>
        <w:spacing w:line="240" w:lineRule="auto"/>
        <w:ind w:left="0"/>
        <w:rPr>
          <w:rFonts w:cstheme="minorHAnsi"/>
        </w:rPr>
      </w:pPr>
      <w:r w:rsidRPr="008B7A40">
        <w:rPr>
          <w:rFonts w:cstheme="minorHAnsi"/>
        </w:rPr>
        <w:t xml:space="preserve">Moodie R, Stuckler D, Monteiro C, et al. Profits and pandemics: prevention of harmful effects of tobacco, alcohol, and ultra-processed food and drink industries. </w:t>
      </w:r>
      <w:r w:rsidRPr="00801242">
        <w:rPr>
          <w:rFonts w:cstheme="minorHAnsi"/>
          <w:i/>
          <w:iCs/>
        </w:rPr>
        <w:t>Lancet</w:t>
      </w:r>
      <w:r>
        <w:rPr>
          <w:rFonts w:cstheme="minorHAnsi"/>
          <w:i/>
          <w:iCs/>
        </w:rPr>
        <w:t xml:space="preserve"> </w:t>
      </w:r>
      <w:r w:rsidRPr="008B7A40">
        <w:rPr>
          <w:rFonts w:cstheme="minorHAnsi"/>
        </w:rPr>
        <w:t>2013;381(9867):670-9.</w:t>
      </w:r>
    </w:p>
    <w:p w14:paraId="266492BB" w14:textId="77777777" w:rsidR="00924326" w:rsidRPr="008B7A40" w:rsidRDefault="00924326" w:rsidP="00924326">
      <w:pPr>
        <w:pStyle w:val="ListParagraph"/>
        <w:numPr>
          <w:ilvl w:val="0"/>
          <w:numId w:val="15"/>
        </w:numPr>
        <w:spacing w:line="240" w:lineRule="auto"/>
        <w:ind w:left="0"/>
        <w:rPr>
          <w:rFonts w:cstheme="minorHAnsi"/>
        </w:rPr>
      </w:pPr>
      <w:r w:rsidRPr="008B7A40">
        <w:rPr>
          <w:rFonts w:cstheme="minorHAnsi"/>
        </w:rPr>
        <w:t xml:space="preserve">McKee M, Stuckler D. Revisiting the Corporate and Commercial Determinants of Health. </w:t>
      </w:r>
      <w:r w:rsidRPr="003F2581">
        <w:rPr>
          <w:rFonts w:cstheme="minorHAnsi"/>
          <w:i/>
          <w:iCs/>
        </w:rPr>
        <w:t>Am J Public Health</w:t>
      </w:r>
      <w:r>
        <w:rPr>
          <w:rFonts w:cstheme="minorHAnsi"/>
          <w:i/>
          <w:iCs/>
        </w:rPr>
        <w:t xml:space="preserve"> </w:t>
      </w:r>
      <w:r w:rsidRPr="008B7A40">
        <w:rPr>
          <w:rFonts w:cstheme="minorHAnsi"/>
        </w:rPr>
        <w:t>2018;108(9):1167-70.</w:t>
      </w:r>
    </w:p>
    <w:p w14:paraId="7B5DDB62" w14:textId="77777777" w:rsidR="00924326" w:rsidRPr="008B7A40" w:rsidRDefault="00924326" w:rsidP="00924326">
      <w:pPr>
        <w:pStyle w:val="ListParagraph"/>
        <w:numPr>
          <w:ilvl w:val="0"/>
          <w:numId w:val="15"/>
        </w:numPr>
        <w:spacing w:after="0" w:line="240" w:lineRule="auto"/>
        <w:ind w:left="0"/>
        <w:rPr>
          <w:rFonts w:cstheme="minorHAnsi"/>
        </w:rPr>
      </w:pPr>
      <w:r w:rsidRPr="008B7A40">
        <w:rPr>
          <w:rFonts w:cstheme="minorHAnsi"/>
        </w:rPr>
        <w:t>Forouzanfar MH, Afshin A, Alexander LT</w:t>
      </w:r>
      <w:r>
        <w:rPr>
          <w:rFonts w:cstheme="minorHAnsi"/>
        </w:rPr>
        <w:t>, et al</w:t>
      </w:r>
      <w:r w:rsidRPr="008B7A40">
        <w:rPr>
          <w:rFonts w:cstheme="minorHAnsi"/>
        </w:rPr>
        <w:t>.</w:t>
      </w:r>
      <w:r>
        <w:rPr>
          <w:rFonts w:cstheme="minorHAnsi"/>
        </w:rPr>
        <w:t xml:space="preserve"> </w:t>
      </w:r>
      <w:r w:rsidRPr="008B7A40">
        <w:rPr>
          <w:rFonts w:cstheme="minorHAnsi"/>
        </w:rPr>
        <w:t>Global, regional, and national comparative risk assessment of 79 behavioural, environmental and occupational, and metabolic risks or clusters of risks, 1990–2015: a systematic analysis for the Global Burden of Disease Study 2015. </w:t>
      </w:r>
      <w:r w:rsidRPr="008B7A40">
        <w:rPr>
          <w:rFonts w:cstheme="minorHAnsi"/>
          <w:i/>
          <w:iCs/>
        </w:rPr>
        <w:t>The lancet</w:t>
      </w:r>
      <w:r>
        <w:rPr>
          <w:rFonts w:cstheme="minorHAnsi"/>
          <w:i/>
          <w:iCs/>
        </w:rPr>
        <w:t xml:space="preserve"> </w:t>
      </w:r>
      <w:r w:rsidRPr="008B7A40">
        <w:rPr>
          <w:rFonts w:cstheme="minorHAnsi"/>
        </w:rPr>
        <w:t>2016</w:t>
      </w:r>
      <w:r>
        <w:rPr>
          <w:rFonts w:cstheme="minorHAnsi"/>
        </w:rPr>
        <w:t>;</w:t>
      </w:r>
      <w:r w:rsidRPr="008B7A40">
        <w:rPr>
          <w:rFonts w:cstheme="minorHAnsi"/>
        </w:rPr>
        <w:t>388(10053)</w:t>
      </w:r>
      <w:r>
        <w:rPr>
          <w:rFonts w:cstheme="minorHAnsi"/>
        </w:rPr>
        <w:t>:</w:t>
      </w:r>
      <w:r w:rsidRPr="008B7A40">
        <w:rPr>
          <w:rFonts w:cstheme="minorHAnsi"/>
        </w:rPr>
        <w:t>1659-1724.</w:t>
      </w:r>
    </w:p>
    <w:p w14:paraId="5AB63B6E" w14:textId="77777777" w:rsidR="00924326" w:rsidRDefault="00924326" w:rsidP="00924326">
      <w:pPr>
        <w:pStyle w:val="ListParagraph"/>
        <w:numPr>
          <w:ilvl w:val="0"/>
          <w:numId w:val="15"/>
        </w:numPr>
        <w:spacing w:after="0" w:line="240" w:lineRule="auto"/>
        <w:ind w:left="0"/>
        <w:rPr>
          <w:rFonts w:cstheme="minorHAnsi"/>
        </w:rPr>
      </w:pPr>
      <w:r w:rsidRPr="008B7A40">
        <w:rPr>
          <w:rFonts w:cstheme="minorHAnsi"/>
        </w:rPr>
        <w:t>World Health Organization–Noncommunicable Diseases (NCD) Country Profiles.</w:t>
      </w:r>
      <w:r>
        <w:rPr>
          <w:rFonts w:cstheme="minorHAnsi"/>
        </w:rPr>
        <w:t xml:space="preserve"> 2018.</w:t>
      </w:r>
      <w:r w:rsidRPr="008B7A40">
        <w:rPr>
          <w:rFonts w:cstheme="minorHAnsi"/>
        </w:rPr>
        <w:t xml:space="preserve"> Available from: https://www.who.int/nmh/countries/gbr_en.pdf. </w:t>
      </w:r>
    </w:p>
    <w:p w14:paraId="1C12DC7B" w14:textId="77777777" w:rsidR="00924326" w:rsidRPr="008B7A40" w:rsidRDefault="00924326" w:rsidP="00924326">
      <w:pPr>
        <w:pStyle w:val="ListParagraph"/>
        <w:numPr>
          <w:ilvl w:val="0"/>
          <w:numId w:val="15"/>
        </w:numPr>
        <w:spacing w:line="240" w:lineRule="auto"/>
        <w:ind w:left="0"/>
        <w:rPr>
          <w:rFonts w:cstheme="minorHAnsi"/>
        </w:rPr>
      </w:pPr>
      <w:r w:rsidRPr="008B7A40">
        <w:rPr>
          <w:rFonts w:cstheme="minorHAnsi"/>
          <w:shd w:val="clear" w:color="auto" w:fill="FFFFFF"/>
        </w:rPr>
        <w:t>Millar</w:t>
      </w:r>
      <w:r>
        <w:rPr>
          <w:rFonts w:cstheme="minorHAnsi"/>
          <w:shd w:val="clear" w:color="auto" w:fill="FFFFFF"/>
        </w:rPr>
        <w:t xml:space="preserve"> </w:t>
      </w:r>
      <w:r w:rsidRPr="008B7A40">
        <w:rPr>
          <w:rFonts w:cstheme="minorHAnsi"/>
          <w:shd w:val="clear" w:color="auto" w:fill="FFFFFF"/>
        </w:rPr>
        <w:t>JS. The corporate determinants of health: how big business affects our health, and the need for government action! </w:t>
      </w:r>
      <w:r w:rsidRPr="008B7A40">
        <w:rPr>
          <w:rFonts w:cstheme="minorHAnsi"/>
          <w:i/>
          <w:iCs/>
          <w:shd w:val="clear" w:color="auto" w:fill="FFFFFF"/>
        </w:rPr>
        <w:t>Canadian Journal of Public Health</w:t>
      </w:r>
      <w:r>
        <w:rPr>
          <w:rFonts w:cstheme="minorHAnsi"/>
          <w:shd w:val="clear" w:color="auto" w:fill="FFFFFF"/>
        </w:rPr>
        <w:t xml:space="preserve"> </w:t>
      </w:r>
      <w:r w:rsidRPr="008B7A40">
        <w:rPr>
          <w:rFonts w:cstheme="minorHAnsi"/>
          <w:shd w:val="clear" w:color="auto" w:fill="FFFFFF"/>
        </w:rPr>
        <w:t>2013</w:t>
      </w:r>
      <w:r>
        <w:rPr>
          <w:rFonts w:cstheme="minorHAnsi"/>
          <w:shd w:val="clear" w:color="auto" w:fill="FFFFFF"/>
        </w:rPr>
        <w:t>;</w:t>
      </w:r>
      <w:r w:rsidRPr="008B7A40">
        <w:rPr>
          <w:rFonts w:cstheme="minorHAnsi"/>
          <w:i/>
          <w:iCs/>
          <w:shd w:val="clear" w:color="auto" w:fill="FFFFFF"/>
        </w:rPr>
        <w:t>104</w:t>
      </w:r>
      <w:r w:rsidRPr="008B7A40">
        <w:rPr>
          <w:rFonts w:cstheme="minorHAnsi"/>
          <w:shd w:val="clear" w:color="auto" w:fill="FFFFFF"/>
        </w:rPr>
        <w:t>(4)</w:t>
      </w:r>
      <w:r>
        <w:rPr>
          <w:rFonts w:cstheme="minorHAnsi"/>
          <w:shd w:val="clear" w:color="auto" w:fill="FFFFFF"/>
        </w:rPr>
        <w:t>:</w:t>
      </w:r>
      <w:r w:rsidRPr="008B7A40">
        <w:rPr>
          <w:rFonts w:cstheme="minorHAnsi"/>
          <w:shd w:val="clear" w:color="auto" w:fill="FFFFFF"/>
        </w:rPr>
        <w:t>e327-e329.</w:t>
      </w:r>
    </w:p>
    <w:p w14:paraId="1AA11548" w14:textId="77777777" w:rsidR="00924326" w:rsidRPr="008B7A40" w:rsidRDefault="00924326" w:rsidP="00924326">
      <w:pPr>
        <w:pStyle w:val="ListParagraph"/>
        <w:numPr>
          <w:ilvl w:val="0"/>
          <w:numId w:val="15"/>
        </w:numPr>
        <w:spacing w:line="240" w:lineRule="auto"/>
        <w:ind w:left="0"/>
        <w:rPr>
          <w:rFonts w:cstheme="minorHAnsi"/>
        </w:rPr>
      </w:pPr>
      <w:r w:rsidRPr="008B7A40">
        <w:rPr>
          <w:rFonts w:cstheme="minorHAnsi"/>
          <w:shd w:val="clear" w:color="auto" w:fill="FFFFFF"/>
        </w:rPr>
        <w:t>Kickbusch I, Allen L, Franz, C. The commercial determinants of health. </w:t>
      </w:r>
      <w:r w:rsidRPr="008B7A40">
        <w:rPr>
          <w:rFonts w:cstheme="minorHAnsi"/>
          <w:i/>
          <w:iCs/>
          <w:shd w:val="clear" w:color="auto" w:fill="FFFFFF"/>
        </w:rPr>
        <w:t>The Lancet Global Health</w:t>
      </w:r>
      <w:r>
        <w:rPr>
          <w:rFonts w:cstheme="minorHAnsi"/>
          <w:shd w:val="clear" w:color="auto" w:fill="FFFFFF"/>
        </w:rPr>
        <w:t xml:space="preserve"> </w:t>
      </w:r>
      <w:r w:rsidRPr="004E40FC">
        <w:rPr>
          <w:rFonts w:cstheme="minorHAnsi"/>
          <w:shd w:val="clear" w:color="auto" w:fill="FFFFFF"/>
        </w:rPr>
        <w:t>2016;4(12)</w:t>
      </w:r>
      <w:r>
        <w:rPr>
          <w:rFonts w:cstheme="minorHAnsi"/>
          <w:shd w:val="clear" w:color="auto" w:fill="FFFFFF"/>
        </w:rPr>
        <w:t>:</w:t>
      </w:r>
      <w:r w:rsidRPr="004E40FC">
        <w:rPr>
          <w:rFonts w:cstheme="minorHAnsi"/>
          <w:shd w:val="clear" w:color="auto" w:fill="FFFFFF"/>
        </w:rPr>
        <w:t>e895-e896</w:t>
      </w:r>
      <w:r w:rsidRPr="008B7A40">
        <w:rPr>
          <w:rFonts w:cstheme="minorHAnsi"/>
          <w:shd w:val="clear" w:color="auto" w:fill="FFFFFF"/>
        </w:rPr>
        <w:t>.</w:t>
      </w:r>
    </w:p>
    <w:p w14:paraId="30BA2048" w14:textId="77777777" w:rsidR="00924326" w:rsidRPr="008B7A40" w:rsidRDefault="00924326" w:rsidP="00924326">
      <w:pPr>
        <w:pStyle w:val="ListParagraph"/>
        <w:numPr>
          <w:ilvl w:val="0"/>
          <w:numId w:val="15"/>
        </w:numPr>
        <w:spacing w:line="240" w:lineRule="auto"/>
        <w:ind w:left="0"/>
        <w:rPr>
          <w:rFonts w:cstheme="minorHAnsi"/>
        </w:rPr>
      </w:pPr>
      <w:r w:rsidRPr="008B7A40">
        <w:rPr>
          <w:rFonts w:cstheme="minorHAnsi"/>
        </w:rPr>
        <w:t>Stuckler D, McKee M, Ebrahim S,</w:t>
      </w:r>
      <w:r>
        <w:rPr>
          <w:rFonts w:cstheme="minorHAnsi"/>
        </w:rPr>
        <w:t xml:space="preserve"> et al</w:t>
      </w:r>
      <w:r w:rsidRPr="008B7A40">
        <w:rPr>
          <w:rFonts w:cstheme="minorHAnsi"/>
        </w:rPr>
        <w:t xml:space="preserve">. Manufacturing epidemics: the role of global producers in increased consumption of unhealthy commodities including processed foods, alcohol, and tobacco. </w:t>
      </w:r>
      <w:r w:rsidRPr="008B7A40">
        <w:rPr>
          <w:rFonts w:cstheme="minorHAnsi"/>
          <w:i/>
          <w:iCs/>
        </w:rPr>
        <w:t>PLoS Med</w:t>
      </w:r>
      <w:r>
        <w:rPr>
          <w:rFonts w:cstheme="minorHAnsi"/>
          <w:i/>
          <w:iCs/>
        </w:rPr>
        <w:t xml:space="preserve"> </w:t>
      </w:r>
      <w:r w:rsidRPr="008B7A40">
        <w:rPr>
          <w:rFonts w:cstheme="minorHAnsi"/>
        </w:rPr>
        <w:t>2012</w:t>
      </w:r>
      <w:r>
        <w:rPr>
          <w:rFonts w:cstheme="minorHAnsi"/>
        </w:rPr>
        <w:t>;</w:t>
      </w:r>
      <w:r w:rsidRPr="008B7A40">
        <w:rPr>
          <w:rFonts w:cstheme="minorHAnsi"/>
        </w:rPr>
        <w:t>9(6)</w:t>
      </w:r>
      <w:r>
        <w:rPr>
          <w:rFonts w:cstheme="minorHAnsi"/>
        </w:rPr>
        <w:t>:</w:t>
      </w:r>
      <w:r w:rsidRPr="008B7A40">
        <w:rPr>
          <w:rFonts w:cstheme="minorHAnsi"/>
        </w:rPr>
        <w:t>e1001235.</w:t>
      </w:r>
    </w:p>
    <w:p w14:paraId="6F753BAD" w14:textId="77777777" w:rsidR="00924326" w:rsidRPr="008B7A40" w:rsidRDefault="00924326" w:rsidP="00924326">
      <w:pPr>
        <w:pStyle w:val="ListParagraph"/>
        <w:numPr>
          <w:ilvl w:val="0"/>
          <w:numId w:val="15"/>
        </w:numPr>
        <w:spacing w:line="240" w:lineRule="auto"/>
        <w:ind w:left="0"/>
        <w:rPr>
          <w:rFonts w:cstheme="minorHAnsi"/>
        </w:rPr>
      </w:pPr>
      <w:r w:rsidRPr="008B7A40">
        <w:rPr>
          <w:rFonts w:cstheme="minorHAnsi"/>
        </w:rPr>
        <w:t xml:space="preserve">Hastings G. Why corporate power is a public health priority. </w:t>
      </w:r>
      <w:r>
        <w:rPr>
          <w:rFonts w:cstheme="minorHAnsi"/>
          <w:i/>
          <w:iCs/>
        </w:rPr>
        <w:t xml:space="preserve">BMJ </w:t>
      </w:r>
      <w:r w:rsidRPr="008B7A40">
        <w:rPr>
          <w:rFonts w:cstheme="minorHAnsi"/>
        </w:rPr>
        <w:t>2012;345:e5124.</w:t>
      </w:r>
    </w:p>
    <w:p w14:paraId="7F7F4DA9" w14:textId="77777777" w:rsidR="00924326" w:rsidRPr="008B7A40" w:rsidRDefault="00924326" w:rsidP="00924326">
      <w:pPr>
        <w:pStyle w:val="ListParagraph"/>
        <w:numPr>
          <w:ilvl w:val="0"/>
          <w:numId w:val="15"/>
        </w:numPr>
        <w:spacing w:line="240" w:lineRule="auto"/>
        <w:ind w:left="0"/>
        <w:rPr>
          <w:rFonts w:cstheme="minorHAnsi"/>
        </w:rPr>
      </w:pPr>
      <w:r w:rsidRPr="008B7A40">
        <w:rPr>
          <w:rFonts w:cstheme="minorHAnsi"/>
        </w:rPr>
        <w:t>Gilmore AB, Savell E, Collin J.</w:t>
      </w:r>
      <w:r>
        <w:rPr>
          <w:rFonts w:cstheme="minorHAnsi"/>
        </w:rPr>
        <w:t xml:space="preserve"> </w:t>
      </w:r>
      <w:r w:rsidRPr="008B7A40">
        <w:rPr>
          <w:rFonts w:cstheme="minorHAnsi"/>
        </w:rPr>
        <w:t xml:space="preserve">Public health, corporations and the new responsibility deal: promoting partnerships with vectors of disease? </w:t>
      </w:r>
      <w:r w:rsidRPr="008B7A40">
        <w:rPr>
          <w:rFonts w:cstheme="minorHAnsi"/>
          <w:i/>
          <w:iCs/>
        </w:rPr>
        <w:t>Journal of Public Health (Oxf)</w:t>
      </w:r>
      <w:r>
        <w:rPr>
          <w:rFonts w:cstheme="minorHAnsi"/>
          <w:i/>
          <w:iCs/>
        </w:rPr>
        <w:t xml:space="preserve"> </w:t>
      </w:r>
      <w:r>
        <w:rPr>
          <w:rFonts w:cstheme="minorHAnsi"/>
        </w:rPr>
        <w:t>2011;</w:t>
      </w:r>
      <w:r w:rsidRPr="008B7A40">
        <w:rPr>
          <w:rFonts w:cstheme="minorHAnsi"/>
        </w:rPr>
        <w:t>33(1)</w:t>
      </w:r>
      <w:r>
        <w:rPr>
          <w:rFonts w:cstheme="minorHAnsi"/>
        </w:rPr>
        <w:t>:</w:t>
      </w:r>
      <w:r w:rsidRPr="008B7A40">
        <w:rPr>
          <w:rFonts w:cstheme="minorHAnsi"/>
        </w:rPr>
        <w:t>2-4.</w:t>
      </w:r>
    </w:p>
    <w:p w14:paraId="51D3494D" w14:textId="77777777" w:rsidR="00924326" w:rsidRPr="008B7A40" w:rsidRDefault="00924326" w:rsidP="00924326">
      <w:pPr>
        <w:pStyle w:val="ListParagraph"/>
        <w:numPr>
          <w:ilvl w:val="0"/>
          <w:numId w:val="15"/>
        </w:numPr>
        <w:spacing w:line="240" w:lineRule="auto"/>
        <w:ind w:left="0"/>
        <w:rPr>
          <w:rFonts w:cstheme="minorHAnsi"/>
        </w:rPr>
      </w:pPr>
      <w:r w:rsidRPr="008B7A40">
        <w:rPr>
          <w:rFonts w:cstheme="minorHAnsi"/>
        </w:rPr>
        <w:t xml:space="preserve">Bero L. Implications of the tobacco industry documents for public health and policy. </w:t>
      </w:r>
      <w:r w:rsidRPr="008B7A40">
        <w:rPr>
          <w:rFonts w:cstheme="minorHAnsi"/>
          <w:i/>
          <w:iCs/>
        </w:rPr>
        <w:t>Annual Review of Public Health</w:t>
      </w:r>
      <w:r>
        <w:rPr>
          <w:rFonts w:cstheme="minorHAnsi"/>
        </w:rPr>
        <w:t xml:space="preserve"> 2003;</w:t>
      </w:r>
      <w:r w:rsidRPr="008B7A40">
        <w:rPr>
          <w:rFonts w:cstheme="minorHAnsi"/>
        </w:rPr>
        <w:t>24</w:t>
      </w:r>
      <w:r>
        <w:rPr>
          <w:rFonts w:cstheme="minorHAnsi"/>
        </w:rPr>
        <w:t>:</w:t>
      </w:r>
      <w:r w:rsidRPr="008B7A40">
        <w:rPr>
          <w:rFonts w:cstheme="minorHAnsi"/>
        </w:rPr>
        <w:t>267-88.</w:t>
      </w:r>
    </w:p>
    <w:p w14:paraId="31AFE105" w14:textId="77777777" w:rsidR="00924326" w:rsidRPr="008B7A40" w:rsidRDefault="00924326" w:rsidP="00924326">
      <w:pPr>
        <w:pStyle w:val="ListParagraph"/>
        <w:numPr>
          <w:ilvl w:val="0"/>
          <w:numId w:val="15"/>
        </w:numPr>
        <w:spacing w:line="240" w:lineRule="auto"/>
        <w:ind w:left="0"/>
        <w:rPr>
          <w:rFonts w:cstheme="minorHAnsi"/>
        </w:rPr>
      </w:pPr>
      <w:r w:rsidRPr="008B7A40">
        <w:rPr>
          <w:rFonts w:cstheme="minorHAnsi"/>
        </w:rPr>
        <w:t>Miller D, Harkins C.</w:t>
      </w:r>
      <w:r>
        <w:rPr>
          <w:rFonts w:cstheme="minorHAnsi"/>
        </w:rPr>
        <w:t xml:space="preserve"> </w:t>
      </w:r>
      <w:r w:rsidRPr="008B7A40">
        <w:rPr>
          <w:rFonts w:cstheme="minorHAnsi"/>
        </w:rPr>
        <w:t xml:space="preserve">Corporate strategy, corporate capture: Food and alcohol industry lobbying and public health. </w:t>
      </w:r>
      <w:r w:rsidRPr="008B7A40">
        <w:rPr>
          <w:rFonts w:cstheme="minorHAnsi"/>
          <w:i/>
          <w:iCs/>
        </w:rPr>
        <w:t>Critical Social Policy</w:t>
      </w:r>
      <w:r w:rsidRPr="008B7A40">
        <w:rPr>
          <w:rFonts w:cstheme="minorHAnsi"/>
        </w:rPr>
        <w:t xml:space="preserve"> </w:t>
      </w:r>
      <w:r>
        <w:rPr>
          <w:rFonts w:cstheme="minorHAnsi"/>
        </w:rPr>
        <w:t>2010;</w:t>
      </w:r>
      <w:r w:rsidRPr="008B7A40">
        <w:rPr>
          <w:rFonts w:cstheme="minorHAnsi"/>
        </w:rPr>
        <w:t>30(4)</w:t>
      </w:r>
      <w:r>
        <w:rPr>
          <w:rFonts w:cstheme="minorHAnsi"/>
        </w:rPr>
        <w:t>:</w:t>
      </w:r>
      <w:r w:rsidRPr="008B7A40">
        <w:rPr>
          <w:rFonts w:cstheme="minorHAnsi"/>
        </w:rPr>
        <w:t xml:space="preserve">564–589. </w:t>
      </w:r>
    </w:p>
    <w:p w14:paraId="435852AF" w14:textId="77777777" w:rsidR="00924326" w:rsidRPr="008B7A40" w:rsidRDefault="00924326" w:rsidP="00924326">
      <w:pPr>
        <w:pStyle w:val="ListParagraph"/>
        <w:numPr>
          <w:ilvl w:val="0"/>
          <w:numId w:val="15"/>
        </w:numPr>
        <w:spacing w:line="240" w:lineRule="auto"/>
        <w:ind w:left="0"/>
        <w:rPr>
          <w:rFonts w:cstheme="minorHAnsi"/>
        </w:rPr>
      </w:pPr>
      <w:r w:rsidRPr="008B7A40">
        <w:rPr>
          <w:rFonts w:cstheme="minorHAnsi"/>
        </w:rPr>
        <w:t>Orford J.</w:t>
      </w:r>
      <w:r>
        <w:rPr>
          <w:rFonts w:cstheme="minorHAnsi"/>
        </w:rPr>
        <w:t xml:space="preserve"> </w:t>
      </w:r>
      <w:r w:rsidRPr="008B7A40">
        <w:rPr>
          <w:rFonts w:cstheme="minorHAnsi"/>
        </w:rPr>
        <w:t xml:space="preserve">The Gambling Establishment and the Exercise of Power: a Commentary on Hancock and Smith. </w:t>
      </w:r>
      <w:r w:rsidRPr="004E40FC">
        <w:rPr>
          <w:rFonts w:cstheme="minorHAnsi"/>
          <w:i/>
          <w:iCs/>
        </w:rPr>
        <w:t>International Journal of Mental Health Addiction</w:t>
      </w:r>
      <w:r>
        <w:rPr>
          <w:rFonts w:cstheme="minorHAnsi"/>
          <w:i/>
          <w:iCs/>
        </w:rPr>
        <w:t xml:space="preserve"> 2017;</w:t>
      </w:r>
      <w:r w:rsidRPr="008B7A40">
        <w:rPr>
          <w:rFonts w:cstheme="minorHAnsi"/>
        </w:rPr>
        <w:t>15(6)</w:t>
      </w:r>
      <w:r>
        <w:rPr>
          <w:rFonts w:cstheme="minorHAnsi"/>
        </w:rPr>
        <w:t>:</w:t>
      </w:r>
      <w:r w:rsidRPr="008B7A40">
        <w:rPr>
          <w:rFonts w:cstheme="minorHAnsi"/>
        </w:rPr>
        <w:t>1193-6.</w:t>
      </w:r>
    </w:p>
    <w:p w14:paraId="2E68E38F" w14:textId="77777777" w:rsidR="00924326" w:rsidRPr="008B7A40" w:rsidRDefault="00924326" w:rsidP="00924326">
      <w:pPr>
        <w:pStyle w:val="ListParagraph"/>
        <w:numPr>
          <w:ilvl w:val="0"/>
          <w:numId w:val="15"/>
        </w:numPr>
        <w:spacing w:line="240" w:lineRule="auto"/>
        <w:ind w:left="0"/>
        <w:rPr>
          <w:rFonts w:cstheme="minorHAnsi"/>
        </w:rPr>
      </w:pPr>
      <w:r w:rsidRPr="008B7A40">
        <w:rPr>
          <w:rFonts w:cstheme="minorHAnsi"/>
          <w:shd w:val="clear" w:color="auto" w:fill="FFFFFF"/>
        </w:rPr>
        <w:t>Lima JM,</w:t>
      </w:r>
      <w:r>
        <w:rPr>
          <w:rFonts w:cstheme="minorHAnsi"/>
          <w:shd w:val="clear" w:color="auto" w:fill="FFFFFF"/>
        </w:rPr>
        <w:t xml:space="preserve"> </w:t>
      </w:r>
      <w:r w:rsidRPr="008B7A40">
        <w:rPr>
          <w:rFonts w:cstheme="minorHAnsi"/>
          <w:shd w:val="clear" w:color="auto" w:fill="FFFFFF"/>
        </w:rPr>
        <w:t>Galea S.</w:t>
      </w:r>
      <w:r>
        <w:rPr>
          <w:rFonts w:cstheme="minorHAnsi"/>
          <w:shd w:val="clear" w:color="auto" w:fill="FFFFFF"/>
        </w:rPr>
        <w:t xml:space="preserve"> </w:t>
      </w:r>
      <w:r w:rsidRPr="008B7A40">
        <w:rPr>
          <w:rFonts w:cstheme="minorHAnsi"/>
          <w:shd w:val="clear" w:color="auto" w:fill="FFFFFF"/>
        </w:rPr>
        <w:t>Corporate practices and health: a framework and mechanisms. </w:t>
      </w:r>
      <w:r w:rsidRPr="008B7A40">
        <w:rPr>
          <w:rFonts w:cstheme="minorHAnsi"/>
          <w:i/>
          <w:iCs/>
          <w:shd w:val="clear" w:color="auto" w:fill="FFFFFF"/>
        </w:rPr>
        <w:t>Globalization and Health</w:t>
      </w:r>
      <w:r>
        <w:rPr>
          <w:rFonts w:cstheme="minorHAnsi"/>
          <w:shd w:val="clear" w:color="auto" w:fill="FFFFFF"/>
        </w:rPr>
        <w:t xml:space="preserve"> </w:t>
      </w:r>
      <w:r w:rsidRPr="004E40FC">
        <w:rPr>
          <w:rFonts w:cstheme="minorHAnsi"/>
          <w:shd w:val="clear" w:color="auto" w:fill="FFFFFF"/>
        </w:rPr>
        <w:t>2018;14(1):1-12.</w:t>
      </w:r>
    </w:p>
    <w:p w14:paraId="08EEB294" w14:textId="77777777" w:rsidR="00924326" w:rsidRPr="008B7A40" w:rsidRDefault="00924326" w:rsidP="00924326">
      <w:pPr>
        <w:pStyle w:val="ListParagraph"/>
        <w:numPr>
          <w:ilvl w:val="0"/>
          <w:numId w:val="15"/>
        </w:numPr>
        <w:spacing w:line="240" w:lineRule="auto"/>
        <w:ind w:left="0"/>
        <w:rPr>
          <w:rFonts w:cstheme="minorHAnsi"/>
        </w:rPr>
      </w:pPr>
      <w:r w:rsidRPr="009664E8">
        <w:rPr>
          <w:rFonts w:cstheme="minorHAnsi"/>
          <w:shd w:val="clear" w:color="auto" w:fill="FFFFFF"/>
          <w:lang w:val="nl-NL"/>
        </w:rPr>
        <w:t xml:space="preserve">Hoe C, Weiger C, Minosa MKR, et al. </w:t>
      </w:r>
      <w:r w:rsidRPr="008B7A40">
        <w:rPr>
          <w:rFonts w:cstheme="minorHAnsi"/>
          <w:shd w:val="clear" w:color="auto" w:fill="FFFFFF"/>
        </w:rPr>
        <w:t>Strategies to expand corporate autonomy by the tobacco, alcohol and sugar-sweetened beverage industry: a scoping review of reviews. </w:t>
      </w:r>
      <w:r w:rsidRPr="008B7A40">
        <w:rPr>
          <w:rFonts w:cstheme="minorHAnsi"/>
          <w:i/>
          <w:iCs/>
          <w:shd w:val="clear" w:color="auto" w:fill="FFFFFF"/>
        </w:rPr>
        <w:t>Globalization and Health</w:t>
      </w:r>
      <w:r>
        <w:rPr>
          <w:rFonts w:cstheme="minorHAnsi"/>
          <w:shd w:val="clear" w:color="auto" w:fill="FFFFFF"/>
        </w:rPr>
        <w:t xml:space="preserve"> </w:t>
      </w:r>
      <w:r w:rsidRPr="00735533">
        <w:rPr>
          <w:rFonts w:cstheme="minorHAnsi"/>
          <w:shd w:val="clear" w:color="auto" w:fill="FFFFFF"/>
        </w:rPr>
        <w:t>2022;18(1):1</w:t>
      </w:r>
      <w:r w:rsidRPr="008B7A40">
        <w:rPr>
          <w:rFonts w:cstheme="minorHAnsi"/>
          <w:shd w:val="clear" w:color="auto" w:fill="FFFFFF"/>
        </w:rPr>
        <w:t>-13.</w:t>
      </w:r>
    </w:p>
    <w:p w14:paraId="48459222" w14:textId="77777777" w:rsidR="00924326" w:rsidRPr="008B7A40" w:rsidRDefault="00924326" w:rsidP="00924326">
      <w:pPr>
        <w:pStyle w:val="ListParagraph"/>
        <w:numPr>
          <w:ilvl w:val="0"/>
          <w:numId w:val="15"/>
        </w:numPr>
        <w:spacing w:line="240" w:lineRule="auto"/>
        <w:ind w:left="0"/>
        <w:rPr>
          <w:rFonts w:cstheme="minorHAnsi"/>
        </w:rPr>
      </w:pPr>
      <w:r w:rsidRPr="008B7A40">
        <w:rPr>
          <w:rFonts w:cstheme="minorHAnsi"/>
        </w:rPr>
        <w:t>Sacks G, Swinburn BA, Cameron AJ</w:t>
      </w:r>
      <w:r>
        <w:rPr>
          <w:rFonts w:cstheme="minorHAnsi"/>
        </w:rPr>
        <w:t xml:space="preserve">, et al. </w:t>
      </w:r>
      <w:r w:rsidRPr="008B7A40">
        <w:rPr>
          <w:rFonts w:cstheme="minorHAnsi"/>
        </w:rPr>
        <w:t xml:space="preserve">How food companies influence evidence and opinion – straight from the horse’s mouth. </w:t>
      </w:r>
      <w:r w:rsidRPr="00735533">
        <w:rPr>
          <w:rFonts w:cstheme="minorHAnsi"/>
          <w:i/>
          <w:iCs/>
        </w:rPr>
        <w:t>Critical Public Health</w:t>
      </w:r>
      <w:r>
        <w:rPr>
          <w:rFonts w:cstheme="minorHAnsi"/>
        </w:rPr>
        <w:t xml:space="preserve"> 2018;</w:t>
      </w:r>
      <w:r w:rsidRPr="008B7A40">
        <w:rPr>
          <w:rFonts w:cstheme="minorHAnsi"/>
        </w:rPr>
        <w:t>28(2).</w:t>
      </w:r>
    </w:p>
    <w:p w14:paraId="30040F4C" w14:textId="77777777" w:rsidR="00924326" w:rsidRPr="008B7A40" w:rsidRDefault="00924326" w:rsidP="00924326">
      <w:pPr>
        <w:pStyle w:val="ListParagraph"/>
        <w:numPr>
          <w:ilvl w:val="0"/>
          <w:numId w:val="15"/>
        </w:numPr>
        <w:spacing w:line="240" w:lineRule="auto"/>
        <w:ind w:left="0"/>
        <w:rPr>
          <w:rFonts w:cstheme="minorHAnsi"/>
        </w:rPr>
      </w:pPr>
      <w:r w:rsidRPr="008B7A40">
        <w:rPr>
          <w:rFonts w:cstheme="minorHAnsi"/>
        </w:rPr>
        <w:t>World Health Organisation: Opening address at the 8th Global Conference on Health Promotion: Dr Margaret Chan, Director-General of the World Health Organization, 10 June 2013, Helsinki, Finland. Available at: https://www.who.int/dg/speeches/2013/health_promotion_20130610/en/</w:t>
      </w:r>
      <w:r>
        <w:rPr>
          <w:rFonts w:cstheme="minorHAnsi"/>
        </w:rPr>
        <w:t>.</w:t>
      </w:r>
    </w:p>
    <w:p w14:paraId="26CBB47F" w14:textId="77777777" w:rsidR="00924326" w:rsidRPr="008B7A40" w:rsidRDefault="00924326" w:rsidP="00924326">
      <w:pPr>
        <w:pStyle w:val="ListParagraph"/>
        <w:numPr>
          <w:ilvl w:val="0"/>
          <w:numId w:val="15"/>
        </w:numPr>
        <w:spacing w:line="240" w:lineRule="auto"/>
        <w:ind w:left="0"/>
        <w:rPr>
          <w:rFonts w:cstheme="minorHAnsi"/>
        </w:rPr>
      </w:pPr>
      <w:r w:rsidRPr="008B7A40">
        <w:rPr>
          <w:rFonts w:cstheme="minorHAnsi"/>
        </w:rPr>
        <w:t xml:space="preserve">Gornall J. Doctors and the alcohol industry: an unhealthy mix? </w:t>
      </w:r>
      <w:r w:rsidRPr="00735533">
        <w:rPr>
          <w:rFonts w:cstheme="minorHAnsi"/>
          <w:i/>
          <w:iCs/>
        </w:rPr>
        <w:t>BMJ</w:t>
      </w:r>
      <w:r w:rsidRPr="008B7A40">
        <w:rPr>
          <w:rFonts w:cstheme="minorHAnsi"/>
        </w:rPr>
        <w:t xml:space="preserve"> 2013;346:f1889.</w:t>
      </w:r>
    </w:p>
    <w:p w14:paraId="6FD83677" w14:textId="77777777" w:rsidR="00924326" w:rsidRPr="008B7A40" w:rsidRDefault="00924326" w:rsidP="00924326">
      <w:pPr>
        <w:pStyle w:val="ListParagraph"/>
        <w:numPr>
          <w:ilvl w:val="0"/>
          <w:numId w:val="15"/>
        </w:numPr>
        <w:spacing w:line="240" w:lineRule="auto"/>
        <w:ind w:left="0"/>
        <w:rPr>
          <w:rFonts w:cstheme="minorHAnsi"/>
        </w:rPr>
      </w:pPr>
      <w:r w:rsidRPr="008B7A40">
        <w:rPr>
          <w:rFonts w:cstheme="minorHAnsi"/>
        </w:rPr>
        <w:t>Buse K, Tanaka</w:t>
      </w:r>
      <w:r>
        <w:rPr>
          <w:rFonts w:cstheme="minorHAnsi"/>
        </w:rPr>
        <w:t xml:space="preserve"> </w:t>
      </w:r>
      <w:r w:rsidRPr="008B7A40">
        <w:rPr>
          <w:rFonts w:cstheme="minorHAnsi"/>
        </w:rPr>
        <w:t>S, Hawkes S.</w:t>
      </w:r>
      <w:r>
        <w:rPr>
          <w:rFonts w:cstheme="minorHAnsi"/>
        </w:rPr>
        <w:t xml:space="preserve"> </w:t>
      </w:r>
      <w:r w:rsidRPr="008B7A40">
        <w:rPr>
          <w:rFonts w:cstheme="minorHAnsi"/>
        </w:rPr>
        <w:t xml:space="preserve">Healthy people and healthy profits? Elaborating a conceptual framework for governing the commercial determinants of non-communicable diseases and identifying options for reducing risk exposure. </w:t>
      </w:r>
      <w:r w:rsidRPr="008B7A40">
        <w:rPr>
          <w:rFonts w:cstheme="minorHAnsi"/>
          <w:i/>
          <w:iCs/>
        </w:rPr>
        <w:t>Globalization and health</w:t>
      </w:r>
      <w:r>
        <w:rPr>
          <w:rFonts w:cstheme="minorHAnsi"/>
        </w:rPr>
        <w:t xml:space="preserve"> 2017;</w:t>
      </w:r>
      <w:r w:rsidRPr="008B7A40">
        <w:rPr>
          <w:rFonts w:cstheme="minorHAnsi"/>
        </w:rPr>
        <w:t>13(1)</w:t>
      </w:r>
      <w:r>
        <w:rPr>
          <w:rFonts w:cstheme="minorHAnsi"/>
        </w:rPr>
        <w:t>:</w:t>
      </w:r>
      <w:r w:rsidRPr="008B7A40">
        <w:rPr>
          <w:rFonts w:cstheme="minorHAnsi"/>
        </w:rPr>
        <w:t>1-12.</w:t>
      </w:r>
    </w:p>
    <w:p w14:paraId="54AE5443" w14:textId="77777777" w:rsidR="00924326" w:rsidRPr="008B7A40" w:rsidRDefault="00924326" w:rsidP="00924326">
      <w:pPr>
        <w:pStyle w:val="ListParagraph"/>
        <w:numPr>
          <w:ilvl w:val="0"/>
          <w:numId w:val="15"/>
        </w:numPr>
        <w:spacing w:line="240" w:lineRule="auto"/>
        <w:ind w:left="0"/>
        <w:rPr>
          <w:rFonts w:cstheme="minorHAnsi"/>
        </w:rPr>
      </w:pPr>
      <w:r w:rsidRPr="008B7A40">
        <w:rPr>
          <w:rFonts w:cstheme="minorHAnsi"/>
        </w:rPr>
        <w:t>Freudenberg</w:t>
      </w:r>
      <w:r>
        <w:rPr>
          <w:rFonts w:cstheme="minorHAnsi"/>
        </w:rPr>
        <w:t xml:space="preserve"> </w:t>
      </w:r>
      <w:r w:rsidRPr="008B7A40">
        <w:rPr>
          <w:rFonts w:cstheme="minorHAnsi"/>
        </w:rPr>
        <w:t>N, Galea S.</w:t>
      </w:r>
      <w:r>
        <w:rPr>
          <w:rFonts w:cstheme="minorHAnsi"/>
        </w:rPr>
        <w:t xml:space="preserve"> </w:t>
      </w:r>
      <w:r w:rsidRPr="008B7A40">
        <w:rPr>
          <w:rFonts w:cstheme="minorHAnsi"/>
        </w:rPr>
        <w:t xml:space="preserve">The impact of corporate practices on health: implications for health policy. </w:t>
      </w:r>
      <w:r w:rsidRPr="008B7A40">
        <w:rPr>
          <w:rFonts w:cstheme="minorHAnsi"/>
          <w:i/>
          <w:iCs/>
        </w:rPr>
        <w:t>Journal of Public Health Policy</w:t>
      </w:r>
      <w:r>
        <w:rPr>
          <w:rFonts w:cstheme="minorHAnsi"/>
        </w:rPr>
        <w:t xml:space="preserve"> 2008;</w:t>
      </w:r>
      <w:r w:rsidRPr="008B7A40">
        <w:rPr>
          <w:rFonts w:cstheme="minorHAnsi"/>
        </w:rPr>
        <w:t>29</w:t>
      </w:r>
      <w:r>
        <w:rPr>
          <w:rFonts w:cstheme="minorHAnsi"/>
        </w:rPr>
        <w:t>:</w:t>
      </w:r>
      <w:r w:rsidRPr="008B7A40">
        <w:rPr>
          <w:rFonts w:cstheme="minorHAnsi"/>
        </w:rPr>
        <w:t>86–104.</w:t>
      </w:r>
    </w:p>
    <w:p w14:paraId="3EE370DF" w14:textId="77777777" w:rsidR="00924326" w:rsidRPr="008B7A40" w:rsidRDefault="00924326" w:rsidP="00924326">
      <w:pPr>
        <w:pStyle w:val="ListParagraph"/>
        <w:numPr>
          <w:ilvl w:val="0"/>
          <w:numId w:val="15"/>
        </w:numPr>
        <w:spacing w:line="240" w:lineRule="auto"/>
        <w:ind w:left="0"/>
        <w:rPr>
          <w:rFonts w:cstheme="minorHAnsi"/>
        </w:rPr>
      </w:pPr>
      <w:r w:rsidRPr="008B7A40">
        <w:rPr>
          <w:rFonts w:cstheme="minorHAnsi"/>
        </w:rPr>
        <w:t>Jernigan</w:t>
      </w:r>
      <w:r>
        <w:rPr>
          <w:rFonts w:cstheme="minorHAnsi"/>
        </w:rPr>
        <w:t xml:space="preserve"> </w:t>
      </w:r>
      <w:r w:rsidRPr="008B7A40">
        <w:rPr>
          <w:rFonts w:cstheme="minorHAnsi"/>
        </w:rPr>
        <w:t xml:space="preserve">DH. The global alcohol industry: an overview. </w:t>
      </w:r>
      <w:r w:rsidRPr="008B7A40">
        <w:rPr>
          <w:rFonts w:cstheme="minorHAnsi"/>
          <w:i/>
          <w:iCs/>
        </w:rPr>
        <w:t>Addiction</w:t>
      </w:r>
      <w:r>
        <w:rPr>
          <w:rFonts w:cstheme="minorHAnsi"/>
          <w:i/>
          <w:iCs/>
        </w:rPr>
        <w:t xml:space="preserve"> </w:t>
      </w:r>
      <w:r>
        <w:rPr>
          <w:rFonts w:cstheme="minorHAnsi"/>
        </w:rPr>
        <w:t>2009;</w:t>
      </w:r>
      <w:r w:rsidRPr="008B7A40">
        <w:rPr>
          <w:rFonts w:cstheme="minorHAnsi"/>
        </w:rPr>
        <w:t>104</w:t>
      </w:r>
      <w:r>
        <w:rPr>
          <w:rFonts w:cstheme="minorHAnsi"/>
        </w:rPr>
        <w:t>:</w:t>
      </w:r>
      <w:r w:rsidRPr="008B7A40">
        <w:rPr>
          <w:rFonts w:cstheme="minorHAnsi"/>
        </w:rPr>
        <w:t>6-12.</w:t>
      </w:r>
    </w:p>
    <w:p w14:paraId="366DEF62" w14:textId="77777777" w:rsidR="00924326" w:rsidRPr="008B7A40" w:rsidRDefault="00924326" w:rsidP="00924326">
      <w:pPr>
        <w:pStyle w:val="ListParagraph"/>
        <w:numPr>
          <w:ilvl w:val="0"/>
          <w:numId w:val="15"/>
        </w:numPr>
        <w:spacing w:line="240" w:lineRule="auto"/>
        <w:ind w:left="0"/>
        <w:rPr>
          <w:rFonts w:cstheme="minorHAnsi"/>
        </w:rPr>
      </w:pPr>
      <w:r w:rsidRPr="009664E8">
        <w:rPr>
          <w:rFonts w:cstheme="minorHAnsi"/>
          <w:lang w:val="de-DE"/>
        </w:rPr>
        <w:t xml:space="preserve">Baum FE, Sanders DM, Fisher M, et al. </w:t>
      </w:r>
      <w:r w:rsidRPr="008B7A40">
        <w:rPr>
          <w:rFonts w:cstheme="minorHAnsi"/>
        </w:rPr>
        <w:t xml:space="preserve">Assessing the health impact of transnational corporations: its importance and a framework. </w:t>
      </w:r>
      <w:r w:rsidRPr="008B7A40">
        <w:rPr>
          <w:rFonts w:cstheme="minorHAnsi"/>
          <w:i/>
          <w:iCs/>
        </w:rPr>
        <w:t>Globalization and Health</w:t>
      </w:r>
      <w:r w:rsidRPr="008B7A40">
        <w:rPr>
          <w:rFonts w:cstheme="minorHAnsi"/>
        </w:rPr>
        <w:t xml:space="preserve"> </w:t>
      </w:r>
      <w:r>
        <w:rPr>
          <w:rFonts w:cstheme="minorHAnsi"/>
        </w:rPr>
        <w:t>2016;</w:t>
      </w:r>
      <w:r w:rsidRPr="008B7A40">
        <w:rPr>
          <w:rFonts w:cstheme="minorHAnsi"/>
        </w:rPr>
        <w:t>12(1)</w:t>
      </w:r>
      <w:r>
        <w:rPr>
          <w:rFonts w:cstheme="minorHAnsi"/>
        </w:rPr>
        <w:t>:</w:t>
      </w:r>
      <w:r w:rsidRPr="008B7A40">
        <w:rPr>
          <w:rFonts w:cstheme="minorHAnsi"/>
        </w:rPr>
        <w:t>1-7.</w:t>
      </w:r>
    </w:p>
    <w:p w14:paraId="32854A4F" w14:textId="77777777" w:rsidR="00924326" w:rsidRPr="008B7A40" w:rsidRDefault="00924326" w:rsidP="00924326">
      <w:pPr>
        <w:pStyle w:val="ListParagraph"/>
        <w:numPr>
          <w:ilvl w:val="0"/>
          <w:numId w:val="15"/>
        </w:numPr>
        <w:spacing w:line="240" w:lineRule="auto"/>
        <w:ind w:left="0"/>
        <w:rPr>
          <w:rFonts w:cstheme="minorHAnsi"/>
        </w:rPr>
      </w:pPr>
      <w:r w:rsidRPr="008B7A40">
        <w:rPr>
          <w:rFonts w:cstheme="minorHAnsi"/>
        </w:rPr>
        <w:t>Amul GGH, Tan GPP,</w:t>
      </w:r>
      <w:r>
        <w:rPr>
          <w:rFonts w:cstheme="minorHAnsi"/>
        </w:rPr>
        <w:t xml:space="preserve"> </w:t>
      </w:r>
      <w:r w:rsidRPr="008B7A40">
        <w:rPr>
          <w:rFonts w:cstheme="minorHAnsi"/>
        </w:rPr>
        <w:t>Van Der Eijk Y.</w:t>
      </w:r>
      <w:r>
        <w:rPr>
          <w:rFonts w:cstheme="minorHAnsi"/>
        </w:rPr>
        <w:t xml:space="preserve"> </w:t>
      </w:r>
      <w:r w:rsidRPr="008B7A40">
        <w:rPr>
          <w:rFonts w:cstheme="minorHAnsi"/>
        </w:rPr>
        <w:t xml:space="preserve">A systematic review of tobacco industry tactics in Southeast Asia: lessons for other low-and Middle Income regions. </w:t>
      </w:r>
      <w:r w:rsidRPr="008B7A40">
        <w:rPr>
          <w:rFonts w:cstheme="minorHAnsi"/>
          <w:i/>
          <w:iCs/>
        </w:rPr>
        <w:t xml:space="preserve">International Journal of Health Policy and Management </w:t>
      </w:r>
      <w:r>
        <w:rPr>
          <w:rFonts w:cstheme="minorHAnsi"/>
        </w:rPr>
        <w:t>2021;</w:t>
      </w:r>
      <w:r w:rsidRPr="008B7A40">
        <w:rPr>
          <w:rFonts w:cstheme="minorHAnsi"/>
        </w:rPr>
        <w:t>10(6)</w:t>
      </w:r>
      <w:r>
        <w:rPr>
          <w:rFonts w:cstheme="minorHAnsi"/>
        </w:rPr>
        <w:t>:</w:t>
      </w:r>
      <w:r w:rsidRPr="008B7A40">
        <w:rPr>
          <w:rFonts w:cstheme="minorHAnsi"/>
        </w:rPr>
        <w:t>324-337.</w:t>
      </w:r>
    </w:p>
    <w:p w14:paraId="3E808C05" w14:textId="77777777" w:rsidR="00924326" w:rsidRPr="008B7A40" w:rsidRDefault="00924326" w:rsidP="00924326">
      <w:pPr>
        <w:pStyle w:val="ListParagraph"/>
        <w:numPr>
          <w:ilvl w:val="0"/>
          <w:numId w:val="15"/>
        </w:numPr>
        <w:spacing w:line="240" w:lineRule="auto"/>
        <w:ind w:left="0"/>
        <w:rPr>
          <w:rFonts w:cstheme="minorHAnsi"/>
        </w:rPr>
      </w:pPr>
      <w:r w:rsidRPr="008B7A40">
        <w:rPr>
          <w:rFonts w:cstheme="minorHAnsi"/>
        </w:rPr>
        <w:lastRenderedPageBreak/>
        <w:t>Matthes</w:t>
      </w:r>
      <w:r>
        <w:rPr>
          <w:rFonts w:cstheme="minorHAnsi"/>
        </w:rPr>
        <w:t xml:space="preserve"> </w:t>
      </w:r>
      <w:r w:rsidRPr="008B7A40">
        <w:rPr>
          <w:rFonts w:cstheme="minorHAnsi"/>
        </w:rPr>
        <w:t xml:space="preserve">BK, Lauber K, Zatoński M, </w:t>
      </w:r>
      <w:r>
        <w:rPr>
          <w:rFonts w:cstheme="minorHAnsi"/>
        </w:rPr>
        <w:t xml:space="preserve">et al. </w:t>
      </w:r>
      <w:r w:rsidRPr="008B7A40">
        <w:rPr>
          <w:rFonts w:cstheme="minorHAnsi"/>
        </w:rPr>
        <w:t>Developing more detailed taxonomies of tobacco industry political activity in low-income and middle-income countries: qualitative evidence from eight countries</w:t>
      </w:r>
      <w:r w:rsidRPr="008B7A40">
        <w:rPr>
          <w:rFonts w:cstheme="minorHAnsi"/>
          <w:i/>
          <w:iCs/>
        </w:rPr>
        <w:t>. BMJ global health</w:t>
      </w:r>
      <w:r>
        <w:rPr>
          <w:rFonts w:cstheme="minorHAnsi"/>
        </w:rPr>
        <w:t xml:space="preserve"> 2021;</w:t>
      </w:r>
      <w:r w:rsidRPr="008B7A40">
        <w:rPr>
          <w:rFonts w:cstheme="minorHAnsi"/>
        </w:rPr>
        <w:t>6(3)</w:t>
      </w:r>
      <w:r>
        <w:rPr>
          <w:rFonts w:cstheme="minorHAnsi"/>
        </w:rPr>
        <w:t>:</w:t>
      </w:r>
      <w:r w:rsidRPr="008B7A40">
        <w:rPr>
          <w:rFonts w:cstheme="minorHAnsi"/>
        </w:rPr>
        <w:t>e004096.</w:t>
      </w:r>
    </w:p>
    <w:p w14:paraId="6488750E" w14:textId="77777777" w:rsidR="00924326" w:rsidRPr="008B7A40" w:rsidRDefault="00924326" w:rsidP="00924326">
      <w:pPr>
        <w:pStyle w:val="ListParagraph"/>
        <w:numPr>
          <w:ilvl w:val="0"/>
          <w:numId w:val="15"/>
        </w:numPr>
        <w:spacing w:line="240" w:lineRule="auto"/>
        <w:ind w:left="0"/>
        <w:rPr>
          <w:rFonts w:cstheme="minorHAnsi"/>
        </w:rPr>
      </w:pPr>
      <w:r w:rsidRPr="008B7A40">
        <w:rPr>
          <w:rFonts w:cstheme="minorHAnsi"/>
        </w:rPr>
        <w:t xml:space="preserve">The Centre for Diet and Activity Research, University of Cambridge: Dietary Public Health Research and the Food Industry. Availalable at: https://www.cedar.iph.cam.ac.uk/research/dietary-public-health/food-systems-public-health/diet-research-food-industry-project/. </w:t>
      </w:r>
    </w:p>
    <w:p w14:paraId="61FF80BC" w14:textId="77777777" w:rsidR="00924326" w:rsidRPr="008B7A40" w:rsidRDefault="00924326" w:rsidP="00924326">
      <w:pPr>
        <w:pStyle w:val="ListParagraph"/>
        <w:numPr>
          <w:ilvl w:val="0"/>
          <w:numId w:val="15"/>
        </w:numPr>
        <w:spacing w:line="240" w:lineRule="auto"/>
        <w:ind w:left="0"/>
        <w:rPr>
          <w:rFonts w:cstheme="minorHAnsi"/>
        </w:rPr>
      </w:pPr>
      <w:r w:rsidRPr="009664E8">
        <w:rPr>
          <w:rFonts w:cstheme="minorHAnsi"/>
          <w:lang w:val="fr-FR"/>
        </w:rPr>
        <w:t xml:space="preserve">Cullerton K, Adams J, Forouhi N, et al. </w:t>
      </w:r>
      <w:r w:rsidRPr="008B7A40">
        <w:rPr>
          <w:rFonts w:cstheme="minorHAnsi"/>
        </w:rPr>
        <w:t xml:space="preserve">What principles should guide interactions between population health researchers and the food industry? Systematic scoping review of peer-reviewed and grey literature. </w:t>
      </w:r>
      <w:r w:rsidRPr="008B7A40">
        <w:rPr>
          <w:rFonts w:cstheme="minorHAnsi"/>
          <w:i/>
          <w:iCs/>
        </w:rPr>
        <w:t>Obesity reviews: an official journal of the International Association for the Study of Obesity</w:t>
      </w:r>
      <w:r>
        <w:rPr>
          <w:rFonts w:cstheme="minorHAnsi"/>
        </w:rPr>
        <w:t xml:space="preserve"> 2019;</w:t>
      </w:r>
      <w:r w:rsidRPr="008B7A40">
        <w:rPr>
          <w:rFonts w:cstheme="minorHAnsi"/>
        </w:rPr>
        <w:t>20(8)</w:t>
      </w:r>
      <w:r>
        <w:rPr>
          <w:rFonts w:cstheme="minorHAnsi"/>
        </w:rPr>
        <w:t>:</w:t>
      </w:r>
      <w:r w:rsidRPr="008B7A40">
        <w:rPr>
          <w:rFonts w:cstheme="minorHAnsi"/>
        </w:rPr>
        <w:t>1073-84.</w:t>
      </w:r>
    </w:p>
    <w:p w14:paraId="21FAA6A8" w14:textId="77777777" w:rsidR="00924326" w:rsidRPr="008B7A40" w:rsidRDefault="00924326" w:rsidP="00924326">
      <w:pPr>
        <w:pStyle w:val="ListParagraph"/>
        <w:numPr>
          <w:ilvl w:val="0"/>
          <w:numId w:val="15"/>
        </w:numPr>
        <w:spacing w:line="240" w:lineRule="auto"/>
        <w:ind w:left="0"/>
        <w:rPr>
          <w:rFonts w:cstheme="minorHAnsi"/>
        </w:rPr>
      </w:pPr>
      <w:r w:rsidRPr="008B7A40">
        <w:rPr>
          <w:rFonts w:cstheme="minorHAnsi"/>
        </w:rPr>
        <w:t>Hunt D.</w:t>
      </w:r>
      <w:r>
        <w:rPr>
          <w:rFonts w:cstheme="minorHAnsi"/>
        </w:rPr>
        <w:t xml:space="preserve"> </w:t>
      </w:r>
      <w:r w:rsidRPr="008B7A40">
        <w:rPr>
          <w:rFonts w:cstheme="minorHAnsi"/>
        </w:rPr>
        <w:t xml:space="preserve">How food companies use social media to influence policy debates: a framework of Australian ultra-processed food industry Twitter data. </w:t>
      </w:r>
      <w:r w:rsidRPr="008B7A40">
        <w:rPr>
          <w:rFonts w:cstheme="minorHAnsi"/>
          <w:i/>
          <w:iCs/>
        </w:rPr>
        <w:t>Public Health Nutrition</w:t>
      </w:r>
      <w:r>
        <w:rPr>
          <w:rFonts w:cstheme="minorHAnsi"/>
        </w:rPr>
        <w:t xml:space="preserve"> 2021;</w:t>
      </w:r>
      <w:r w:rsidRPr="008B7A40">
        <w:rPr>
          <w:rFonts w:cstheme="minorHAnsi"/>
        </w:rPr>
        <w:t>24(10)</w:t>
      </w:r>
      <w:r>
        <w:rPr>
          <w:rFonts w:cstheme="minorHAnsi"/>
        </w:rPr>
        <w:t>:</w:t>
      </w:r>
      <w:r w:rsidRPr="008B7A40">
        <w:rPr>
          <w:rFonts w:cstheme="minorHAnsi"/>
        </w:rPr>
        <w:t>3124-3135.</w:t>
      </w:r>
    </w:p>
    <w:p w14:paraId="27D84643" w14:textId="77777777" w:rsidR="00924326" w:rsidRPr="008B7A40" w:rsidRDefault="00924326" w:rsidP="00924326">
      <w:pPr>
        <w:pStyle w:val="ListParagraph"/>
        <w:numPr>
          <w:ilvl w:val="0"/>
          <w:numId w:val="15"/>
        </w:numPr>
        <w:spacing w:line="240" w:lineRule="auto"/>
        <w:ind w:left="0"/>
        <w:rPr>
          <w:rFonts w:cstheme="minorHAnsi"/>
        </w:rPr>
      </w:pPr>
      <w:r w:rsidRPr="009664E8">
        <w:rPr>
          <w:rFonts w:cstheme="minorHAnsi"/>
          <w:lang w:val="nl-NL"/>
        </w:rPr>
        <w:t xml:space="preserve">Vandenbrink D, Pauzé E, Kent MP. </w:t>
      </w:r>
      <w:r w:rsidRPr="008B7A40">
        <w:rPr>
          <w:rFonts w:cstheme="minorHAnsi"/>
        </w:rPr>
        <w:t xml:space="preserve">Strategies used by the Canadian food and beverage industry to influence food and nutrition policies. </w:t>
      </w:r>
      <w:r w:rsidRPr="008B7A40">
        <w:rPr>
          <w:rFonts w:cstheme="minorHAnsi"/>
          <w:i/>
          <w:iCs/>
        </w:rPr>
        <w:t>International Journal of Behavioral Nutrition and Physical Activity</w:t>
      </w:r>
      <w:r>
        <w:rPr>
          <w:rFonts w:cstheme="minorHAnsi"/>
        </w:rPr>
        <w:t xml:space="preserve"> 2020;</w:t>
      </w:r>
      <w:r w:rsidRPr="008B7A40">
        <w:rPr>
          <w:rFonts w:cstheme="minorHAnsi"/>
        </w:rPr>
        <w:t>17(1)</w:t>
      </w:r>
      <w:r>
        <w:rPr>
          <w:rFonts w:cstheme="minorHAnsi"/>
        </w:rPr>
        <w:t>:</w:t>
      </w:r>
      <w:r w:rsidRPr="008B7A40">
        <w:rPr>
          <w:rFonts w:cstheme="minorHAnsi"/>
        </w:rPr>
        <w:t>1-13.</w:t>
      </w:r>
    </w:p>
    <w:p w14:paraId="2F0C39E7" w14:textId="77777777" w:rsidR="00924326" w:rsidRPr="008B7A40" w:rsidRDefault="00924326" w:rsidP="00924326">
      <w:pPr>
        <w:pStyle w:val="ListParagraph"/>
        <w:numPr>
          <w:ilvl w:val="0"/>
          <w:numId w:val="15"/>
        </w:numPr>
        <w:spacing w:after="0" w:line="240" w:lineRule="auto"/>
        <w:ind w:left="0"/>
        <w:rPr>
          <w:rFonts w:cstheme="minorHAnsi"/>
        </w:rPr>
      </w:pPr>
      <w:r w:rsidRPr="008B7A40">
        <w:rPr>
          <w:rFonts w:cstheme="minorHAnsi"/>
        </w:rPr>
        <w:t>Tselengidis A</w:t>
      </w:r>
      <w:r>
        <w:rPr>
          <w:rFonts w:cstheme="minorHAnsi"/>
        </w:rPr>
        <w:t>,</w:t>
      </w:r>
      <w:r w:rsidRPr="008B7A40">
        <w:rPr>
          <w:rFonts w:cstheme="minorHAnsi"/>
        </w:rPr>
        <w:t xml:space="preserve"> Östergren PO.</w:t>
      </w:r>
      <w:r>
        <w:rPr>
          <w:rFonts w:cstheme="minorHAnsi"/>
        </w:rPr>
        <w:t xml:space="preserve"> </w:t>
      </w:r>
      <w:r w:rsidRPr="008B7A40">
        <w:rPr>
          <w:rFonts w:cstheme="minorHAnsi"/>
        </w:rPr>
        <w:t xml:space="preserve">Lobbying against sugar taxation in the European Union: analysing the lobbying arguments and tactics of stakeholders in the food and drink industries. </w:t>
      </w:r>
      <w:r w:rsidRPr="008B7A40">
        <w:rPr>
          <w:rFonts w:cstheme="minorHAnsi"/>
          <w:i/>
          <w:iCs/>
        </w:rPr>
        <w:t>Scandinavian journal of public health</w:t>
      </w:r>
      <w:r>
        <w:rPr>
          <w:rFonts w:cstheme="minorHAnsi"/>
        </w:rPr>
        <w:t xml:space="preserve"> 2019;</w:t>
      </w:r>
      <w:r w:rsidRPr="008B7A40">
        <w:rPr>
          <w:rFonts w:cstheme="minorHAnsi"/>
        </w:rPr>
        <w:t>47(5)</w:t>
      </w:r>
      <w:r>
        <w:rPr>
          <w:rFonts w:cstheme="minorHAnsi"/>
        </w:rPr>
        <w:t>:</w:t>
      </w:r>
      <w:r w:rsidRPr="008B7A40">
        <w:rPr>
          <w:rFonts w:cstheme="minorHAnsi"/>
        </w:rPr>
        <w:t>565-575.</w:t>
      </w:r>
    </w:p>
    <w:p w14:paraId="03162A4A" w14:textId="77777777" w:rsidR="00924326" w:rsidRPr="008B7A40" w:rsidRDefault="00924326" w:rsidP="00924326">
      <w:pPr>
        <w:pStyle w:val="ListParagraph"/>
        <w:numPr>
          <w:ilvl w:val="0"/>
          <w:numId w:val="15"/>
        </w:numPr>
        <w:spacing w:line="240" w:lineRule="auto"/>
        <w:ind w:left="0"/>
        <w:rPr>
          <w:rFonts w:cstheme="minorHAnsi"/>
        </w:rPr>
      </w:pPr>
      <w:r w:rsidRPr="008B7A40">
        <w:rPr>
          <w:rFonts w:cstheme="minorHAnsi"/>
        </w:rPr>
        <w:t xml:space="preserve">Langham E, Thorne H, Browne M, </w:t>
      </w:r>
      <w:r>
        <w:rPr>
          <w:rFonts w:cstheme="minorHAnsi"/>
        </w:rPr>
        <w:t>et al.</w:t>
      </w:r>
      <w:r w:rsidRPr="008B7A40">
        <w:rPr>
          <w:rFonts w:cstheme="minorHAnsi"/>
        </w:rPr>
        <w:t xml:space="preserve"> Understanding gambling related harm: a proposed definition, conceptual framework, and taxonomy of harms. </w:t>
      </w:r>
      <w:r w:rsidRPr="00CC57AF">
        <w:rPr>
          <w:rFonts w:cstheme="minorHAnsi"/>
          <w:i/>
          <w:iCs/>
        </w:rPr>
        <w:t>BMC Public Health</w:t>
      </w:r>
      <w:r w:rsidRPr="008B7A40">
        <w:rPr>
          <w:rFonts w:cstheme="minorHAnsi"/>
        </w:rPr>
        <w:t xml:space="preserve"> 2016;16:80.</w:t>
      </w:r>
    </w:p>
    <w:p w14:paraId="0461046C" w14:textId="77777777" w:rsidR="00924326" w:rsidRPr="008B7A40" w:rsidRDefault="00924326" w:rsidP="00924326">
      <w:pPr>
        <w:pStyle w:val="ListParagraph"/>
        <w:numPr>
          <w:ilvl w:val="0"/>
          <w:numId w:val="15"/>
        </w:numPr>
        <w:spacing w:line="240" w:lineRule="auto"/>
        <w:ind w:left="0"/>
        <w:rPr>
          <w:rFonts w:cstheme="minorHAnsi"/>
        </w:rPr>
      </w:pPr>
      <w:r w:rsidRPr="008B7A40">
        <w:rPr>
          <w:rFonts w:cstheme="minorHAnsi"/>
        </w:rPr>
        <w:t xml:space="preserve">Wardle H, Reith G, Langham E, </w:t>
      </w:r>
      <w:r>
        <w:rPr>
          <w:rFonts w:cstheme="minorHAnsi"/>
        </w:rPr>
        <w:t>et al</w:t>
      </w:r>
      <w:r w:rsidRPr="008B7A40">
        <w:rPr>
          <w:rFonts w:cstheme="minorHAnsi"/>
        </w:rPr>
        <w:t xml:space="preserve">. Gambling and public health: we need policy action to prevent harm. </w:t>
      </w:r>
      <w:r w:rsidRPr="00772CBF">
        <w:rPr>
          <w:rFonts w:cstheme="minorHAnsi"/>
          <w:i/>
          <w:iCs/>
        </w:rPr>
        <w:t>BMJ</w:t>
      </w:r>
      <w:r w:rsidRPr="008B7A40">
        <w:rPr>
          <w:rFonts w:cstheme="minorHAnsi"/>
        </w:rPr>
        <w:t xml:space="preserve"> 2019;365:1807.</w:t>
      </w:r>
    </w:p>
    <w:p w14:paraId="18F344CF" w14:textId="77777777" w:rsidR="00924326" w:rsidRPr="008B7A40" w:rsidRDefault="00924326" w:rsidP="00924326">
      <w:pPr>
        <w:pStyle w:val="ListParagraph"/>
        <w:numPr>
          <w:ilvl w:val="0"/>
          <w:numId w:val="15"/>
        </w:numPr>
        <w:spacing w:line="240" w:lineRule="auto"/>
        <w:ind w:left="0"/>
        <w:rPr>
          <w:rFonts w:cstheme="minorHAnsi"/>
        </w:rPr>
      </w:pPr>
      <w:r w:rsidRPr="008B7A40">
        <w:rPr>
          <w:rFonts w:cstheme="minorHAnsi"/>
        </w:rPr>
        <w:t>Gambling Commission: Gambling-related harm as a public health issue. Briefing paper for Local Authorities and local Public Health providers February 2018. Available at: https://www.gamblingcommission.gov.uk/PDF/Gambling-related-harm-as-a-public-health-issue.pdf</w:t>
      </w:r>
      <w:r>
        <w:rPr>
          <w:rFonts w:cstheme="minorHAnsi"/>
        </w:rPr>
        <w:t>.</w:t>
      </w:r>
      <w:r w:rsidRPr="008B7A40">
        <w:rPr>
          <w:rFonts w:cstheme="minorHAnsi"/>
        </w:rPr>
        <w:t xml:space="preserve"> </w:t>
      </w:r>
    </w:p>
    <w:p w14:paraId="47A36BB1" w14:textId="77777777" w:rsidR="00924326" w:rsidRPr="008B7A40" w:rsidRDefault="00924326" w:rsidP="00924326">
      <w:pPr>
        <w:pStyle w:val="ListParagraph"/>
        <w:numPr>
          <w:ilvl w:val="0"/>
          <w:numId w:val="15"/>
        </w:numPr>
        <w:spacing w:line="240" w:lineRule="auto"/>
        <w:ind w:left="0"/>
        <w:rPr>
          <w:rFonts w:cstheme="minorHAnsi"/>
        </w:rPr>
      </w:pPr>
      <w:r w:rsidRPr="008B7A40">
        <w:rPr>
          <w:rFonts w:cstheme="minorHAnsi"/>
        </w:rPr>
        <w:t>Hessari NM</w:t>
      </w:r>
      <w:r>
        <w:rPr>
          <w:rFonts w:cstheme="minorHAnsi"/>
        </w:rPr>
        <w:t>.</w:t>
      </w:r>
      <w:r w:rsidRPr="008B7A40">
        <w:rPr>
          <w:rFonts w:cstheme="minorHAnsi"/>
        </w:rPr>
        <w:t xml:space="preserve"> PHE’s partnerships with gambling and alcohol industry-funded charities: time to put the cards on the table. The BMJ Opinion. 29 April 2019. Available at: https://blogs.bmj.com/bmj/2019/04/29/phes-partnerships-with-gambling-and-alcohol-industry-funded-charities-time-to-put-the-cards-on-the-table/</w:t>
      </w:r>
      <w:r>
        <w:rPr>
          <w:rFonts w:cstheme="minorHAnsi"/>
        </w:rPr>
        <w:t>.</w:t>
      </w:r>
      <w:r w:rsidRPr="008B7A40">
        <w:rPr>
          <w:rFonts w:cstheme="minorHAnsi"/>
        </w:rPr>
        <w:t xml:space="preserve"> </w:t>
      </w:r>
    </w:p>
    <w:p w14:paraId="63674039" w14:textId="77777777" w:rsidR="00924326" w:rsidRPr="008B7A40" w:rsidRDefault="00924326" w:rsidP="00924326">
      <w:pPr>
        <w:pStyle w:val="ListParagraph"/>
        <w:numPr>
          <w:ilvl w:val="0"/>
          <w:numId w:val="15"/>
        </w:numPr>
        <w:spacing w:line="240" w:lineRule="auto"/>
        <w:ind w:left="0"/>
        <w:rPr>
          <w:rFonts w:cstheme="minorHAnsi"/>
        </w:rPr>
      </w:pPr>
      <w:r w:rsidRPr="008B7A40">
        <w:rPr>
          <w:rFonts w:cstheme="minorHAnsi"/>
        </w:rPr>
        <w:t>The National Food Strategy: The Plan</w:t>
      </w:r>
      <w:r>
        <w:rPr>
          <w:rFonts w:cstheme="minorHAnsi"/>
        </w:rPr>
        <w:t xml:space="preserve">. </w:t>
      </w:r>
      <w:r w:rsidRPr="008B7A40">
        <w:rPr>
          <w:rFonts w:cstheme="minorHAnsi"/>
        </w:rPr>
        <w:t xml:space="preserve">2021. Available at: https://www.nationalfoodstrategy.org/wpcontent/uploads/2021/07/1669_NFS_The_Plan_July21_S11.pdf </w:t>
      </w:r>
    </w:p>
    <w:p w14:paraId="2BAC90E6" w14:textId="5F7502B0" w:rsidR="00585CA5" w:rsidRDefault="00924326" w:rsidP="00585CA5">
      <w:pPr>
        <w:pStyle w:val="ListParagraph"/>
        <w:numPr>
          <w:ilvl w:val="0"/>
          <w:numId w:val="15"/>
        </w:numPr>
        <w:spacing w:line="240" w:lineRule="auto"/>
        <w:ind w:left="0"/>
        <w:rPr>
          <w:rFonts w:cstheme="minorHAnsi"/>
        </w:rPr>
      </w:pPr>
      <w:r w:rsidRPr="008B7A40">
        <w:rPr>
          <w:rFonts w:cstheme="minorHAnsi"/>
        </w:rPr>
        <w:t xml:space="preserve">Public Health England, Chartered Institute of Environmental Health and Local Government Association. Obesity and the environment: regulating the growth of fast food outlets: healthy people, healthy places briefing. Available at </w:t>
      </w:r>
      <w:r w:rsidR="00585CA5" w:rsidRPr="00A76327">
        <w:rPr>
          <w:rFonts w:cstheme="minorHAnsi"/>
        </w:rPr>
        <w:t>https://assets.publishing.service.gov.uk/government/uploads/system/uploads/attachment_data/file/296248/Obesity_and_environment_March2014.pdf</w:t>
      </w:r>
      <w:r w:rsidRPr="008B7A40">
        <w:rPr>
          <w:rFonts w:cstheme="minorHAnsi"/>
        </w:rPr>
        <w:t>.</w:t>
      </w:r>
    </w:p>
    <w:p w14:paraId="39952021" w14:textId="77777777" w:rsidR="00585CA5" w:rsidRDefault="00585CA5" w:rsidP="00585CA5">
      <w:pPr>
        <w:pStyle w:val="ListParagraph"/>
        <w:numPr>
          <w:ilvl w:val="0"/>
          <w:numId w:val="15"/>
        </w:numPr>
        <w:spacing w:line="240" w:lineRule="auto"/>
        <w:ind w:left="0"/>
        <w:rPr>
          <w:rFonts w:cstheme="minorHAnsi"/>
        </w:rPr>
      </w:pPr>
      <w:r w:rsidRPr="00585CA5">
        <w:rPr>
          <w:rFonts w:cstheme="minorHAnsi"/>
        </w:rPr>
        <w:t>World Health Organization. (2004). WHO framework convention on tobacco control (No. SEA-Tobacco-6). WHO Regional Office for South-East Asia.</w:t>
      </w:r>
    </w:p>
    <w:p w14:paraId="37ADC295" w14:textId="1EA45E68" w:rsidR="00585CA5" w:rsidRPr="00585CA5" w:rsidRDefault="00585CA5" w:rsidP="00585CA5">
      <w:pPr>
        <w:pStyle w:val="ListParagraph"/>
        <w:numPr>
          <w:ilvl w:val="0"/>
          <w:numId w:val="15"/>
        </w:numPr>
        <w:spacing w:line="240" w:lineRule="auto"/>
        <w:ind w:left="0"/>
        <w:rPr>
          <w:rFonts w:cstheme="minorHAnsi"/>
        </w:rPr>
      </w:pPr>
      <w:r w:rsidRPr="00585CA5">
        <w:rPr>
          <w:rFonts w:cstheme="minorHAnsi"/>
        </w:rPr>
        <w:t>Department of Health. (2010). Healthy lives, healthy people: our strategy for public health in England (Vol. 7985). The Stationery Office.</w:t>
      </w:r>
    </w:p>
    <w:p w14:paraId="2A5A439F" w14:textId="77777777" w:rsidR="00924326" w:rsidRPr="008B7A40" w:rsidRDefault="00924326" w:rsidP="00924326">
      <w:pPr>
        <w:pStyle w:val="ListParagraph"/>
        <w:numPr>
          <w:ilvl w:val="0"/>
          <w:numId w:val="15"/>
        </w:numPr>
        <w:spacing w:line="240" w:lineRule="auto"/>
        <w:ind w:left="0"/>
        <w:rPr>
          <w:rFonts w:cstheme="minorHAnsi"/>
        </w:rPr>
      </w:pPr>
      <w:r w:rsidRPr="008B7A40">
        <w:rPr>
          <w:rFonts w:cstheme="minorHAnsi"/>
        </w:rPr>
        <w:t xml:space="preserve">Westminster City Council: Annual Accounts 2017. Available at: https://www.westminster.gov.uk/sites/default/files/annual_accounts_2016-17.pdf. </w:t>
      </w:r>
    </w:p>
    <w:p w14:paraId="63E0ED4C" w14:textId="77777777" w:rsidR="00924326" w:rsidRPr="008B7A40" w:rsidRDefault="00924326" w:rsidP="00924326">
      <w:pPr>
        <w:pStyle w:val="ListParagraph"/>
        <w:numPr>
          <w:ilvl w:val="0"/>
          <w:numId w:val="15"/>
        </w:numPr>
        <w:spacing w:line="240" w:lineRule="auto"/>
        <w:ind w:left="0"/>
        <w:rPr>
          <w:rFonts w:cstheme="minorHAnsi"/>
        </w:rPr>
      </w:pPr>
      <w:r w:rsidRPr="008B7A40">
        <w:rPr>
          <w:rFonts w:cstheme="minorHAnsi"/>
        </w:rPr>
        <w:t>Rex</w:t>
      </w:r>
      <w:r>
        <w:rPr>
          <w:rFonts w:cstheme="minorHAnsi"/>
        </w:rPr>
        <w:t xml:space="preserve"> </w:t>
      </w:r>
      <w:r w:rsidRPr="008B7A40">
        <w:rPr>
          <w:rFonts w:cstheme="minorHAnsi"/>
        </w:rPr>
        <w:t>B, Campbell, P.</w:t>
      </w:r>
      <w:r>
        <w:rPr>
          <w:rFonts w:cstheme="minorHAnsi"/>
        </w:rPr>
        <w:t xml:space="preserve"> </w:t>
      </w:r>
      <w:r w:rsidRPr="008B7A40">
        <w:rPr>
          <w:rFonts w:cstheme="minorHAnsi"/>
        </w:rPr>
        <w:t>The impact of austerity measures on local government funding for culture in England. </w:t>
      </w:r>
      <w:r w:rsidRPr="008B7A40">
        <w:rPr>
          <w:rFonts w:cstheme="minorHAnsi"/>
          <w:i/>
          <w:iCs/>
        </w:rPr>
        <w:t>Cultural Trends</w:t>
      </w:r>
      <w:r>
        <w:rPr>
          <w:rFonts w:cstheme="minorHAnsi"/>
          <w:i/>
          <w:iCs/>
        </w:rPr>
        <w:t xml:space="preserve"> </w:t>
      </w:r>
      <w:r>
        <w:rPr>
          <w:rFonts w:cstheme="minorHAnsi"/>
        </w:rPr>
        <w:t>2021:</w:t>
      </w:r>
      <w:r w:rsidRPr="008B7A40">
        <w:rPr>
          <w:rFonts w:cstheme="minorHAnsi"/>
        </w:rPr>
        <w:t>1-24.</w:t>
      </w:r>
    </w:p>
    <w:p w14:paraId="46FC61D6" w14:textId="77777777" w:rsidR="00924326" w:rsidRDefault="00924326" w:rsidP="00924326">
      <w:pPr>
        <w:pStyle w:val="ListParagraph"/>
        <w:numPr>
          <w:ilvl w:val="0"/>
          <w:numId w:val="15"/>
        </w:numPr>
        <w:spacing w:line="240" w:lineRule="auto"/>
        <w:ind w:left="0"/>
        <w:rPr>
          <w:rFonts w:cstheme="minorHAnsi"/>
        </w:rPr>
      </w:pPr>
      <w:r w:rsidRPr="008B7A40">
        <w:rPr>
          <w:rFonts w:cstheme="minorHAnsi"/>
        </w:rPr>
        <w:t>Hastings</w:t>
      </w:r>
      <w:r>
        <w:rPr>
          <w:rFonts w:cstheme="minorHAnsi"/>
        </w:rPr>
        <w:t xml:space="preserve"> </w:t>
      </w:r>
      <w:r w:rsidRPr="008B7A40">
        <w:rPr>
          <w:rFonts w:cstheme="minorHAnsi"/>
        </w:rPr>
        <w:t>A, Bailey</w:t>
      </w:r>
      <w:r>
        <w:rPr>
          <w:rFonts w:cstheme="minorHAnsi"/>
        </w:rPr>
        <w:t xml:space="preserve"> </w:t>
      </w:r>
      <w:r w:rsidRPr="008B7A40">
        <w:rPr>
          <w:rFonts w:cstheme="minorHAnsi"/>
        </w:rPr>
        <w:t xml:space="preserve">N, Bramley G, </w:t>
      </w:r>
      <w:r>
        <w:rPr>
          <w:rFonts w:cstheme="minorHAnsi"/>
        </w:rPr>
        <w:t xml:space="preserve">et al. </w:t>
      </w:r>
      <w:r w:rsidRPr="008B7A40">
        <w:rPr>
          <w:rFonts w:cstheme="minorHAnsi"/>
        </w:rPr>
        <w:t xml:space="preserve">The cost of the cuts: The impact on local government and poorer communities. </w:t>
      </w:r>
      <w:r w:rsidRPr="008B7A40">
        <w:rPr>
          <w:rFonts w:cstheme="minorHAnsi"/>
          <w:i/>
          <w:iCs/>
        </w:rPr>
        <w:t>York: Joseph Rowntree Foundation</w:t>
      </w:r>
      <w:r>
        <w:rPr>
          <w:rFonts w:cstheme="minorHAnsi"/>
        </w:rPr>
        <w:t xml:space="preserve"> 2015:</w:t>
      </w:r>
      <w:r w:rsidRPr="008B7A40">
        <w:rPr>
          <w:rFonts w:cstheme="minorHAnsi"/>
        </w:rPr>
        <w:t xml:space="preserve">1-24. </w:t>
      </w:r>
    </w:p>
    <w:p w14:paraId="5B4237CA" w14:textId="77777777" w:rsidR="00924326" w:rsidRDefault="00924326" w:rsidP="00924326">
      <w:pPr>
        <w:pStyle w:val="ListParagraph"/>
        <w:numPr>
          <w:ilvl w:val="0"/>
          <w:numId w:val="15"/>
        </w:numPr>
        <w:spacing w:line="240" w:lineRule="auto"/>
        <w:ind w:left="0"/>
        <w:rPr>
          <w:rFonts w:cstheme="minorHAnsi"/>
        </w:rPr>
      </w:pPr>
      <w:r w:rsidRPr="00CC0AD6">
        <w:rPr>
          <w:rFonts w:cstheme="minorHAnsi"/>
        </w:rPr>
        <w:t>Dixon-Woods M, Cavers D, Agarwal S, et al. Conducting a critical interpretive synthesis of the literature on access to healthcare by vulnerable groups. </w:t>
      </w:r>
      <w:r w:rsidRPr="00CC0AD6">
        <w:rPr>
          <w:rFonts w:cstheme="minorHAnsi"/>
          <w:i/>
          <w:iCs/>
        </w:rPr>
        <w:t>BMC medical research methodology</w:t>
      </w:r>
      <w:r w:rsidRPr="00CC0AD6">
        <w:rPr>
          <w:rFonts w:cstheme="minorHAnsi"/>
        </w:rPr>
        <w:t xml:space="preserve"> 2006;6(1):1-13.</w:t>
      </w:r>
    </w:p>
    <w:p w14:paraId="1663338D" w14:textId="77777777" w:rsidR="00924326" w:rsidRDefault="00924326" w:rsidP="00924326">
      <w:pPr>
        <w:pStyle w:val="ListParagraph"/>
        <w:numPr>
          <w:ilvl w:val="0"/>
          <w:numId w:val="15"/>
        </w:numPr>
        <w:spacing w:line="240" w:lineRule="auto"/>
        <w:ind w:left="0"/>
        <w:rPr>
          <w:rFonts w:cstheme="minorHAnsi"/>
        </w:rPr>
      </w:pPr>
      <w:r w:rsidRPr="009664E8">
        <w:rPr>
          <w:rFonts w:cstheme="minorHAnsi"/>
          <w:lang w:val="nl-NL"/>
        </w:rPr>
        <w:lastRenderedPageBreak/>
        <w:t xml:space="preserve">Kastner M, Antony J, Soobiah C, et al. </w:t>
      </w:r>
      <w:r w:rsidRPr="00CC0AD6">
        <w:rPr>
          <w:rFonts w:cstheme="minorHAnsi"/>
        </w:rPr>
        <w:t>Conceptual recommendations for selecting the most appropriate knowledge synthesis method to answer research questions related to complex evidence. </w:t>
      </w:r>
      <w:r w:rsidRPr="00CC0AD6">
        <w:rPr>
          <w:rFonts w:cstheme="minorHAnsi"/>
          <w:i/>
          <w:iCs/>
        </w:rPr>
        <w:t>Journal of clinical epidemiology</w:t>
      </w:r>
      <w:r w:rsidRPr="00CC0AD6">
        <w:rPr>
          <w:rFonts w:cstheme="minorHAnsi"/>
        </w:rPr>
        <w:t xml:space="preserve"> 2016;73:43-49.</w:t>
      </w:r>
    </w:p>
    <w:p w14:paraId="76BD62AA" w14:textId="77777777" w:rsidR="00924326" w:rsidRDefault="00924326" w:rsidP="00924326">
      <w:pPr>
        <w:pStyle w:val="ListParagraph"/>
        <w:numPr>
          <w:ilvl w:val="0"/>
          <w:numId w:val="15"/>
        </w:numPr>
        <w:spacing w:line="240" w:lineRule="auto"/>
        <w:ind w:left="0"/>
        <w:rPr>
          <w:rFonts w:cstheme="minorHAnsi"/>
        </w:rPr>
      </w:pPr>
      <w:r w:rsidRPr="009664E8">
        <w:rPr>
          <w:rFonts w:cstheme="minorHAnsi"/>
          <w:color w:val="000000" w:themeColor="text1"/>
          <w:lang w:val="nl-NL"/>
        </w:rPr>
        <w:t xml:space="preserve">Swinburn B, Kraak V, Rutter H, et al. </w:t>
      </w:r>
      <w:r w:rsidRPr="00CC0AD6">
        <w:rPr>
          <w:rFonts w:cstheme="minorHAnsi"/>
          <w:color w:val="000000" w:themeColor="text1"/>
        </w:rPr>
        <w:t>Strengthening of accountability systems to create healthy food environments and reduce global obesity. </w:t>
      </w:r>
      <w:r w:rsidRPr="00CC0AD6">
        <w:rPr>
          <w:rFonts w:cstheme="minorHAnsi"/>
          <w:i/>
          <w:iCs/>
          <w:color w:val="000000" w:themeColor="text1"/>
        </w:rPr>
        <w:t xml:space="preserve">The Lancet </w:t>
      </w:r>
      <w:r w:rsidRPr="00CC0AD6">
        <w:rPr>
          <w:rFonts w:cstheme="minorHAnsi"/>
          <w:color w:val="000000" w:themeColor="text1"/>
        </w:rPr>
        <w:t>2015;385(9986):2534-2545.</w:t>
      </w:r>
    </w:p>
    <w:p w14:paraId="5A7F07AC" w14:textId="77777777" w:rsidR="00924326" w:rsidRDefault="00924326" w:rsidP="00924326">
      <w:pPr>
        <w:pStyle w:val="ListParagraph"/>
        <w:numPr>
          <w:ilvl w:val="0"/>
          <w:numId w:val="15"/>
        </w:numPr>
        <w:spacing w:line="240" w:lineRule="auto"/>
        <w:ind w:left="0"/>
        <w:rPr>
          <w:rFonts w:cstheme="minorHAnsi"/>
        </w:rPr>
      </w:pPr>
      <w:r w:rsidRPr="00CC0AD6">
        <w:rPr>
          <w:rFonts w:cstheme="minorHAnsi"/>
          <w:color w:val="000000" w:themeColor="text1"/>
        </w:rPr>
        <w:t>Nejstgaard CH, Bero L, Hróbjartsson A, et al. Association between conflicts of interest and favourable recommendations in clinical guidelines, advisory committee reports, opinion pieces, and narrative reviews: systematic review. </w:t>
      </w:r>
      <w:r w:rsidRPr="00CC0AD6">
        <w:rPr>
          <w:rFonts w:cstheme="minorHAnsi"/>
          <w:i/>
          <w:iCs/>
          <w:color w:val="000000" w:themeColor="text1"/>
        </w:rPr>
        <w:t xml:space="preserve">BMJ </w:t>
      </w:r>
      <w:r w:rsidRPr="00CC0AD6">
        <w:rPr>
          <w:rFonts w:cstheme="minorHAnsi"/>
          <w:color w:val="000000" w:themeColor="text1"/>
        </w:rPr>
        <w:t>2020:371.</w:t>
      </w:r>
    </w:p>
    <w:p w14:paraId="56562B53" w14:textId="77777777" w:rsidR="00924326" w:rsidRDefault="00924326" w:rsidP="00924326">
      <w:pPr>
        <w:pStyle w:val="ListParagraph"/>
        <w:numPr>
          <w:ilvl w:val="0"/>
          <w:numId w:val="15"/>
        </w:numPr>
        <w:spacing w:line="240" w:lineRule="auto"/>
        <w:ind w:left="0"/>
        <w:rPr>
          <w:rFonts w:cstheme="minorHAnsi"/>
        </w:rPr>
      </w:pPr>
      <w:r w:rsidRPr="009664E8">
        <w:rPr>
          <w:rFonts w:cstheme="minorHAnsi"/>
          <w:color w:val="000000" w:themeColor="text1"/>
        </w:rPr>
        <w:t xml:space="preserve">Chavez‐Ugalde Y, Jago R, Toumpakari Z, et al. </w:t>
      </w:r>
      <w:r w:rsidRPr="00CC0AD6">
        <w:rPr>
          <w:rFonts w:cstheme="minorHAnsi"/>
          <w:color w:val="000000" w:themeColor="text1"/>
        </w:rPr>
        <w:t>Conceptualizing the commercial determinants of dietary behaviors associated with obesity: A systematic review using principles from critical interpretative synthesis. </w:t>
      </w:r>
      <w:r w:rsidRPr="00CC0AD6">
        <w:rPr>
          <w:rFonts w:cstheme="minorHAnsi"/>
          <w:i/>
          <w:iCs/>
          <w:color w:val="000000" w:themeColor="text1"/>
        </w:rPr>
        <w:t>Obesity Science &amp; Practice</w:t>
      </w:r>
      <w:r w:rsidRPr="00CC0AD6">
        <w:rPr>
          <w:rFonts w:cstheme="minorHAnsi"/>
          <w:color w:val="000000" w:themeColor="text1"/>
        </w:rPr>
        <w:t xml:space="preserve"> 2021;7(4):473-486.</w:t>
      </w:r>
    </w:p>
    <w:p w14:paraId="42C8E0D3" w14:textId="77777777" w:rsidR="00924326" w:rsidRDefault="00924326" w:rsidP="00A76327">
      <w:pPr>
        <w:pStyle w:val="ListParagraph"/>
        <w:numPr>
          <w:ilvl w:val="0"/>
          <w:numId w:val="15"/>
        </w:numPr>
        <w:spacing w:after="0" w:line="240" w:lineRule="auto"/>
        <w:ind w:left="0"/>
        <w:rPr>
          <w:rFonts w:cstheme="minorHAnsi"/>
        </w:rPr>
      </w:pPr>
      <w:r w:rsidRPr="00CC0AD6">
        <w:rPr>
          <w:rFonts w:cstheme="minorHAnsi"/>
        </w:rPr>
        <w:t>Depraetere J, Vandeviver C, Keygnaert I, et al. The critical interpretive synthesis: an assessment of reporting practices. </w:t>
      </w:r>
      <w:r w:rsidRPr="00CC0AD6">
        <w:rPr>
          <w:rFonts w:cstheme="minorHAnsi"/>
          <w:i/>
          <w:iCs/>
        </w:rPr>
        <w:t>International Journal of Social Research Methodology</w:t>
      </w:r>
      <w:r w:rsidRPr="00CC0AD6">
        <w:rPr>
          <w:rFonts w:cstheme="minorHAnsi"/>
        </w:rPr>
        <w:t xml:space="preserve"> 2020:1-21.</w:t>
      </w:r>
    </w:p>
    <w:p w14:paraId="2F65D80B" w14:textId="77777777" w:rsidR="00924326" w:rsidRDefault="00924326" w:rsidP="00924326">
      <w:pPr>
        <w:pStyle w:val="EndNoteBibliography"/>
        <w:numPr>
          <w:ilvl w:val="0"/>
          <w:numId w:val="15"/>
        </w:numPr>
        <w:spacing w:after="0"/>
        <w:ind w:left="0"/>
        <w:jc w:val="both"/>
        <w:rPr>
          <w:rFonts w:asciiTheme="minorHAnsi" w:hAnsiTheme="minorHAnsi" w:cstheme="minorHAnsi"/>
        </w:rPr>
      </w:pPr>
      <w:r w:rsidRPr="008B7A40">
        <w:rPr>
          <w:rFonts w:asciiTheme="minorHAnsi" w:hAnsiTheme="minorHAnsi" w:cstheme="minorHAnsi"/>
        </w:rPr>
        <w:t xml:space="preserve">Mialon M, Swinburn B, Sacks G. A proposed approach to systematically identify and monitor the corporate political activity of the food industry with respect to public health using publicly available information. </w:t>
      </w:r>
      <w:r w:rsidRPr="00CC57AF">
        <w:rPr>
          <w:rFonts w:asciiTheme="minorHAnsi" w:hAnsiTheme="minorHAnsi" w:cstheme="minorHAnsi"/>
          <w:i/>
          <w:iCs/>
        </w:rPr>
        <w:t xml:space="preserve">Obesity reviews: an official journal of the International Association for the Study of Obesity </w:t>
      </w:r>
      <w:r w:rsidRPr="008B7A40">
        <w:rPr>
          <w:rFonts w:asciiTheme="minorHAnsi" w:hAnsiTheme="minorHAnsi" w:cstheme="minorHAnsi"/>
        </w:rPr>
        <w:t>2015;16(7):519-30.</w:t>
      </w:r>
    </w:p>
    <w:p w14:paraId="711DEC38" w14:textId="77777777" w:rsidR="00924326" w:rsidRPr="00F06532" w:rsidRDefault="00924326" w:rsidP="00924326">
      <w:pPr>
        <w:pStyle w:val="EndNoteBibliography"/>
        <w:numPr>
          <w:ilvl w:val="0"/>
          <w:numId w:val="15"/>
        </w:numPr>
        <w:spacing w:after="0"/>
        <w:ind w:left="0"/>
        <w:jc w:val="both"/>
        <w:rPr>
          <w:rFonts w:asciiTheme="minorHAnsi" w:hAnsiTheme="minorHAnsi" w:cstheme="minorHAnsi"/>
        </w:rPr>
      </w:pPr>
      <w:r w:rsidRPr="00F06532">
        <w:rPr>
          <w:rFonts w:cstheme="minorHAnsi"/>
        </w:rPr>
        <w:t xml:space="preserve">Ritchie J, Spencer L, Bryman A, et al. Analysing qualitative data. </w:t>
      </w:r>
      <w:r w:rsidRPr="00F06532">
        <w:rPr>
          <w:rFonts w:cstheme="minorHAnsi"/>
          <w:i/>
          <w:iCs/>
        </w:rPr>
        <w:t xml:space="preserve">Qualitative data analysis for applied policy research </w:t>
      </w:r>
      <w:r w:rsidRPr="00F06532">
        <w:rPr>
          <w:rFonts w:cstheme="minorHAnsi"/>
        </w:rPr>
        <w:t>1994</w:t>
      </w:r>
      <w:r w:rsidRPr="00F06532">
        <w:rPr>
          <w:rFonts w:cstheme="minorHAnsi"/>
          <w:i/>
          <w:iCs/>
        </w:rPr>
        <w:t>:</w:t>
      </w:r>
      <w:r w:rsidRPr="00F06532">
        <w:rPr>
          <w:rFonts w:cstheme="minorHAnsi"/>
        </w:rPr>
        <w:t>173-194.</w:t>
      </w:r>
    </w:p>
    <w:p w14:paraId="23FC1276" w14:textId="77777777" w:rsidR="00924326" w:rsidRPr="00F06532" w:rsidRDefault="00924326" w:rsidP="00924326">
      <w:pPr>
        <w:pStyle w:val="EndNoteBibliography"/>
        <w:numPr>
          <w:ilvl w:val="0"/>
          <w:numId w:val="15"/>
        </w:numPr>
        <w:spacing w:after="0"/>
        <w:ind w:left="0"/>
        <w:jc w:val="both"/>
        <w:rPr>
          <w:rFonts w:asciiTheme="minorHAnsi" w:hAnsiTheme="minorHAnsi" w:cstheme="minorHAnsi"/>
        </w:rPr>
      </w:pPr>
      <w:r w:rsidRPr="00F06532">
        <w:rPr>
          <w:rFonts w:cstheme="minorHAnsi"/>
        </w:rPr>
        <w:t>Adams J, Hillier-Brown FC, Moore HJ, et al. Searching and synthesising ‘grey literature’ and ‘grey information’ in public health: critical reflections on three case studies. </w:t>
      </w:r>
      <w:r w:rsidRPr="00F06532">
        <w:rPr>
          <w:rFonts w:cstheme="minorHAnsi"/>
          <w:i/>
          <w:iCs/>
        </w:rPr>
        <w:t>Systematic reviews</w:t>
      </w:r>
      <w:r w:rsidRPr="00F06532">
        <w:rPr>
          <w:rFonts w:cstheme="minorHAnsi"/>
        </w:rPr>
        <w:t xml:space="preserve"> 2016;5(1):1-11.</w:t>
      </w:r>
    </w:p>
    <w:p w14:paraId="185D04EC" w14:textId="77777777" w:rsidR="00924326" w:rsidRPr="00F06532" w:rsidRDefault="00924326" w:rsidP="00924326">
      <w:pPr>
        <w:pStyle w:val="EndNoteBibliography"/>
        <w:numPr>
          <w:ilvl w:val="0"/>
          <w:numId w:val="15"/>
        </w:numPr>
        <w:spacing w:after="0"/>
        <w:ind w:left="0"/>
        <w:jc w:val="both"/>
        <w:rPr>
          <w:rFonts w:asciiTheme="minorHAnsi" w:hAnsiTheme="minorHAnsi" w:cstheme="minorHAnsi"/>
        </w:rPr>
      </w:pPr>
      <w:r w:rsidRPr="00F06532">
        <w:rPr>
          <w:rFonts w:cstheme="minorHAnsi"/>
        </w:rPr>
        <w:t>Briscoe S. Web searching for systematic reviews: a case study of reporting standards in the UK Health Technology Assessment Programme. </w:t>
      </w:r>
      <w:r w:rsidRPr="00F06532">
        <w:rPr>
          <w:rFonts w:cstheme="minorHAnsi"/>
          <w:i/>
          <w:iCs/>
        </w:rPr>
        <w:t>BMC research notes</w:t>
      </w:r>
      <w:r w:rsidRPr="00F06532">
        <w:rPr>
          <w:rFonts w:cstheme="minorHAnsi"/>
        </w:rPr>
        <w:t xml:space="preserve"> 2015;8(1):1-7.</w:t>
      </w:r>
    </w:p>
    <w:p w14:paraId="43929339" w14:textId="77777777" w:rsidR="00924326" w:rsidRPr="00F06532" w:rsidRDefault="00924326" w:rsidP="00924326">
      <w:pPr>
        <w:pStyle w:val="EndNoteBibliography"/>
        <w:numPr>
          <w:ilvl w:val="0"/>
          <w:numId w:val="15"/>
        </w:numPr>
        <w:spacing w:after="0"/>
        <w:ind w:left="0"/>
        <w:jc w:val="both"/>
        <w:rPr>
          <w:rFonts w:asciiTheme="minorHAnsi" w:hAnsiTheme="minorHAnsi" w:cstheme="minorHAnsi"/>
        </w:rPr>
      </w:pPr>
      <w:r w:rsidRPr="00F06532">
        <w:rPr>
          <w:rFonts w:cstheme="minorHAnsi"/>
        </w:rPr>
        <w:t>Godin K, Stapleton J, Kirkpatrick SI, et al. Applying systematic review search methods to the grey literature: a case study examining guidelines for school-based breakfast programs in Canada. </w:t>
      </w:r>
      <w:r w:rsidRPr="00F06532">
        <w:rPr>
          <w:rFonts w:cstheme="minorHAnsi"/>
          <w:i/>
          <w:iCs/>
        </w:rPr>
        <w:t>Systematic reviews</w:t>
      </w:r>
      <w:r w:rsidRPr="00F06532">
        <w:rPr>
          <w:rFonts w:cstheme="minorHAnsi"/>
        </w:rPr>
        <w:t xml:space="preserve"> 2015;4(1):1-10. </w:t>
      </w:r>
    </w:p>
    <w:p w14:paraId="6926C21A" w14:textId="77777777" w:rsidR="00924326" w:rsidRPr="00F06532" w:rsidRDefault="00924326" w:rsidP="00924326">
      <w:pPr>
        <w:pStyle w:val="EndNoteBibliography"/>
        <w:numPr>
          <w:ilvl w:val="0"/>
          <w:numId w:val="15"/>
        </w:numPr>
        <w:spacing w:after="0"/>
        <w:ind w:left="0"/>
        <w:jc w:val="both"/>
        <w:rPr>
          <w:rFonts w:asciiTheme="minorHAnsi" w:hAnsiTheme="minorHAnsi" w:cstheme="minorHAnsi"/>
        </w:rPr>
      </w:pPr>
      <w:r w:rsidRPr="00F06532">
        <w:rPr>
          <w:rFonts w:cstheme="minorHAnsi"/>
        </w:rPr>
        <w:t>Fusch PI, Ness LR. Are we there yet? Data saturation in qualitative research. </w:t>
      </w:r>
      <w:r w:rsidRPr="00F06532">
        <w:rPr>
          <w:rFonts w:cstheme="minorHAnsi"/>
          <w:i/>
          <w:iCs/>
        </w:rPr>
        <w:t xml:space="preserve">The qualitative report </w:t>
      </w:r>
      <w:r w:rsidRPr="00F06532">
        <w:rPr>
          <w:rFonts w:cstheme="minorHAnsi"/>
        </w:rPr>
        <w:t>2015;20(9):1408.</w:t>
      </w:r>
    </w:p>
    <w:p w14:paraId="0EF15BD4" w14:textId="77777777" w:rsidR="00924326" w:rsidRDefault="00924326" w:rsidP="00924326">
      <w:pPr>
        <w:pStyle w:val="ListParagraph"/>
        <w:numPr>
          <w:ilvl w:val="0"/>
          <w:numId w:val="15"/>
        </w:numPr>
        <w:spacing w:line="240" w:lineRule="auto"/>
        <w:ind w:left="0"/>
        <w:rPr>
          <w:rFonts w:cstheme="minorHAnsi"/>
        </w:rPr>
      </w:pPr>
      <w:r w:rsidRPr="008B7A40">
        <w:rPr>
          <w:rFonts w:cstheme="minorHAnsi"/>
        </w:rPr>
        <w:t>Mialon</w:t>
      </w:r>
      <w:r>
        <w:rPr>
          <w:rFonts w:cstheme="minorHAnsi"/>
        </w:rPr>
        <w:t xml:space="preserve"> </w:t>
      </w:r>
      <w:r w:rsidRPr="008B7A40">
        <w:rPr>
          <w:rFonts w:cstheme="minorHAnsi"/>
        </w:rPr>
        <w:t xml:space="preserve">M. An overview of the commercial determinants of health. </w:t>
      </w:r>
      <w:r w:rsidRPr="008B7A40">
        <w:rPr>
          <w:rFonts w:cstheme="minorHAnsi"/>
          <w:i/>
          <w:iCs/>
        </w:rPr>
        <w:t>Globalization and Health</w:t>
      </w:r>
      <w:r w:rsidRPr="008B7A40">
        <w:rPr>
          <w:rFonts w:cstheme="minorHAnsi"/>
        </w:rPr>
        <w:t xml:space="preserve"> </w:t>
      </w:r>
      <w:r>
        <w:rPr>
          <w:rFonts w:cstheme="minorHAnsi"/>
        </w:rPr>
        <w:t>2020;</w:t>
      </w:r>
      <w:r w:rsidRPr="008B7A40">
        <w:rPr>
          <w:rFonts w:cstheme="minorHAnsi"/>
        </w:rPr>
        <w:t>16(1)</w:t>
      </w:r>
      <w:r>
        <w:rPr>
          <w:rFonts w:cstheme="minorHAnsi"/>
        </w:rPr>
        <w:t>:</w:t>
      </w:r>
      <w:r w:rsidRPr="008B7A40">
        <w:rPr>
          <w:rFonts w:cstheme="minorHAnsi"/>
        </w:rPr>
        <w:t>1-7.</w:t>
      </w:r>
    </w:p>
    <w:p w14:paraId="5C5C9B92" w14:textId="77777777" w:rsidR="00924326" w:rsidRDefault="00924326" w:rsidP="00924326">
      <w:pPr>
        <w:pStyle w:val="ListParagraph"/>
        <w:numPr>
          <w:ilvl w:val="0"/>
          <w:numId w:val="15"/>
        </w:numPr>
        <w:spacing w:line="240" w:lineRule="auto"/>
        <w:ind w:left="0"/>
        <w:rPr>
          <w:rFonts w:cstheme="minorHAnsi"/>
        </w:rPr>
      </w:pPr>
      <w:r w:rsidRPr="0048774C">
        <w:rPr>
          <w:rFonts w:cstheme="minorHAnsi"/>
        </w:rPr>
        <w:t xml:space="preserve">Rochford C, Tenneti N, Moodie, R. Reframing the impact of business on health: the interface of corporate, commercial, political and social determinants of health. </w:t>
      </w:r>
      <w:r w:rsidRPr="0048774C">
        <w:rPr>
          <w:rFonts w:cstheme="minorHAnsi"/>
          <w:i/>
          <w:iCs/>
        </w:rPr>
        <w:t xml:space="preserve">BMJ Global Health </w:t>
      </w:r>
      <w:r w:rsidRPr="0048774C">
        <w:rPr>
          <w:rFonts w:cstheme="minorHAnsi"/>
        </w:rPr>
        <w:t>2019;4(4): e001510.</w:t>
      </w:r>
    </w:p>
    <w:p w14:paraId="67C91BC9" w14:textId="77777777" w:rsidR="00924326" w:rsidRDefault="00924326" w:rsidP="00924326">
      <w:pPr>
        <w:pStyle w:val="ListParagraph"/>
        <w:numPr>
          <w:ilvl w:val="0"/>
          <w:numId w:val="15"/>
        </w:numPr>
        <w:spacing w:line="240" w:lineRule="auto"/>
        <w:ind w:left="0"/>
        <w:rPr>
          <w:rFonts w:cstheme="minorHAnsi"/>
        </w:rPr>
      </w:pPr>
      <w:r w:rsidRPr="0048774C">
        <w:rPr>
          <w:rFonts w:cstheme="minorHAnsi"/>
        </w:rPr>
        <w:t xml:space="preserve">Jamieson L, Gibson B, Thomson, WM. Oral health inequalities and the corporate determinants of health: a commentary. </w:t>
      </w:r>
      <w:r w:rsidRPr="0048774C">
        <w:rPr>
          <w:rFonts w:cstheme="minorHAnsi"/>
          <w:i/>
          <w:iCs/>
        </w:rPr>
        <w:t xml:space="preserve">International journal of environmental research and public health </w:t>
      </w:r>
      <w:r w:rsidRPr="0048774C">
        <w:rPr>
          <w:rFonts w:cstheme="minorHAnsi"/>
        </w:rPr>
        <w:t>2020;17(18):6529.</w:t>
      </w:r>
    </w:p>
    <w:p w14:paraId="293BCF81" w14:textId="77777777" w:rsidR="00924326" w:rsidRDefault="00924326" w:rsidP="00924326">
      <w:pPr>
        <w:pStyle w:val="ListParagraph"/>
        <w:numPr>
          <w:ilvl w:val="0"/>
          <w:numId w:val="15"/>
        </w:numPr>
        <w:spacing w:line="240" w:lineRule="auto"/>
        <w:ind w:left="0"/>
        <w:rPr>
          <w:rFonts w:cstheme="minorHAnsi"/>
        </w:rPr>
      </w:pPr>
      <w:r w:rsidRPr="009664E8">
        <w:rPr>
          <w:rFonts w:cstheme="minorHAnsi"/>
          <w:lang w:val="pt-PT"/>
        </w:rPr>
        <w:t xml:space="preserve">Walls H, Cook S, Matzopoulos R, et al. </w:t>
      </w:r>
      <w:r w:rsidRPr="0048774C">
        <w:rPr>
          <w:rFonts w:cstheme="minorHAnsi"/>
        </w:rPr>
        <w:t xml:space="preserve">Advancing alcohol research in low-income and middle-income countries: a global alcohol environment framework. </w:t>
      </w:r>
      <w:r w:rsidRPr="0048774C">
        <w:rPr>
          <w:rFonts w:cstheme="minorHAnsi"/>
          <w:i/>
          <w:iCs/>
        </w:rPr>
        <w:t>BMJ Global Health</w:t>
      </w:r>
      <w:r w:rsidRPr="0048774C">
        <w:rPr>
          <w:rFonts w:cstheme="minorHAnsi"/>
        </w:rPr>
        <w:t xml:space="preserve"> 2020;5(4):e001958.</w:t>
      </w:r>
    </w:p>
    <w:p w14:paraId="76944766" w14:textId="77777777" w:rsidR="00924326" w:rsidRDefault="00924326" w:rsidP="00924326">
      <w:pPr>
        <w:pStyle w:val="ListParagraph"/>
        <w:numPr>
          <w:ilvl w:val="0"/>
          <w:numId w:val="15"/>
        </w:numPr>
        <w:spacing w:line="240" w:lineRule="auto"/>
        <w:ind w:left="0"/>
        <w:rPr>
          <w:rFonts w:cstheme="minorHAnsi"/>
        </w:rPr>
      </w:pPr>
      <w:r w:rsidRPr="0048774C">
        <w:rPr>
          <w:rFonts w:cstheme="minorHAnsi"/>
        </w:rPr>
        <w:t>Clapp J, Scrinis G. Big food, nutritionism, and corporate power. Globalizations 2017;14(4):578-595</w:t>
      </w:r>
      <w:r>
        <w:rPr>
          <w:rFonts w:cstheme="minorHAnsi"/>
        </w:rPr>
        <w:t>.</w:t>
      </w:r>
    </w:p>
    <w:p w14:paraId="31841575" w14:textId="77777777" w:rsidR="00924326" w:rsidRDefault="00924326" w:rsidP="00924326">
      <w:pPr>
        <w:pStyle w:val="ListParagraph"/>
        <w:numPr>
          <w:ilvl w:val="0"/>
          <w:numId w:val="15"/>
        </w:numPr>
        <w:spacing w:line="240" w:lineRule="auto"/>
        <w:ind w:left="0"/>
        <w:rPr>
          <w:rFonts w:cstheme="minorHAnsi"/>
        </w:rPr>
      </w:pPr>
      <w:r w:rsidRPr="0048774C">
        <w:rPr>
          <w:rFonts w:cstheme="minorHAnsi"/>
        </w:rPr>
        <w:t>Wood B, Baker P, Sacks G. Conceptualising the commercial determinants of health using a power lens: a review and synthesis of existing frameworks. International Journal of Health Policy and Management 2021.</w:t>
      </w:r>
    </w:p>
    <w:p w14:paraId="3337F7A8" w14:textId="77777777" w:rsidR="00924326" w:rsidRDefault="00924326" w:rsidP="00924326">
      <w:pPr>
        <w:pStyle w:val="ListParagraph"/>
        <w:numPr>
          <w:ilvl w:val="0"/>
          <w:numId w:val="15"/>
        </w:numPr>
        <w:spacing w:line="240" w:lineRule="auto"/>
        <w:ind w:left="0"/>
        <w:rPr>
          <w:rFonts w:cstheme="minorHAnsi"/>
        </w:rPr>
      </w:pPr>
      <w:r w:rsidRPr="009664E8">
        <w:rPr>
          <w:rFonts w:cstheme="minorHAnsi"/>
          <w:lang w:val="nl-NL"/>
        </w:rPr>
        <w:t xml:space="preserve">Baker P, Russ K, Kang M, et al. </w:t>
      </w:r>
      <w:r w:rsidRPr="0048774C">
        <w:rPr>
          <w:rFonts w:cstheme="minorHAnsi"/>
        </w:rPr>
        <w:t>Globalization, first-foods systems transformations and corporate power: a synthesis of literature and data on the market and political practices of the transnational baby food industry. Globalization and health 2021;17(1):1-35.</w:t>
      </w:r>
    </w:p>
    <w:p w14:paraId="0524ACD2" w14:textId="77777777" w:rsidR="00924326" w:rsidRPr="0048774C" w:rsidRDefault="00924326" w:rsidP="00924326">
      <w:pPr>
        <w:pStyle w:val="ListParagraph"/>
        <w:numPr>
          <w:ilvl w:val="0"/>
          <w:numId w:val="15"/>
        </w:numPr>
        <w:spacing w:line="240" w:lineRule="auto"/>
        <w:ind w:left="0"/>
        <w:rPr>
          <w:rFonts w:cstheme="minorHAnsi"/>
        </w:rPr>
      </w:pPr>
      <w:r w:rsidRPr="0048774C">
        <w:rPr>
          <w:rFonts w:cstheme="minorHAnsi"/>
        </w:rPr>
        <w:t>Milsom P, Smith R, Baker P, et al. Corporate power and the international trade regime preventing progressive policy action on non-communicable diseases: a realist review. Health policy and planning 2021;36(4):493-508.</w:t>
      </w:r>
    </w:p>
    <w:p w14:paraId="6B069E06" w14:textId="77777777" w:rsidR="00924326" w:rsidRPr="008B7A40" w:rsidRDefault="00924326" w:rsidP="00924326">
      <w:pPr>
        <w:pStyle w:val="ListParagraph"/>
        <w:numPr>
          <w:ilvl w:val="0"/>
          <w:numId w:val="15"/>
        </w:numPr>
        <w:spacing w:line="240" w:lineRule="auto"/>
        <w:ind w:left="0"/>
        <w:rPr>
          <w:rFonts w:cstheme="minorHAnsi"/>
        </w:rPr>
      </w:pPr>
      <w:r w:rsidRPr="008B7A40">
        <w:rPr>
          <w:rFonts w:cstheme="minorHAnsi"/>
          <w:color w:val="222222"/>
          <w:shd w:val="clear" w:color="auto" w:fill="FFFFFF"/>
        </w:rPr>
        <w:t>Knai</w:t>
      </w:r>
      <w:r>
        <w:rPr>
          <w:rFonts w:cstheme="minorHAnsi"/>
          <w:color w:val="222222"/>
          <w:shd w:val="clear" w:color="auto" w:fill="FFFFFF"/>
        </w:rPr>
        <w:t xml:space="preserve"> </w:t>
      </w:r>
      <w:r w:rsidRPr="008B7A40">
        <w:rPr>
          <w:rFonts w:cstheme="minorHAnsi"/>
          <w:color w:val="222222"/>
          <w:shd w:val="clear" w:color="auto" w:fill="FFFFFF"/>
        </w:rPr>
        <w:t>C, Petticrew M, Mays</w:t>
      </w:r>
      <w:r>
        <w:rPr>
          <w:rFonts w:cstheme="minorHAnsi"/>
          <w:color w:val="222222"/>
          <w:shd w:val="clear" w:color="auto" w:fill="FFFFFF"/>
        </w:rPr>
        <w:t xml:space="preserve"> </w:t>
      </w:r>
      <w:r w:rsidRPr="008B7A40">
        <w:rPr>
          <w:rFonts w:cstheme="minorHAnsi"/>
          <w:color w:val="222222"/>
          <w:shd w:val="clear" w:color="auto" w:fill="FFFFFF"/>
        </w:rPr>
        <w:t>N,</w:t>
      </w:r>
      <w:r>
        <w:rPr>
          <w:rFonts w:cstheme="minorHAnsi"/>
          <w:color w:val="222222"/>
          <w:shd w:val="clear" w:color="auto" w:fill="FFFFFF"/>
        </w:rPr>
        <w:t xml:space="preserve"> et al. </w:t>
      </w:r>
      <w:r w:rsidRPr="008B7A40">
        <w:rPr>
          <w:rFonts w:cstheme="minorHAnsi"/>
          <w:color w:val="222222"/>
          <w:shd w:val="clear" w:color="auto" w:fill="FFFFFF"/>
        </w:rPr>
        <w:t>Systems thinking as a framework for analyzing commercial determinants of health. </w:t>
      </w:r>
      <w:r w:rsidRPr="008B7A40">
        <w:rPr>
          <w:rFonts w:cstheme="minorHAnsi"/>
          <w:i/>
          <w:iCs/>
          <w:color w:val="222222"/>
          <w:shd w:val="clear" w:color="auto" w:fill="FFFFFF"/>
        </w:rPr>
        <w:t>The Milbank Quarterly</w:t>
      </w:r>
      <w:r>
        <w:rPr>
          <w:rFonts w:cstheme="minorHAnsi"/>
          <w:color w:val="222222"/>
          <w:shd w:val="clear" w:color="auto" w:fill="FFFFFF"/>
        </w:rPr>
        <w:t xml:space="preserve"> </w:t>
      </w:r>
      <w:r w:rsidRPr="002168D8">
        <w:rPr>
          <w:rFonts w:cstheme="minorHAnsi"/>
          <w:color w:val="222222"/>
          <w:shd w:val="clear" w:color="auto" w:fill="FFFFFF"/>
        </w:rPr>
        <w:t>2018;96(3):472-498</w:t>
      </w:r>
      <w:r w:rsidRPr="008B7A40">
        <w:rPr>
          <w:rFonts w:cstheme="minorHAnsi"/>
          <w:color w:val="222222"/>
          <w:shd w:val="clear" w:color="auto" w:fill="FFFFFF"/>
        </w:rPr>
        <w:t>.</w:t>
      </w:r>
    </w:p>
    <w:p w14:paraId="77E92CAF" w14:textId="77777777" w:rsidR="00924326" w:rsidRPr="008B7A40" w:rsidRDefault="00924326" w:rsidP="00924326">
      <w:pPr>
        <w:pStyle w:val="ListParagraph"/>
        <w:numPr>
          <w:ilvl w:val="0"/>
          <w:numId w:val="15"/>
        </w:numPr>
        <w:spacing w:line="240" w:lineRule="auto"/>
        <w:ind w:left="0"/>
        <w:rPr>
          <w:rFonts w:cstheme="minorHAnsi"/>
        </w:rPr>
      </w:pPr>
      <w:r w:rsidRPr="009664E8">
        <w:rPr>
          <w:rFonts w:cstheme="minorHAnsi"/>
          <w:color w:val="222222"/>
          <w:shd w:val="clear" w:color="auto" w:fill="FFFFFF"/>
          <w:lang w:val="fr-FR"/>
        </w:rPr>
        <w:lastRenderedPageBreak/>
        <w:t xml:space="preserve">Campbell N, Mialon M, Reilly K, et al. </w:t>
      </w:r>
      <w:r w:rsidRPr="008B7A40">
        <w:rPr>
          <w:rFonts w:cstheme="minorHAnsi"/>
          <w:color w:val="222222"/>
          <w:shd w:val="clear" w:color="auto" w:fill="FFFFFF"/>
        </w:rPr>
        <w:t>How are frames generated? Insights from the industry lobby against the sugar tax in Ireland. </w:t>
      </w:r>
      <w:r w:rsidRPr="008B7A40">
        <w:rPr>
          <w:rFonts w:cstheme="minorHAnsi"/>
          <w:i/>
          <w:iCs/>
          <w:color w:val="222222"/>
          <w:shd w:val="clear" w:color="auto" w:fill="FFFFFF"/>
        </w:rPr>
        <w:t>Social Science &amp; Medicine</w:t>
      </w:r>
      <w:r>
        <w:rPr>
          <w:rFonts w:cstheme="minorHAnsi"/>
          <w:color w:val="222222"/>
          <w:shd w:val="clear" w:color="auto" w:fill="FFFFFF"/>
        </w:rPr>
        <w:t xml:space="preserve"> </w:t>
      </w:r>
      <w:r w:rsidRPr="002168D8">
        <w:rPr>
          <w:rFonts w:cstheme="minorHAnsi"/>
          <w:color w:val="222222"/>
          <w:shd w:val="clear" w:color="auto" w:fill="FFFFFF"/>
        </w:rPr>
        <w:t>2020;264:113215</w:t>
      </w:r>
      <w:r w:rsidRPr="008B7A40">
        <w:rPr>
          <w:rFonts w:cstheme="minorHAnsi"/>
          <w:color w:val="222222"/>
          <w:shd w:val="clear" w:color="auto" w:fill="FFFFFF"/>
        </w:rPr>
        <w:t>.</w:t>
      </w:r>
    </w:p>
    <w:p w14:paraId="476433FA" w14:textId="77777777" w:rsidR="00924326" w:rsidRPr="008B7A40" w:rsidRDefault="00924326" w:rsidP="00924326">
      <w:pPr>
        <w:pStyle w:val="ListParagraph"/>
        <w:numPr>
          <w:ilvl w:val="0"/>
          <w:numId w:val="15"/>
        </w:numPr>
        <w:spacing w:line="240" w:lineRule="auto"/>
        <w:ind w:left="0"/>
        <w:rPr>
          <w:rFonts w:cstheme="minorHAnsi"/>
        </w:rPr>
      </w:pPr>
      <w:r w:rsidRPr="008B7A40">
        <w:rPr>
          <w:rFonts w:cstheme="minorHAnsi"/>
        </w:rPr>
        <w:t>Knai C, Petticrew</w:t>
      </w:r>
      <w:r>
        <w:rPr>
          <w:rFonts w:cstheme="minorHAnsi"/>
        </w:rPr>
        <w:t xml:space="preserve"> </w:t>
      </w:r>
      <w:r w:rsidRPr="008B7A40">
        <w:rPr>
          <w:rFonts w:cstheme="minorHAnsi"/>
        </w:rPr>
        <w:t>M</w:t>
      </w:r>
      <w:r>
        <w:rPr>
          <w:rFonts w:cstheme="minorHAnsi"/>
        </w:rPr>
        <w:t>,</w:t>
      </w:r>
      <w:r w:rsidRPr="008B7A40">
        <w:rPr>
          <w:rFonts w:cstheme="minorHAnsi"/>
        </w:rPr>
        <w:t xml:space="preserve"> Capewell</w:t>
      </w:r>
      <w:r>
        <w:rPr>
          <w:rFonts w:cstheme="minorHAnsi"/>
        </w:rPr>
        <w:t xml:space="preserve"> </w:t>
      </w:r>
      <w:r w:rsidRPr="008B7A40">
        <w:rPr>
          <w:rFonts w:cstheme="minorHAnsi"/>
        </w:rPr>
        <w:t>S,</w:t>
      </w:r>
      <w:r>
        <w:rPr>
          <w:rFonts w:cstheme="minorHAnsi"/>
        </w:rPr>
        <w:t xml:space="preserve"> et al.</w:t>
      </w:r>
      <w:r w:rsidRPr="008B7A40">
        <w:rPr>
          <w:rFonts w:cstheme="minorHAnsi"/>
        </w:rPr>
        <w:t xml:space="preserve"> The case for developing a cohesive systems approach to research across unhealthy commodity industries</w:t>
      </w:r>
      <w:r w:rsidRPr="008B7A40">
        <w:rPr>
          <w:rFonts w:cstheme="minorHAnsi"/>
          <w:i/>
          <w:iCs/>
        </w:rPr>
        <w:t>. BMJ global healt</w:t>
      </w:r>
      <w:r>
        <w:rPr>
          <w:rFonts w:cstheme="minorHAnsi"/>
          <w:i/>
          <w:iCs/>
        </w:rPr>
        <w:t>h</w:t>
      </w:r>
      <w:r w:rsidRPr="008B7A40">
        <w:rPr>
          <w:rFonts w:cstheme="minorHAnsi"/>
        </w:rPr>
        <w:t xml:space="preserve"> </w:t>
      </w:r>
      <w:r>
        <w:rPr>
          <w:rFonts w:cstheme="minorHAnsi"/>
        </w:rPr>
        <w:t>2021;</w:t>
      </w:r>
      <w:r w:rsidRPr="008B7A40">
        <w:rPr>
          <w:rFonts w:cstheme="minorHAnsi"/>
        </w:rPr>
        <w:t>6(2)</w:t>
      </w:r>
      <w:r>
        <w:rPr>
          <w:rFonts w:cstheme="minorHAnsi"/>
        </w:rPr>
        <w:t>:</w:t>
      </w:r>
      <w:r w:rsidRPr="008B7A40">
        <w:rPr>
          <w:rFonts w:cstheme="minorHAnsi"/>
        </w:rPr>
        <w:t>e003543.</w:t>
      </w:r>
    </w:p>
    <w:p w14:paraId="6A2AE824" w14:textId="77777777" w:rsidR="00924326" w:rsidRPr="008B7A40" w:rsidRDefault="00924326" w:rsidP="00924326">
      <w:pPr>
        <w:pStyle w:val="ListParagraph"/>
        <w:numPr>
          <w:ilvl w:val="0"/>
          <w:numId w:val="15"/>
        </w:numPr>
        <w:spacing w:line="240" w:lineRule="auto"/>
        <w:ind w:left="0"/>
        <w:rPr>
          <w:rFonts w:cstheme="minorHAnsi"/>
        </w:rPr>
      </w:pPr>
      <w:r w:rsidRPr="008B7A40">
        <w:rPr>
          <w:rFonts w:cstheme="minorHAnsi"/>
        </w:rPr>
        <w:t>Mialon M, Julia C, Hercberg</w:t>
      </w:r>
      <w:r>
        <w:rPr>
          <w:rFonts w:cstheme="minorHAnsi"/>
        </w:rPr>
        <w:t xml:space="preserve"> </w:t>
      </w:r>
      <w:r w:rsidRPr="008B7A40">
        <w:rPr>
          <w:rFonts w:cstheme="minorHAnsi"/>
        </w:rPr>
        <w:t>S.</w:t>
      </w:r>
      <w:r>
        <w:rPr>
          <w:rFonts w:cstheme="minorHAnsi"/>
        </w:rPr>
        <w:t xml:space="preserve"> </w:t>
      </w:r>
      <w:r w:rsidRPr="008B7A40">
        <w:rPr>
          <w:rFonts w:cstheme="minorHAnsi"/>
        </w:rPr>
        <w:t xml:space="preserve">The policy dystopia model adapted to the food industry: the example of the Nutri-Score saga in France. </w:t>
      </w:r>
      <w:r w:rsidRPr="008B7A40">
        <w:rPr>
          <w:rFonts w:cstheme="minorHAnsi"/>
          <w:i/>
          <w:iCs/>
        </w:rPr>
        <w:t>World Nutrition</w:t>
      </w:r>
      <w:r w:rsidRPr="008B7A40">
        <w:rPr>
          <w:rFonts w:cstheme="minorHAnsi"/>
        </w:rPr>
        <w:t xml:space="preserve"> </w:t>
      </w:r>
      <w:r>
        <w:rPr>
          <w:rFonts w:cstheme="minorHAnsi"/>
        </w:rPr>
        <w:t>2018;</w:t>
      </w:r>
      <w:r w:rsidRPr="008B7A40">
        <w:rPr>
          <w:rFonts w:cstheme="minorHAnsi"/>
        </w:rPr>
        <w:t>9(2)</w:t>
      </w:r>
      <w:r>
        <w:rPr>
          <w:rFonts w:cstheme="minorHAnsi"/>
        </w:rPr>
        <w:t>:</w:t>
      </w:r>
      <w:r w:rsidRPr="008B7A40">
        <w:rPr>
          <w:rFonts w:cstheme="minorHAnsi"/>
        </w:rPr>
        <w:t>109-120.</w:t>
      </w:r>
    </w:p>
    <w:p w14:paraId="0B18A39E" w14:textId="77777777" w:rsidR="00924326" w:rsidRPr="008B7A40" w:rsidRDefault="00924326" w:rsidP="00924326">
      <w:pPr>
        <w:pStyle w:val="ListParagraph"/>
        <w:numPr>
          <w:ilvl w:val="0"/>
          <w:numId w:val="15"/>
        </w:numPr>
        <w:spacing w:line="240" w:lineRule="auto"/>
        <w:ind w:left="0"/>
        <w:rPr>
          <w:rFonts w:cstheme="minorHAnsi"/>
        </w:rPr>
      </w:pPr>
      <w:r w:rsidRPr="008B7A40">
        <w:rPr>
          <w:rFonts w:cstheme="minorHAnsi"/>
          <w:color w:val="222222"/>
          <w:shd w:val="clear" w:color="auto" w:fill="FFFFFF"/>
        </w:rPr>
        <w:t>Savell E, Gilmore</w:t>
      </w:r>
      <w:r>
        <w:rPr>
          <w:rFonts w:cstheme="minorHAnsi"/>
          <w:color w:val="222222"/>
          <w:shd w:val="clear" w:color="auto" w:fill="FFFFFF"/>
        </w:rPr>
        <w:t xml:space="preserve"> </w:t>
      </w:r>
      <w:r w:rsidRPr="008B7A40">
        <w:rPr>
          <w:rFonts w:cstheme="minorHAnsi"/>
          <w:color w:val="222222"/>
          <w:shd w:val="clear" w:color="auto" w:fill="FFFFFF"/>
        </w:rPr>
        <w:t>AB, Fooks G.</w:t>
      </w:r>
      <w:r>
        <w:rPr>
          <w:rFonts w:cstheme="minorHAnsi"/>
          <w:color w:val="222222"/>
          <w:shd w:val="clear" w:color="auto" w:fill="FFFFFF"/>
        </w:rPr>
        <w:t xml:space="preserve"> </w:t>
      </w:r>
      <w:r w:rsidRPr="008B7A40">
        <w:rPr>
          <w:rFonts w:cstheme="minorHAnsi"/>
          <w:color w:val="222222"/>
          <w:shd w:val="clear" w:color="auto" w:fill="FFFFFF"/>
        </w:rPr>
        <w:t>How does the tobacco industry attempt to influence marketing regulations? A systematic review. </w:t>
      </w:r>
      <w:r w:rsidRPr="008B7A40">
        <w:rPr>
          <w:rFonts w:cstheme="minorHAnsi"/>
          <w:i/>
          <w:iCs/>
          <w:color w:val="222222"/>
          <w:shd w:val="clear" w:color="auto" w:fill="FFFFFF"/>
        </w:rPr>
        <w:t>PloS one</w:t>
      </w:r>
      <w:r>
        <w:rPr>
          <w:rFonts w:cstheme="minorHAnsi"/>
          <w:color w:val="222222"/>
          <w:shd w:val="clear" w:color="auto" w:fill="FFFFFF"/>
        </w:rPr>
        <w:t xml:space="preserve"> 2014;</w:t>
      </w:r>
      <w:r w:rsidRPr="008B7A40">
        <w:rPr>
          <w:rFonts w:cstheme="minorHAnsi"/>
          <w:i/>
          <w:iCs/>
          <w:color w:val="222222"/>
          <w:shd w:val="clear" w:color="auto" w:fill="FFFFFF"/>
        </w:rPr>
        <w:t>9</w:t>
      </w:r>
      <w:r w:rsidRPr="008B7A40">
        <w:rPr>
          <w:rFonts w:cstheme="minorHAnsi"/>
          <w:color w:val="222222"/>
          <w:shd w:val="clear" w:color="auto" w:fill="FFFFFF"/>
        </w:rPr>
        <w:t>(2)</w:t>
      </w:r>
      <w:r>
        <w:rPr>
          <w:rFonts w:cstheme="minorHAnsi"/>
          <w:color w:val="222222"/>
          <w:shd w:val="clear" w:color="auto" w:fill="FFFFFF"/>
        </w:rPr>
        <w:t>:</w:t>
      </w:r>
      <w:r w:rsidRPr="008B7A40">
        <w:rPr>
          <w:rFonts w:cstheme="minorHAnsi"/>
          <w:color w:val="222222"/>
          <w:shd w:val="clear" w:color="auto" w:fill="FFFFFF"/>
        </w:rPr>
        <w:t>e87389.</w:t>
      </w:r>
    </w:p>
    <w:p w14:paraId="4B49A583" w14:textId="77777777" w:rsidR="00924326" w:rsidRPr="008B7A40" w:rsidRDefault="00924326" w:rsidP="00924326">
      <w:pPr>
        <w:pStyle w:val="ListParagraph"/>
        <w:numPr>
          <w:ilvl w:val="0"/>
          <w:numId w:val="15"/>
        </w:numPr>
        <w:spacing w:line="240" w:lineRule="auto"/>
        <w:ind w:left="0"/>
        <w:rPr>
          <w:rFonts w:cstheme="minorHAnsi"/>
        </w:rPr>
      </w:pPr>
      <w:r w:rsidRPr="008B7A40">
        <w:rPr>
          <w:rFonts w:cstheme="minorHAnsi"/>
        </w:rPr>
        <w:t>Ulucanlar</w:t>
      </w:r>
      <w:r>
        <w:rPr>
          <w:rFonts w:cstheme="minorHAnsi"/>
        </w:rPr>
        <w:t xml:space="preserve"> </w:t>
      </w:r>
      <w:r w:rsidRPr="008B7A40">
        <w:rPr>
          <w:rFonts w:cstheme="minorHAnsi"/>
        </w:rPr>
        <w:t>S, Fooks G</w:t>
      </w:r>
      <w:r>
        <w:rPr>
          <w:rFonts w:cstheme="minorHAnsi"/>
        </w:rPr>
        <w:t>J</w:t>
      </w:r>
      <w:r w:rsidRPr="008B7A40">
        <w:rPr>
          <w:rFonts w:cstheme="minorHAnsi"/>
        </w:rPr>
        <w:t>, Gilmore</w:t>
      </w:r>
      <w:r>
        <w:rPr>
          <w:rFonts w:cstheme="minorHAnsi"/>
        </w:rPr>
        <w:t xml:space="preserve"> </w:t>
      </w:r>
      <w:r w:rsidRPr="008B7A40">
        <w:rPr>
          <w:rFonts w:cstheme="minorHAnsi"/>
        </w:rPr>
        <w:t>AB.</w:t>
      </w:r>
      <w:r>
        <w:rPr>
          <w:rFonts w:cstheme="minorHAnsi"/>
        </w:rPr>
        <w:t xml:space="preserve"> </w:t>
      </w:r>
      <w:r w:rsidRPr="008B7A40">
        <w:rPr>
          <w:rFonts w:cstheme="minorHAnsi"/>
        </w:rPr>
        <w:t xml:space="preserve">The policy dystopia model: an interpretive analysis of tobacco industry political activity. </w:t>
      </w:r>
      <w:r w:rsidRPr="008B7A40">
        <w:rPr>
          <w:rFonts w:cstheme="minorHAnsi"/>
          <w:i/>
          <w:iCs/>
        </w:rPr>
        <w:t>PLoS Medicine</w:t>
      </w:r>
      <w:r w:rsidRPr="008B7A40">
        <w:rPr>
          <w:rFonts w:cstheme="minorHAnsi"/>
        </w:rPr>
        <w:t xml:space="preserve"> </w:t>
      </w:r>
      <w:r>
        <w:rPr>
          <w:rFonts w:cstheme="minorHAnsi"/>
        </w:rPr>
        <w:t>2016;</w:t>
      </w:r>
      <w:r w:rsidRPr="008B7A40">
        <w:rPr>
          <w:rFonts w:cstheme="minorHAnsi"/>
        </w:rPr>
        <w:t>13(9)</w:t>
      </w:r>
      <w:r>
        <w:rPr>
          <w:rFonts w:cstheme="minorHAnsi"/>
        </w:rPr>
        <w:t>:</w:t>
      </w:r>
      <w:r w:rsidRPr="008B7A40">
        <w:rPr>
          <w:rFonts w:cstheme="minorHAnsi"/>
        </w:rPr>
        <w:t>e1002125.</w:t>
      </w:r>
    </w:p>
    <w:p w14:paraId="635F6682" w14:textId="77777777" w:rsidR="00924326" w:rsidRPr="008B7A40" w:rsidRDefault="00924326" w:rsidP="00924326">
      <w:pPr>
        <w:pStyle w:val="ListParagraph"/>
        <w:numPr>
          <w:ilvl w:val="0"/>
          <w:numId w:val="15"/>
        </w:numPr>
        <w:spacing w:line="240" w:lineRule="auto"/>
        <w:ind w:left="0"/>
        <w:rPr>
          <w:rFonts w:cstheme="minorHAnsi"/>
        </w:rPr>
      </w:pPr>
      <w:r w:rsidRPr="008B7A40">
        <w:rPr>
          <w:rFonts w:cstheme="minorHAnsi"/>
          <w:color w:val="222222"/>
          <w:shd w:val="clear" w:color="auto" w:fill="FFFFFF"/>
        </w:rPr>
        <w:t>Hancock L</w:t>
      </w:r>
      <w:r>
        <w:rPr>
          <w:rFonts w:cstheme="minorHAnsi"/>
          <w:color w:val="222222"/>
          <w:shd w:val="clear" w:color="auto" w:fill="FFFFFF"/>
        </w:rPr>
        <w:t>,</w:t>
      </w:r>
      <w:r w:rsidRPr="008B7A40">
        <w:rPr>
          <w:rFonts w:cstheme="minorHAnsi"/>
          <w:color w:val="222222"/>
          <w:shd w:val="clear" w:color="auto" w:fill="FFFFFF"/>
        </w:rPr>
        <w:t xml:space="preserve"> Ralph N, Martino FP.</w:t>
      </w:r>
      <w:r>
        <w:rPr>
          <w:rFonts w:cstheme="minorHAnsi"/>
          <w:color w:val="222222"/>
          <w:shd w:val="clear" w:color="auto" w:fill="FFFFFF"/>
        </w:rPr>
        <w:t xml:space="preserve"> </w:t>
      </w:r>
      <w:r w:rsidRPr="008B7A40">
        <w:rPr>
          <w:rFonts w:cstheme="minorHAnsi"/>
          <w:color w:val="222222"/>
          <w:shd w:val="clear" w:color="auto" w:fill="FFFFFF"/>
        </w:rPr>
        <w:t>Applying Corporate Political Activity (CPA) analysis to Australian gambling industry submissions against regulation of television sports betting advertising. </w:t>
      </w:r>
      <w:r w:rsidRPr="008B7A40">
        <w:rPr>
          <w:rFonts w:cstheme="minorHAnsi"/>
          <w:i/>
          <w:iCs/>
          <w:color w:val="222222"/>
          <w:shd w:val="clear" w:color="auto" w:fill="FFFFFF"/>
        </w:rPr>
        <w:t>PloS one</w:t>
      </w:r>
      <w:r>
        <w:rPr>
          <w:rFonts w:cstheme="minorHAnsi"/>
          <w:color w:val="222222"/>
          <w:shd w:val="clear" w:color="auto" w:fill="FFFFFF"/>
        </w:rPr>
        <w:t xml:space="preserve"> 2018;</w:t>
      </w:r>
      <w:r w:rsidRPr="00934629">
        <w:rPr>
          <w:rFonts w:cstheme="minorHAnsi"/>
          <w:color w:val="222222"/>
          <w:shd w:val="clear" w:color="auto" w:fill="FFFFFF"/>
        </w:rPr>
        <w:t>13(10):</w:t>
      </w:r>
      <w:r w:rsidRPr="008B7A40">
        <w:rPr>
          <w:rFonts w:cstheme="minorHAnsi"/>
          <w:color w:val="222222"/>
          <w:shd w:val="clear" w:color="auto" w:fill="FFFFFF"/>
        </w:rPr>
        <w:t>e0205654.</w:t>
      </w:r>
    </w:p>
    <w:p w14:paraId="5DEC73D9" w14:textId="77777777" w:rsidR="00924326" w:rsidRPr="008B7A40" w:rsidRDefault="00924326" w:rsidP="00924326">
      <w:pPr>
        <w:pStyle w:val="ListParagraph"/>
        <w:numPr>
          <w:ilvl w:val="0"/>
          <w:numId w:val="15"/>
        </w:numPr>
        <w:spacing w:line="240" w:lineRule="auto"/>
        <w:ind w:left="0"/>
        <w:rPr>
          <w:rFonts w:cstheme="minorHAnsi"/>
        </w:rPr>
      </w:pPr>
      <w:r w:rsidRPr="008B7A40">
        <w:rPr>
          <w:rFonts w:cstheme="minorHAnsi"/>
          <w:color w:val="222222"/>
          <w:shd w:val="clear" w:color="auto" w:fill="FFFFFF"/>
        </w:rPr>
        <w:t>Mariath AB, Martins APB.</w:t>
      </w:r>
      <w:r>
        <w:rPr>
          <w:rFonts w:cstheme="minorHAnsi"/>
          <w:color w:val="222222"/>
          <w:shd w:val="clear" w:color="auto" w:fill="FFFFFF"/>
        </w:rPr>
        <w:t xml:space="preserve"> </w:t>
      </w:r>
      <w:r w:rsidRPr="008B7A40">
        <w:rPr>
          <w:rFonts w:cstheme="minorHAnsi"/>
          <w:color w:val="222222"/>
          <w:shd w:val="clear" w:color="auto" w:fill="FFFFFF"/>
        </w:rPr>
        <w:t>Sugary drinks taxation: industry’s lobbying strategies, practices and arguments in the Brazilian Legislature. </w:t>
      </w:r>
      <w:r w:rsidRPr="008B7A40">
        <w:rPr>
          <w:rFonts w:cstheme="minorHAnsi"/>
          <w:i/>
          <w:iCs/>
          <w:color w:val="222222"/>
          <w:shd w:val="clear" w:color="auto" w:fill="FFFFFF"/>
        </w:rPr>
        <w:t>Public health nutrition</w:t>
      </w:r>
      <w:r>
        <w:rPr>
          <w:rFonts w:cstheme="minorHAnsi"/>
          <w:color w:val="222222"/>
          <w:shd w:val="clear" w:color="auto" w:fill="FFFFFF"/>
        </w:rPr>
        <w:t xml:space="preserve"> </w:t>
      </w:r>
      <w:r w:rsidRPr="00934629">
        <w:rPr>
          <w:rFonts w:cstheme="minorHAnsi"/>
          <w:color w:val="222222"/>
          <w:shd w:val="clear" w:color="auto" w:fill="FFFFFF"/>
        </w:rPr>
        <w:t>2022;25(1):170</w:t>
      </w:r>
      <w:r w:rsidRPr="008B7A40">
        <w:rPr>
          <w:rFonts w:cstheme="minorHAnsi"/>
          <w:color w:val="222222"/>
          <w:shd w:val="clear" w:color="auto" w:fill="FFFFFF"/>
        </w:rPr>
        <w:t>-179.</w:t>
      </w:r>
    </w:p>
    <w:p w14:paraId="532537E1" w14:textId="77777777" w:rsidR="00924326" w:rsidRPr="008B7A40" w:rsidRDefault="00924326" w:rsidP="00924326">
      <w:pPr>
        <w:pStyle w:val="ListParagraph"/>
        <w:numPr>
          <w:ilvl w:val="0"/>
          <w:numId w:val="15"/>
        </w:numPr>
        <w:spacing w:line="240" w:lineRule="auto"/>
        <w:ind w:left="0"/>
        <w:rPr>
          <w:rFonts w:cstheme="minorHAnsi"/>
        </w:rPr>
      </w:pPr>
      <w:r w:rsidRPr="008B7A40">
        <w:rPr>
          <w:rFonts w:cstheme="minorHAnsi"/>
          <w:color w:val="222222"/>
          <w:shd w:val="clear" w:color="auto" w:fill="FFFFFF"/>
        </w:rPr>
        <w:t>Trochim WMK, Stillman</w:t>
      </w:r>
      <w:r>
        <w:rPr>
          <w:rFonts w:cstheme="minorHAnsi"/>
          <w:color w:val="222222"/>
          <w:shd w:val="clear" w:color="auto" w:fill="FFFFFF"/>
        </w:rPr>
        <w:t xml:space="preserve"> </w:t>
      </w:r>
      <w:r w:rsidRPr="008B7A40">
        <w:rPr>
          <w:rFonts w:cstheme="minorHAnsi"/>
          <w:color w:val="222222"/>
          <w:shd w:val="clear" w:color="auto" w:fill="FFFFFF"/>
        </w:rPr>
        <w:t>FA, Clark PI,</w:t>
      </w:r>
      <w:r>
        <w:rPr>
          <w:rFonts w:cstheme="minorHAnsi"/>
          <w:color w:val="222222"/>
          <w:shd w:val="clear" w:color="auto" w:fill="FFFFFF"/>
        </w:rPr>
        <w:t xml:space="preserve"> et al. </w:t>
      </w:r>
      <w:r w:rsidRPr="008B7A40">
        <w:rPr>
          <w:rFonts w:cstheme="minorHAnsi"/>
          <w:color w:val="222222"/>
          <w:shd w:val="clear" w:color="auto" w:fill="FFFFFF"/>
        </w:rPr>
        <w:t>Development of a model of the tobacco industry’s interference with tobacco control programmes. </w:t>
      </w:r>
      <w:r w:rsidRPr="008B7A40">
        <w:rPr>
          <w:rFonts w:cstheme="minorHAnsi"/>
          <w:i/>
          <w:iCs/>
          <w:color w:val="222222"/>
          <w:shd w:val="clear" w:color="auto" w:fill="FFFFFF"/>
        </w:rPr>
        <w:t>Tobacco Control</w:t>
      </w:r>
      <w:r w:rsidRPr="008B7A40">
        <w:rPr>
          <w:rFonts w:cstheme="minorHAnsi"/>
          <w:color w:val="222222"/>
          <w:shd w:val="clear" w:color="auto" w:fill="FFFFFF"/>
        </w:rPr>
        <w:t> </w:t>
      </w:r>
      <w:r w:rsidRPr="00934629">
        <w:rPr>
          <w:rFonts w:cstheme="minorHAnsi"/>
          <w:color w:val="222222"/>
          <w:shd w:val="clear" w:color="auto" w:fill="FFFFFF"/>
        </w:rPr>
        <w:t>2003;12(2):</w:t>
      </w:r>
      <w:r w:rsidRPr="008B7A40">
        <w:rPr>
          <w:rFonts w:cstheme="minorHAnsi"/>
          <w:color w:val="222222"/>
          <w:shd w:val="clear" w:color="auto" w:fill="FFFFFF"/>
        </w:rPr>
        <w:t>140-147.</w:t>
      </w:r>
    </w:p>
    <w:p w14:paraId="55DD89BB" w14:textId="77777777" w:rsidR="00924326" w:rsidRPr="008B7A40" w:rsidRDefault="00924326" w:rsidP="00924326">
      <w:pPr>
        <w:pStyle w:val="ListParagraph"/>
        <w:numPr>
          <w:ilvl w:val="0"/>
          <w:numId w:val="15"/>
        </w:numPr>
        <w:spacing w:line="240" w:lineRule="auto"/>
        <w:ind w:left="0"/>
        <w:rPr>
          <w:rFonts w:cstheme="minorHAnsi"/>
        </w:rPr>
      </w:pPr>
      <w:r w:rsidRPr="009664E8">
        <w:rPr>
          <w:rFonts w:cstheme="minorHAnsi"/>
          <w:color w:val="222222"/>
          <w:shd w:val="clear" w:color="auto" w:fill="FFFFFF"/>
          <w:lang w:val="it-IT"/>
        </w:rPr>
        <w:t xml:space="preserve">Bunn C, Mtema O, Songo J, et al. </w:t>
      </w:r>
      <w:r w:rsidRPr="008B7A40">
        <w:rPr>
          <w:rFonts w:cstheme="minorHAnsi"/>
          <w:color w:val="222222"/>
          <w:shd w:val="clear" w:color="auto" w:fill="FFFFFF"/>
        </w:rPr>
        <w:t>The growth of sports betting in Malawi: corporate strategies, public space and public health. </w:t>
      </w:r>
      <w:r w:rsidRPr="008B7A40">
        <w:rPr>
          <w:rFonts w:cstheme="minorHAnsi"/>
          <w:i/>
          <w:iCs/>
          <w:color w:val="222222"/>
          <w:shd w:val="clear" w:color="auto" w:fill="FFFFFF"/>
        </w:rPr>
        <w:t>Public health</w:t>
      </w:r>
      <w:r w:rsidRPr="008B7A40">
        <w:rPr>
          <w:rFonts w:cstheme="minorHAnsi"/>
          <w:color w:val="222222"/>
          <w:shd w:val="clear" w:color="auto" w:fill="FFFFFF"/>
        </w:rPr>
        <w:t> </w:t>
      </w:r>
      <w:r>
        <w:rPr>
          <w:rFonts w:cstheme="minorHAnsi"/>
          <w:color w:val="222222"/>
          <w:shd w:val="clear" w:color="auto" w:fill="FFFFFF"/>
        </w:rPr>
        <w:t>2020</w:t>
      </w:r>
      <w:r w:rsidRPr="00934629">
        <w:rPr>
          <w:rFonts w:cstheme="minorHAnsi"/>
          <w:color w:val="222222"/>
          <w:shd w:val="clear" w:color="auto" w:fill="FFFFFF"/>
        </w:rPr>
        <w:t>;184:95</w:t>
      </w:r>
      <w:r w:rsidRPr="008B7A40">
        <w:rPr>
          <w:rFonts w:cstheme="minorHAnsi"/>
          <w:color w:val="222222"/>
          <w:shd w:val="clear" w:color="auto" w:fill="FFFFFF"/>
        </w:rPr>
        <w:t>-101.</w:t>
      </w:r>
    </w:p>
    <w:p w14:paraId="2EF9A05A" w14:textId="77777777" w:rsidR="00924326" w:rsidRPr="008B7A40" w:rsidRDefault="00924326" w:rsidP="00924326">
      <w:pPr>
        <w:pStyle w:val="ListParagraph"/>
        <w:numPr>
          <w:ilvl w:val="0"/>
          <w:numId w:val="15"/>
        </w:numPr>
        <w:spacing w:line="240" w:lineRule="auto"/>
        <w:ind w:left="0"/>
        <w:rPr>
          <w:rFonts w:cstheme="minorHAnsi"/>
        </w:rPr>
      </w:pPr>
      <w:r w:rsidRPr="008B7A40">
        <w:rPr>
          <w:rFonts w:cstheme="minorHAnsi"/>
          <w:color w:val="222222"/>
          <w:shd w:val="clear" w:color="auto" w:fill="FFFFFF"/>
        </w:rPr>
        <w:t>Thomas SL, David</w:t>
      </w:r>
      <w:r>
        <w:rPr>
          <w:rFonts w:cstheme="minorHAnsi"/>
          <w:color w:val="222222"/>
          <w:shd w:val="clear" w:color="auto" w:fill="FFFFFF"/>
        </w:rPr>
        <w:t xml:space="preserve"> </w:t>
      </w:r>
      <w:r w:rsidRPr="008B7A40">
        <w:rPr>
          <w:rFonts w:cstheme="minorHAnsi"/>
          <w:color w:val="222222"/>
          <w:shd w:val="clear" w:color="auto" w:fill="FFFFFF"/>
        </w:rPr>
        <w:t>J, Randle M</w:t>
      </w:r>
      <w:r>
        <w:rPr>
          <w:rFonts w:cstheme="minorHAnsi"/>
          <w:color w:val="222222"/>
          <w:shd w:val="clear" w:color="auto" w:fill="FFFFFF"/>
        </w:rPr>
        <w:t>, et al.</w:t>
      </w:r>
      <w:r w:rsidRPr="008B7A40">
        <w:rPr>
          <w:rFonts w:cstheme="minorHAnsi"/>
          <w:color w:val="222222"/>
          <w:shd w:val="clear" w:color="auto" w:fill="FFFFFF"/>
        </w:rPr>
        <w:t xml:space="preserve"> Gambling advocacy: lessons from tobacco, alcohol and junk food. </w:t>
      </w:r>
      <w:r w:rsidRPr="008B7A40">
        <w:rPr>
          <w:rFonts w:cstheme="minorHAnsi"/>
          <w:i/>
          <w:iCs/>
          <w:color w:val="222222"/>
          <w:shd w:val="clear" w:color="auto" w:fill="FFFFFF"/>
        </w:rPr>
        <w:t>Australian and New Zealand journal of public health</w:t>
      </w:r>
      <w:r>
        <w:rPr>
          <w:rFonts w:cstheme="minorHAnsi"/>
          <w:color w:val="222222"/>
          <w:shd w:val="clear" w:color="auto" w:fill="FFFFFF"/>
        </w:rPr>
        <w:t xml:space="preserve"> </w:t>
      </w:r>
      <w:r w:rsidRPr="00934629">
        <w:rPr>
          <w:rFonts w:cstheme="minorHAnsi"/>
          <w:color w:val="222222"/>
          <w:shd w:val="clear" w:color="auto" w:fill="FFFFFF"/>
        </w:rPr>
        <w:t>2016;40(3):211-217</w:t>
      </w:r>
      <w:r w:rsidRPr="008B7A40">
        <w:rPr>
          <w:rFonts w:cstheme="minorHAnsi"/>
          <w:color w:val="222222"/>
          <w:shd w:val="clear" w:color="auto" w:fill="FFFFFF"/>
        </w:rPr>
        <w:t>.</w:t>
      </w:r>
    </w:p>
    <w:p w14:paraId="3989793C" w14:textId="77777777" w:rsidR="00924326" w:rsidRPr="008B7A40" w:rsidRDefault="00924326" w:rsidP="00924326">
      <w:pPr>
        <w:pStyle w:val="ListParagraph"/>
        <w:numPr>
          <w:ilvl w:val="0"/>
          <w:numId w:val="15"/>
        </w:numPr>
        <w:spacing w:line="240" w:lineRule="auto"/>
        <w:ind w:left="0"/>
        <w:rPr>
          <w:rFonts w:cstheme="minorHAnsi"/>
        </w:rPr>
      </w:pPr>
      <w:r w:rsidRPr="008B7A40">
        <w:rPr>
          <w:rFonts w:cstheme="minorHAnsi"/>
          <w:color w:val="222222"/>
          <w:shd w:val="clear" w:color="auto" w:fill="FFFFFF"/>
        </w:rPr>
        <w:t>Scott</w:t>
      </w:r>
      <w:r>
        <w:rPr>
          <w:rFonts w:cstheme="minorHAnsi"/>
          <w:color w:val="222222"/>
          <w:shd w:val="clear" w:color="auto" w:fill="FFFFFF"/>
        </w:rPr>
        <w:t xml:space="preserve"> </w:t>
      </w:r>
      <w:r w:rsidRPr="008B7A40">
        <w:rPr>
          <w:rFonts w:cstheme="minorHAnsi"/>
          <w:color w:val="222222"/>
          <w:shd w:val="clear" w:color="auto" w:fill="FFFFFF"/>
        </w:rPr>
        <w:t>C, Hawkins</w:t>
      </w:r>
      <w:r>
        <w:rPr>
          <w:rFonts w:cstheme="minorHAnsi"/>
          <w:color w:val="222222"/>
          <w:shd w:val="clear" w:color="auto" w:fill="FFFFFF"/>
        </w:rPr>
        <w:t xml:space="preserve"> </w:t>
      </w:r>
      <w:r w:rsidRPr="008B7A40">
        <w:rPr>
          <w:rFonts w:cstheme="minorHAnsi"/>
          <w:color w:val="222222"/>
          <w:shd w:val="clear" w:color="auto" w:fill="FFFFFF"/>
        </w:rPr>
        <w:t>B, Knai C.</w:t>
      </w:r>
      <w:r>
        <w:rPr>
          <w:rFonts w:cstheme="minorHAnsi"/>
          <w:color w:val="222222"/>
          <w:shd w:val="clear" w:color="auto" w:fill="FFFFFF"/>
        </w:rPr>
        <w:t xml:space="preserve"> </w:t>
      </w:r>
      <w:r w:rsidRPr="008B7A40">
        <w:rPr>
          <w:rFonts w:cstheme="minorHAnsi"/>
          <w:color w:val="222222"/>
          <w:shd w:val="clear" w:color="auto" w:fill="FFFFFF"/>
        </w:rPr>
        <w:t>Food and beverage product reformulation as a corporate political strategy. </w:t>
      </w:r>
      <w:r w:rsidRPr="008B7A40">
        <w:rPr>
          <w:rFonts w:cstheme="minorHAnsi"/>
          <w:i/>
          <w:iCs/>
          <w:color w:val="222222"/>
          <w:shd w:val="clear" w:color="auto" w:fill="FFFFFF"/>
        </w:rPr>
        <w:t>Social science &amp; medicine</w:t>
      </w:r>
      <w:r>
        <w:rPr>
          <w:rFonts w:cstheme="minorHAnsi"/>
          <w:color w:val="222222"/>
          <w:shd w:val="clear" w:color="auto" w:fill="FFFFFF"/>
        </w:rPr>
        <w:t xml:space="preserve"> </w:t>
      </w:r>
      <w:r w:rsidRPr="00934629">
        <w:rPr>
          <w:rFonts w:cstheme="minorHAnsi"/>
          <w:color w:val="222222"/>
          <w:shd w:val="clear" w:color="auto" w:fill="FFFFFF"/>
        </w:rPr>
        <w:t>2017;172:37</w:t>
      </w:r>
      <w:r w:rsidRPr="008B7A40">
        <w:rPr>
          <w:rFonts w:cstheme="minorHAnsi"/>
          <w:color w:val="222222"/>
          <w:shd w:val="clear" w:color="auto" w:fill="FFFFFF"/>
        </w:rPr>
        <w:t>-45.</w:t>
      </w:r>
    </w:p>
    <w:p w14:paraId="69FCB2C9" w14:textId="77777777" w:rsidR="00924326" w:rsidRPr="008B7A40" w:rsidRDefault="00924326" w:rsidP="00924326">
      <w:pPr>
        <w:pStyle w:val="ListParagraph"/>
        <w:numPr>
          <w:ilvl w:val="0"/>
          <w:numId w:val="15"/>
        </w:numPr>
        <w:spacing w:line="240" w:lineRule="auto"/>
        <w:ind w:left="0"/>
        <w:rPr>
          <w:rFonts w:cstheme="minorHAnsi"/>
        </w:rPr>
      </w:pPr>
      <w:r w:rsidRPr="008B7A40">
        <w:rPr>
          <w:rFonts w:cstheme="minorHAnsi"/>
          <w:color w:val="222222"/>
          <w:shd w:val="clear" w:color="auto" w:fill="FFFFFF"/>
        </w:rPr>
        <w:t>Babor</w:t>
      </w:r>
      <w:r>
        <w:rPr>
          <w:rFonts w:cstheme="minorHAnsi"/>
          <w:color w:val="222222"/>
          <w:shd w:val="clear" w:color="auto" w:fill="FFFFFF"/>
        </w:rPr>
        <w:t xml:space="preserve"> </w:t>
      </w:r>
      <w:r w:rsidRPr="008B7A40">
        <w:rPr>
          <w:rFonts w:cstheme="minorHAnsi"/>
          <w:color w:val="222222"/>
          <w:shd w:val="clear" w:color="auto" w:fill="FFFFFF"/>
        </w:rPr>
        <w:t>TF, Robaina</w:t>
      </w:r>
      <w:r>
        <w:rPr>
          <w:rFonts w:cstheme="minorHAnsi"/>
          <w:color w:val="222222"/>
          <w:shd w:val="clear" w:color="auto" w:fill="FFFFFF"/>
        </w:rPr>
        <w:t xml:space="preserve"> </w:t>
      </w:r>
      <w:r w:rsidRPr="008B7A40">
        <w:rPr>
          <w:rFonts w:cstheme="minorHAnsi"/>
          <w:color w:val="222222"/>
          <w:shd w:val="clear" w:color="auto" w:fill="FFFFFF"/>
        </w:rPr>
        <w:t>K.</w:t>
      </w:r>
      <w:r>
        <w:rPr>
          <w:rFonts w:cstheme="minorHAnsi"/>
          <w:color w:val="222222"/>
          <w:shd w:val="clear" w:color="auto" w:fill="FFFFFF"/>
        </w:rPr>
        <w:t xml:space="preserve"> </w:t>
      </w:r>
      <w:r w:rsidRPr="008B7A40">
        <w:rPr>
          <w:rFonts w:cstheme="minorHAnsi"/>
          <w:color w:val="222222"/>
          <w:shd w:val="clear" w:color="auto" w:fill="FFFFFF"/>
        </w:rPr>
        <w:t>Public health, academic medicine, and the alcohol industry’s corporate social responsibility activities. </w:t>
      </w:r>
      <w:r w:rsidRPr="008B7A40">
        <w:rPr>
          <w:rFonts w:cstheme="minorHAnsi"/>
          <w:i/>
          <w:iCs/>
          <w:color w:val="222222"/>
          <w:shd w:val="clear" w:color="auto" w:fill="FFFFFF"/>
        </w:rPr>
        <w:t>American journal of public health</w:t>
      </w:r>
      <w:r>
        <w:rPr>
          <w:rFonts w:cstheme="minorHAnsi"/>
          <w:color w:val="222222"/>
          <w:shd w:val="clear" w:color="auto" w:fill="FFFFFF"/>
        </w:rPr>
        <w:t xml:space="preserve"> 2013;</w:t>
      </w:r>
      <w:r w:rsidRPr="00934629">
        <w:rPr>
          <w:rFonts w:cstheme="minorHAnsi"/>
          <w:color w:val="222222"/>
          <w:shd w:val="clear" w:color="auto" w:fill="FFFFFF"/>
        </w:rPr>
        <w:t>103(2):206</w:t>
      </w:r>
      <w:r w:rsidRPr="008B7A40">
        <w:rPr>
          <w:rFonts w:cstheme="minorHAnsi"/>
          <w:color w:val="222222"/>
          <w:shd w:val="clear" w:color="auto" w:fill="FFFFFF"/>
        </w:rPr>
        <w:t>-214.</w:t>
      </w:r>
    </w:p>
    <w:p w14:paraId="1E63A782" w14:textId="77777777" w:rsidR="00924326" w:rsidRPr="008B7A40" w:rsidRDefault="00924326" w:rsidP="00924326">
      <w:pPr>
        <w:pStyle w:val="ListParagraph"/>
        <w:numPr>
          <w:ilvl w:val="0"/>
          <w:numId w:val="15"/>
        </w:numPr>
        <w:spacing w:line="240" w:lineRule="auto"/>
        <w:ind w:left="0"/>
        <w:rPr>
          <w:rFonts w:cstheme="minorHAnsi"/>
        </w:rPr>
      </w:pPr>
      <w:r w:rsidRPr="008B7A40">
        <w:rPr>
          <w:rFonts w:cstheme="minorHAnsi"/>
          <w:color w:val="222222"/>
          <w:shd w:val="clear" w:color="auto" w:fill="FFFFFF"/>
        </w:rPr>
        <w:t>Barraclough S</w:t>
      </w:r>
      <w:r>
        <w:rPr>
          <w:rFonts w:cstheme="minorHAnsi"/>
          <w:color w:val="222222"/>
          <w:shd w:val="clear" w:color="auto" w:fill="FFFFFF"/>
        </w:rPr>
        <w:t>,</w:t>
      </w:r>
      <w:r w:rsidRPr="008B7A40">
        <w:rPr>
          <w:rFonts w:cstheme="minorHAnsi"/>
          <w:color w:val="222222"/>
          <w:shd w:val="clear" w:color="auto" w:fill="FFFFFF"/>
        </w:rPr>
        <w:t xml:space="preserve"> Morrow</w:t>
      </w:r>
      <w:r>
        <w:rPr>
          <w:rFonts w:cstheme="minorHAnsi"/>
          <w:color w:val="222222"/>
          <w:shd w:val="clear" w:color="auto" w:fill="FFFFFF"/>
        </w:rPr>
        <w:t xml:space="preserve"> </w:t>
      </w:r>
      <w:r w:rsidRPr="008B7A40">
        <w:rPr>
          <w:rFonts w:cstheme="minorHAnsi"/>
          <w:color w:val="222222"/>
          <w:shd w:val="clear" w:color="auto" w:fill="FFFFFF"/>
        </w:rPr>
        <w:t>M.</w:t>
      </w:r>
      <w:r>
        <w:rPr>
          <w:rFonts w:cstheme="minorHAnsi"/>
          <w:color w:val="222222"/>
          <w:shd w:val="clear" w:color="auto" w:fill="FFFFFF"/>
        </w:rPr>
        <w:t xml:space="preserve"> </w:t>
      </w:r>
      <w:r w:rsidRPr="008B7A40">
        <w:rPr>
          <w:rFonts w:cstheme="minorHAnsi"/>
          <w:color w:val="222222"/>
          <w:shd w:val="clear" w:color="auto" w:fill="FFFFFF"/>
        </w:rPr>
        <w:t xml:space="preserve">A grim contradiction: </w:t>
      </w:r>
      <w:r>
        <w:rPr>
          <w:rFonts w:cstheme="minorHAnsi"/>
          <w:color w:val="222222"/>
          <w:shd w:val="clear" w:color="auto" w:fill="FFFFFF"/>
        </w:rPr>
        <w:t>T</w:t>
      </w:r>
      <w:r w:rsidRPr="008B7A40">
        <w:rPr>
          <w:rFonts w:cstheme="minorHAnsi"/>
          <w:color w:val="222222"/>
          <w:shd w:val="clear" w:color="auto" w:fill="FFFFFF"/>
        </w:rPr>
        <w:t>he practice and consequences of corporate social responsibility by British American Tobacco in Malaysia. </w:t>
      </w:r>
      <w:r w:rsidRPr="008B7A40">
        <w:rPr>
          <w:rFonts w:cstheme="minorHAnsi"/>
          <w:i/>
          <w:iCs/>
          <w:color w:val="222222"/>
          <w:shd w:val="clear" w:color="auto" w:fill="FFFFFF"/>
        </w:rPr>
        <w:t>Social science &amp; medicine</w:t>
      </w:r>
      <w:r>
        <w:rPr>
          <w:rFonts w:cstheme="minorHAnsi"/>
          <w:color w:val="222222"/>
          <w:shd w:val="clear" w:color="auto" w:fill="FFFFFF"/>
        </w:rPr>
        <w:t xml:space="preserve"> 2008</w:t>
      </w:r>
      <w:r w:rsidRPr="00934629">
        <w:rPr>
          <w:rFonts w:cstheme="minorHAnsi"/>
          <w:color w:val="222222"/>
          <w:shd w:val="clear" w:color="auto" w:fill="FFFFFF"/>
        </w:rPr>
        <w:t>;66(8):1784</w:t>
      </w:r>
      <w:r w:rsidRPr="008B7A40">
        <w:rPr>
          <w:rFonts w:cstheme="minorHAnsi"/>
          <w:color w:val="222222"/>
          <w:shd w:val="clear" w:color="auto" w:fill="FFFFFF"/>
        </w:rPr>
        <w:t>-1796.</w:t>
      </w:r>
    </w:p>
    <w:p w14:paraId="701DDB93" w14:textId="77777777" w:rsidR="00924326" w:rsidRPr="008B7A40" w:rsidRDefault="00924326" w:rsidP="00924326">
      <w:pPr>
        <w:pStyle w:val="ListParagraph"/>
        <w:numPr>
          <w:ilvl w:val="0"/>
          <w:numId w:val="15"/>
        </w:numPr>
        <w:spacing w:line="240" w:lineRule="auto"/>
        <w:ind w:left="0"/>
        <w:rPr>
          <w:rFonts w:cstheme="minorHAnsi"/>
        </w:rPr>
      </w:pPr>
      <w:r w:rsidRPr="009664E8">
        <w:rPr>
          <w:rFonts w:cstheme="minorHAnsi"/>
          <w:color w:val="222222"/>
          <w:shd w:val="clear" w:color="auto" w:fill="FFFFFF"/>
          <w:lang w:val="it-IT"/>
        </w:rPr>
        <w:t xml:space="preserve">Cavalcanti BO, Costa SA, Ferris E, et al. </w:t>
      </w:r>
      <w:r w:rsidRPr="008B7A40">
        <w:rPr>
          <w:rFonts w:cstheme="minorHAnsi"/>
          <w:color w:val="222222"/>
          <w:shd w:val="clear" w:color="auto" w:fill="FFFFFF"/>
        </w:rPr>
        <w:t>Benchmarking food and beverage company investment in healthful eating and active living initiatives. </w:t>
      </w:r>
      <w:r w:rsidRPr="008B7A40">
        <w:rPr>
          <w:rFonts w:cstheme="minorHAnsi"/>
          <w:i/>
          <w:iCs/>
          <w:color w:val="222222"/>
          <w:shd w:val="clear" w:color="auto" w:fill="FFFFFF"/>
        </w:rPr>
        <w:t>Corporate Social Responsibility and Environmental Management</w:t>
      </w:r>
      <w:r>
        <w:rPr>
          <w:rFonts w:cstheme="minorHAnsi"/>
          <w:color w:val="222222"/>
          <w:shd w:val="clear" w:color="auto" w:fill="FFFFFF"/>
        </w:rPr>
        <w:t xml:space="preserve"> </w:t>
      </w:r>
      <w:r w:rsidRPr="00934629">
        <w:rPr>
          <w:rFonts w:cstheme="minorHAnsi"/>
          <w:color w:val="222222"/>
          <w:shd w:val="clear" w:color="auto" w:fill="FFFFFF"/>
        </w:rPr>
        <w:t>2020;27(2):10</w:t>
      </w:r>
      <w:r w:rsidRPr="008B7A40">
        <w:rPr>
          <w:rFonts w:cstheme="minorHAnsi"/>
          <w:color w:val="222222"/>
          <w:shd w:val="clear" w:color="auto" w:fill="FFFFFF"/>
        </w:rPr>
        <w:t>51-1068.</w:t>
      </w:r>
    </w:p>
    <w:p w14:paraId="447D7CD4" w14:textId="77777777" w:rsidR="00924326" w:rsidRPr="008B7A40" w:rsidRDefault="00924326" w:rsidP="00924326">
      <w:pPr>
        <w:pStyle w:val="ListParagraph"/>
        <w:numPr>
          <w:ilvl w:val="0"/>
          <w:numId w:val="15"/>
        </w:numPr>
        <w:spacing w:line="240" w:lineRule="auto"/>
        <w:ind w:left="0"/>
        <w:rPr>
          <w:rFonts w:cstheme="minorHAnsi"/>
        </w:rPr>
      </w:pPr>
      <w:r w:rsidRPr="008B7A40">
        <w:rPr>
          <w:rFonts w:cstheme="minorHAnsi"/>
          <w:color w:val="222222"/>
          <w:shd w:val="clear" w:color="auto" w:fill="FFFFFF"/>
        </w:rPr>
        <w:t>Hastings G</w:t>
      </w:r>
      <w:r>
        <w:rPr>
          <w:rFonts w:cstheme="minorHAnsi"/>
          <w:color w:val="222222"/>
          <w:shd w:val="clear" w:color="auto" w:fill="FFFFFF"/>
        </w:rPr>
        <w:t>,</w:t>
      </w:r>
      <w:r w:rsidRPr="008B7A40">
        <w:rPr>
          <w:rFonts w:cstheme="minorHAnsi"/>
          <w:color w:val="222222"/>
          <w:shd w:val="clear" w:color="auto" w:fill="FFFFFF"/>
        </w:rPr>
        <w:t xml:space="preserve"> Liberman</w:t>
      </w:r>
      <w:r>
        <w:rPr>
          <w:rFonts w:cstheme="minorHAnsi"/>
          <w:color w:val="222222"/>
          <w:shd w:val="clear" w:color="auto" w:fill="FFFFFF"/>
        </w:rPr>
        <w:t xml:space="preserve"> </w:t>
      </w:r>
      <w:r w:rsidRPr="008B7A40">
        <w:rPr>
          <w:rFonts w:cstheme="minorHAnsi"/>
          <w:color w:val="222222"/>
          <w:shd w:val="clear" w:color="auto" w:fill="FFFFFF"/>
        </w:rPr>
        <w:t>J.</w:t>
      </w:r>
      <w:r>
        <w:rPr>
          <w:rFonts w:cstheme="minorHAnsi"/>
          <w:color w:val="222222"/>
          <w:shd w:val="clear" w:color="auto" w:fill="FFFFFF"/>
        </w:rPr>
        <w:t xml:space="preserve"> </w:t>
      </w:r>
      <w:r w:rsidRPr="008B7A40">
        <w:rPr>
          <w:rFonts w:cstheme="minorHAnsi"/>
          <w:color w:val="222222"/>
          <w:shd w:val="clear" w:color="auto" w:fill="FFFFFF"/>
        </w:rPr>
        <w:t>Tobacco corporate social responsibility and fairy godmothers: the Framework Convention on Tobacco Control slays a modern myth. </w:t>
      </w:r>
      <w:r w:rsidRPr="008B7A40">
        <w:rPr>
          <w:rFonts w:cstheme="minorHAnsi"/>
          <w:i/>
          <w:iCs/>
          <w:color w:val="222222"/>
          <w:shd w:val="clear" w:color="auto" w:fill="FFFFFF"/>
        </w:rPr>
        <w:t>Tobacco Control</w:t>
      </w:r>
      <w:r>
        <w:rPr>
          <w:rFonts w:cstheme="minorHAnsi"/>
          <w:color w:val="222222"/>
          <w:shd w:val="clear" w:color="auto" w:fill="FFFFFF"/>
        </w:rPr>
        <w:t xml:space="preserve"> </w:t>
      </w:r>
      <w:r w:rsidRPr="00934629">
        <w:rPr>
          <w:rFonts w:cstheme="minorHAnsi"/>
          <w:color w:val="222222"/>
          <w:shd w:val="clear" w:color="auto" w:fill="FFFFFF"/>
        </w:rPr>
        <w:t>2009;18(2):73-74</w:t>
      </w:r>
      <w:r w:rsidRPr="008B7A40">
        <w:rPr>
          <w:rFonts w:cstheme="minorHAnsi"/>
          <w:color w:val="222222"/>
          <w:shd w:val="clear" w:color="auto" w:fill="FFFFFF"/>
        </w:rPr>
        <w:t>.</w:t>
      </w:r>
    </w:p>
    <w:p w14:paraId="1D2AB68C" w14:textId="77777777" w:rsidR="00924326" w:rsidRPr="008B7A40" w:rsidRDefault="00924326" w:rsidP="00924326">
      <w:pPr>
        <w:pStyle w:val="ListParagraph"/>
        <w:numPr>
          <w:ilvl w:val="0"/>
          <w:numId w:val="15"/>
        </w:numPr>
        <w:spacing w:line="240" w:lineRule="auto"/>
        <w:ind w:left="0"/>
        <w:rPr>
          <w:rFonts w:cstheme="minorHAnsi"/>
        </w:rPr>
      </w:pPr>
      <w:r w:rsidRPr="008B7A40">
        <w:rPr>
          <w:rFonts w:cstheme="minorHAnsi"/>
          <w:color w:val="222222"/>
          <w:shd w:val="clear" w:color="auto" w:fill="FFFFFF"/>
        </w:rPr>
        <w:t>Jones SC, Wyatt</w:t>
      </w:r>
      <w:r>
        <w:rPr>
          <w:rFonts w:cstheme="minorHAnsi"/>
          <w:color w:val="222222"/>
          <w:shd w:val="clear" w:color="auto" w:fill="FFFFFF"/>
        </w:rPr>
        <w:t xml:space="preserve"> </w:t>
      </w:r>
      <w:r w:rsidRPr="008B7A40">
        <w:rPr>
          <w:rFonts w:cstheme="minorHAnsi"/>
          <w:color w:val="222222"/>
          <w:shd w:val="clear" w:color="auto" w:fill="FFFFFF"/>
        </w:rPr>
        <w:t>A, Daube</w:t>
      </w:r>
      <w:r>
        <w:rPr>
          <w:rFonts w:cstheme="minorHAnsi"/>
          <w:color w:val="222222"/>
          <w:shd w:val="clear" w:color="auto" w:fill="FFFFFF"/>
        </w:rPr>
        <w:t xml:space="preserve"> </w:t>
      </w:r>
      <w:r w:rsidRPr="008B7A40">
        <w:rPr>
          <w:rFonts w:cstheme="minorHAnsi"/>
          <w:color w:val="222222"/>
          <w:shd w:val="clear" w:color="auto" w:fill="FFFFFF"/>
        </w:rPr>
        <w:t>M.</w:t>
      </w:r>
      <w:r>
        <w:rPr>
          <w:rFonts w:cstheme="minorHAnsi"/>
          <w:color w:val="222222"/>
          <w:shd w:val="clear" w:color="auto" w:fill="FFFFFF"/>
        </w:rPr>
        <w:t xml:space="preserve"> </w:t>
      </w:r>
      <w:r w:rsidRPr="008B7A40">
        <w:rPr>
          <w:rFonts w:cstheme="minorHAnsi"/>
          <w:color w:val="222222"/>
          <w:shd w:val="clear" w:color="auto" w:fill="FFFFFF"/>
        </w:rPr>
        <w:t>Smokescreens and beer goggles: how alcohol industry CSM protects the industry. </w:t>
      </w:r>
      <w:r w:rsidRPr="008B7A40">
        <w:rPr>
          <w:rFonts w:cstheme="minorHAnsi"/>
          <w:i/>
          <w:iCs/>
          <w:color w:val="222222"/>
          <w:shd w:val="clear" w:color="auto" w:fill="FFFFFF"/>
        </w:rPr>
        <w:t>Social Marketing Quarterly</w:t>
      </w:r>
      <w:r>
        <w:rPr>
          <w:rFonts w:cstheme="minorHAnsi"/>
          <w:color w:val="222222"/>
          <w:shd w:val="clear" w:color="auto" w:fill="FFFFFF"/>
        </w:rPr>
        <w:t xml:space="preserve"> 2016;</w:t>
      </w:r>
      <w:r w:rsidRPr="00934629">
        <w:rPr>
          <w:rFonts w:cstheme="minorHAnsi"/>
          <w:color w:val="222222"/>
          <w:shd w:val="clear" w:color="auto" w:fill="FFFFFF"/>
        </w:rPr>
        <w:t>22(4):</w:t>
      </w:r>
      <w:r w:rsidRPr="008B7A40">
        <w:rPr>
          <w:rFonts w:cstheme="minorHAnsi"/>
          <w:color w:val="222222"/>
          <w:shd w:val="clear" w:color="auto" w:fill="FFFFFF"/>
        </w:rPr>
        <w:t>264-279.</w:t>
      </w:r>
    </w:p>
    <w:p w14:paraId="0AA9D10F" w14:textId="77777777" w:rsidR="00924326" w:rsidRPr="008B7A40" w:rsidRDefault="00924326" w:rsidP="00924326">
      <w:pPr>
        <w:pStyle w:val="ListParagraph"/>
        <w:numPr>
          <w:ilvl w:val="0"/>
          <w:numId w:val="15"/>
        </w:numPr>
        <w:spacing w:line="240" w:lineRule="auto"/>
        <w:ind w:left="0"/>
        <w:rPr>
          <w:rFonts w:cstheme="minorHAnsi"/>
        </w:rPr>
      </w:pPr>
      <w:r w:rsidRPr="008B7A40">
        <w:rPr>
          <w:rFonts w:cstheme="minorHAnsi"/>
          <w:color w:val="222222"/>
          <w:shd w:val="clear" w:color="auto" w:fill="FFFFFF"/>
        </w:rPr>
        <w:t>Fooks</w:t>
      </w:r>
      <w:r>
        <w:rPr>
          <w:rFonts w:cstheme="minorHAnsi"/>
          <w:color w:val="222222"/>
          <w:shd w:val="clear" w:color="auto" w:fill="FFFFFF"/>
        </w:rPr>
        <w:t xml:space="preserve"> </w:t>
      </w:r>
      <w:r w:rsidRPr="008B7A40">
        <w:rPr>
          <w:rFonts w:cstheme="minorHAnsi"/>
          <w:color w:val="222222"/>
          <w:shd w:val="clear" w:color="auto" w:fill="FFFFFF"/>
        </w:rPr>
        <w:t>GJ, Gilmore</w:t>
      </w:r>
      <w:r>
        <w:rPr>
          <w:rFonts w:cstheme="minorHAnsi"/>
          <w:color w:val="222222"/>
          <w:shd w:val="clear" w:color="auto" w:fill="FFFFFF"/>
        </w:rPr>
        <w:t xml:space="preserve"> AB. </w:t>
      </w:r>
      <w:r w:rsidRPr="008B7A40">
        <w:rPr>
          <w:rFonts w:cstheme="minorHAnsi"/>
          <w:color w:val="222222"/>
          <w:shd w:val="clear" w:color="auto" w:fill="FFFFFF"/>
        </w:rPr>
        <w:t>Corporate philanthropy, political influence, and health policy. </w:t>
      </w:r>
      <w:r w:rsidRPr="008B7A40">
        <w:rPr>
          <w:rFonts w:cstheme="minorHAnsi"/>
          <w:i/>
          <w:iCs/>
          <w:color w:val="222222"/>
          <w:shd w:val="clear" w:color="auto" w:fill="FFFFFF"/>
        </w:rPr>
        <w:t>PloS one</w:t>
      </w:r>
      <w:r>
        <w:rPr>
          <w:rFonts w:cstheme="minorHAnsi"/>
          <w:color w:val="222222"/>
          <w:shd w:val="clear" w:color="auto" w:fill="FFFFFF"/>
        </w:rPr>
        <w:t xml:space="preserve"> 2013;</w:t>
      </w:r>
      <w:r w:rsidRPr="008B7A40">
        <w:rPr>
          <w:rFonts w:cstheme="minorHAnsi"/>
          <w:i/>
          <w:iCs/>
          <w:color w:val="222222"/>
          <w:shd w:val="clear" w:color="auto" w:fill="FFFFFF"/>
        </w:rPr>
        <w:t>8</w:t>
      </w:r>
      <w:r w:rsidRPr="008B7A40">
        <w:rPr>
          <w:rFonts w:cstheme="minorHAnsi"/>
          <w:color w:val="222222"/>
          <w:shd w:val="clear" w:color="auto" w:fill="FFFFFF"/>
        </w:rPr>
        <w:t>(11)</w:t>
      </w:r>
      <w:r>
        <w:rPr>
          <w:rFonts w:cstheme="minorHAnsi"/>
          <w:color w:val="222222"/>
          <w:shd w:val="clear" w:color="auto" w:fill="FFFFFF"/>
        </w:rPr>
        <w:t>:</w:t>
      </w:r>
      <w:r w:rsidRPr="008B7A40">
        <w:rPr>
          <w:rFonts w:cstheme="minorHAnsi"/>
          <w:color w:val="222222"/>
          <w:shd w:val="clear" w:color="auto" w:fill="FFFFFF"/>
        </w:rPr>
        <w:t>e80864.</w:t>
      </w:r>
    </w:p>
    <w:p w14:paraId="2FC5E8C5" w14:textId="77777777" w:rsidR="00924326" w:rsidRPr="008B7A40" w:rsidRDefault="00924326" w:rsidP="00924326">
      <w:pPr>
        <w:pStyle w:val="ListParagraph"/>
        <w:numPr>
          <w:ilvl w:val="0"/>
          <w:numId w:val="15"/>
        </w:numPr>
        <w:spacing w:line="240" w:lineRule="auto"/>
        <w:ind w:left="0"/>
        <w:rPr>
          <w:rFonts w:cstheme="minorHAnsi"/>
        </w:rPr>
      </w:pPr>
      <w:r w:rsidRPr="009664E8">
        <w:rPr>
          <w:rFonts w:cstheme="minorHAnsi"/>
          <w:color w:val="222222"/>
          <w:shd w:val="clear" w:color="auto" w:fill="FFFFFF"/>
          <w:lang w:val="fr-FR"/>
        </w:rPr>
        <w:t xml:space="preserve">Luo JM, Lam CF, Chau KY, et al. </w:t>
      </w:r>
      <w:r w:rsidRPr="008B7A40">
        <w:rPr>
          <w:rFonts w:cstheme="minorHAnsi"/>
          <w:color w:val="222222"/>
          <w:shd w:val="clear" w:color="auto" w:fill="FFFFFF"/>
        </w:rPr>
        <w:t>Measuring corporate social responsibility in gambling industry: Multi-items stakeholder based scales. </w:t>
      </w:r>
      <w:r w:rsidRPr="008B7A40">
        <w:rPr>
          <w:rFonts w:cstheme="minorHAnsi"/>
          <w:i/>
          <w:iCs/>
          <w:color w:val="222222"/>
          <w:shd w:val="clear" w:color="auto" w:fill="FFFFFF"/>
        </w:rPr>
        <w:t>Sustainability</w:t>
      </w:r>
      <w:r>
        <w:rPr>
          <w:rFonts w:cstheme="minorHAnsi"/>
          <w:color w:val="222222"/>
          <w:shd w:val="clear" w:color="auto" w:fill="FFFFFF"/>
        </w:rPr>
        <w:t xml:space="preserve"> </w:t>
      </w:r>
      <w:r w:rsidRPr="00C660B6">
        <w:rPr>
          <w:rFonts w:cstheme="minorHAnsi"/>
          <w:color w:val="222222"/>
          <w:shd w:val="clear" w:color="auto" w:fill="FFFFFF"/>
        </w:rPr>
        <w:t>2017;9(11):2012</w:t>
      </w:r>
      <w:r w:rsidRPr="008B7A40">
        <w:rPr>
          <w:rFonts w:cstheme="minorHAnsi"/>
          <w:color w:val="222222"/>
          <w:shd w:val="clear" w:color="auto" w:fill="FFFFFF"/>
        </w:rPr>
        <w:t>.</w:t>
      </w:r>
    </w:p>
    <w:p w14:paraId="567F8982" w14:textId="77777777" w:rsidR="00924326" w:rsidRPr="00DD2FED" w:rsidRDefault="00924326" w:rsidP="00924326">
      <w:pPr>
        <w:pStyle w:val="ListParagraph"/>
        <w:numPr>
          <w:ilvl w:val="0"/>
          <w:numId w:val="15"/>
        </w:numPr>
        <w:spacing w:line="240" w:lineRule="auto"/>
        <w:ind w:left="0"/>
        <w:rPr>
          <w:rFonts w:cstheme="minorHAnsi"/>
        </w:rPr>
      </w:pPr>
      <w:r w:rsidRPr="009664E8">
        <w:rPr>
          <w:rFonts w:cstheme="minorHAnsi"/>
          <w:color w:val="222222"/>
          <w:shd w:val="clear" w:color="auto" w:fill="FFFFFF"/>
          <w:lang w:val="it-IT"/>
        </w:rPr>
        <w:t xml:space="preserve">Petticrew M, Maani N, Pettigrew L, et al. </w:t>
      </w:r>
      <w:r w:rsidRPr="008B7A40">
        <w:rPr>
          <w:rFonts w:cstheme="minorHAnsi"/>
          <w:color w:val="222222"/>
          <w:shd w:val="clear" w:color="auto" w:fill="FFFFFF"/>
        </w:rPr>
        <w:t>Dark nudges and sludge in big alcohol: behavioral economics, cognitive biases, and alcohol industry corporate social responsibility. </w:t>
      </w:r>
      <w:r w:rsidRPr="008B7A40">
        <w:rPr>
          <w:rFonts w:cstheme="minorHAnsi"/>
          <w:i/>
          <w:iCs/>
          <w:color w:val="222222"/>
          <w:shd w:val="clear" w:color="auto" w:fill="FFFFFF"/>
        </w:rPr>
        <w:t>The Milbank Quarterly</w:t>
      </w:r>
      <w:r>
        <w:rPr>
          <w:rFonts w:cstheme="minorHAnsi"/>
          <w:color w:val="222222"/>
          <w:shd w:val="clear" w:color="auto" w:fill="FFFFFF"/>
        </w:rPr>
        <w:t xml:space="preserve"> </w:t>
      </w:r>
      <w:r w:rsidRPr="00C660B6">
        <w:rPr>
          <w:rFonts w:cstheme="minorHAnsi"/>
          <w:color w:val="222222"/>
          <w:shd w:val="clear" w:color="auto" w:fill="FFFFFF"/>
        </w:rPr>
        <w:t>2020;98(4):1290</w:t>
      </w:r>
      <w:r w:rsidRPr="008B7A40">
        <w:rPr>
          <w:rFonts w:cstheme="minorHAnsi"/>
          <w:color w:val="222222"/>
          <w:shd w:val="clear" w:color="auto" w:fill="FFFFFF"/>
        </w:rPr>
        <w:t>-1328.</w:t>
      </w:r>
    </w:p>
    <w:p w14:paraId="75CB260D" w14:textId="77777777" w:rsidR="00924326" w:rsidRPr="00302C0E" w:rsidRDefault="00924326" w:rsidP="00924326">
      <w:pPr>
        <w:pStyle w:val="ListParagraph"/>
        <w:numPr>
          <w:ilvl w:val="0"/>
          <w:numId w:val="15"/>
        </w:numPr>
        <w:spacing w:line="240" w:lineRule="auto"/>
        <w:ind w:left="0"/>
        <w:rPr>
          <w:rFonts w:cstheme="minorHAnsi"/>
        </w:rPr>
      </w:pPr>
      <w:r w:rsidRPr="00DD2FED">
        <w:rPr>
          <w:rFonts w:cstheme="minorHAnsi"/>
          <w:color w:val="222222"/>
          <w:shd w:val="clear" w:color="auto" w:fill="FFFFFF"/>
        </w:rPr>
        <w:t>Eastmure</w:t>
      </w:r>
      <w:r>
        <w:rPr>
          <w:rFonts w:cstheme="minorHAnsi"/>
          <w:color w:val="222222"/>
          <w:shd w:val="clear" w:color="auto" w:fill="FFFFFF"/>
        </w:rPr>
        <w:t xml:space="preserve"> </w:t>
      </w:r>
      <w:r w:rsidRPr="00DD2FED">
        <w:rPr>
          <w:rFonts w:cstheme="minorHAnsi"/>
          <w:color w:val="222222"/>
          <w:shd w:val="clear" w:color="auto" w:fill="FFFFFF"/>
        </w:rPr>
        <w:t>E, Cummins S, Sparks L.</w:t>
      </w:r>
      <w:r>
        <w:rPr>
          <w:rFonts w:cstheme="minorHAnsi"/>
          <w:color w:val="222222"/>
          <w:shd w:val="clear" w:color="auto" w:fill="FFFFFF"/>
        </w:rPr>
        <w:t xml:space="preserve"> </w:t>
      </w:r>
      <w:r w:rsidRPr="00DD2FED">
        <w:rPr>
          <w:rFonts w:cstheme="minorHAnsi"/>
          <w:color w:val="222222"/>
          <w:shd w:val="clear" w:color="auto" w:fill="FFFFFF"/>
        </w:rPr>
        <w:t>Non-market strategy as a framework for exploring commercial involvement in health policy: a primer. </w:t>
      </w:r>
      <w:r w:rsidRPr="00DD2FED">
        <w:rPr>
          <w:rFonts w:cstheme="minorHAnsi"/>
          <w:i/>
          <w:iCs/>
          <w:color w:val="222222"/>
          <w:shd w:val="clear" w:color="auto" w:fill="FFFFFF"/>
        </w:rPr>
        <w:t>Social Science &amp; Medicine</w:t>
      </w:r>
      <w:r>
        <w:rPr>
          <w:rFonts w:cstheme="minorHAnsi"/>
          <w:color w:val="222222"/>
          <w:shd w:val="clear" w:color="auto" w:fill="FFFFFF"/>
        </w:rPr>
        <w:t xml:space="preserve"> </w:t>
      </w:r>
      <w:r w:rsidRPr="00C660B6">
        <w:rPr>
          <w:rFonts w:cstheme="minorHAnsi"/>
          <w:color w:val="222222"/>
          <w:shd w:val="clear" w:color="auto" w:fill="FFFFFF"/>
        </w:rPr>
        <w:t>2020;262:113257</w:t>
      </w:r>
      <w:r w:rsidRPr="00DD2FED">
        <w:rPr>
          <w:rFonts w:cstheme="minorHAnsi"/>
          <w:color w:val="222222"/>
          <w:shd w:val="clear" w:color="auto" w:fill="FFFFFF"/>
        </w:rPr>
        <w:t>.</w:t>
      </w:r>
    </w:p>
    <w:p w14:paraId="0D7FBB29" w14:textId="77777777" w:rsidR="00924326" w:rsidRDefault="00924326" w:rsidP="00924326">
      <w:pPr>
        <w:pStyle w:val="ListParagraph"/>
        <w:numPr>
          <w:ilvl w:val="0"/>
          <w:numId w:val="15"/>
        </w:numPr>
        <w:spacing w:line="240" w:lineRule="auto"/>
        <w:ind w:left="0"/>
        <w:rPr>
          <w:rFonts w:cstheme="minorHAnsi"/>
        </w:rPr>
      </w:pPr>
      <w:r w:rsidRPr="00ED7CA8">
        <w:rPr>
          <w:rFonts w:cstheme="minorHAnsi"/>
        </w:rPr>
        <w:t>Mondelez International (2021) Local community studio receives £5,000 from The Cadbury Foundation. My news desk.com https://www.mynewsdesk.com/uk/mondelez-uk/pressreleases/local-community-studio-receives-5000-pounds-from-the-cadbury-foundation-3107455</w:t>
      </w:r>
      <w:r>
        <w:rPr>
          <w:rFonts w:cstheme="minorHAnsi"/>
        </w:rPr>
        <w:t>.</w:t>
      </w:r>
    </w:p>
    <w:p w14:paraId="783BBFE0" w14:textId="77777777" w:rsidR="00924326" w:rsidRDefault="00924326" w:rsidP="00924326">
      <w:pPr>
        <w:pStyle w:val="ListParagraph"/>
        <w:numPr>
          <w:ilvl w:val="0"/>
          <w:numId w:val="15"/>
        </w:numPr>
        <w:spacing w:line="240" w:lineRule="auto"/>
        <w:ind w:left="0"/>
        <w:rPr>
          <w:rFonts w:cstheme="minorHAnsi"/>
        </w:rPr>
      </w:pPr>
      <w:r w:rsidRPr="008B7A40">
        <w:rPr>
          <w:rFonts w:cstheme="minorHAnsi"/>
        </w:rPr>
        <w:t>de Lacy-Vawdon</w:t>
      </w:r>
      <w:r>
        <w:rPr>
          <w:rFonts w:cstheme="minorHAnsi"/>
        </w:rPr>
        <w:t xml:space="preserve"> </w:t>
      </w:r>
      <w:r w:rsidRPr="008B7A40">
        <w:rPr>
          <w:rFonts w:cstheme="minorHAnsi"/>
        </w:rPr>
        <w:t>C, Livingstone C.</w:t>
      </w:r>
      <w:r>
        <w:rPr>
          <w:rFonts w:cstheme="minorHAnsi"/>
        </w:rPr>
        <w:t xml:space="preserve"> </w:t>
      </w:r>
      <w:r w:rsidRPr="008B7A40">
        <w:rPr>
          <w:rFonts w:cstheme="minorHAnsi"/>
        </w:rPr>
        <w:t xml:space="preserve">Defining the commercial determinants of health: a systematic review. </w:t>
      </w:r>
      <w:r w:rsidRPr="008B7A40">
        <w:rPr>
          <w:rFonts w:cstheme="minorHAnsi"/>
          <w:i/>
          <w:iCs/>
        </w:rPr>
        <w:t>BMC Public Health</w:t>
      </w:r>
      <w:r w:rsidRPr="008B7A40">
        <w:rPr>
          <w:rFonts w:cstheme="minorHAnsi"/>
        </w:rPr>
        <w:t xml:space="preserve"> </w:t>
      </w:r>
      <w:r>
        <w:rPr>
          <w:rFonts w:cstheme="minorHAnsi"/>
        </w:rPr>
        <w:t>2020;</w:t>
      </w:r>
      <w:r w:rsidRPr="008B7A40">
        <w:rPr>
          <w:rFonts w:cstheme="minorHAnsi"/>
        </w:rPr>
        <w:t>20(1)</w:t>
      </w:r>
      <w:r>
        <w:rPr>
          <w:rFonts w:cstheme="minorHAnsi"/>
        </w:rPr>
        <w:t>:</w:t>
      </w:r>
      <w:r w:rsidRPr="008B7A40">
        <w:rPr>
          <w:rFonts w:cstheme="minorHAnsi"/>
        </w:rPr>
        <w:t>1-16.</w:t>
      </w:r>
    </w:p>
    <w:p w14:paraId="273CE61E" w14:textId="77777777" w:rsidR="00924326" w:rsidRDefault="00924326" w:rsidP="00924326">
      <w:pPr>
        <w:pStyle w:val="ListParagraph"/>
        <w:numPr>
          <w:ilvl w:val="0"/>
          <w:numId w:val="15"/>
        </w:numPr>
        <w:spacing w:line="240" w:lineRule="auto"/>
        <w:ind w:left="0"/>
        <w:rPr>
          <w:rFonts w:cstheme="minorHAnsi"/>
        </w:rPr>
      </w:pPr>
      <w:r w:rsidRPr="00E20714">
        <w:rPr>
          <w:rFonts w:cstheme="minorHAnsi"/>
        </w:rPr>
        <w:t>Lima JM, Galea S. The corporate permeation index–a tool to study the macrosocial determinants of non-communicable disease. SSM-population health 2019;7:100361.</w:t>
      </w:r>
    </w:p>
    <w:p w14:paraId="6654DC8C" w14:textId="77777777" w:rsidR="00924326" w:rsidRDefault="00924326" w:rsidP="00924326">
      <w:pPr>
        <w:pStyle w:val="ListParagraph"/>
        <w:numPr>
          <w:ilvl w:val="0"/>
          <w:numId w:val="15"/>
        </w:numPr>
        <w:spacing w:line="240" w:lineRule="auto"/>
        <w:ind w:left="0"/>
        <w:rPr>
          <w:rFonts w:cstheme="minorHAnsi"/>
        </w:rPr>
      </w:pPr>
      <w:r w:rsidRPr="008B7A40">
        <w:rPr>
          <w:rFonts w:cstheme="minorHAnsi"/>
        </w:rPr>
        <w:lastRenderedPageBreak/>
        <w:t xml:space="preserve">Petticrew M, McKee M, Marteau TM. Partnerships with the alcohol industry at the expense of public health. </w:t>
      </w:r>
      <w:r w:rsidRPr="008B7A40">
        <w:rPr>
          <w:rFonts w:cstheme="minorHAnsi"/>
          <w:i/>
          <w:iCs/>
        </w:rPr>
        <w:t xml:space="preserve">Lancet </w:t>
      </w:r>
      <w:r>
        <w:rPr>
          <w:rFonts w:cstheme="minorHAnsi"/>
        </w:rPr>
        <w:t>2018;</w:t>
      </w:r>
      <w:r w:rsidRPr="008B7A40">
        <w:rPr>
          <w:rFonts w:cstheme="minorHAnsi"/>
        </w:rPr>
        <w:t>392(10152)</w:t>
      </w:r>
      <w:r>
        <w:rPr>
          <w:rFonts w:cstheme="minorHAnsi"/>
        </w:rPr>
        <w:t>:</w:t>
      </w:r>
      <w:r w:rsidRPr="008B7A40">
        <w:rPr>
          <w:rFonts w:cstheme="minorHAnsi"/>
        </w:rPr>
        <w:t>992-3.</w:t>
      </w:r>
    </w:p>
    <w:p w14:paraId="609DC3EB" w14:textId="77777777" w:rsidR="00924326" w:rsidRPr="00E20714" w:rsidRDefault="00924326" w:rsidP="00924326">
      <w:pPr>
        <w:pStyle w:val="ListParagraph"/>
        <w:numPr>
          <w:ilvl w:val="0"/>
          <w:numId w:val="15"/>
        </w:numPr>
        <w:spacing w:line="240" w:lineRule="auto"/>
        <w:ind w:left="0"/>
        <w:rPr>
          <w:rFonts w:cstheme="minorHAnsi"/>
        </w:rPr>
      </w:pPr>
      <w:r w:rsidRPr="009664E8">
        <w:rPr>
          <w:rFonts w:cstheme="minorHAnsi"/>
          <w:lang w:val="de-DE"/>
        </w:rPr>
        <w:t xml:space="preserve">Kostyak L, Shaw DM, Elger B, et al. </w:t>
      </w:r>
      <w:r w:rsidRPr="00E20714">
        <w:rPr>
          <w:rFonts w:cstheme="minorHAnsi"/>
        </w:rPr>
        <w:t xml:space="preserve">A means of improving public health in low-and middle-income countries? Benefits and challenges of international public–private partnerships. </w:t>
      </w:r>
      <w:r w:rsidRPr="00E20714">
        <w:rPr>
          <w:rFonts w:cstheme="minorHAnsi"/>
          <w:i/>
          <w:iCs/>
        </w:rPr>
        <w:t xml:space="preserve">Public health </w:t>
      </w:r>
      <w:r w:rsidRPr="00E20714">
        <w:rPr>
          <w:rFonts w:cstheme="minorHAnsi"/>
        </w:rPr>
        <w:t xml:space="preserve">2017;149:120-129. </w:t>
      </w:r>
    </w:p>
    <w:p w14:paraId="1F71FF24" w14:textId="77777777" w:rsidR="00924326" w:rsidRDefault="00924326" w:rsidP="00924326">
      <w:pPr>
        <w:pStyle w:val="ListParagraph"/>
        <w:numPr>
          <w:ilvl w:val="0"/>
          <w:numId w:val="15"/>
        </w:numPr>
        <w:spacing w:line="240" w:lineRule="auto"/>
        <w:ind w:left="0"/>
        <w:rPr>
          <w:rFonts w:cstheme="minorHAnsi"/>
        </w:rPr>
      </w:pPr>
      <w:r w:rsidRPr="00E20714">
        <w:rPr>
          <w:rFonts w:cstheme="minorHAnsi"/>
        </w:rPr>
        <w:t xml:space="preserve">Pritchett L, Summers LH. Wealthier is healthier. </w:t>
      </w:r>
      <w:r w:rsidRPr="00E20714">
        <w:rPr>
          <w:rFonts w:cstheme="minorHAnsi"/>
          <w:i/>
          <w:iCs/>
        </w:rPr>
        <w:t>World Bank Publications</w:t>
      </w:r>
      <w:r w:rsidRPr="00E20714">
        <w:rPr>
          <w:rFonts w:cstheme="minorHAnsi"/>
        </w:rPr>
        <w:t xml:space="preserve"> 1993(1150).</w:t>
      </w:r>
    </w:p>
    <w:p w14:paraId="7355C9B6" w14:textId="77777777" w:rsidR="00924326" w:rsidRPr="00933536" w:rsidRDefault="00924326" w:rsidP="00924326">
      <w:pPr>
        <w:pStyle w:val="ListParagraph"/>
        <w:numPr>
          <w:ilvl w:val="0"/>
          <w:numId w:val="15"/>
        </w:numPr>
        <w:spacing w:line="240" w:lineRule="auto"/>
        <w:ind w:left="0"/>
        <w:rPr>
          <w:rFonts w:cstheme="minorHAnsi"/>
        </w:rPr>
      </w:pPr>
      <w:r w:rsidRPr="00933536">
        <w:rPr>
          <w:rFonts w:cstheme="minorHAnsi"/>
        </w:rPr>
        <w:t xml:space="preserve">Reich MR. Public–private partnerships for public health. </w:t>
      </w:r>
      <w:r w:rsidRPr="00933536">
        <w:rPr>
          <w:rFonts w:cstheme="minorHAnsi"/>
          <w:i/>
          <w:iCs/>
        </w:rPr>
        <w:t>Nature medicine</w:t>
      </w:r>
      <w:r w:rsidRPr="00933536">
        <w:rPr>
          <w:rFonts w:cstheme="minorHAnsi"/>
        </w:rPr>
        <w:t xml:space="preserve"> 2000;6(6):617-620.</w:t>
      </w:r>
      <w:r w:rsidRPr="00933536">
        <w:rPr>
          <w:rFonts w:ascii="Segoe UI" w:hAnsi="Segoe UI" w:cs="Segoe UI"/>
          <w:color w:val="212121"/>
          <w:shd w:val="clear" w:color="auto" w:fill="FFFFFF"/>
        </w:rPr>
        <w:t xml:space="preserve"> </w:t>
      </w:r>
    </w:p>
    <w:p w14:paraId="3D284FD1" w14:textId="77777777" w:rsidR="00924326" w:rsidRDefault="00924326" w:rsidP="00924326">
      <w:pPr>
        <w:pStyle w:val="ListParagraph"/>
        <w:numPr>
          <w:ilvl w:val="0"/>
          <w:numId w:val="15"/>
        </w:numPr>
        <w:spacing w:line="240" w:lineRule="auto"/>
        <w:ind w:left="0"/>
        <w:rPr>
          <w:rFonts w:cstheme="minorHAnsi"/>
        </w:rPr>
      </w:pPr>
      <w:r w:rsidRPr="009664E8">
        <w:rPr>
          <w:rFonts w:cstheme="minorHAnsi"/>
          <w:lang w:val="de-DE"/>
        </w:rPr>
        <w:t xml:space="preserve">McGill E, Er V, Penney T, et al. </w:t>
      </w:r>
      <w:r w:rsidRPr="00933536">
        <w:rPr>
          <w:rFonts w:cstheme="minorHAnsi"/>
        </w:rPr>
        <w:t xml:space="preserve">Evaluation of public health interventions from a complex systems perspective: a research methods review. </w:t>
      </w:r>
      <w:r w:rsidRPr="00933536">
        <w:rPr>
          <w:rFonts w:cstheme="minorHAnsi"/>
          <w:i/>
          <w:iCs/>
        </w:rPr>
        <w:t>Social Science &amp; Medicine</w:t>
      </w:r>
      <w:r w:rsidRPr="00933536">
        <w:rPr>
          <w:rFonts w:cstheme="minorHAnsi"/>
        </w:rPr>
        <w:t xml:space="preserve"> 2021;272:113697.</w:t>
      </w:r>
    </w:p>
    <w:p w14:paraId="4E8AD2C7" w14:textId="77777777" w:rsidR="00924326" w:rsidRDefault="00924326" w:rsidP="00924326">
      <w:pPr>
        <w:pStyle w:val="ListParagraph"/>
        <w:numPr>
          <w:ilvl w:val="0"/>
          <w:numId w:val="15"/>
        </w:numPr>
        <w:spacing w:line="240" w:lineRule="auto"/>
        <w:ind w:left="0"/>
        <w:rPr>
          <w:rFonts w:cstheme="minorHAnsi"/>
        </w:rPr>
      </w:pPr>
      <w:r w:rsidRPr="00933536">
        <w:rPr>
          <w:rFonts w:cstheme="minorHAnsi"/>
        </w:rPr>
        <w:t xml:space="preserve">Rose N, Reeve B, Charlton K. Barriers and Enablers for Healthy Food Systems and Environments: The Role of Local Governments. </w:t>
      </w:r>
      <w:r w:rsidRPr="00933536">
        <w:rPr>
          <w:rFonts w:cstheme="minorHAnsi"/>
          <w:i/>
          <w:iCs/>
        </w:rPr>
        <w:t>Current Nutrition Reports</w:t>
      </w:r>
      <w:r w:rsidRPr="00933536">
        <w:rPr>
          <w:rFonts w:cstheme="minorHAnsi"/>
        </w:rPr>
        <w:t xml:space="preserve"> 2022:1-12.</w:t>
      </w:r>
    </w:p>
    <w:p w14:paraId="3EC4EB91" w14:textId="77777777" w:rsidR="00924326" w:rsidRDefault="00924326" w:rsidP="00924326">
      <w:pPr>
        <w:pStyle w:val="ListParagraph"/>
        <w:numPr>
          <w:ilvl w:val="0"/>
          <w:numId w:val="15"/>
        </w:numPr>
        <w:spacing w:line="240" w:lineRule="auto"/>
        <w:ind w:left="0"/>
        <w:rPr>
          <w:rFonts w:cstheme="minorHAnsi"/>
        </w:rPr>
      </w:pPr>
      <w:r w:rsidRPr="009664E8">
        <w:rPr>
          <w:rFonts w:cstheme="minorHAnsi"/>
          <w:lang w:val="fr-FR"/>
        </w:rPr>
        <w:t xml:space="preserve">Keeble M, Burgoine T, White M, et al. </w:t>
      </w:r>
      <w:r w:rsidRPr="00933536">
        <w:rPr>
          <w:rFonts w:cstheme="minorHAnsi"/>
        </w:rPr>
        <w:t>How does local government use the planning system to regulate hot food takeaway outlets? A census of current practice in England using document review. Health &amp; place 2019;57:171-178.</w:t>
      </w:r>
    </w:p>
    <w:p w14:paraId="238DFA43" w14:textId="77777777" w:rsidR="00924326" w:rsidRDefault="00924326" w:rsidP="00924326">
      <w:pPr>
        <w:pStyle w:val="ListParagraph"/>
        <w:numPr>
          <w:ilvl w:val="0"/>
          <w:numId w:val="15"/>
        </w:numPr>
        <w:spacing w:line="240" w:lineRule="auto"/>
        <w:ind w:left="0"/>
        <w:rPr>
          <w:rFonts w:cstheme="minorHAnsi"/>
        </w:rPr>
      </w:pPr>
      <w:r w:rsidRPr="00933536">
        <w:rPr>
          <w:rFonts w:cstheme="minorHAnsi"/>
        </w:rPr>
        <w:t xml:space="preserve">Lake AA, Henderson EJ, Townshend TG. Exploring planners’ and public health practitioners’ views on addressing obesity: lessons from local government in England. </w:t>
      </w:r>
      <w:r w:rsidRPr="00933536">
        <w:rPr>
          <w:rFonts w:cstheme="minorHAnsi"/>
          <w:i/>
          <w:iCs/>
        </w:rPr>
        <w:t>Cities &amp; health</w:t>
      </w:r>
      <w:r w:rsidRPr="00933536">
        <w:rPr>
          <w:rFonts w:cstheme="minorHAnsi"/>
        </w:rPr>
        <w:t xml:space="preserve"> 2017;1(2):185-193.</w:t>
      </w:r>
    </w:p>
    <w:p w14:paraId="18C694FD" w14:textId="77777777" w:rsidR="00924326" w:rsidRDefault="00924326" w:rsidP="00924326">
      <w:pPr>
        <w:pStyle w:val="ListParagraph"/>
        <w:numPr>
          <w:ilvl w:val="0"/>
          <w:numId w:val="15"/>
        </w:numPr>
        <w:spacing w:line="240" w:lineRule="auto"/>
        <w:ind w:left="0"/>
        <w:rPr>
          <w:rFonts w:cstheme="minorHAnsi"/>
        </w:rPr>
      </w:pPr>
      <w:r w:rsidRPr="00933536">
        <w:rPr>
          <w:rFonts w:cstheme="minorHAnsi"/>
        </w:rPr>
        <w:t xml:space="preserve">Bagwell S. Healthier catering initiatives in London, UK: an effective tool for encouraging healthier consumption behaviour? </w:t>
      </w:r>
      <w:r w:rsidRPr="00933536">
        <w:rPr>
          <w:rFonts w:cstheme="minorHAnsi"/>
          <w:i/>
          <w:iCs/>
        </w:rPr>
        <w:t>Critical Public Health</w:t>
      </w:r>
      <w:r w:rsidRPr="00933536">
        <w:rPr>
          <w:rFonts w:cstheme="minorHAnsi"/>
        </w:rPr>
        <w:t xml:space="preserve"> 2014;24(1):35-46.</w:t>
      </w:r>
    </w:p>
    <w:p w14:paraId="154E6DAD" w14:textId="77777777" w:rsidR="00924326" w:rsidRDefault="00924326" w:rsidP="00924326">
      <w:pPr>
        <w:pStyle w:val="ListParagraph"/>
        <w:numPr>
          <w:ilvl w:val="0"/>
          <w:numId w:val="15"/>
        </w:numPr>
        <w:spacing w:line="240" w:lineRule="auto"/>
        <w:ind w:left="0"/>
        <w:rPr>
          <w:rFonts w:cstheme="minorHAnsi"/>
        </w:rPr>
      </w:pPr>
      <w:r w:rsidRPr="00933536">
        <w:rPr>
          <w:rFonts w:cstheme="minorHAnsi"/>
        </w:rPr>
        <w:t xml:space="preserve">Mialon M, Vandevijvere S, Carriedo-Lutzenkirchen A, et al. Mechanisms for addressing and managing the influence of corporations on public health policy, research and practice: a scoping review. </w:t>
      </w:r>
      <w:r w:rsidRPr="00933536">
        <w:rPr>
          <w:rFonts w:cstheme="minorHAnsi"/>
          <w:i/>
          <w:iCs/>
        </w:rPr>
        <w:t xml:space="preserve">BMJ open </w:t>
      </w:r>
      <w:r w:rsidRPr="00933536">
        <w:rPr>
          <w:rFonts w:cstheme="minorHAnsi"/>
        </w:rPr>
        <w:t>2020;10(7):e034082.</w:t>
      </w:r>
    </w:p>
    <w:p w14:paraId="1FEBE191" w14:textId="6BC7D619" w:rsidR="00F97778" w:rsidRPr="00924326" w:rsidRDefault="00924326" w:rsidP="002C3B6A">
      <w:pPr>
        <w:pStyle w:val="ListParagraph"/>
        <w:numPr>
          <w:ilvl w:val="0"/>
          <w:numId w:val="15"/>
        </w:numPr>
        <w:spacing w:line="240" w:lineRule="auto"/>
        <w:ind w:left="0"/>
        <w:rPr>
          <w:rFonts w:cstheme="minorHAnsi"/>
          <w:shd w:val="clear" w:color="auto" w:fill="FFFFFF"/>
        </w:rPr>
      </w:pPr>
      <w:r w:rsidRPr="008B7A40">
        <w:rPr>
          <w:rFonts w:cstheme="minorHAnsi"/>
          <w:shd w:val="clear" w:color="auto" w:fill="FFFFFF"/>
        </w:rPr>
        <w:t>Freudenberg N, Lee K</w:t>
      </w:r>
      <w:r>
        <w:rPr>
          <w:rFonts w:cstheme="minorHAnsi"/>
          <w:shd w:val="clear" w:color="auto" w:fill="FFFFFF"/>
        </w:rPr>
        <w:t>,</w:t>
      </w:r>
      <w:r w:rsidRPr="008B7A40">
        <w:rPr>
          <w:rFonts w:cstheme="minorHAnsi"/>
          <w:shd w:val="clear" w:color="auto" w:fill="FFFFFF"/>
        </w:rPr>
        <w:t xml:space="preserve"> Buse K, </w:t>
      </w:r>
      <w:r>
        <w:rPr>
          <w:rFonts w:cstheme="minorHAnsi"/>
          <w:shd w:val="clear" w:color="auto" w:fill="FFFFFF"/>
        </w:rPr>
        <w:t xml:space="preserve">et al. </w:t>
      </w:r>
      <w:r w:rsidRPr="008B7A40">
        <w:rPr>
          <w:rFonts w:cstheme="minorHAnsi"/>
          <w:shd w:val="clear" w:color="auto" w:fill="FFFFFF"/>
        </w:rPr>
        <w:t>Defining Priorities for Action and Research on the Commercial Determinants of Health: A Conceptual Review. </w:t>
      </w:r>
      <w:r w:rsidRPr="008B7A40">
        <w:rPr>
          <w:rFonts w:cstheme="minorHAnsi"/>
          <w:i/>
          <w:iCs/>
          <w:shd w:val="clear" w:color="auto" w:fill="FFFFFF"/>
        </w:rPr>
        <w:t>American journal of public health</w:t>
      </w:r>
      <w:r>
        <w:rPr>
          <w:rFonts w:cstheme="minorHAnsi"/>
          <w:shd w:val="clear" w:color="auto" w:fill="FFFFFF"/>
        </w:rPr>
        <w:t xml:space="preserve"> 2021;</w:t>
      </w:r>
      <w:r w:rsidRPr="008B7A40">
        <w:rPr>
          <w:rFonts w:cstheme="minorHAnsi"/>
          <w:i/>
          <w:iCs/>
          <w:shd w:val="clear" w:color="auto" w:fill="FFFFFF"/>
        </w:rPr>
        <w:t>111</w:t>
      </w:r>
      <w:r w:rsidRPr="008B7A40">
        <w:rPr>
          <w:rFonts w:cstheme="minorHAnsi"/>
          <w:shd w:val="clear" w:color="auto" w:fill="FFFFFF"/>
        </w:rPr>
        <w:t>(12)</w:t>
      </w:r>
      <w:r>
        <w:rPr>
          <w:rFonts w:cstheme="minorHAnsi"/>
          <w:shd w:val="clear" w:color="auto" w:fill="FFFFFF"/>
        </w:rPr>
        <w:t>:</w:t>
      </w:r>
      <w:r w:rsidRPr="008B7A40">
        <w:rPr>
          <w:rFonts w:cstheme="minorHAnsi"/>
          <w:shd w:val="clear" w:color="auto" w:fill="FFFFFF"/>
        </w:rPr>
        <w:t>2202-2211.</w:t>
      </w:r>
    </w:p>
    <w:sectPr w:rsidR="00F97778" w:rsidRPr="009243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935E4" w14:textId="77777777" w:rsidR="00F259EC" w:rsidRDefault="00F259EC" w:rsidP="00131564">
      <w:pPr>
        <w:spacing w:after="0" w:line="240" w:lineRule="auto"/>
      </w:pPr>
      <w:r>
        <w:separator/>
      </w:r>
    </w:p>
  </w:endnote>
  <w:endnote w:type="continuationSeparator" w:id="0">
    <w:p w14:paraId="362ED3AA" w14:textId="77777777" w:rsidR="00F259EC" w:rsidRDefault="00F259EC" w:rsidP="0013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ED466" w14:textId="77777777" w:rsidR="00F259EC" w:rsidRDefault="00F259EC" w:rsidP="00131564">
      <w:pPr>
        <w:spacing w:after="0" w:line="240" w:lineRule="auto"/>
      </w:pPr>
      <w:r>
        <w:separator/>
      </w:r>
    </w:p>
  </w:footnote>
  <w:footnote w:type="continuationSeparator" w:id="0">
    <w:p w14:paraId="6091E084" w14:textId="77777777" w:rsidR="00F259EC" w:rsidRDefault="00F259EC" w:rsidP="00131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00674"/>
      <w:docPartObj>
        <w:docPartGallery w:val="Page Numbers (Top of Page)"/>
        <w:docPartUnique/>
      </w:docPartObj>
    </w:sdtPr>
    <w:sdtEndPr>
      <w:rPr>
        <w:noProof/>
      </w:rPr>
    </w:sdtEndPr>
    <w:sdtContent>
      <w:p w14:paraId="2C951D18" w14:textId="7C76FECB" w:rsidR="0053709C" w:rsidRDefault="0053709C">
        <w:pPr>
          <w:pStyle w:val="Header"/>
          <w:jc w:val="right"/>
        </w:pPr>
        <w:r>
          <w:fldChar w:fldCharType="begin"/>
        </w:r>
        <w:r>
          <w:instrText xml:space="preserve"> PAGE   \* MERGEFORMAT </w:instrText>
        </w:r>
        <w:r>
          <w:fldChar w:fldCharType="separate"/>
        </w:r>
        <w:r w:rsidR="00A0368A">
          <w:rPr>
            <w:noProof/>
          </w:rPr>
          <w:t>24</w:t>
        </w:r>
        <w:r>
          <w:rPr>
            <w:noProof/>
          </w:rPr>
          <w:fldChar w:fldCharType="end"/>
        </w:r>
      </w:p>
    </w:sdtContent>
  </w:sdt>
  <w:p w14:paraId="08FA1E0F" w14:textId="77777777" w:rsidR="0053709C" w:rsidRDefault="00537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0970"/>
    <w:multiLevelType w:val="hybridMultilevel"/>
    <w:tmpl w:val="8C9A941A"/>
    <w:lvl w:ilvl="0" w:tplc="67FEFF30">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DC06CE"/>
    <w:multiLevelType w:val="hybridMultilevel"/>
    <w:tmpl w:val="54DE51DC"/>
    <w:lvl w:ilvl="0" w:tplc="67FEFF30">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F57AC3"/>
    <w:multiLevelType w:val="hybridMultilevel"/>
    <w:tmpl w:val="A94E8CA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CA3711"/>
    <w:multiLevelType w:val="hybridMultilevel"/>
    <w:tmpl w:val="30466DDC"/>
    <w:lvl w:ilvl="0" w:tplc="2D3EEA0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66BF2"/>
    <w:multiLevelType w:val="hybridMultilevel"/>
    <w:tmpl w:val="DCCAE09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D53E52"/>
    <w:multiLevelType w:val="hybridMultilevel"/>
    <w:tmpl w:val="2708B87A"/>
    <w:lvl w:ilvl="0" w:tplc="1C60D95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523C10"/>
    <w:multiLevelType w:val="hybridMultilevel"/>
    <w:tmpl w:val="FAB0BD50"/>
    <w:lvl w:ilvl="0" w:tplc="67FEFF30">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2513E71"/>
    <w:multiLevelType w:val="hybridMultilevel"/>
    <w:tmpl w:val="5E823DD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7BF7DD2"/>
    <w:multiLevelType w:val="hybridMultilevel"/>
    <w:tmpl w:val="541AE01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344CBD"/>
    <w:multiLevelType w:val="hybridMultilevel"/>
    <w:tmpl w:val="5B94A896"/>
    <w:lvl w:ilvl="0" w:tplc="1C60D95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E26AE4"/>
    <w:multiLevelType w:val="hybridMultilevel"/>
    <w:tmpl w:val="8ADA3D3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F24E78"/>
    <w:multiLevelType w:val="hybridMultilevel"/>
    <w:tmpl w:val="0566539C"/>
    <w:lvl w:ilvl="0" w:tplc="CBB4697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62466A"/>
    <w:multiLevelType w:val="hybridMultilevel"/>
    <w:tmpl w:val="CA28DF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633657D"/>
    <w:multiLevelType w:val="hybridMultilevel"/>
    <w:tmpl w:val="4E6CF1EC"/>
    <w:lvl w:ilvl="0" w:tplc="67FEFF30">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68F26EC"/>
    <w:multiLevelType w:val="hybridMultilevel"/>
    <w:tmpl w:val="BFF4961A"/>
    <w:lvl w:ilvl="0" w:tplc="67FEFF30">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B460931"/>
    <w:multiLevelType w:val="hybridMultilevel"/>
    <w:tmpl w:val="8482D19A"/>
    <w:lvl w:ilvl="0" w:tplc="67FEFF30">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93214323">
    <w:abstractNumId w:val="5"/>
  </w:num>
  <w:num w:numId="2" w16cid:durableId="2127308466">
    <w:abstractNumId w:val="9"/>
  </w:num>
  <w:num w:numId="3" w16cid:durableId="943420542">
    <w:abstractNumId w:val="10"/>
  </w:num>
  <w:num w:numId="4" w16cid:durableId="1743798620">
    <w:abstractNumId w:val="8"/>
  </w:num>
  <w:num w:numId="5" w16cid:durableId="221327973">
    <w:abstractNumId w:val="7"/>
  </w:num>
  <w:num w:numId="6" w16cid:durableId="1493519790">
    <w:abstractNumId w:val="2"/>
  </w:num>
  <w:num w:numId="7" w16cid:durableId="1545405937">
    <w:abstractNumId w:val="13"/>
  </w:num>
  <w:num w:numId="8" w16cid:durableId="1103183105">
    <w:abstractNumId w:val="1"/>
  </w:num>
  <w:num w:numId="9" w16cid:durableId="1764109204">
    <w:abstractNumId w:val="6"/>
  </w:num>
  <w:num w:numId="10" w16cid:durableId="1108306091">
    <w:abstractNumId w:val="0"/>
  </w:num>
  <w:num w:numId="11" w16cid:durableId="818109712">
    <w:abstractNumId w:val="14"/>
  </w:num>
  <w:num w:numId="12" w16cid:durableId="1195388496">
    <w:abstractNumId w:val="15"/>
  </w:num>
  <w:num w:numId="13" w16cid:durableId="1670209067">
    <w:abstractNumId w:val="4"/>
  </w:num>
  <w:num w:numId="14" w16cid:durableId="875655033">
    <w:abstractNumId w:val="12"/>
  </w:num>
  <w:num w:numId="15" w16cid:durableId="976107675">
    <w:abstractNumId w:val="11"/>
  </w:num>
  <w:num w:numId="16" w16cid:durableId="1663658559">
    <w:abstractNumId w:val="3"/>
  </w:num>
  <w:num w:numId="17" w16cid:durableId="9047568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pt-PT"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nl-NL" w:vendorID="64" w:dllVersion="0" w:nlCheck="1" w:checkStyle="0"/>
  <w:activeWritingStyle w:appName="MSWord" w:lang="it-IT" w:vendorID="64" w:dllVersion="0" w:nlCheck="1" w:checkStyle="0"/>
  <w:activeWritingStyle w:appName="MSWord" w:lang="de-DE" w:vendorID="64" w:dllVersion="0"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yMDIwNTU0NTM1NbJQ0lEKTi0uzszPAykwNqgFALaIC+ctAAAA"/>
    <w:docVar w:name="EN.InstantFormat" w:val="&lt;ENInstantFormat&gt;&lt;Enabled&gt;1&lt;/Enabled&gt;&lt;ScanUnformatted&gt;1&lt;/ScanUnformatted&gt;&lt;ScanChanges&gt;1&lt;/ScanChanges&gt;&lt;Suspended&gt;1&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5856D0"/>
    <w:rsid w:val="00003154"/>
    <w:rsid w:val="00003745"/>
    <w:rsid w:val="000047CB"/>
    <w:rsid w:val="00005EB4"/>
    <w:rsid w:val="00006488"/>
    <w:rsid w:val="00006EE4"/>
    <w:rsid w:val="00007EB4"/>
    <w:rsid w:val="0001207E"/>
    <w:rsid w:val="000135E0"/>
    <w:rsid w:val="00016F8F"/>
    <w:rsid w:val="000217F8"/>
    <w:rsid w:val="000259F9"/>
    <w:rsid w:val="00030ECC"/>
    <w:rsid w:val="00031A6C"/>
    <w:rsid w:val="00032527"/>
    <w:rsid w:val="00032E03"/>
    <w:rsid w:val="00035EC7"/>
    <w:rsid w:val="00041360"/>
    <w:rsid w:val="00042D19"/>
    <w:rsid w:val="000450D2"/>
    <w:rsid w:val="00053140"/>
    <w:rsid w:val="00055E1C"/>
    <w:rsid w:val="00055E74"/>
    <w:rsid w:val="00056D2C"/>
    <w:rsid w:val="00057E0E"/>
    <w:rsid w:val="00060B0C"/>
    <w:rsid w:val="00062A57"/>
    <w:rsid w:val="0006304A"/>
    <w:rsid w:val="000638E7"/>
    <w:rsid w:val="0006558C"/>
    <w:rsid w:val="000679A0"/>
    <w:rsid w:val="00070183"/>
    <w:rsid w:val="00072736"/>
    <w:rsid w:val="00075755"/>
    <w:rsid w:val="00080E68"/>
    <w:rsid w:val="000922FD"/>
    <w:rsid w:val="00094017"/>
    <w:rsid w:val="00094896"/>
    <w:rsid w:val="00094D15"/>
    <w:rsid w:val="00096ACE"/>
    <w:rsid w:val="000A519A"/>
    <w:rsid w:val="000A762C"/>
    <w:rsid w:val="000A7A99"/>
    <w:rsid w:val="000B01A9"/>
    <w:rsid w:val="000B326C"/>
    <w:rsid w:val="000B7B24"/>
    <w:rsid w:val="000C0E79"/>
    <w:rsid w:val="000C1BDB"/>
    <w:rsid w:val="000C2102"/>
    <w:rsid w:val="000C4480"/>
    <w:rsid w:val="000D0838"/>
    <w:rsid w:val="000D115C"/>
    <w:rsid w:val="000D29B4"/>
    <w:rsid w:val="000D315A"/>
    <w:rsid w:val="000D7EF3"/>
    <w:rsid w:val="000E4118"/>
    <w:rsid w:val="000E49EB"/>
    <w:rsid w:val="000E4E1D"/>
    <w:rsid w:val="000E5888"/>
    <w:rsid w:val="000E682E"/>
    <w:rsid w:val="000E7D61"/>
    <w:rsid w:val="000F1AB7"/>
    <w:rsid w:val="000F548C"/>
    <w:rsid w:val="000F6715"/>
    <w:rsid w:val="000F6ACD"/>
    <w:rsid w:val="000F7620"/>
    <w:rsid w:val="001001D4"/>
    <w:rsid w:val="00103A1E"/>
    <w:rsid w:val="00103BFE"/>
    <w:rsid w:val="00104CA7"/>
    <w:rsid w:val="0010601A"/>
    <w:rsid w:val="0010777A"/>
    <w:rsid w:val="00107C3B"/>
    <w:rsid w:val="00110A59"/>
    <w:rsid w:val="00110E76"/>
    <w:rsid w:val="00111E56"/>
    <w:rsid w:val="00116DA4"/>
    <w:rsid w:val="00123C46"/>
    <w:rsid w:val="00124502"/>
    <w:rsid w:val="00131564"/>
    <w:rsid w:val="00133D79"/>
    <w:rsid w:val="001342BD"/>
    <w:rsid w:val="00136642"/>
    <w:rsid w:val="001373FC"/>
    <w:rsid w:val="0014219F"/>
    <w:rsid w:val="00150759"/>
    <w:rsid w:val="00151A48"/>
    <w:rsid w:val="00152F88"/>
    <w:rsid w:val="00155600"/>
    <w:rsid w:val="00155ED7"/>
    <w:rsid w:val="00156A71"/>
    <w:rsid w:val="00160AE4"/>
    <w:rsid w:val="00164A54"/>
    <w:rsid w:val="00165580"/>
    <w:rsid w:val="00166898"/>
    <w:rsid w:val="0016715C"/>
    <w:rsid w:val="00170326"/>
    <w:rsid w:val="00171E41"/>
    <w:rsid w:val="0017386F"/>
    <w:rsid w:val="001778F0"/>
    <w:rsid w:val="00181DEB"/>
    <w:rsid w:val="00182870"/>
    <w:rsid w:val="00182F5C"/>
    <w:rsid w:val="001830FB"/>
    <w:rsid w:val="00184149"/>
    <w:rsid w:val="00185EC8"/>
    <w:rsid w:val="00186667"/>
    <w:rsid w:val="0019007A"/>
    <w:rsid w:val="001916C1"/>
    <w:rsid w:val="00191E56"/>
    <w:rsid w:val="0019341E"/>
    <w:rsid w:val="00197839"/>
    <w:rsid w:val="001A059D"/>
    <w:rsid w:val="001A1AF9"/>
    <w:rsid w:val="001A253A"/>
    <w:rsid w:val="001A3330"/>
    <w:rsid w:val="001A6200"/>
    <w:rsid w:val="001A6A1E"/>
    <w:rsid w:val="001A6A87"/>
    <w:rsid w:val="001B1FA0"/>
    <w:rsid w:val="001B379B"/>
    <w:rsid w:val="001B3DD9"/>
    <w:rsid w:val="001B4505"/>
    <w:rsid w:val="001B4AEC"/>
    <w:rsid w:val="001C36A1"/>
    <w:rsid w:val="001D2B8E"/>
    <w:rsid w:val="001D2CA1"/>
    <w:rsid w:val="001D3B78"/>
    <w:rsid w:val="001D73E3"/>
    <w:rsid w:val="001E0FB3"/>
    <w:rsid w:val="001E2FF9"/>
    <w:rsid w:val="001E772E"/>
    <w:rsid w:val="001F1973"/>
    <w:rsid w:val="001F247D"/>
    <w:rsid w:val="001F34B5"/>
    <w:rsid w:val="001F457D"/>
    <w:rsid w:val="001F5070"/>
    <w:rsid w:val="001F5084"/>
    <w:rsid w:val="002007B2"/>
    <w:rsid w:val="00201972"/>
    <w:rsid w:val="00205A39"/>
    <w:rsid w:val="00206F5A"/>
    <w:rsid w:val="002078DC"/>
    <w:rsid w:val="00216652"/>
    <w:rsid w:val="002168D8"/>
    <w:rsid w:val="00216EB0"/>
    <w:rsid w:val="0022067B"/>
    <w:rsid w:val="00221342"/>
    <w:rsid w:val="0022194C"/>
    <w:rsid w:val="00223047"/>
    <w:rsid w:val="00223507"/>
    <w:rsid w:val="00223671"/>
    <w:rsid w:val="00230984"/>
    <w:rsid w:val="00234352"/>
    <w:rsid w:val="00235494"/>
    <w:rsid w:val="002430A6"/>
    <w:rsid w:val="0024364B"/>
    <w:rsid w:val="00246C95"/>
    <w:rsid w:val="00247273"/>
    <w:rsid w:val="00250E97"/>
    <w:rsid w:val="00250EC3"/>
    <w:rsid w:val="00251639"/>
    <w:rsid w:val="002520A3"/>
    <w:rsid w:val="00252294"/>
    <w:rsid w:val="002541D2"/>
    <w:rsid w:val="00254E4D"/>
    <w:rsid w:val="00260368"/>
    <w:rsid w:val="00261C71"/>
    <w:rsid w:val="00270B60"/>
    <w:rsid w:val="00272767"/>
    <w:rsid w:val="0027363E"/>
    <w:rsid w:val="0028075F"/>
    <w:rsid w:val="00280A62"/>
    <w:rsid w:val="00282157"/>
    <w:rsid w:val="00284B3E"/>
    <w:rsid w:val="002850E8"/>
    <w:rsid w:val="002875D5"/>
    <w:rsid w:val="00290E4B"/>
    <w:rsid w:val="00294550"/>
    <w:rsid w:val="00294F21"/>
    <w:rsid w:val="00295194"/>
    <w:rsid w:val="002955D7"/>
    <w:rsid w:val="00296071"/>
    <w:rsid w:val="002A12F8"/>
    <w:rsid w:val="002A4249"/>
    <w:rsid w:val="002A5784"/>
    <w:rsid w:val="002A5867"/>
    <w:rsid w:val="002A785D"/>
    <w:rsid w:val="002B13CA"/>
    <w:rsid w:val="002B1DDB"/>
    <w:rsid w:val="002B2AFE"/>
    <w:rsid w:val="002B2F5F"/>
    <w:rsid w:val="002B31CA"/>
    <w:rsid w:val="002B50F7"/>
    <w:rsid w:val="002B5455"/>
    <w:rsid w:val="002B5518"/>
    <w:rsid w:val="002C0A35"/>
    <w:rsid w:val="002C1F34"/>
    <w:rsid w:val="002C27B9"/>
    <w:rsid w:val="002C2998"/>
    <w:rsid w:val="002C34DB"/>
    <w:rsid w:val="002C3B6A"/>
    <w:rsid w:val="002C4DA1"/>
    <w:rsid w:val="002D2746"/>
    <w:rsid w:val="002D4AFB"/>
    <w:rsid w:val="002D51A0"/>
    <w:rsid w:val="002D589C"/>
    <w:rsid w:val="002D64ED"/>
    <w:rsid w:val="002D65E0"/>
    <w:rsid w:val="002D6FD6"/>
    <w:rsid w:val="002E0D53"/>
    <w:rsid w:val="002E14F4"/>
    <w:rsid w:val="002E5652"/>
    <w:rsid w:val="002E5701"/>
    <w:rsid w:val="002E585B"/>
    <w:rsid w:val="002F0216"/>
    <w:rsid w:val="002F1007"/>
    <w:rsid w:val="002F2865"/>
    <w:rsid w:val="002F2CC9"/>
    <w:rsid w:val="002F3496"/>
    <w:rsid w:val="002F4271"/>
    <w:rsid w:val="002F4541"/>
    <w:rsid w:val="002F7F4B"/>
    <w:rsid w:val="00300AD3"/>
    <w:rsid w:val="00302058"/>
    <w:rsid w:val="0030247C"/>
    <w:rsid w:val="003027CF"/>
    <w:rsid w:val="00302C0E"/>
    <w:rsid w:val="00303294"/>
    <w:rsid w:val="00303312"/>
    <w:rsid w:val="00303DBA"/>
    <w:rsid w:val="00310414"/>
    <w:rsid w:val="00312D0E"/>
    <w:rsid w:val="00321A21"/>
    <w:rsid w:val="0032289C"/>
    <w:rsid w:val="0032506C"/>
    <w:rsid w:val="003273B3"/>
    <w:rsid w:val="003300D4"/>
    <w:rsid w:val="00330E74"/>
    <w:rsid w:val="00334CA0"/>
    <w:rsid w:val="003365A1"/>
    <w:rsid w:val="003370B6"/>
    <w:rsid w:val="0034080C"/>
    <w:rsid w:val="00340982"/>
    <w:rsid w:val="003419B4"/>
    <w:rsid w:val="003422C5"/>
    <w:rsid w:val="00342EE6"/>
    <w:rsid w:val="00345797"/>
    <w:rsid w:val="003457EB"/>
    <w:rsid w:val="003463E2"/>
    <w:rsid w:val="00347F03"/>
    <w:rsid w:val="003522A1"/>
    <w:rsid w:val="00353307"/>
    <w:rsid w:val="00355D55"/>
    <w:rsid w:val="00357D19"/>
    <w:rsid w:val="00371862"/>
    <w:rsid w:val="003719A1"/>
    <w:rsid w:val="00372A3B"/>
    <w:rsid w:val="0037430F"/>
    <w:rsid w:val="00374729"/>
    <w:rsid w:val="00374789"/>
    <w:rsid w:val="00381452"/>
    <w:rsid w:val="003906A3"/>
    <w:rsid w:val="00392846"/>
    <w:rsid w:val="00392A76"/>
    <w:rsid w:val="00392BA1"/>
    <w:rsid w:val="00392C82"/>
    <w:rsid w:val="00392DA5"/>
    <w:rsid w:val="003960AC"/>
    <w:rsid w:val="00396383"/>
    <w:rsid w:val="0039749A"/>
    <w:rsid w:val="003A00DF"/>
    <w:rsid w:val="003A33CC"/>
    <w:rsid w:val="003A714F"/>
    <w:rsid w:val="003B068D"/>
    <w:rsid w:val="003B1C2E"/>
    <w:rsid w:val="003B45D5"/>
    <w:rsid w:val="003B6634"/>
    <w:rsid w:val="003B6DE2"/>
    <w:rsid w:val="003B7731"/>
    <w:rsid w:val="003C2F2D"/>
    <w:rsid w:val="003C49A7"/>
    <w:rsid w:val="003D0841"/>
    <w:rsid w:val="003D48F6"/>
    <w:rsid w:val="003E0FC2"/>
    <w:rsid w:val="003E61A0"/>
    <w:rsid w:val="003E69C9"/>
    <w:rsid w:val="003F0CDB"/>
    <w:rsid w:val="003F2581"/>
    <w:rsid w:val="003F2F0E"/>
    <w:rsid w:val="003F4AAA"/>
    <w:rsid w:val="003F5DA2"/>
    <w:rsid w:val="00400A0F"/>
    <w:rsid w:val="004021AC"/>
    <w:rsid w:val="00405014"/>
    <w:rsid w:val="00410724"/>
    <w:rsid w:val="0041345B"/>
    <w:rsid w:val="00420EDB"/>
    <w:rsid w:val="00422D4B"/>
    <w:rsid w:val="00424398"/>
    <w:rsid w:val="00427DB3"/>
    <w:rsid w:val="0043050E"/>
    <w:rsid w:val="0043136C"/>
    <w:rsid w:val="00431C8D"/>
    <w:rsid w:val="00432980"/>
    <w:rsid w:val="00435977"/>
    <w:rsid w:val="004378C6"/>
    <w:rsid w:val="00437C9F"/>
    <w:rsid w:val="00440499"/>
    <w:rsid w:val="004436A8"/>
    <w:rsid w:val="00444CA4"/>
    <w:rsid w:val="004453AA"/>
    <w:rsid w:val="004536B0"/>
    <w:rsid w:val="00455336"/>
    <w:rsid w:val="0045571D"/>
    <w:rsid w:val="00456BB6"/>
    <w:rsid w:val="004606A4"/>
    <w:rsid w:val="0046173A"/>
    <w:rsid w:val="00461AE2"/>
    <w:rsid w:val="0046335A"/>
    <w:rsid w:val="00463E05"/>
    <w:rsid w:val="00465A7B"/>
    <w:rsid w:val="004665AD"/>
    <w:rsid w:val="00470862"/>
    <w:rsid w:val="00472E7A"/>
    <w:rsid w:val="00472E89"/>
    <w:rsid w:val="00473DDF"/>
    <w:rsid w:val="00474F7A"/>
    <w:rsid w:val="004806DB"/>
    <w:rsid w:val="00482CC0"/>
    <w:rsid w:val="00484329"/>
    <w:rsid w:val="00484C46"/>
    <w:rsid w:val="00492D81"/>
    <w:rsid w:val="00493B9A"/>
    <w:rsid w:val="00496D62"/>
    <w:rsid w:val="004A0262"/>
    <w:rsid w:val="004A0FE7"/>
    <w:rsid w:val="004A15C3"/>
    <w:rsid w:val="004A21CE"/>
    <w:rsid w:val="004A7908"/>
    <w:rsid w:val="004B138F"/>
    <w:rsid w:val="004B13F0"/>
    <w:rsid w:val="004B3CCB"/>
    <w:rsid w:val="004B4E3B"/>
    <w:rsid w:val="004B628D"/>
    <w:rsid w:val="004B6A8C"/>
    <w:rsid w:val="004B71FA"/>
    <w:rsid w:val="004B7527"/>
    <w:rsid w:val="004C2078"/>
    <w:rsid w:val="004C369C"/>
    <w:rsid w:val="004C3F6E"/>
    <w:rsid w:val="004C405D"/>
    <w:rsid w:val="004C4CB7"/>
    <w:rsid w:val="004C639A"/>
    <w:rsid w:val="004C74DF"/>
    <w:rsid w:val="004D234F"/>
    <w:rsid w:val="004D442F"/>
    <w:rsid w:val="004D4E0A"/>
    <w:rsid w:val="004D5527"/>
    <w:rsid w:val="004D6D18"/>
    <w:rsid w:val="004D771A"/>
    <w:rsid w:val="004E08AF"/>
    <w:rsid w:val="004E2923"/>
    <w:rsid w:val="004E3AAE"/>
    <w:rsid w:val="004E40FC"/>
    <w:rsid w:val="004E6A54"/>
    <w:rsid w:val="004F3CBD"/>
    <w:rsid w:val="004F42F1"/>
    <w:rsid w:val="004F46AD"/>
    <w:rsid w:val="004F7156"/>
    <w:rsid w:val="004F7281"/>
    <w:rsid w:val="00500F22"/>
    <w:rsid w:val="00501019"/>
    <w:rsid w:val="0050560F"/>
    <w:rsid w:val="00510750"/>
    <w:rsid w:val="00510EB6"/>
    <w:rsid w:val="00511A54"/>
    <w:rsid w:val="00513274"/>
    <w:rsid w:val="00516FD6"/>
    <w:rsid w:val="00526605"/>
    <w:rsid w:val="0052664E"/>
    <w:rsid w:val="005266B7"/>
    <w:rsid w:val="00527842"/>
    <w:rsid w:val="0053063A"/>
    <w:rsid w:val="005320AB"/>
    <w:rsid w:val="00532EB5"/>
    <w:rsid w:val="00533448"/>
    <w:rsid w:val="00534F34"/>
    <w:rsid w:val="00535380"/>
    <w:rsid w:val="0053709C"/>
    <w:rsid w:val="00540CBE"/>
    <w:rsid w:val="00541CBD"/>
    <w:rsid w:val="005429F7"/>
    <w:rsid w:val="005541C5"/>
    <w:rsid w:val="0055546F"/>
    <w:rsid w:val="00557597"/>
    <w:rsid w:val="00560263"/>
    <w:rsid w:val="0056179F"/>
    <w:rsid w:val="00563EE0"/>
    <w:rsid w:val="00567F9D"/>
    <w:rsid w:val="00574DFA"/>
    <w:rsid w:val="0057514E"/>
    <w:rsid w:val="00575E0C"/>
    <w:rsid w:val="00580755"/>
    <w:rsid w:val="00581735"/>
    <w:rsid w:val="00584931"/>
    <w:rsid w:val="00584C6B"/>
    <w:rsid w:val="005856D0"/>
    <w:rsid w:val="00585CA5"/>
    <w:rsid w:val="005871ED"/>
    <w:rsid w:val="005875D4"/>
    <w:rsid w:val="00587959"/>
    <w:rsid w:val="00587BF7"/>
    <w:rsid w:val="00590412"/>
    <w:rsid w:val="00590D5D"/>
    <w:rsid w:val="00591DD3"/>
    <w:rsid w:val="00593B32"/>
    <w:rsid w:val="00593D5B"/>
    <w:rsid w:val="00594C84"/>
    <w:rsid w:val="00597EA3"/>
    <w:rsid w:val="005A1258"/>
    <w:rsid w:val="005A4C75"/>
    <w:rsid w:val="005A53F7"/>
    <w:rsid w:val="005A7A77"/>
    <w:rsid w:val="005B0710"/>
    <w:rsid w:val="005B3B6D"/>
    <w:rsid w:val="005B541F"/>
    <w:rsid w:val="005B70A3"/>
    <w:rsid w:val="005B71A3"/>
    <w:rsid w:val="005C2436"/>
    <w:rsid w:val="005C33D5"/>
    <w:rsid w:val="005C4138"/>
    <w:rsid w:val="005C50FE"/>
    <w:rsid w:val="005D31F4"/>
    <w:rsid w:val="005D45FA"/>
    <w:rsid w:val="005D7310"/>
    <w:rsid w:val="005F089B"/>
    <w:rsid w:val="005F0F94"/>
    <w:rsid w:val="005F25EB"/>
    <w:rsid w:val="005F540E"/>
    <w:rsid w:val="005F6968"/>
    <w:rsid w:val="00600603"/>
    <w:rsid w:val="00600F9A"/>
    <w:rsid w:val="00604EBE"/>
    <w:rsid w:val="0060602A"/>
    <w:rsid w:val="00606828"/>
    <w:rsid w:val="006078F8"/>
    <w:rsid w:val="006079E2"/>
    <w:rsid w:val="00610197"/>
    <w:rsid w:val="00610F9F"/>
    <w:rsid w:val="0061292F"/>
    <w:rsid w:val="00615C33"/>
    <w:rsid w:val="006166D8"/>
    <w:rsid w:val="0062061F"/>
    <w:rsid w:val="00621CF1"/>
    <w:rsid w:val="00622004"/>
    <w:rsid w:val="00627115"/>
    <w:rsid w:val="00627E0B"/>
    <w:rsid w:val="00632894"/>
    <w:rsid w:val="0063412F"/>
    <w:rsid w:val="006343C6"/>
    <w:rsid w:val="00635984"/>
    <w:rsid w:val="00635986"/>
    <w:rsid w:val="0064160E"/>
    <w:rsid w:val="0064221A"/>
    <w:rsid w:val="00643D77"/>
    <w:rsid w:val="006558B0"/>
    <w:rsid w:val="006608B3"/>
    <w:rsid w:val="00662EBC"/>
    <w:rsid w:val="006651E5"/>
    <w:rsid w:val="0066785F"/>
    <w:rsid w:val="00673043"/>
    <w:rsid w:val="00676457"/>
    <w:rsid w:val="006775D7"/>
    <w:rsid w:val="00682ADA"/>
    <w:rsid w:val="00682D37"/>
    <w:rsid w:val="00683948"/>
    <w:rsid w:val="00685C61"/>
    <w:rsid w:val="00686416"/>
    <w:rsid w:val="0068677E"/>
    <w:rsid w:val="00686E44"/>
    <w:rsid w:val="006932DF"/>
    <w:rsid w:val="00693469"/>
    <w:rsid w:val="006935C5"/>
    <w:rsid w:val="0069367A"/>
    <w:rsid w:val="00694656"/>
    <w:rsid w:val="00694F0B"/>
    <w:rsid w:val="00695A49"/>
    <w:rsid w:val="00695F4A"/>
    <w:rsid w:val="00696B69"/>
    <w:rsid w:val="00697A97"/>
    <w:rsid w:val="006A1CE9"/>
    <w:rsid w:val="006A3DDC"/>
    <w:rsid w:val="006C2C5C"/>
    <w:rsid w:val="006C418F"/>
    <w:rsid w:val="006D26D0"/>
    <w:rsid w:val="006D2C4E"/>
    <w:rsid w:val="006D419E"/>
    <w:rsid w:val="006D4C57"/>
    <w:rsid w:val="006D57E9"/>
    <w:rsid w:val="006E056D"/>
    <w:rsid w:val="006E2160"/>
    <w:rsid w:val="006E305C"/>
    <w:rsid w:val="006E341F"/>
    <w:rsid w:val="006F00B8"/>
    <w:rsid w:val="006F069C"/>
    <w:rsid w:val="006F1A2C"/>
    <w:rsid w:val="006F2F38"/>
    <w:rsid w:val="006F6D87"/>
    <w:rsid w:val="006F6EFB"/>
    <w:rsid w:val="006F7442"/>
    <w:rsid w:val="006F7499"/>
    <w:rsid w:val="007001E7"/>
    <w:rsid w:val="00705E21"/>
    <w:rsid w:val="00706A5B"/>
    <w:rsid w:val="00706F75"/>
    <w:rsid w:val="00706FFA"/>
    <w:rsid w:val="00712862"/>
    <w:rsid w:val="007129EE"/>
    <w:rsid w:val="007140DE"/>
    <w:rsid w:val="007171ED"/>
    <w:rsid w:val="00720081"/>
    <w:rsid w:val="00720C1B"/>
    <w:rsid w:val="00721C93"/>
    <w:rsid w:val="00721CB9"/>
    <w:rsid w:val="00722B08"/>
    <w:rsid w:val="0072577F"/>
    <w:rsid w:val="00726448"/>
    <w:rsid w:val="00730442"/>
    <w:rsid w:val="00734148"/>
    <w:rsid w:val="00735060"/>
    <w:rsid w:val="00735533"/>
    <w:rsid w:val="0073718A"/>
    <w:rsid w:val="007415F4"/>
    <w:rsid w:val="00743EAE"/>
    <w:rsid w:val="00743F7B"/>
    <w:rsid w:val="00744208"/>
    <w:rsid w:val="007446F2"/>
    <w:rsid w:val="00744A90"/>
    <w:rsid w:val="00744C33"/>
    <w:rsid w:val="00746486"/>
    <w:rsid w:val="00747C0D"/>
    <w:rsid w:val="00751D46"/>
    <w:rsid w:val="00752CD8"/>
    <w:rsid w:val="0075302B"/>
    <w:rsid w:val="00753587"/>
    <w:rsid w:val="007600C2"/>
    <w:rsid w:val="00762EFE"/>
    <w:rsid w:val="00764DAD"/>
    <w:rsid w:val="00765623"/>
    <w:rsid w:val="00765843"/>
    <w:rsid w:val="007658EC"/>
    <w:rsid w:val="007663BC"/>
    <w:rsid w:val="00767FA5"/>
    <w:rsid w:val="00771BA5"/>
    <w:rsid w:val="007721B9"/>
    <w:rsid w:val="00772CBF"/>
    <w:rsid w:val="00774A38"/>
    <w:rsid w:val="00774D15"/>
    <w:rsid w:val="0077509A"/>
    <w:rsid w:val="007751E4"/>
    <w:rsid w:val="00776274"/>
    <w:rsid w:val="00776DA8"/>
    <w:rsid w:val="0078237D"/>
    <w:rsid w:val="00783A3A"/>
    <w:rsid w:val="00785EE8"/>
    <w:rsid w:val="0078672C"/>
    <w:rsid w:val="007901BC"/>
    <w:rsid w:val="007908A6"/>
    <w:rsid w:val="0079763C"/>
    <w:rsid w:val="00797D12"/>
    <w:rsid w:val="007A0027"/>
    <w:rsid w:val="007A22CA"/>
    <w:rsid w:val="007A386E"/>
    <w:rsid w:val="007A5281"/>
    <w:rsid w:val="007A6A0D"/>
    <w:rsid w:val="007A714A"/>
    <w:rsid w:val="007A741B"/>
    <w:rsid w:val="007B556F"/>
    <w:rsid w:val="007B63C5"/>
    <w:rsid w:val="007C07A2"/>
    <w:rsid w:val="007C2342"/>
    <w:rsid w:val="007C2B4D"/>
    <w:rsid w:val="007D0B4D"/>
    <w:rsid w:val="007D3462"/>
    <w:rsid w:val="007D7F09"/>
    <w:rsid w:val="007E08BD"/>
    <w:rsid w:val="007E4512"/>
    <w:rsid w:val="007E4789"/>
    <w:rsid w:val="007E7D5F"/>
    <w:rsid w:val="007F3489"/>
    <w:rsid w:val="007F4475"/>
    <w:rsid w:val="007F4866"/>
    <w:rsid w:val="007F6BA7"/>
    <w:rsid w:val="00801242"/>
    <w:rsid w:val="00801522"/>
    <w:rsid w:val="008016F5"/>
    <w:rsid w:val="00801CAD"/>
    <w:rsid w:val="00802515"/>
    <w:rsid w:val="00805EDD"/>
    <w:rsid w:val="00806478"/>
    <w:rsid w:val="00807221"/>
    <w:rsid w:val="00812B7F"/>
    <w:rsid w:val="0081321A"/>
    <w:rsid w:val="00813BFF"/>
    <w:rsid w:val="00814C58"/>
    <w:rsid w:val="008167C0"/>
    <w:rsid w:val="00817A09"/>
    <w:rsid w:val="00821114"/>
    <w:rsid w:val="00831F67"/>
    <w:rsid w:val="008327E1"/>
    <w:rsid w:val="0083447A"/>
    <w:rsid w:val="00835C56"/>
    <w:rsid w:val="0083707E"/>
    <w:rsid w:val="00844B59"/>
    <w:rsid w:val="008474AD"/>
    <w:rsid w:val="00847DE6"/>
    <w:rsid w:val="00852F28"/>
    <w:rsid w:val="00860CBD"/>
    <w:rsid w:val="00860D72"/>
    <w:rsid w:val="00861120"/>
    <w:rsid w:val="0086374D"/>
    <w:rsid w:val="00864DAE"/>
    <w:rsid w:val="00865E0C"/>
    <w:rsid w:val="00866608"/>
    <w:rsid w:val="00867B91"/>
    <w:rsid w:val="0087028F"/>
    <w:rsid w:val="008707F0"/>
    <w:rsid w:val="00871D22"/>
    <w:rsid w:val="008728F7"/>
    <w:rsid w:val="00873095"/>
    <w:rsid w:val="00875BCF"/>
    <w:rsid w:val="0088023D"/>
    <w:rsid w:val="00880F57"/>
    <w:rsid w:val="00880FFE"/>
    <w:rsid w:val="00881F0D"/>
    <w:rsid w:val="00885132"/>
    <w:rsid w:val="008869CF"/>
    <w:rsid w:val="00886F31"/>
    <w:rsid w:val="00887D77"/>
    <w:rsid w:val="00890FF6"/>
    <w:rsid w:val="008945FE"/>
    <w:rsid w:val="0089632A"/>
    <w:rsid w:val="00897DA4"/>
    <w:rsid w:val="008A2A82"/>
    <w:rsid w:val="008B0BB1"/>
    <w:rsid w:val="008B0F46"/>
    <w:rsid w:val="008B1D97"/>
    <w:rsid w:val="008B7A40"/>
    <w:rsid w:val="008C1A4D"/>
    <w:rsid w:val="008C489F"/>
    <w:rsid w:val="008C4C4E"/>
    <w:rsid w:val="008C500C"/>
    <w:rsid w:val="008C6946"/>
    <w:rsid w:val="008C6D38"/>
    <w:rsid w:val="008C70A1"/>
    <w:rsid w:val="008C7935"/>
    <w:rsid w:val="008D1BA4"/>
    <w:rsid w:val="008D1BB4"/>
    <w:rsid w:val="008D3162"/>
    <w:rsid w:val="008D5375"/>
    <w:rsid w:val="008D55D1"/>
    <w:rsid w:val="008D6963"/>
    <w:rsid w:val="008D707D"/>
    <w:rsid w:val="008E05E5"/>
    <w:rsid w:val="008E2144"/>
    <w:rsid w:val="008E56FC"/>
    <w:rsid w:val="008E784A"/>
    <w:rsid w:val="008F13D1"/>
    <w:rsid w:val="008F1DEE"/>
    <w:rsid w:val="008F429B"/>
    <w:rsid w:val="009000CB"/>
    <w:rsid w:val="009017C6"/>
    <w:rsid w:val="00905182"/>
    <w:rsid w:val="00906724"/>
    <w:rsid w:val="00915613"/>
    <w:rsid w:val="009175B3"/>
    <w:rsid w:val="00920CCB"/>
    <w:rsid w:val="00921963"/>
    <w:rsid w:val="00924012"/>
    <w:rsid w:val="00924326"/>
    <w:rsid w:val="00924966"/>
    <w:rsid w:val="00925996"/>
    <w:rsid w:val="00926BA1"/>
    <w:rsid w:val="00930B04"/>
    <w:rsid w:val="00932766"/>
    <w:rsid w:val="00932EC2"/>
    <w:rsid w:val="00934629"/>
    <w:rsid w:val="0093558C"/>
    <w:rsid w:val="00936BA2"/>
    <w:rsid w:val="009412B2"/>
    <w:rsid w:val="00941492"/>
    <w:rsid w:val="00950D41"/>
    <w:rsid w:val="00951C04"/>
    <w:rsid w:val="00951E50"/>
    <w:rsid w:val="00951E69"/>
    <w:rsid w:val="00951EC0"/>
    <w:rsid w:val="00953204"/>
    <w:rsid w:val="00953723"/>
    <w:rsid w:val="00954178"/>
    <w:rsid w:val="00954AA8"/>
    <w:rsid w:val="00957DE0"/>
    <w:rsid w:val="0096226D"/>
    <w:rsid w:val="00962AED"/>
    <w:rsid w:val="00963757"/>
    <w:rsid w:val="00964F17"/>
    <w:rsid w:val="0096614E"/>
    <w:rsid w:val="009664E8"/>
    <w:rsid w:val="00967129"/>
    <w:rsid w:val="00967990"/>
    <w:rsid w:val="00967B25"/>
    <w:rsid w:val="00970707"/>
    <w:rsid w:val="00971019"/>
    <w:rsid w:val="00971A1D"/>
    <w:rsid w:val="00971A5C"/>
    <w:rsid w:val="00987BFE"/>
    <w:rsid w:val="00993F61"/>
    <w:rsid w:val="009942BA"/>
    <w:rsid w:val="009973FB"/>
    <w:rsid w:val="009A036E"/>
    <w:rsid w:val="009A2CDA"/>
    <w:rsid w:val="009A4F74"/>
    <w:rsid w:val="009A5310"/>
    <w:rsid w:val="009B02E2"/>
    <w:rsid w:val="009B36A5"/>
    <w:rsid w:val="009B3F6A"/>
    <w:rsid w:val="009B748F"/>
    <w:rsid w:val="009B7E70"/>
    <w:rsid w:val="009C1409"/>
    <w:rsid w:val="009C18CC"/>
    <w:rsid w:val="009C2A23"/>
    <w:rsid w:val="009C400B"/>
    <w:rsid w:val="009D12CB"/>
    <w:rsid w:val="009D2C87"/>
    <w:rsid w:val="009D325A"/>
    <w:rsid w:val="009D5A9B"/>
    <w:rsid w:val="009D75BB"/>
    <w:rsid w:val="009E055A"/>
    <w:rsid w:val="009E1CE2"/>
    <w:rsid w:val="009E3EB7"/>
    <w:rsid w:val="009E57CD"/>
    <w:rsid w:val="009E5A4D"/>
    <w:rsid w:val="009E5BFB"/>
    <w:rsid w:val="009E5E11"/>
    <w:rsid w:val="009F1601"/>
    <w:rsid w:val="009F22B9"/>
    <w:rsid w:val="009F3449"/>
    <w:rsid w:val="009F3739"/>
    <w:rsid w:val="009F469E"/>
    <w:rsid w:val="009F534F"/>
    <w:rsid w:val="009F7C4C"/>
    <w:rsid w:val="00A011F6"/>
    <w:rsid w:val="00A01C26"/>
    <w:rsid w:val="00A02870"/>
    <w:rsid w:val="00A0368A"/>
    <w:rsid w:val="00A036C3"/>
    <w:rsid w:val="00A03F4C"/>
    <w:rsid w:val="00A04209"/>
    <w:rsid w:val="00A0421E"/>
    <w:rsid w:val="00A07572"/>
    <w:rsid w:val="00A11233"/>
    <w:rsid w:val="00A1256B"/>
    <w:rsid w:val="00A131AD"/>
    <w:rsid w:val="00A17043"/>
    <w:rsid w:val="00A24FE0"/>
    <w:rsid w:val="00A25CAB"/>
    <w:rsid w:val="00A25F07"/>
    <w:rsid w:val="00A26121"/>
    <w:rsid w:val="00A26459"/>
    <w:rsid w:val="00A30FF1"/>
    <w:rsid w:val="00A31C61"/>
    <w:rsid w:val="00A3227D"/>
    <w:rsid w:val="00A324D8"/>
    <w:rsid w:val="00A33FC8"/>
    <w:rsid w:val="00A35C6C"/>
    <w:rsid w:val="00A376D0"/>
    <w:rsid w:val="00A40C57"/>
    <w:rsid w:val="00A41A7E"/>
    <w:rsid w:val="00A41B7A"/>
    <w:rsid w:val="00A41FE8"/>
    <w:rsid w:val="00A43992"/>
    <w:rsid w:val="00A440E5"/>
    <w:rsid w:val="00A453DE"/>
    <w:rsid w:val="00A50AF4"/>
    <w:rsid w:val="00A51A9C"/>
    <w:rsid w:val="00A5272E"/>
    <w:rsid w:val="00A56AB4"/>
    <w:rsid w:val="00A570AA"/>
    <w:rsid w:val="00A60466"/>
    <w:rsid w:val="00A66A85"/>
    <w:rsid w:val="00A6723B"/>
    <w:rsid w:val="00A67FC0"/>
    <w:rsid w:val="00A726AE"/>
    <w:rsid w:val="00A74979"/>
    <w:rsid w:val="00A75340"/>
    <w:rsid w:val="00A76327"/>
    <w:rsid w:val="00A853C0"/>
    <w:rsid w:val="00A8600F"/>
    <w:rsid w:val="00A906C0"/>
    <w:rsid w:val="00A91F68"/>
    <w:rsid w:val="00A951AF"/>
    <w:rsid w:val="00A964FB"/>
    <w:rsid w:val="00AA0A83"/>
    <w:rsid w:val="00AA2D6D"/>
    <w:rsid w:val="00AB38E3"/>
    <w:rsid w:val="00AB6E5E"/>
    <w:rsid w:val="00AB704D"/>
    <w:rsid w:val="00AC0189"/>
    <w:rsid w:val="00AC0212"/>
    <w:rsid w:val="00AC1283"/>
    <w:rsid w:val="00AD14D4"/>
    <w:rsid w:val="00AD351A"/>
    <w:rsid w:val="00AD394D"/>
    <w:rsid w:val="00AD50AE"/>
    <w:rsid w:val="00AD65AA"/>
    <w:rsid w:val="00AD75BA"/>
    <w:rsid w:val="00AE022C"/>
    <w:rsid w:val="00AE6A9E"/>
    <w:rsid w:val="00AF1FDC"/>
    <w:rsid w:val="00AF3527"/>
    <w:rsid w:val="00AF3927"/>
    <w:rsid w:val="00AF51C0"/>
    <w:rsid w:val="00AF544C"/>
    <w:rsid w:val="00AF5F9F"/>
    <w:rsid w:val="00AF6A3A"/>
    <w:rsid w:val="00AF6BC9"/>
    <w:rsid w:val="00AF7C5C"/>
    <w:rsid w:val="00B003F1"/>
    <w:rsid w:val="00B01322"/>
    <w:rsid w:val="00B01ED2"/>
    <w:rsid w:val="00B049D8"/>
    <w:rsid w:val="00B04EF8"/>
    <w:rsid w:val="00B10355"/>
    <w:rsid w:val="00B10FDB"/>
    <w:rsid w:val="00B118CB"/>
    <w:rsid w:val="00B11AD7"/>
    <w:rsid w:val="00B1374F"/>
    <w:rsid w:val="00B16B14"/>
    <w:rsid w:val="00B220E9"/>
    <w:rsid w:val="00B226A8"/>
    <w:rsid w:val="00B22AD5"/>
    <w:rsid w:val="00B23967"/>
    <w:rsid w:val="00B247C5"/>
    <w:rsid w:val="00B3012A"/>
    <w:rsid w:val="00B3130C"/>
    <w:rsid w:val="00B3321A"/>
    <w:rsid w:val="00B34396"/>
    <w:rsid w:val="00B35B23"/>
    <w:rsid w:val="00B35DAE"/>
    <w:rsid w:val="00B365C4"/>
    <w:rsid w:val="00B37501"/>
    <w:rsid w:val="00B41C4F"/>
    <w:rsid w:val="00B436D5"/>
    <w:rsid w:val="00B43FFB"/>
    <w:rsid w:val="00B44A8D"/>
    <w:rsid w:val="00B470D5"/>
    <w:rsid w:val="00B47DA9"/>
    <w:rsid w:val="00B5001B"/>
    <w:rsid w:val="00B52450"/>
    <w:rsid w:val="00B5314B"/>
    <w:rsid w:val="00B54C81"/>
    <w:rsid w:val="00B557D3"/>
    <w:rsid w:val="00B60418"/>
    <w:rsid w:val="00B60979"/>
    <w:rsid w:val="00B623E0"/>
    <w:rsid w:val="00B636B4"/>
    <w:rsid w:val="00B65544"/>
    <w:rsid w:val="00B65AEB"/>
    <w:rsid w:val="00B6601A"/>
    <w:rsid w:val="00B6712B"/>
    <w:rsid w:val="00B8274F"/>
    <w:rsid w:val="00B8367D"/>
    <w:rsid w:val="00B83F6F"/>
    <w:rsid w:val="00B854EC"/>
    <w:rsid w:val="00B85A6B"/>
    <w:rsid w:val="00B92C6B"/>
    <w:rsid w:val="00B94298"/>
    <w:rsid w:val="00B94BB5"/>
    <w:rsid w:val="00B95021"/>
    <w:rsid w:val="00B95144"/>
    <w:rsid w:val="00B956B0"/>
    <w:rsid w:val="00B95A3A"/>
    <w:rsid w:val="00BA3C6D"/>
    <w:rsid w:val="00BA578A"/>
    <w:rsid w:val="00BB0CC8"/>
    <w:rsid w:val="00BB1B51"/>
    <w:rsid w:val="00BB23E7"/>
    <w:rsid w:val="00BB53B6"/>
    <w:rsid w:val="00BB58BA"/>
    <w:rsid w:val="00BB5EA1"/>
    <w:rsid w:val="00BB63C2"/>
    <w:rsid w:val="00BB64AB"/>
    <w:rsid w:val="00BC19C5"/>
    <w:rsid w:val="00BC508D"/>
    <w:rsid w:val="00BC69BB"/>
    <w:rsid w:val="00BD10E9"/>
    <w:rsid w:val="00BD189A"/>
    <w:rsid w:val="00BD2ABE"/>
    <w:rsid w:val="00BD300B"/>
    <w:rsid w:val="00BD5812"/>
    <w:rsid w:val="00BE33E1"/>
    <w:rsid w:val="00BE3A20"/>
    <w:rsid w:val="00BE6481"/>
    <w:rsid w:val="00BE6E8A"/>
    <w:rsid w:val="00BF015A"/>
    <w:rsid w:val="00BF23B9"/>
    <w:rsid w:val="00BF2CEB"/>
    <w:rsid w:val="00BF5AC9"/>
    <w:rsid w:val="00BF6A00"/>
    <w:rsid w:val="00BF79CF"/>
    <w:rsid w:val="00BF7F58"/>
    <w:rsid w:val="00C00F1E"/>
    <w:rsid w:val="00C018C3"/>
    <w:rsid w:val="00C0221B"/>
    <w:rsid w:val="00C022AE"/>
    <w:rsid w:val="00C0477A"/>
    <w:rsid w:val="00C06DC3"/>
    <w:rsid w:val="00C070B2"/>
    <w:rsid w:val="00C1278F"/>
    <w:rsid w:val="00C12E38"/>
    <w:rsid w:val="00C16B8C"/>
    <w:rsid w:val="00C17415"/>
    <w:rsid w:val="00C23D7E"/>
    <w:rsid w:val="00C242A7"/>
    <w:rsid w:val="00C27370"/>
    <w:rsid w:val="00C34232"/>
    <w:rsid w:val="00C353C4"/>
    <w:rsid w:val="00C354D6"/>
    <w:rsid w:val="00C359D1"/>
    <w:rsid w:val="00C443F0"/>
    <w:rsid w:val="00C44437"/>
    <w:rsid w:val="00C466BA"/>
    <w:rsid w:val="00C47BF3"/>
    <w:rsid w:val="00C50484"/>
    <w:rsid w:val="00C509A1"/>
    <w:rsid w:val="00C511BA"/>
    <w:rsid w:val="00C516F1"/>
    <w:rsid w:val="00C51E8C"/>
    <w:rsid w:val="00C5211E"/>
    <w:rsid w:val="00C525E2"/>
    <w:rsid w:val="00C53F2A"/>
    <w:rsid w:val="00C5419D"/>
    <w:rsid w:val="00C60012"/>
    <w:rsid w:val="00C60E8D"/>
    <w:rsid w:val="00C61CED"/>
    <w:rsid w:val="00C636CE"/>
    <w:rsid w:val="00C63E42"/>
    <w:rsid w:val="00C65986"/>
    <w:rsid w:val="00C660B6"/>
    <w:rsid w:val="00C66BD6"/>
    <w:rsid w:val="00C675A0"/>
    <w:rsid w:val="00C73802"/>
    <w:rsid w:val="00C744AF"/>
    <w:rsid w:val="00C7466C"/>
    <w:rsid w:val="00C77ECB"/>
    <w:rsid w:val="00C801D7"/>
    <w:rsid w:val="00C8123C"/>
    <w:rsid w:val="00C82F5C"/>
    <w:rsid w:val="00C84571"/>
    <w:rsid w:val="00C94E50"/>
    <w:rsid w:val="00CA04B8"/>
    <w:rsid w:val="00CA200D"/>
    <w:rsid w:val="00CA352B"/>
    <w:rsid w:val="00CA50A8"/>
    <w:rsid w:val="00CA5547"/>
    <w:rsid w:val="00CB1888"/>
    <w:rsid w:val="00CB29D9"/>
    <w:rsid w:val="00CB600F"/>
    <w:rsid w:val="00CB67BD"/>
    <w:rsid w:val="00CC0CE7"/>
    <w:rsid w:val="00CC57AF"/>
    <w:rsid w:val="00CC5C53"/>
    <w:rsid w:val="00CD1E76"/>
    <w:rsid w:val="00CD3EBC"/>
    <w:rsid w:val="00CD5235"/>
    <w:rsid w:val="00CD73CE"/>
    <w:rsid w:val="00CD789A"/>
    <w:rsid w:val="00CE0169"/>
    <w:rsid w:val="00CE27DA"/>
    <w:rsid w:val="00CE5DEA"/>
    <w:rsid w:val="00CE60B7"/>
    <w:rsid w:val="00CF224B"/>
    <w:rsid w:val="00CF29BB"/>
    <w:rsid w:val="00CF3806"/>
    <w:rsid w:val="00CF4CC1"/>
    <w:rsid w:val="00CF5A6F"/>
    <w:rsid w:val="00CF6230"/>
    <w:rsid w:val="00CF6298"/>
    <w:rsid w:val="00CF6B74"/>
    <w:rsid w:val="00CF7E1F"/>
    <w:rsid w:val="00CF7F2F"/>
    <w:rsid w:val="00D02675"/>
    <w:rsid w:val="00D02B57"/>
    <w:rsid w:val="00D02BF8"/>
    <w:rsid w:val="00D054F1"/>
    <w:rsid w:val="00D060E2"/>
    <w:rsid w:val="00D23477"/>
    <w:rsid w:val="00D246D2"/>
    <w:rsid w:val="00D26ECE"/>
    <w:rsid w:val="00D334A0"/>
    <w:rsid w:val="00D358F3"/>
    <w:rsid w:val="00D365E7"/>
    <w:rsid w:val="00D3708A"/>
    <w:rsid w:val="00D41839"/>
    <w:rsid w:val="00D44A75"/>
    <w:rsid w:val="00D46AEB"/>
    <w:rsid w:val="00D46D35"/>
    <w:rsid w:val="00D50BF5"/>
    <w:rsid w:val="00D52EF9"/>
    <w:rsid w:val="00D5357E"/>
    <w:rsid w:val="00D56577"/>
    <w:rsid w:val="00D573A5"/>
    <w:rsid w:val="00D578AB"/>
    <w:rsid w:val="00D579E1"/>
    <w:rsid w:val="00D612C5"/>
    <w:rsid w:val="00D63171"/>
    <w:rsid w:val="00D65DDB"/>
    <w:rsid w:val="00D67BEF"/>
    <w:rsid w:val="00D72C0C"/>
    <w:rsid w:val="00D81D5E"/>
    <w:rsid w:val="00D8257A"/>
    <w:rsid w:val="00D82996"/>
    <w:rsid w:val="00D82C8E"/>
    <w:rsid w:val="00D852F9"/>
    <w:rsid w:val="00D858EB"/>
    <w:rsid w:val="00D85A60"/>
    <w:rsid w:val="00D86C23"/>
    <w:rsid w:val="00D86DCF"/>
    <w:rsid w:val="00D95514"/>
    <w:rsid w:val="00DA1DBC"/>
    <w:rsid w:val="00DA244D"/>
    <w:rsid w:val="00DA2971"/>
    <w:rsid w:val="00DA4442"/>
    <w:rsid w:val="00DA5683"/>
    <w:rsid w:val="00DA74C3"/>
    <w:rsid w:val="00DB218D"/>
    <w:rsid w:val="00DB4ECA"/>
    <w:rsid w:val="00DB6BB7"/>
    <w:rsid w:val="00DB7626"/>
    <w:rsid w:val="00DC0333"/>
    <w:rsid w:val="00DC1CB1"/>
    <w:rsid w:val="00DC4F38"/>
    <w:rsid w:val="00DC7C20"/>
    <w:rsid w:val="00DD148B"/>
    <w:rsid w:val="00DD1E89"/>
    <w:rsid w:val="00DD248D"/>
    <w:rsid w:val="00DD2FED"/>
    <w:rsid w:val="00DD3937"/>
    <w:rsid w:val="00DD5488"/>
    <w:rsid w:val="00DD61C7"/>
    <w:rsid w:val="00DD7D4D"/>
    <w:rsid w:val="00DE01BC"/>
    <w:rsid w:val="00DE1F48"/>
    <w:rsid w:val="00DE254F"/>
    <w:rsid w:val="00DE3B05"/>
    <w:rsid w:val="00DE445B"/>
    <w:rsid w:val="00DE4C2E"/>
    <w:rsid w:val="00DE7971"/>
    <w:rsid w:val="00DF48F8"/>
    <w:rsid w:val="00DF4A49"/>
    <w:rsid w:val="00E02073"/>
    <w:rsid w:val="00E03A73"/>
    <w:rsid w:val="00E05BE9"/>
    <w:rsid w:val="00E11767"/>
    <w:rsid w:val="00E12580"/>
    <w:rsid w:val="00E12C8C"/>
    <w:rsid w:val="00E14236"/>
    <w:rsid w:val="00E14C72"/>
    <w:rsid w:val="00E16633"/>
    <w:rsid w:val="00E227E2"/>
    <w:rsid w:val="00E2425A"/>
    <w:rsid w:val="00E25E33"/>
    <w:rsid w:val="00E2757C"/>
    <w:rsid w:val="00E27BD3"/>
    <w:rsid w:val="00E3745F"/>
    <w:rsid w:val="00E40E42"/>
    <w:rsid w:val="00E41D99"/>
    <w:rsid w:val="00E42C84"/>
    <w:rsid w:val="00E4326A"/>
    <w:rsid w:val="00E4353D"/>
    <w:rsid w:val="00E44152"/>
    <w:rsid w:val="00E4661F"/>
    <w:rsid w:val="00E50021"/>
    <w:rsid w:val="00E50AF0"/>
    <w:rsid w:val="00E53B13"/>
    <w:rsid w:val="00E54B5A"/>
    <w:rsid w:val="00E569C0"/>
    <w:rsid w:val="00E60AC1"/>
    <w:rsid w:val="00E65384"/>
    <w:rsid w:val="00E6592B"/>
    <w:rsid w:val="00E6597F"/>
    <w:rsid w:val="00E673ED"/>
    <w:rsid w:val="00E71DA2"/>
    <w:rsid w:val="00E7316E"/>
    <w:rsid w:val="00E7397B"/>
    <w:rsid w:val="00E73A23"/>
    <w:rsid w:val="00E747BF"/>
    <w:rsid w:val="00E74EC2"/>
    <w:rsid w:val="00E77772"/>
    <w:rsid w:val="00E81665"/>
    <w:rsid w:val="00E82D82"/>
    <w:rsid w:val="00E8666A"/>
    <w:rsid w:val="00E909DF"/>
    <w:rsid w:val="00E90CBB"/>
    <w:rsid w:val="00E9179D"/>
    <w:rsid w:val="00E91CBA"/>
    <w:rsid w:val="00E9243D"/>
    <w:rsid w:val="00E928A4"/>
    <w:rsid w:val="00E92F7E"/>
    <w:rsid w:val="00E93114"/>
    <w:rsid w:val="00E9351F"/>
    <w:rsid w:val="00E93A62"/>
    <w:rsid w:val="00E9699B"/>
    <w:rsid w:val="00E97C5B"/>
    <w:rsid w:val="00EA152A"/>
    <w:rsid w:val="00EA1922"/>
    <w:rsid w:val="00EA4CB7"/>
    <w:rsid w:val="00EA6EDD"/>
    <w:rsid w:val="00EA749E"/>
    <w:rsid w:val="00EB2919"/>
    <w:rsid w:val="00EB5071"/>
    <w:rsid w:val="00EC22EE"/>
    <w:rsid w:val="00EC451A"/>
    <w:rsid w:val="00EC4DBB"/>
    <w:rsid w:val="00EC5A69"/>
    <w:rsid w:val="00EC6B6F"/>
    <w:rsid w:val="00EC7557"/>
    <w:rsid w:val="00ED0455"/>
    <w:rsid w:val="00ED06C3"/>
    <w:rsid w:val="00ED12EB"/>
    <w:rsid w:val="00ED31A6"/>
    <w:rsid w:val="00ED59A3"/>
    <w:rsid w:val="00ED5B7F"/>
    <w:rsid w:val="00ED5FFF"/>
    <w:rsid w:val="00EE0055"/>
    <w:rsid w:val="00EE4AC5"/>
    <w:rsid w:val="00EE5ACD"/>
    <w:rsid w:val="00EE6377"/>
    <w:rsid w:val="00EF10A9"/>
    <w:rsid w:val="00EF13E9"/>
    <w:rsid w:val="00EF3256"/>
    <w:rsid w:val="00EF5A3D"/>
    <w:rsid w:val="00EF5C6C"/>
    <w:rsid w:val="00EF773A"/>
    <w:rsid w:val="00F030E2"/>
    <w:rsid w:val="00F034E4"/>
    <w:rsid w:val="00F03B24"/>
    <w:rsid w:val="00F0437B"/>
    <w:rsid w:val="00F0742B"/>
    <w:rsid w:val="00F075CC"/>
    <w:rsid w:val="00F07C01"/>
    <w:rsid w:val="00F07C69"/>
    <w:rsid w:val="00F110AC"/>
    <w:rsid w:val="00F14DBD"/>
    <w:rsid w:val="00F159C8"/>
    <w:rsid w:val="00F204A6"/>
    <w:rsid w:val="00F2204C"/>
    <w:rsid w:val="00F2288C"/>
    <w:rsid w:val="00F259EC"/>
    <w:rsid w:val="00F3072B"/>
    <w:rsid w:val="00F36175"/>
    <w:rsid w:val="00F36C14"/>
    <w:rsid w:val="00F40648"/>
    <w:rsid w:val="00F41CA1"/>
    <w:rsid w:val="00F421DD"/>
    <w:rsid w:val="00F4303D"/>
    <w:rsid w:val="00F50104"/>
    <w:rsid w:val="00F52571"/>
    <w:rsid w:val="00F52AB2"/>
    <w:rsid w:val="00F617A3"/>
    <w:rsid w:val="00F61ACA"/>
    <w:rsid w:val="00F6324B"/>
    <w:rsid w:val="00F6594F"/>
    <w:rsid w:val="00F66313"/>
    <w:rsid w:val="00F72C27"/>
    <w:rsid w:val="00F7384A"/>
    <w:rsid w:val="00F740E5"/>
    <w:rsid w:val="00F74ED5"/>
    <w:rsid w:val="00F77946"/>
    <w:rsid w:val="00F81D6B"/>
    <w:rsid w:val="00F829C5"/>
    <w:rsid w:val="00F843EF"/>
    <w:rsid w:val="00F849C4"/>
    <w:rsid w:val="00F84F76"/>
    <w:rsid w:val="00F90037"/>
    <w:rsid w:val="00F9272E"/>
    <w:rsid w:val="00F92D28"/>
    <w:rsid w:val="00F94EA5"/>
    <w:rsid w:val="00F95456"/>
    <w:rsid w:val="00F95F74"/>
    <w:rsid w:val="00F9616E"/>
    <w:rsid w:val="00F97778"/>
    <w:rsid w:val="00F97DF9"/>
    <w:rsid w:val="00FA417D"/>
    <w:rsid w:val="00FA50DB"/>
    <w:rsid w:val="00FA5212"/>
    <w:rsid w:val="00FA66D2"/>
    <w:rsid w:val="00FB2387"/>
    <w:rsid w:val="00FB4070"/>
    <w:rsid w:val="00FB58DA"/>
    <w:rsid w:val="00FB695D"/>
    <w:rsid w:val="00FB70B2"/>
    <w:rsid w:val="00FC1897"/>
    <w:rsid w:val="00FC2FA0"/>
    <w:rsid w:val="00FC470A"/>
    <w:rsid w:val="00FC470F"/>
    <w:rsid w:val="00FC6681"/>
    <w:rsid w:val="00FC6E65"/>
    <w:rsid w:val="00FD0902"/>
    <w:rsid w:val="00FD0D4F"/>
    <w:rsid w:val="00FD1404"/>
    <w:rsid w:val="00FD3555"/>
    <w:rsid w:val="00FD7D0B"/>
    <w:rsid w:val="00FE0962"/>
    <w:rsid w:val="00FE14A0"/>
    <w:rsid w:val="00FE3ABF"/>
    <w:rsid w:val="00FE59F1"/>
    <w:rsid w:val="00FE68C2"/>
    <w:rsid w:val="00FE747D"/>
    <w:rsid w:val="00FF2A8A"/>
    <w:rsid w:val="00FF4477"/>
    <w:rsid w:val="00FF6506"/>
    <w:rsid w:val="00FF749E"/>
    <w:rsid w:val="00FF74D3"/>
    <w:rsid w:val="00FF7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0E1FB"/>
  <w15:chartTrackingRefBased/>
  <w15:docId w15:val="{B3848995-576B-4DFA-BBE1-697B81F1D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B6A"/>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B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31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564"/>
  </w:style>
  <w:style w:type="paragraph" w:styleId="Footer">
    <w:name w:val="footer"/>
    <w:basedOn w:val="Normal"/>
    <w:link w:val="FooterChar"/>
    <w:uiPriority w:val="99"/>
    <w:unhideWhenUsed/>
    <w:rsid w:val="00131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564"/>
  </w:style>
  <w:style w:type="table" w:styleId="ListTable1Light-Accent3">
    <w:name w:val="List Table 1 Light Accent 3"/>
    <w:basedOn w:val="TableNormal"/>
    <w:uiPriority w:val="46"/>
    <w:rsid w:val="00B94BB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1A3330"/>
    <w:pPr>
      <w:ind w:left="720"/>
      <w:contextualSpacing/>
      <w:jc w:val="both"/>
    </w:pPr>
  </w:style>
  <w:style w:type="table" w:styleId="TableGrid">
    <w:name w:val="Table Grid"/>
    <w:basedOn w:val="TableNormal"/>
    <w:uiPriority w:val="39"/>
    <w:rsid w:val="001A3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7778"/>
    <w:rPr>
      <w:color w:val="0563C1" w:themeColor="hyperlink"/>
      <w:u w:val="single"/>
    </w:rPr>
  </w:style>
  <w:style w:type="character" w:customStyle="1" w:styleId="UnresolvedMention1">
    <w:name w:val="Unresolved Mention1"/>
    <w:basedOn w:val="DefaultParagraphFont"/>
    <w:uiPriority w:val="99"/>
    <w:semiHidden/>
    <w:unhideWhenUsed/>
    <w:rsid w:val="00EC22EE"/>
    <w:rPr>
      <w:color w:val="605E5C"/>
      <w:shd w:val="clear" w:color="auto" w:fill="E1DFDD"/>
    </w:rPr>
  </w:style>
  <w:style w:type="paragraph" w:styleId="Revision">
    <w:name w:val="Revision"/>
    <w:hidden/>
    <w:uiPriority w:val="99"/>
    <w:semiHidden/>
    <w:rsid w:val="00866608"/>
    <w:pPr>
      <w:spacing w:after="0" w:line="240" w:lineRule="auto"/>
    </w:pPr>
  </w:style>
  <w:style w:type="character" w:styleId="CommentReference">
    <w:name w:val="annotation reference"/>
    <w:basedOn w:val="DefaultParagraphFont"/>
    <w:uiPriority w:val="99"/>
    <w:semiHidden/>
    <w:unhideWhenUsed/>
    <w:rsid w:val="00866608"/>
    <w:rPr>
      <w:sz w:val="16"/>
      <w:szCs w:val="16"/>
    </w:rPr>
  </w:style>
  <w:style w:type="paragraph" w:styleId="CommentText">
    <w:name w:val="annotation text"/>
    <w:basedOn w:val="Normal"/>
    <w:link w:val="CommentTextChar"/>
    <w:uiPriority w:val="99"/>
    <w:unhideWhenUsed/>
    <w:rsid w:val="00866608"/>
    <w:pPr>
      <w:spacing w:line="240" w:lineRule="auto"/>
    </w:pPr>
    <w:rPr>
      <w:sz w:val="20"/>
      <w:szCs w:val="20"/>
    </w:rPr>
  </w:style>
  <w:style w:type="character" w:customStyle="1" w:styleId="CommentTextChar">
    <w:name w:val="Comment Text Char"/>
    <w:basedOn w:val="DefaultParagraphFont"/>
    <w:link w:val="CommentText"/>
    <w:uiPriority w:val="99"/>
    <w:rsid w:val="00866608"/>
    <w:rPr>
      <w:sz w:val="20"/>
      <w:szCs w:val="20"/>
    </w:rPr>
  </w:style>
  <w:style w:type="paragraph" w:styleId="CommentSubject">
    <w:name w:val="annotation subject"/>
    <w:basedOn w:val="CommentText"/>
    <w:next w:val="CommentText"/>
    <w:link w:val="CommentSubjectChar"/>
    <w:uiPriority w:val="99"/>
    <w:semiHidden/>
    <w:unhideWhenUsed/>
    <w:rsid w:val="00866608"/>
    <w:rPr>
      <w:b/>
      <w:bCs/>
    </w:rPr>
  </w:style>
  <w:style w:type="character" w:customStyle="1" w:styleId="CommentSubjectChar">
    <w:name w:val="Comment Subject Char"/>
    <w:basedOn w:val="CommentTextChar"/>
    <w:link w:val="CommentSubject"/>
    <w:uiPriority w:val="99"/>
    <w:semiHidden/>
    <w:rsid w:val="00866608"/>
    <w:rPr>
      <w:b/>
      <w:bCs/>
      <w:sz w:val="20"/>
      <w:szCs w:val="20"/>
    </w:rPr>
  </w:style>
  <w:style w:type="paragraph" w:customStyle="1" w:styleId="EndNoteBibliography">
    <w:name w:val="EndNote Bibliography"/>
    <w:basedOn w:val="Normal"/>
    <w:link w:val="EndNoteBibliographyChar"/>
    <w:rsid w:val="00A66A8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66A85"/>
    <w:rPr>
      <w:rFonts w:ascii="Calibri" w:hAnsi="Calibri" w:cs="Calibri"/>
      <w:noProof/>
      <w:lang w:val="en-US"/>
    </w:rPr>
  </w:style>
  <w:style w:type="paragraph" w:styleId="BalloonText">
    <w:name w:val="Balloon Text"/>
    <w:basedOn w:val="Normal"/>
    <w:link w:val="BalloonTextChar"/>
    <w:uiPriority w:val="99"/>
    <w:semiHidden/>
    <w:unhideWhenUsed/>
    <w:rsid w:val="00F50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104"/>
    <w:rPr>
      <w:rFonts w:ascii="Segoe UI" w:hAnsi="Segoe UI" w:cs="Segoe UI"/>
      <w:sz w:val="18"/>
      <w:szCs w:val="18"/>
    </w:rPr>
  </w:style>
  <w:style w:type="character" w:styleId="UnresolvedMention">
    <w:name w:val="Unresolved Mention"/>
    <w:basedOn w:val="DefaultParagraphFont"/>
    <w:uiPriority w:val="99"/>
    <w:semiHidden/>
    <w:unhideWhenUsed/>
    <w:rsid w:val="002B1DDB"/>
    <w:rPr>
      <w:color w:val="605E5C"/>
      <w:shd w:val="clear" w:color="auto" w:fill="E1DFDD"/>
    </w:rPr>
  </w:style>
  <w:style w:type="table" w:styleId="PlainTable1">
    <w:name w:val="Plain Table 1"/>
    <w:basedOn w:val="TableNormal"/>
    <w:uiPriority w:val="41"/>
    <w:rsid w:val="00BB23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8808">
      <w:bodyDiv w:val="1"/>
      <w:marLeft w:val="0"/>
      <w:marRight w:val="0"/>
      <w:marTop w:val="0"/>
      <w:marBottom w:val="0"/>
      <w:divBdr>
        <w:top w:val="none" w:sz="0" w:space="0" w:color="auto"/>
        <w:left w:val="none" w:sz="0" w:space="0" w:color="auto"/>
        <w:bottom w:val="none" w:sz="0" w:space="0" w:color="auto"/>
        <w:right w:val="none" w:sz="0" w:space="0" w:color="auto"/>
      </w:divBdr>
    </w:div>
    <w:div w:id="122315738">
      <w:bodyDiv w:val="1"/>
      <w:marLeft w:val="0"/>
      <w:marRight w:val="0"/>
      <w:marTop w:val="0"/>
      <w:marBottom w:val="0"/>
      <w:divBdr>
        <w:top w:val="none" w:sz="0" w:space="0" w:color="auto"/>
        <w:left w:val="none" w:sz="0" w:space="0" w:color="auto"/>
        <w:bottom w:val="none" w:sz="0" w:space="0" w:color="auto"/>
        <w:right w:val="none" w:sz="0" w:space="0" w:color="auto"/>
      </w:divBdr>
    </w:div>
    <w:div w:id="138617353">
      <w:bodyDiv w:val="1"/>
      <w:marLeft w:val="0"/>
      <w:marRight w:val="0"/>
      <w:marTop w:val="0"/>
      <w:marBottom w:val="0"/>
      <w:divBdr>
        <w:top w:val="none" w:sz="0" w:space="0" w:color="auto"/>
        <w:left w:val="none" w:sz="0" w:space="0" w:color="auto"/>
        <w:bottom w:val="none" w:sz="0" w:space="0" w:color="auto"/>
        <w:right w:val="none" w:sz="0" w:space="0" w:color="auto"/>
      </w:divBdr>
    </w:div>
    <w:div w:id="190578976">
      <w:bodyDiv w:val="1"/>
      <w:marLeft w:val="0"/>
      <w:marRight w:val="0"/>
      <w:marTop w:val="0"/>
      <w:marBottom w:val="0"/>
      <w:divBdr>
        <w:top w:val="none" w:sz="0" w:space="0" w:color="auto"/>
        <w:left w:val="none" w:sz="0" w:space="0" w:color="auto"/>
        <w:bottom w:val="none" w:sz="0" w:space="0" w:color="auto"/>
        <w:right w:val="none" w:sz="0" w:space="0" w:color="auto"/>
      </w:divBdr>
    </w:div>
    <w:div w:id="444812084">
      <w:bodyDiv w:val="1"/>
      <w:marLeft w:val="0"/>
      <w:marRight w:val="0"/>
      <w:marTop w:val="0"/>
      <w:marBottom w:val="0"/>
      <w:divBdr>
        <w:top w:val="none" w:sz="0" w:space="0" w:color="auto"/>
        <w:left w:val="none" w:sz="0" w:space="0" w:color="auto"/>
        <w:bottom w:val="none" w:sz="0" w:space="0" w:color="auto"/>
        <w:right w:val="none" w:sz="0" w:space="0" w:color="auto"/>
      </w:divBdr>
    </w:div>
    <w:div w:id="483208494">
      <w:bodyDiv w:val="1"/>
      <w:marLeft w:val="0"/>
      <w:marRight w:val="0"/>
      <w:marTop w:val="0"/>
      <w:marBottom w:val="0"/>
      <w:divBdr>
        <w:top w:val="none" w:sz="0" w:space="0" w:color="auto"/>
        <w:left w:val="none" w:sz="0" w:space="0" w:color="auto"/>
        <w:bottom w:val="none" w:sz="0" w:space="0" w:color="auto"/>
        <w:right w:val="none" w:sz="0" w:space="0" w:color="auto"/>
      </w:divBdr>
    </w:div>
    <w:div w:id="540242123">
      <w:bodyDiv w:val="1"/>
      <w:marLeft w:val="0"/>
      <w:marRight w:val="0"/>
      <w:marTop w:val="0"/>
      <w:marBottom w:val="0"/>
      <w:divBdr>
        <w:top w:val="none" w:sz="0" w:space="0" w:color="auto"/>
        <w:left w:val="none" w:sz="0" w:space="0" w:color="auto"/>
        <w:bottom w:val="none" w:sz="0" w:space="0" w:color="auto"/>
        <w:right w:val="none" w:sz="0" w:space="0" w:color="auto"/>
      </w:divBdr>
    </w:div>
    <w:div w:id="594485618">
      <w:bodyDiv w:val="1"/>
      <w:marLeft w:val="0"/>
      <w:marRight w:val="0"/>
      <w:marTop w:val="0"/>
      <w:marBottom w:val="0"/>
      <w:divBdr>
        <w:top w:val="none" w:sz="0" w:space="0" w:color="auto"/>
        <w:left w:val="none" w:sz="0" w:space="0" w:color="auto"/>
        <w:bottom w:val="none" w:sz="0" w:space="0" w:color="auto"/>
        <w:right w:val="none" w:sz="0" w:space="0" w:color="auto"/>
      </w:divBdr>
    </w:div>
    <w:div w:id="679746183">
      <w:bodyDiv w:val="1"/>
      <w:marLeft w:val="0"/>
      <w:marRight w:val="0"/>
      <w:marTop w:val="0"/>
      <w:marBottom w:val="0"/>
      <w:divBdr>
        <w:top w:val="none" w:sz="0" w:space="0" w:color="auto"/>
        <w:left w:val="none" w:sz="0" w:space="0" w:color="auto"/>
        <w:bottom w:val="none" w:sz="0" w:space="0" w:color="auto"/>
        <w:right w:val="none" w:sz="0" w:space="0" w:color="auto"/>
      </w:divBdr>
    </w:div>
    <w:div w:id="698967664">
      <w:bodyDiv w:val="1"/>
      <w:marLeft w:val="0"/>
      <w:marRight w:val="0"/>
      <w:marTop w:val="0"/>
      <w:marBottom w:val="0"/>
      <w:divBdr>
        <w:top w:val="none" w:sz="0" w:space="0" w:color="auto"/>
        <w:left w:val="none" w:sz="0" w:space="0" w:color="auto"/>
        <w:bottom w:val="none" w:sz="0" w:space="0" w:color="auto"/>
        <w:right w:val="none" w:sz="0" w:space="0" w:color="auto"/>
      </w:divBdr>
    </w:div>
    <w:div w:id="849415703">
      <w:bodyDiv w:val="1"/>
      <w:marLeft w:val="0"/>
      <w:marRight w:val="0"/>
      <w:marTop w:val="0"/>
      <w:marBottom w:val="0"/>
      <w:divBdr>
        <w:top w:val="none" w:sz="0" w:space="0" w:color="auto"/>
        <w:left w:val="none" w:sz="0" w:space="0" w:color="auto"/>
        <w:bottom w:val="none" w:sz="0" w:space="0" w:color="auto"/>
        <w:right w:val="none" w:sz="0" w:space="0" w:color="auto"/>
      </w:divBdr>
    </w:div>
    <w:div w:id="861475859">
      <w:bodyDiv w:val="1"/>
      <w:marLeft w:val="0"/>
      <w:marRight w:val="0"/>
      <w:marTop w:val="0"/>
      <w:marBottom w:val="0"/>
      <w:divBdr>
        <w:top w:val="none" w:sz="0" w:space="0" w:color="auto"/>
        <w:left w:val="none" w:sz="0" w:space="0" w:color="auto"/>
        <w:bottom w:val="none" w:sz="0" w:space="0" w:color="auto"/>
        <w:right w:val="none" w:sz="0" w:space="0" w:color="auto"/>
      </w:divBdr>
    </w:div>
    <w:div w:id="1036388964">
      <w:bodyDiv w:val="1"/>
      <w:marLeft w:val="0"/>
      <w:marRight w:val="0"/>
      <w:marTop w:val="0"/>
      <w:marBottom w:val="0"/>
      <w:divBdr>
        <w:top w:val="none" w:sz="0" w:space="0" w:color="auto"/>
        <w:left w:val="none" w:sz="0" w:space="0" w:color="auto"/>
        <w:bottom w:val="none" w:sz="0" w:space="0" w:color="auto"/>
        <w:right w:val="none" w:sz="0" w:space="0" w:color="auto"/>
      </w:divBdr>
    </w:div>
    <w:div w:id="1185821746">
      <w:bodyDiv w:val="1"/>
      <w:marLeft w:val="0"/>
      <w:marRight w:val="0"/>
      <w:marTop w:val="0"/>
      <w:marBottom w:val="0"/>
      <w:divBdr>
        <w:top w:val="none" w:sz="0" w:space="0" w:color="auto"/>
        <w:left w:val="none" w:sz="0" w:space="0" w:color="auto"/>
        <w:bottom w:val="none" w:sz="0" w:space="0" w:color="auto"/>
        <w:right w:val="none" w:sz="0" w:space="0" w:color="auto"/>
      </w:divBdr>
    </w:div>
    <w:div w:id="1322345586">
      <w:bodyDiv w:val="1"/>
      <w:marLeft w:val="0"/>
      <w:marRight w:val="0"/>
      <w:marTop w:val="0"/>
      <w:marBottom w:val="0"/>
      <w:divBdr>
        <w:top w:val="none" w:sz="0" w:space="0" w:color="auto"/>
        <w:left w:val="none" w:sz="0" w:space="0" w:color="auto"/>
        <w:bottom w:val="none" w:sz="0" w:space="0" w:color="auto"/>
        <w:right w:val="none" w:sz="0" w:space="0" w:color="auto"/>
      </w:divBdr>
    </w:div>
    <w:div w:id="1395621238">
      <w:bodyDiv w:val="1"/>
      <w:marLeft w:val="0"/>
      <w:marRight w:val="0"/>
      <w:marTop w:val="0"/>
      <w:marBottom w:val="0"/>
      <w:divBdr>
        <w:top w:val="none" w:sz="0" w:space="0" w:color="auto"/>
        <w:left w:val="none" w:sz="0" w:space="0" w:color="auto"/>
        <w:bottom w:val="none" w:sz="0" w:space="0" w:color="auto"/>
        <w:right w:val="none" w:sz="0" w:space="0" w:color="auto"/>
      </w:divBdr>
    </w:div>
    <w:div w:id="1403719420">
      <w:bodyDiv w:val="1"/>
      <w:marLeft w:val="0"/>
      <w:marRight w:val="0"/>
      <w:marTop w:val="0"/>
      <w:marBottom w:val="0"/>
      <w:divBdr>
        <w:top w:val="none" w:sz="0" w:space="0" w:color="auto"/>
        <w:left w:val="none" w:sz="0" w:space="0" w:color="auto"/>
        <w:bottom w:val="none" w:sz="0" w:space="0" w:color="auto"/>
        <w:right w:val="none" w:sz="0" w:space="0" w:color="auto"/>
      </w:divBdr>
    </w:div>
    <w:div w:id="1636107990">
      <w:bodyDiv w:val="1"/>
      <w:marLeft w:val="0"/>
      <w:marRight w:val="0"/>
      <w:marTop w:val="0"/>
      <w:marBottom w:val="0"/>
      <w:divBdr>
        <w:top w:val="none" w:sz="0" w:space="0" w:color="auto"/>
        <w:left w:val="none" w:sz="0" w:space="0" w:color="auto"/>
        <w:bottom w:val="none" w:sz="0" w:space="0" w:color="auto"/>
        <w:right w:val="none" w:sz="0" w:space="0" w:color="auto"/>
      </w:divBdr>
    </w:div>
    <w:div w:id="207612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F065D-C4D4-4284-86ED-7552FC36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10232</Words>
  <Characters>58327</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Mckevitt</dc:creator>
  <cp:keywords/>
  <dc:description/>
  <cp:lastModifiedBy>McKevitt, Sarah</cp:lastModifiedBy>
  <cp:revision>5</cp:revision>
  <dcterms:created xsi:type="dcterms:W3CDTF">2022-12-23T10:37:00Z</dcterms:created>
  <dcterms:modified xsi:type="dcterms:W3CDTF">2022-12-23T18:34:00Z</dcterms:modified>
</cp:coreProperties>
</file>