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DC6F2" w14:textId="4CC86C93" w:rsidR="00B0345F" w:rsidRDefault="00E76530" w:rsidP="00E94079">
      <w:pPr>
        <w:jc w:val="center"/>
        <w:rPr>
          <w:rFonts w:ascii="Times" w:hAnsi="Times"/>
          <w:b/>
        </w:rPr>
      </w:pPr>
      <w:r>
        <w:rPr>
          <w:rFonts w:ascii="Times" w:hAnsi="Times"/>
          <w:b/>
        </w:rPr>
        <w:t>Depression</w:t>
      </w:r>
      <w:r w:rsidR="00B0345F">
        <w:rPr>
          <w:rFonts w:ascii="Times" w:hAnsi="Times"/>
          <w:b/>
        </w:rPr>
        <w:t xml:space="preserve"> and the Gender Gap in Political Interest</w:t>
      </w:r>
    </w:p>
    <w:p w14:paraId="5785FBA4" w14:textId="77777777" w:rsidR="00B0345F" w:rsidRDefault="00B0345F" w:rsidP="00B0345F">
      <w:pPr>
        <w:jc w:val="center"/>
        <w:rPr>
          <w:rFonts w:ascii="Times" w:hAnsi="Times"/>
        </w:rPr>
      </w:pPr>
    </w:p>
    <w:p w14:paraId="224CCC9D" w14:textId="77777777" w:rsidR="001917C6" w:rsidRDefault="001917C6" w:rsidP="001917C6">
      <w:pPr>
        <w:rPr>
          <w:b/>
          <w:lang w:val="en-GB"/>
        </w:rPr>
      </w:pPr>
    </w:p>
    <w:p w14:paraId="3173BBB9" w14:textId="77777777" w:rsidR="001917C6" w:rsidRDefault="001917C6" w:rsidP="001917C6">
      <w:pPr>
        <w:rPr>
          <w:b/>
          <w:lang w:val="en-GB"/>
        </w:rPr>
      </w:pPr>
    </w:p>
    <w:p w14:paraId="054C715B" w14:textId="77777777" w:rsidR="001917C6" w:rsidRDefault="001917C6" w:rsidP="001917C6">
      <w:pPr>
        <w:rPr>
          <w:b/>
          <w:lang w:val="en-GB"/>
        </w:rPr>
      </w:pPr>
    </w:p>
    <w:p w14:paraId="436CB601" w14:textId="77777777" w:rsidR="001917C6" w:rsidRDefault="001917C6" w:rsidP="001917C6">
      <w:pPr>
        <w:rPr>
          <w:b/>
          <w:lang w:val="en-GB"/>
        </w:rPr>
      </w:pPr>
    </w:p>
    <w:p w14:paraId="5744BC8E" w14:textId="77777777" w:rsidR="001917C6" w:rsidRDefault="001917C6" w:rsidP="001917C6">
      <w:pPr>
        <w:rPr>
          <w:b/>
          <w:lang w:val="en-GB"/>
        </w:rPr>
      </w:pPr>
    </w:p>
    <w:p w14:paraId="128279DD" w14:textId="77777777" w:rsidR="001917C6" w:rsidRDefault="001917C6" w:rsidP="001917C6">
      <w:pPr>
        <w:rPr>
          <w:b/>
          <w:lang w:val="en-GB"/>
        </w:rPr>
      </w:pPr>
    </w:p>
    <w:p w14:paraId="280E5EE5" w14:textId="50286DED" w:rsidR="00427004" w:rsidRDefault="00427004" w:rsidP="00427004">
      <w:pPr>
        <w:rPr>
          <w:b/>
          <w:lang w:val="en-GB"/>
        </w:rPr>
      </w:pPr>
      <w:r>
        <w:rPr>
          <w:b/>
          <w:lang w:val="en-GB"/>
        </w:rPr>
        <w:t>Christopher Ojeda (University of California</w:t>
      </w:r>
      <w:r>
        <w:rPr>
          <w:b/>
          <w:lang w:val="en-GB"/>
        </w:rPr>
        <w:t>,</w:t>
      </w:r>
      <w:bookmarkStart w:id="0" w:name="_GoBack"/>
      <w:bookmarkEnd w:id="0"/>
      <w:r>
        <w:rPr>
          <w:b/>
          <w:lang w:val="en-GB"/>
        </w:rPr>
        <w:t xml:space="preserve"> Merced)</w:t>
      </w:r>
    </w:p>
    <w:p w14:paraId="4A5B2FEA" w14:textId="77777777" w:rsidR="00427004" w:rsidRDefault="00427004" w:rsidP="00427004">
      <w:pPr>
        <w:rPr>
          <w:b/>
          <w:lang w:val="en-GB"/>
        </w:rPr>
      </w:pPr>
      <w:r>
        <w:rPr>
          <w:b/>
          <w:lang w:val="en-GB"/>
        </w:rPr>
        <w:t xml:space="preserve">Luca </w:t>
      </w:r>
      <w:proofErr w:type="spellStart"/>
      <w:r>
        <w:rPr>
          <w:b/>
          <w:lang w:val="en-GB"/>
        </w:rPr>
        <w:t>Bernardi</w:t>
      </w:r>
      <w:proofErr w:type="spellEnd"/>
      <w:r>
        <w:rPr>
          <w:b/>
          <w:lang w:val="en-GB"/>
        </w:rPr>
        <w:t xml:space="preserve"> (University of Liverpool)</w:t>
      </w:r>
    </w:p>
    <w:p w14:paraId="2749F861" w14:textId="0A1E86DC" w:rsidR="00427004" w:rsidRPr="00427004" w:rsidRDefault="00427004" w:rsidP="00427004">
      <w:pPr>
        <w:rPr>
          <w:rFonts w:ascii="Times" w:hAnsi="Times"/>
          <w:color w:val="000000" w:themeColor="text1"/>
          <w:lang w:val="en-GB"/>
        </w:rPr>
      </w:pPr>
      <w:r>
        <w:rPr>
          <w:b/>
          <w:lang w:val="en-GB"/>
        </w:rPr>
        <w:t xml:space="preserve">Claudia </w:t>
      </w:r>
      <w:proofErr w:type="spellStart"/>
      <w:r>
        <w:rPr>
          <w:b/>
          <w:lang w:val="en-GB"/>
        </w:rPr>
        <w:t>Landwehr</w:t>
      </w:r>
      <w:proofErr w:type="spellEnd"/>
      <w:r>
        <w:rPr>
          <w:b/>
          <w:lang w:val="en-GB"/>
        </w:rPr>
        <w:t xml:space="preserve"> </w:t>
      </w:r>
      <w:r w:rsidRPr="00427004">
        <w:rPr>
          <w:b/>
          <w:lang w:val="en-GB"/>
        </w:rPr>
        <w:t>(</w:t>
      </w:r>
      <w:r w:rsidRPr="00427004">
        <w:rPr>
          <w:b/>
          <w:color w:val="000000" w:themeColor="text1"/>
          <w:lang w:val="en-GB"/>
        </w:rPr>
        <w:t>Johannes-Gutenberg-University Mainz</w:t>
      </w:r>
      <w:r>
        <w:rPr>
          <w:b/>
          <w:lang w:val="en-GB"/>
        </w:rPr>
        <w:t>)</w:t>
      </w:r>
    </w:p>
    <w:p w14:paraId="6B16A9F4" w14:textId="77777777" w:rsidR="001917C6" w:rsidRDefault="001917C6" w:rsidP="001917C6">
      <w:pPr>
        <w:rPr>
          <w:b/>
          <w:lang w:val="en-GB"/>
        </w:rPr>
      </w:pPr>
    </w:p>
    <w:p w14:paraId="3921EAA3" w14:textId="77777777" w:rsidR="001917C6" w:rsidRDefault="001917C6" w:rsidP="001917C6">
      <w:pPr>
        <w:rPr>
          <w:b/>
          <w:lang w:val="en-GB"/>
        </w:rPr>
      </w:pPr>
    </w:p>
    <w:p w14:paraId="7AC018AE" w14:textId="77777777" w:rsidR="001917C6" w:rsidRDefault="001917C6" w:rsidP="001917C6">
      <w:pPr>
        <w:rPr>
          <w:b/>
          <w:lang w:val="en-GB"/>
        </w:rPr>
      </w:pPr>
    </w:p>
    <w:p w14:paraId="5C38FAE2" w14:textId="77777777" w:rsidR="001917C6" w:rsidRDefault="001917C6" w:rsidP="001917C6">
      <w:pPr>
        <w:rPr>
          <w:b/>
          <w:lang w:val="en-GB"/>
        </w:rPr>
      </w:pPr>
    </w:p>
    <w:p w14:paraId="6970D66B" w14:textId="77777777" w:rsidR="001917C6" w:rsidRDefault="001917C6" w:rsidP="001917C6">
      <w:pPr>
        <w:rPr>
          <w:b/>
          <w:lang w:val="en-GB"/>
        </w:rPr>
      </w:pPr>
    </w:p>
    <w:p w14:paraId="0476E1DD" w14:textId="77777777" w:rsidR="001917C6" w:rsidRDefault="001917C6" w:rsidP="001917C6">
      <w:pPr>
        <w:rPr>
          <w:b/>
          <w:lang w:val="en-GB"/>
        </w:rPr>
      </w:pPr>
    </w:p>
    <w:p w14:paraId="6D6533B5" w14:textId="77777777" w:rsidR="001917C6" w:rsidRDefault="001917C6" w:rsidP="001917C6">
      <w:pPr>
        <w:rPr>
          <w:b/>
          <w:lang w:val="en-GB"/>
        </w:rPr>
      </w:pPr>
    </w:p>
    <w:p w14:paraId="11C3617C" w14:textId="77777777" w:rsidR="001917C6" w:rsidRDefault="001917C6" w:rsidP="001917C6">
      <w:pPr>
        <w:rPr>
          <w:b/>
          <w:lang w:val="en-GB"/>
        </w:rPr>
      </w:pPr>
    </w:p>
    <w:p w14:paraId="2D543345" w14:textId="77777777" w:rsidR="001917C6" w:rsidRDefault="001917C6" w:rsidP="001917C6">
      <w:pPr>
        <w:rPr>
          <w:b/>
          <w:lang w:val="en-GB"/>
        </w:rPr>
      </w:pPr>
    </w:p>
    <w:p w14:paraId="3198EFCA" w14:textId="77777777" w:rsidR="001917C6" w:rsidRDefault="001917C6" w:rsidP="001917C6">
      <w:pPr>
        <w:rPr>
          <w:b/>
          <w:lang w:val="en-GB"/>
        </w:rPr>
      </w:pPr>
    </w:p>
    <w:p w14:paraId="073804D1" w14:textId="123FB895" w:rsidR="001917C6" w:rsidRPr="005D6787" w:rsidRDefault="001917C6" w:rsidP="001917C6">
      <w:pPr>
        <w:rPr>
          <w:b/>
          <w:lang w:val="en-GB"/>
        </w:rPr>
      </w:pPr>
      <w:r w:rsidRPr="00D37995">
        <w:rPr>
          <w:b/>
          <w:lang w:val="en-GB"/>
        </w:rPr>
        <w:t xml:space="preserve">Abstract </w:t>
      </w:r>
    </w:p>
    <w:p w14:paraId="0B1D71D6" w14:textId="3DD4384A" w:rsidR="001917C6" w:rsidRDefault="001917C6" w:rsidP="001917C6">
      <w:pPr>
        <w:jc w:val="both"/>
      </w:pPr>
      <w:r>
        <w:rPr>
          <w:lang w:val="en-GB"/>
        </w:rPr>
        <w:t xml:space="preserve">It is </w:t>
      </w:r>
      <w:proofErr w:type="gramStart"/>
      <w:r>
        <w:rPr>
          <w:lang w:val="en-GB"/>
        </w:rPr>
        <w:t>well-documented</w:t>
      </w:r>
      <w:proofErr w:type="gramEnd"/>
      <w:r>
        <w:rPr>
          <w:lang w:val="en-GB"/>
        </w:rPr>
        <w:t xml:space="preserve"> that women report less interest in politics than men on average. We argue that </w:t>
      </w:r>
      <w:r w:rsidR="006561E2">
        <w:rPr>
          <w:lang w:val="en-GB"/>
        </w:rPr>
        <w:t>depression</w:t>
      </w:r>
      <w:r>
        <w:rPr>
          <w:lang w:val="en-GB"/>
        </w:rPr>
        <w:t xml:space="preserve">—and the differential strategies </w:t>
      </w:r>
      <w:r w:rsidR="00DF0C16">
        <w:rPr>
          <w:lang w:val="en-GB"/>
        </w:rPr>
        <w:t>used</w:t>
      </w:r>
      <w:r>
        <w:rPr>
          <w:lang w:val="en-GB"/>
        </w:rPr>
        <w:t xml:space="preserve"> to cope with </w:t>
      </w:r>
      <w:r w:rsidR="006561E2">
        <w:rPr>
          <w:lang w:val="en-GB"/>
        </w:rPr>
        <w:t>its</w:t>
      </w:r>
      <w:r>
        <w:rPr>
          <w:lang w:val="en-GB"/>
        </w:rPr>
        <w:t xml:space="preserve"> symptoms—contribute to this persistent gender gap in political interest. </w:t>
      </w:r>
      <w:r w:rsidR="00DF0C16">
        <w:rPr>
          <w:lang w:val="en-GB"/>
        </w:rPr>
        <w:t>While w</w:t>
      </w:r>
      <w:r>
        <w:rPr>
          <w:lang w:val="en-GB"/>
        </w:rPr>
        <w:t xml:space="preserve">omen </w:t>
      </w:r>
      <w:r w:rsidR="00DF0C16">
        <w:rPr>
          <w:lang w:val="en-GB"/>
        </w:rPr>
        <w:t>tend to rely on rumination</w:t>
      </w:r>
      <w:r>
        <w:rPr>
          <w:lang w:val="en-GB"/>
        </w:rPr>
        <w:t xml:space="preserve"> when experiencing depression, </w:t>
      </w:r>
      <w:r w:rsidR="00DF0C16">
        <w:rPr>
          <w:lang w:val="en-GB"/>
        </w:rPr>
        <w:t xml:space="preserve">there </w:t>
      </w:r>
      <w:proofErr w:type="gramStart"/>
      <w:r w:rsidR="00DF0C16">
        <w:rPr>
          <w:lang w:val="en-GB"/>
        </w:rPr>
        <w:t xml:space="preserve">is less agreement on </w:t>
      </w:r>
      <w:r>
        <w:rPr>
          <w:lang w:val="en-GB"/>
        </w:rPr>
        <w:t>men</w:t>
      </w:r>
      <w:r w:rsidR="00DF0C16">
        <w:rPr>
          <w:lang w:val="en-GB"/>
        </w:rPr>
        <w:t>’s</w:t>
      </w:r>
      <w:r>
        <w:rPr>
          <w:lang w:val="en-GB"/>
        </w:rPr>
        <w:t xml:space="preserve"> coping strategies</w:t>
      </w:r>
      <w:proofErr w:type="gramEnd"/>
      <w:r>
        <w:rPr>
          <w:lang w:val="en-GB"/>
        </w:rPr>
        <w:t xml:space="preserve">. Depressive symptoms should thus more greatly reduce political interest among women than among men. </w:t>
      </w:r>
      <w:r w:rsidR="006561E2">
        <w:rPr>
          <w:lang w:val="en-GB"/>
        </w:rPr>
        <w:t xml:space="preserve">We </w:t>
      </w:r>
      <w:proofErr w:type="spellStart"/>
      <w:r w:rsidR="006561E2">
        <w:rPr>
          <w:lang w:val="en-GB"/>
        </w:rPr>
        <w:t>analyze</w:t>
      </w:r>
      <w:proofErr w:type="spellEnd"/>
      <w:r>
        <w:rPr>
          <w:lang w:val="en-GB"/>
        </w:rPr>
        <w:t xml:space="preserve"> data from the European Social Survey and the German GESIS Panel Study</w:t>
      </w:r>
      <w:r w:rsidR="006561E2">
        <w:rPr>
          <w:lang w:val="en-GB"/>
        </w:rPr>
        <w:t>. W</w:t>
      </w:r>
      <w:r>
        <w:rPr>
          <w:lang w:val="en-GB"/>
        </w:rPr>
        <w:t xml:space="preserve">e find </w:t>
      </w:r>
      <w:r w:rsidR="006561E2">
        <w:rPr>
          <w:lang w:val="en-GB"/>
        </w:rPr>
        <w:t xml:space="preserve">some </w:t>
      </w:r>
      <w:r>
        <w:rPr>
          <w:lang w:val="en-GB"/>
        </w:rPr>
        <w:t xml:space="preserve">evidence </w:t>
      </w:r>
      <w:r w:rsidR="006561E2">
        <w:rPr>
          <w:lang w:val="en-GB"/>
        </w:rPr>
        <w:t>that d</w:t>
      </w:r>
      <w:r>
        <w:rPr>
          <w:lang w:val="en-GB"/>
        </w:rPr>
        <w:t xml:space="preserve">epressive symptoms, even those that are sub-clinical and short-lived, reduce political interest </w:t>
      </w:r>
      <w:r w:rsidRPr="006B41DB">
        <w:rPr>
          <w:lang w:val="en-GB"/>
        </w:rPr>
        <w:t>among women</w:t>
      </w:r>
      <w:r>
        <w:rPr>
          <w:lang w:val="en-GB"/>
        </w:rPr>
        <w:t>, but have little or no effect on the political interest of men.</w:t>
      </w:r>
      <w:r>
        <w:t xml:space="preserve"> These findings have implications for political and gender equality, especially with the rising prevalence of depression around the world</w:t>
      </w:r>
      <w:r w:rsidR="006561E2">
        <w:t>, and contribute to our understanding of the impact of depression on political engagement</w:t>
      </w:r>
      <w:r>
        <w:t>.</w:t>
      </w:r>
    </w:p>
    <w:p w14:paraId="03A4E328" w14:textId="77777777" w:rsidR="001917C6" w:rsidRDefault="001917C6" w:rsidP="001917C6">
      <w:pPr>
        <w:jc w:val="both"/>
      </w:pPr>
    </w:p>
    <w:p w14:paraId="67AB22C9" w14:textId="77777777" w:rsidR="001917C6" w:rsidRDefault="001917C6" w:rsidP="001917C6">
      <w:pPr>
        <w:jc w:val="both"/>
      </w:pPr>
      <w:r w:rsidRPr="005D6787">
        <w:rPr>
          <w:b/>
        </w:rPr>
        <w:t>Keywords</w:t>
      </w:r>
      <w:r>
        <w:t>: political interest, gender, depression, mental health,</w:t>
      </w:r>
      <w:r w:rsidRPr="00421537">
        <w:t xml:space="preserve"> </w:t>
      </w:r>
      <w:r>
        <w:t>political inequality</w:t>
      </w:r>
    </w:p>
    <w:p w14:paraId="0E1FF3DB" w14:textId="77777777" w:rsidR="008A71F9" w:rsidRDefault="008A71F9" w:rsidP="001917C6">
      <w:pPr>
        <w:jc w:val="both"/>
      </w:pPr>
    </w:p>
    <w:p w14:paraId="6A58FBB2" w14:textId="684AA787" w:rsidR="00FA7868" w:rsidRDefault="00FA7868" w:rsidP="00FA7868">
      <w:pPr>
        <w:spacing w:line="480" w:lineRule="auto"/>
        <w:rPr>
          <w:rFonts w:ascii="Times" w:hAnsi="Times"/>
        </w:rPr>
      </w:pPr>
    </w:p>
    <w:p w14:paraId="51F4DBA8" w14:textId="4F50C151" w:rsidR="001917C6" w:rsidRDefault="00427004">
      <w:pPr>
        <w:rPr>
          <w:rFonts w:ascii="Times" w:hAnsi="Times"/>
        </w:rPr>
      </w:pPr>
      <w:r>
        <w:rPr>
          <w:rFonts w:ascii="Times" w:hAnsi="Times"/>
          <w:b/>
        </w:rPr>
        <w:t xml:space="preserve">Version accepted for publication in </w:t>
      </w:r>
      <w:r w:rsidRPr="00427004">
        <w:rPr>
          <w:rFonts w:ascii="Times" w:hAnsi="Times"/>
          <w:b/>
          <w:i/>
        </w:rPr>
        <w:t>Electoral Studies</w:t>
      </w:r>
      <w:r>
        <w:rPr>
          <w:rFonts w:ascii="Times" w:hAnsi="Times"/>
          <w:b/>
        </w:rPr>
        <w:t xml:space="preserve"> on 8th February 2023.</w:t>
      </w:r>
      <w:r w:rsidR="001917C6">
        <w:rPr>
          <w:rFonts w:ascii="Times" w:hAnsi="Times"/>
        </w:rPr>
        <w:br w:type="page"/>
      </w:r>
    </w:p>
    <w:p w14:paraId="0295C8F1" w14:textId="1A797B86" w:rsidR="00A04666" w:rsidRPr="00EE387E" w:rsidRDefault="00B0345F" w:rsidP="00E94079">
      <w:pPr>
        <w:spacing w:line="480" w:lineRule="auto"/>
        <w:rPr>
          <w:rFonts w:ascii="Times" w:eastAsiaTheme="minorHAnsi" w:hAnsi="Times"/>
        </w:rPr>
      </w:pPr>
      <w:r>
        <w:rPr>
          <w:rFonts w:ascii="Times" w:hAnsi="Times"/>
        </w:rPr>
        <w:lastRenderedPageBreak/>
        <w:t xml:space="preserve">It is </w:t>
      </w:r>
      <w:proofErr w:type="gramStart"/>
      <w:r>
        <w:rPr>
          <w:rFonts w:ascii="Times" w:hAnsi="Times"/>
        </w:rPr>
        <w:t>well-documented</w:t>
      </w:r>
      <w:proofErr w:type="gramEnd"/>
      <w:r>
        <w:rPr>
          <w:rFonts w:ascii="Times" w:hAnsi="Times"/>
        </w:rPr>
        <w:t xml:space="preserve"> that women report less interest in politics (</w:t>
      </w:r>
      <w:r w:rsidR="006F2CAC">
        <w:rPr>
          <w:rFonts w:ascii="Times" w:hAnsi="Times"/>
        </w:rPr>
        <w:t>Burns et al. 200</w:t>
      </w:r>
      <w:r w:rsidR="00A04666">
        <w:rPr>
          <w:rFonts w:ascii="Times" w:hAnsi="Times"/>
        </w:rPr>
        <w:t xml:space="preserve">1; </w:t>
      </w:r>
      <w:proofErr w:type="spellStart"/>
      <w:r w:rsidR="00A04666">
        <w:rPr>
          <w:rFonts w:ascii="Times" w:hAnsi="Times"/>
        </w:rPr>
        <w:t>Verba</w:t>
      </w:r>
      <w:proofErr w:type="spellEnd"/>
      <w:r w:rsidR="00A04666">
        <w:rPr>
          <w:rFonts w:ascii="Times" w:hAnsi="Times"/>
        </w:rPr>
        <w:t xml:space="preserve"> et al. 1997; Welch 1997</w:t>
      </w:r>
      <w:r>
        <w:rPr>
          <w:rFonts w:ascii="Times" w:hAnsi="Times"/>
        </w:rPr>
        <w:t xml:space="preserve">). </w:t>
      </w:r>
      <w:r w:rsidR="00A04666">
        <w:rPr>
          <w:rFonts w:ascii="Times" w:hAnsi="Times"/>
        </w:rPr>
        <w:t>This worldwide</w:t>
      </w:r>
      <w:r w:rsidR="00EE387E">
        <w:rPr>
          <w:rFonts w:ascii="Times" w:hAnsi="Times"/>
        </w:rPr>
        <w:t xml:space="preserve"> gender</w:t>
      </w:r>
      <w:r w:rsidR="00A04666">
        <w:rPr>
          <w:rFonts w:ascii="Times" w:hAnsi="Times"/>
        </w:rPr>
        <w:t xml:space="preserve"> disparity is troubling because it reflects and reinforces a </w:t>
      </w:r>
      <w:r w:rsidR="00A04666" w:rsidRPr="00415D9C">
        <w:rPr>
          <w:rFonts w:ascii="Times" w:hAnsi="Times"/>
        </w:rPr>
        <w:t>political sphere that lacks female role models</w:t>
      </w:r>
      <w:r w:rsidR="00A04666">
        <w:rPr>
          <w:rFonts w:ascii="Times" w:hAnsi="Times"/>
        </w:rPr>
        <w:t xml:space="preserve">, </w:t>
      </w:r>
      <w:r w:rsidR="00A04666" w:rsidRPr="00415D9C">
        <w:rPr>
          <w:rFonts w:ascii="Times" w:hAnsi="Times"/>
        </w:rPr>
        <w:t>portrays politics as a man’s gam</w:t>
      </w:r>
      <w:r w:rsidR="00A04666">
        <w:rPr>
          <w:rFonts w:ascii="Times" w:hAnsi="Times"/>
        </w:rPr>
        <w:t>e, and ultimately diminishes the voices of women</w:t>
      </w:r>
      <w:r w:rsidR="00DA74A8">
        <w:rPr>
          <w:rFonts w:ascii="Times" w:hAnsi="Times"/>
        </w:rPr>
        <w:t xml:space="preserve"> (Schneider and </w:t>
      </w:r>
      <w:proofErr w:type="spellStart"/>
      <w:r w:rsidR="00DA74A8">
        <w:rPr>
          <w:rFonts w:ascii="Times" w:hAnsi="Times"/>
        </w:rPr>
        <w:t>Bos</w:t>
      </w:r>
      <w:proofErr w:type="spellEnd"/>
      <w:r w:rsidR="00DA74A8">
        <w:rPr>
          <w:rFonts w:ascii="Times" w:hAnsi="Times"/>
        </w:rPr>
        <w:t xml:space="preserve"> 2019)</w:t>
      </w:r>
      <w:r w:rsidR="00A04666">
        <w:rPr>
          <w:rFonts w:ascii="Times" w:hAnsi="Times"/>
        </w:rPr>
        <w:t xml:space="preserve">. </w:t>
      </w:r>
      <w:r w:rsidR="00A04666" w:rsidRPr="00415D9C">
        <w:rPr>
          <w:rFonts w:ascii="Times" w:hAnsi="Times"/>
        </w:rPr>
        <w:t xml:space="preserve">As </w:t>
      </w:r>
      <w:r w:rsidR="007F049F">
        <w:rPr>
          <w:rFonts w:ascii="Times" w:hAnsi="Times"/>
        </w:rPr>
        <w:t xml:space="preserve">the political scientists </w:t>
      </w:r>
      <w:proofErr w:type="spellStart"/>
      <w:r w:rsidR="00A04666" w:rsidRPr="00415D9C">
        <w:rPr>
          <w:rFonts w:ascii="Times" w:hAnsi="Times"/>
        </w:rPr>
        <w:t>Fr</w:t>
      </w:r>
      <w:r w:rsidR="00A04666">
        <w:rPr>
          <w:rFonts w:ascii="Times" w:hAnsi="Times"/>
        </w:rPr>
        <w:t>ail</w:t>
      </w:r>
      <w:r w:rsidR="00A04666" w:rsidRPr="00415D9C">
        <w:rPr>
          <w:rFonts w:ascii="Times" w:hAnsi="Times"/>
        </w:rPr>
        <w:t>e</w:t>
      </w:r>
      <w:proofErr w:type="spellEnd"/>
      <w:r w:rsidR="00A04666" w:rsidRPr="00415D9C">
        <w:rPr>
          <w:rFonts w:ascii="Times" w:hAnsi="Times"/>
        </w:rPr>
        <w:t xml:space="preserve"> and Gomez</w:t>
      </w:r>
      <w:r w:rsidR="00EE387E">
        <w:rPr>
          <w:rFonts w:ascii="Times" w:hAnsi="Times"/>
        </w:rPr>
        <w:t xml:space="preserve"> note</w:t>
      </w:r>
      <w:r w:rsidR="00A04666" w:rsidRPr="00415D9C">
        <w:rPr>
          <w:rFonts w:ascii="Times" w:hAnsi="Times"/>
        </w:rPr>
        <w:t>, “</w:t>
      </w:r>
      <w:r w:rsidR="00A04666" w:rsidRPr="00415D9C">
        <w:rPr>
          <w:rFonts w:ascii="Times" w:eastAsiaTheme="minorHAnsi" w:hAnsi="Times"/>
        </w:rPr>
        <w:t>If women systematically have lower levels of political interest than men, this may result in a clear disadvantage in women’s capacity to voice their political wants and needs, and thus to influence the political decision-making process.</w:t>
      </w:r>
      <w:r w:rsidR="00A04666">
        <w:rPr>
          <w:rFonts w:ascii="Times" w:eastAsiaTheme="minorHAnsi" w:hAnsi="Times"/>
        </w:rPr>
        <w:t>” (2017, p. 601). S</w:t>
      </w:r>
      <w:r w:rsidR="00A04666">
        <w:rPr>
          <w:rFonts w:ascii="Times" w:hAnsi="Times"/>
        </w:rPr>
        <w:t xml:space="preserve">ome studies indicate the </w:t>
      </w:r>
      <w:r w:rsidR="007F049F">
        <w:rPr>
          <w:rFonts w:ascii="Times" w:hAnsi="Times"/>
        </w:rPr>
        <w:t>gap is narrower than once thought</w:t>
      </w:r>
      <w:r w:rsidR="00A04666">
        <w:rPr>
          <w:rFonts w:ascii="Times" w:hAnsi="Times"/>
        </w:rPr>
        <w:t xml:space="preserve">—finding that women </w:t>
      </w:r>
      <w:r w:rsidR="00EE387E">
        <w:rPr>
          <w:rFonts w:ascii="Times" w:hAnsi="Times"/>
        </w:rPr>
        <w:t xml:space="preserve">report </w:t>
      </w:r>
      <w:r w:rsidR="00A04666">
        <w:rPr>
          <w:rFonts w:ascii="Times" w:hAnsi="Times"/>
        </w:rPr>
        <w:t xml:space="preserve">similar levels of interest about </w:t>
      </w:r>
      <w:r w:rsidR="00A04666">
        <w:rPr>
          <w:rFonts w:ascii="Times" w:hAnsi="Times"/>
          <w:i/>
        </w:rPr>
        <w:t>local</w:t>
      </w:r>
      <w:r w:rsidR="00A04666">
        <w:rPr>
          <w:rFonts w:ascii="Times" w:hAnsi="Times"/>
        </w:rPr>
        <w:t xml:space="preserve"> politics (</w:t>
      </w:r>
      <w:proofErr w:type="spellStart"/>
      <w:r w:rsidR="00885CF0" w:rsidRPr="003526A0">
        <w:t>Coffé</w:t>
      </w:r>
      <w:proofErr w:type="spellEnd"/>
      <w:r w:rsidR="00A04666">
        <w:rPr>
          <w:rFonts w:ascii="Times" w:hAnsi="Times"/>
        </w:rPr>
        <w:t xml:space="preserve"> 2013; </w:t>
      </w:r>
      <w:proofErr w:type="spellStart"/>
      <w:r w:rsidR="00A04666">
        <w:rPr>
          <w:rFonts w:ascii="Times" w:hAnsi="Times"/>
        </w:rPr>
        <w:t>Stolle</w:t>
      </w:r>
      <w:proofErr w:type="spellEnd"/>
      <w:r w:rsidR="00A04666">
        <w:rPr>
          <w:rFonts w:ascii="Times" w:hAnsi="Times"/>
        </w:rPr>
        <w:t xml:space="preserve"> and </w:t>
      </w:r>
      <w:proofErr w:type="spellStart"/>
      <w:r w:rsidR="00A04666">
        <w:rPr>
          <w:rFonts w:ascii="Times" w:hAnsi="Times"/>
        </w:rPr>
        <w:t>Gidengil</w:t>
      </w:r>
      <w:proofErr w:type="spellEnd"/>
      <w:r w:rsidR="00A04666">
        <w:rPr>
          <w:rFonts w:ascii="Times" w:hAnsi="Times"/>
        </w:rPr>
        <w:t xml:space="preserve"> 2010) and </w:t>
      </w:r>
      <w:r w:rsidR="00EE387E">
        <w:rPr>
          <w:rFonts w:ascii="Times" w:hAnsi="Times"/>
        </w:rPr>
        <w:t xml:space="preserve">are </w:t>
      </w:r>
      <w:r w:rsidR="00A04666">
        <w:rPr>
          <w:rFonts w:ascii="Times" w:hAnsi="Times"/>
        </w:rPr>
        <w:t>interested in different areas of politics (</w:t>
      </w:r>
      <w:proofErr w:type="spellStart"/>
      <w:r w:rsidR="00A04666" w:rsidRPr="00DE2642">
        <w:rPr>
          <w:rFonts w:ascii="Times" w:hAnsi="Times"/>
        </w:rPr>
        <w:t>Ferrín</w:t>
      </w:r>
      <w:proofErr w:type="spellEnd"/>
      <w:r w:rsidR="00A04666">
        <w:rPr>
          <w:rFonts w:ascii="Times" w:hAnsi="Times"/>
        </w:rPr>
        <w:t xml:space="preserve"> et al. 2020).  </w:t>
      </w:r>
    </w:p>
    <w:p w14:paraId="33D3B16B" w14:textId="11804CD9" w:rsidR="00B0345F" w:rsidRDefault="00B0345F" w:rsidP="00B0345F">
      <w:pPr>
        <w:autoSpaceDE w:val="0"/>
        <w:autoSpaceDN w:val="0"/>
        <w:adjustRightInd w:val="0"/>
        <w:spacing w:line="480" w:lineRule="auto"/>
        <w:ind w:firstLine="720"/>
        <w:rPr>
          <w:rFonts w:ascii="Times" w:hAnsi="Times"/>
        </w:rPr>
      </w:pPr>
      <w:r>
        <w:rPr>
          <w:rFonts w:ascii="Times" w:hAnsi="Times"/>
        </w:rPr>
        <w:t xml:space="preserve">We contribute to the study of the gender gap in political interest by highlighting </w:t>
      </w:r>
      <w:r w:rsidRPr="00E81373">
        <w:rPr>
          <w:rFonts w:ascii="Times" w:hAnsi="Times"/>
          <w:i/>
        </w:rPr>
        <w:t>depressi</w:t>
      </w:r>
      <w:r>
        <w:rPr>
          <w:rFonts w:ascii="Times" w:hAnsi="Times"/>
          <w:i/>
        </w:rPr>
        <w:t>ve symptoms</w:t>
      </w:r>
      <w:r>
        <w:rPr>
          <w:rFonts w:ascii="Times" w:hAnsi="Times"/>
        </w:rPr>
        <w:t xml:space="preserve"> as </w:t>
      </w:r>
      <w:r w:rsidR="00EE387E">
        <w:rPr>
          <w:rFonts w:ascii="Times" w:hAnsi="Times"/>
        </w:rPr>
        <w:t>one</w:t>
      </w:r>
      <w:r>
        <w:rPr>
          <w:rFonts w:ascii="Times" w:hAnsi="Times"/>
        </w:rPr>
        <w:t xml:space="preserve"> important</w:t>
      </w:r>
      <w:r w:rsidRPr="00A84B0D">
        <w:rPr>
          <w:rFonts w:ascii="Times" w:hAnsi="Times"/>
          <w:i/>
        </w:rPr>
        <w:t xml:space="preserve"> </w:t>
      </w:r>
      <w:r>
        <w:rPr>
          <w:rFonts w:ascii="Times" w:hAnsi="Times"/>
        </w:rPr>
        <w:t xml:space="preserve">explanation. </w:t>
      </w:r>
      <w:r w:rsidRPr="00C15D62">
        <w:rPr>
          <w:rFonts w:ascii="Times" w:hAnsi="Times"/>
        </w:rPr>
        <w:t>Depression</w:t>
      </w:r>
      <w:r w:rsidR="00EE387E">
        <w:rPr>
          <w:rFonts w:ascii="Times" w:hAnsi="Times"/>
        </w:rPr>
        <w:t>—a</w:t>
      </w:r>
      <w:r w:rsidRPr="00C15D62">
        <w:rPr>
          <w:rFonts w:ascii="Times" w:hAnsi="Times"/>
        </w:rPr>
        <w:t xml:space="preserve"> debilitating mental health condition</w:t>
      </w:r>
      <w:r>
        <w:rPr>
          <w:rFonts w:ascii="Times" w:hAnsi="Times"/>
        </w:rPr>
        <w:t xml:space="preserve"> that is growing worldwide (</w:t>
      </w:r>
      <w:r>
        <w:rPr>
          <w:rFonts w:ascii="Times" w:hAnsi="Times"/>
        </w:rPr>
        <w:fldChar w:fldCharType="begin"/>
      </w:r>
      <w:r>
        <w:rPr>
          <w:rFonts w:ascii="Times" w:hAnsi="Times"/>
        </w:rPr>
        <w:instrText xml:space="preserve"> ADDIN EN.CITE &lt;EndNote&gt;&lt;Cite&gt;&lt;Author&gt;Hidaka&lt;/Author&gt;&lt;Year&gt;2012&lt;/Year&gt;&lt;RecNum&gt;1613&lt;/RecNum&gt;&lt;DisplayText&gt;Hidaka, 2012&lt;/DisplayText&gt;&lt;record&gt;&lt;rec-number&gt;1613&lt;/rec-number&gt;&lt;foreign-keys&gt;&lt;key app="EN" db-id="spp5fstwo9xvp5ee90rpwerwfxsxz22a9ftr" timestamp="1557909517"&gt;1613&lt;/key&gt;&lt;/foreign-keys&gt;&lt;ref-type name="Journal Article"&gt;17&lt;/ref-type&gt;&lt;contributors&gt;&lt;authors&gt;&lt;author&gt;Hidaka, Brandon H&lt;/author&gt;&lt;/authors&gt;&lt;/contributors&gt;&lt;titles&gt;&lt;title&gt;Depression as a disease of modernity: explanations for increasing prevalence&lt;/title&gt;&lt;secondary-title&gt;Journal of affective disorders&lt;/secondary-title&gt;&lt;/titles&gt;&lt;periodical&gt;&lt;full-title&gt;Journal of affective disorders&lt;/full-title&gt;&lt;/periodical&gt;&lt;pages&gt;205-214&lt;/pages&gt;&lt;volume&gt;140&lt;/volume&gt;&lt;number&gt;3&lt;/number&gt;&lt;dates&gt;&lt;year&gt;2012&lt;/year&gt;&lt;/dates&gt;&lt;isbn&gt;0165-0327&lt;/isbn&gt;&lt;urls&gt;&lt;/urls&gt;&lt;/record&gt;&lt;/Cite&gt;&lt;/EndNote&gt;</w:instrText>
      </w:r>
      <w:r>
        <w:rPr>
          <w:rFonts w:ascii="Times" w:hAnsi="Times"/>
        </w:rPr>
        <w:fldChar w:fldCharType="separate"/>
      </w:r>
      <w:r>
        <w:rPr>
          <w:rFonts w:ascii="Times" w:hAnsi="Times"/>
          <w:noProof/>
        </w:rPr>
        <w:t>Hidaka 2012</w:t>
      </w:r>
      <w:r>
        <w:rPr>
          <w:rFonts w:ascii="Times" w:hAnsi="Times"/>
        </w:rPr>
        <w:fldChar w:fldCharType="end"/>
      </w:r>
      <w:r>
        <w:rPr>
          <w:rFonts w:ascii="Times" w:hAnsi="Times"/>
        </w:rPr>
        <w:t>)</w:t>
      </w:r>
      <w:r w:rsidR="00EE387E">
        <w:rPr>
          <w:rFonts w:ascii="Times" w:hAnsi="Times"/>
        </w:rPr>
        <w:t>—</w:t>
      </w:r>
      <w:r>
        <w:rPr>
          <w:rFonts w:ascii="Times" w:hAnsi="Times"/>
        </w:rPr>
        <w:t>is highly stratified by gender</w:t>
      </w:r>
      <w:r w:rsidR="00EE387E">
        <w:rPr>
          <w:rFonts w:ascii="Times" w:hAnsi="Times"/>
        </w:rPr>
        <w:t xml:space="preserve">. </w:t>
      </w:r>
      <w:r w:rsidR="00055ED6">
        <w:rPr>
          <w:rFonts w:ascii="Times" w:hAnsi="Times"/>
        </w:rPr>
        <w:t xml:space="preserve">The psychologist </w:t>
      </w:r>
      <w:proofErr w:type="spellStart"/>
      <w:r w:rsidR="00055ED6">
        <w:rPr>
          <w:rFonts w:ascii="Times" w:hAnsi="Times"/>
        </w:rPr>
        <w:t>Hammen</w:t>
      </w:r>
      <w:proofErr w:type="spellEnd"/>
      <w:r w:rsidR="00055ED6">
        <w:rPr>
          <w:rFonts w:ascii="Times" w:hAnsi="Times"/>
        </w:rPr>
        <w:t xml:space="preserve"> has </w:t>
      </w:r>
      <w:r w:rsidR="007F049F">
        <w:rPr>
          <w:rFonts w:ascii="Times" w:hAnsi="Times"/>
        </w:rPr>
        <w:t xml:space="preserve">even </w:t>
      </w:r>
      <w:r w:rsidR="00055ED6">
        <w:rPr>
          <w:rFonts w:ascii="Times" w:hAnsi="Times"/>
        </w:rPr>
        <w:t xml:space="preserve">referred to </w:t>
      </w:r>
      <w:r w:rsidR="00EE387E">
        <w:rPr>
          <w:rFonts w:ascii="Times" w:hAnsi="Times"/>
        </w:rPr>
        <w:t xml:space="preserve">the </w:t>
      </w:r>
      <w:r>
        <w:rPr>
          <w:rFonts w:ascii="Times" w:hAnsi="Times"/>
        </w:rPr>
        <w:t>“female sex as a major risk factor for depression” (2018, p. 16</w:t>
      </w:r>
      <w:r>
        <w:t>). Estimates from the United States put the lifetime incidence of depression at 21</w:t>
      </w:r>
      <w:r w:rsidR="0098020E">
        <w:t>.3</w:t>
      </w:r>
      <w:r>
        <w:t>% for women but only 1</w:t>
      </w:r>
      <w:r w:rsidR="0098020E">
        <w:t>2.7</w:t>
      </w:r>
      <w:r>
        <w:t xml:space="preserve">% for men (Kessler et al. 1993), while a study of Europe finds a </w:t>
      </w:r>
      <w:r w:rsidR="007F049F">
        <w:t xml:space="preserve">similar </w:t>
      </w:r>
      <w:r>
        <w:t xml:space="preserve">gap (Van de </w:t>
      </w:r>
      <w:proofErr w:type="spellStart"/>
      <w:r>
        <w:t>Velde</w:t>
      </w:r>
      <w:proofErr w:type="spellEnd"/>
      <w:r>
        <w:t xml:space="preserve"> et al. 2010). These statistics, coupled with the fact that many more people suffer from symptoms that do not reach a clinical threshold, </w:t>
      </w:r>
      <w:r>
        <w:rPr>
          <w:rFonts w:ascii="Times" w:hAnsi="Times"/>
        </w:rPr>
        <w:t>highlight the potency of depressive symptoms as an explanatory variable.</w:t>
      </w:r>
      <w:r w:rsidR="004F7B23">
        <w:rPr>
          <w:rFonts w:ascii="Times" w:hAnsi="Times"/>
        </w:rPr>
        <w:t xml:space="preserve"> By bringing depression into greater focus, we add to a </w:t>
      </w:r>
      <w:r w:rsidR="008529D1">
        <w:rPr>
          <w:rFonts w:ascii="Times" w:hAnsi="Times"/>
        </w:rPr>
        <w:t xml:space="preserve">budding </w:t>
      </w:r>
      <w:r w:rsidR="004F7B23">
        <w:rPr>
          <w:rFonts w:ascii="Times" w:hAnsi="Times"/>
        </w:rPr>
        <w:t>literature on how psychological resources may shape gender differences in political behavior (</w:t>
      </w:r>
      <w:proofErr w:type="spellStart"/>
      <w:r w:rsidR="004F7B23">
        <w:rPr>
          <w:rFonts w:ascii="Times" w:hAnsi="Times"/>
        </w:rPr>
        <w:t>Wolak</w:t>
      </w:r>
      <w:proofErr w:type="spellEnd"/>
      <w:r w:rsidR="004F7B23">
        <w:rPr>
          <w:rFonts w:ascii="Times" w:hAnsi="Times"/>
        </w:rPr>
        <w:t xml:space="preserve"> 2020).</w:t>
      </w:r>
    </w:p>
    <w:p w14:paraId="3B6C414C" w14:textId="09158239" w:rsidR="001E555E" w:rsidRDefault="007F049F" w:rsidP="001E555E">
      <w:pPr>
        <w:autoSpaceDE w:val="0"/>
        <w:autoSpaceDN w:val="0"/>
        <w:adjustRightInd w:val="0"/>
        <w:spacing w:line="480" w:lineRule="auto"/>
        <w:ind w:firstLine="720"/>
        <w:rPr>
          <w:rFonts w:ascii="Times" w:hAnsi="Times"/>
        </w:rPr>
      </w:pPr>
      <w:r>
        <w:rPr>
          <w:rFonts w:ascii="Times" w:hAnsi="Times"/>
        </w:rPr>
        <w:t>We argue in this research note</w:t>
      </w:r>
      <w:r w:rsidR="00055ED6">
        <w:rPr>
          <w:rFonts w:ascii="Times" w:hAnsi="Times"/>
        </w:rPr>
        <w:t xml:space="preserve"> </w:t>
      </w:r>
      <w:r>
        <w:rPr>
          <w:rFonts w:ascii="Times" w:hAnsi="Times"/>
        </w:rPr>
        <w:t xml:space="preserve">that depression dampens political interest, such that </w:t>
      </w:r>
      <w:r w:rsidR="00055ED6">
        <w:rPr>
          <w:rFonts w:ascii="Times" w:hAnsi="Times"/>
        </w:rPr>
        <w:t>gender disparities in depression can account for some of the gap in political interest.</w:t>
      </w:r>
      <w:r>
        <w:rPr>
          <w:rFonts w:ascii="Times" w:hAnsi="Times"/>
        </w:rPr>
        <w:t xml:space="preserve"> This would be </w:t>
      </w:r>
      <w:r>
        <w:rPr>
          <w:rFonts w:ascii="Times" w:hAnsi="Times"/>
        </w:rPr>
        <w:lastRenderedPageBreak/>
        <w:t xml:space="preserve">especially </w:t>
      </w:r>
      <w:r w:rsidR="00FA7868">
        <w:rPr>
          <w:rFonts w:ascii="Times" w:hAnsi="Times"/>
        </w:rPr>
        <w:t xml:space="preserve">troubling </w:t>
      </w:r>
      <w:r>
        <w:rPr>
          <w:rFonts w:ascii="Times" w:hAnsi="Times"/>
        </w:rPr>
        <w:t xml:space="preserve">if, as we </w:t>
      </w:r>
      <w:r w:rsidR="00055ED6">
        <w:rPr>
          <w:rFonts w:ascii="Times" w:hAnsi="Times"/>
        </w:rPr>
        <w:t>hypothesize</w:t>
      </w:r>
      <w:r>
        <w:rPr>
          <w:rFonts w:ascii="Times" w:hAnsi="Times"/>
        </w:rPr>
        <w:t>,</w:t>
      </w:r>
      <w:r w:rsidR="00055ED6">
        <w:rPr>
          <w:rFonts w:ascii="Times" w:hAnsi="Times"/>
        </w:rPr>
        <w:t xml:space="preserve"> the effect of depression on political interest</w:t>
      </w:r>
      <w:r>
        <w:rPr>
          <w:rFonts w:ascii="Times" w:hAnsi="Times"/>
        </w:rPr>
        <w:t xml:space="preserve"> is</w:t>
      </w:r>
      <w:r w:rsidR="00055ED6">
        <w:rPr>
          <w:rFonts w:ascii="Times" w:hAnsi="Times"/>
        </w:rPr>
        <w:t xml:space="preserve"> stronger for women than men.</w:t>
      </w:r>
      <w:r w:rsidR="004F7B23">
        <w:rPr>
          <w:rFonts w:ascii="Times" w:hAnsi="Times"/>
        </w:rPr>
        <w:t xml:space="preserve"> </w:t>
      </w:r>
      <w:r w:rsidR="00055ED6">
        <w:rPr>
          <w:rFonts w:ascii="Times" w:hAnsi="Times"/>
        </w:rPr>
        <w:t xml:space="preserve">We test our arguments using the European Social Survey and the German GESIS Panel Study. Our results indicate that depressive symptoms </w:t>
      </w:r>
      <w:r w:rsidR="00532ECE">
        <w:rPr>
          <w:rFonts w:ascii="Times" w:hAnsi="Times"/>
        </w:rPr>
        <w:t xml:space="preserve">moderately </w:t>
      </w:r>
      <w:r w:rsidR="00055ED6">
        <w:rPr>
          <w:rFonts w:ascii="Times" w:hAnsi="Times"/>
        </w:rPr>
        <w:t xml:space="preserve">reduce the political interest of women but have mixed effects on the political interest of men on average and across studies. We also find that even short-lived episodes are consequential to the political interest of women. </w:t>
      </w:r>
      <w:r w:rsidR="00B80B67">
        <w:rPr>
          <w:rFonts w:ascii="Times" w:hAnsi="Times"/>
        </w:rPr>
        <w:t>Overall, the</w:t>
      </w:r>
      <w:r w:rsidR="00532ECE">
        <w:rPr>
          <w:rFonts w:ascii="Times" w:hAnsi="Times"/>
        </w:rPr>
        <w:t xml:space="preserve"> </w:t>
      </w:r>
      <w:r w:rsidR="00B80B67">
        <w:rPr>
          <w:rFonts w:ascii="Times" w:hAnsi="Times"/>
        </w:rPr>
        <w:t>small or inconsistent effects observed here</w:t>
      </w:r>
      <w:r w:rsidR="00532ECE">
        <w:rPr>
          <w:rFonts w:ascii="Times" w:hAnsi="Times"/>
        </w:rPr>
        <w:t xml:space="preserve"> are not entirely discouraging </w:t>
      </w:r>
      <w:r w:rsidR="00B80B67">
        <w:rPr>
          <w:rFonts w:ascii="Times" w:hAnsi="Times"/>
        </w:rPr>
        <w:t xml:space="preserve">and contribute to our wider understanding of the impact of depression on </w:t>
      </w:r>
      <w:r w:rsidR="007A2AE7">
        <w:rPr>
          <w:rFonts w:ascii="Times" w:hAnsi="Times"/>
        </w:rPr>
        <w:t xml:space="preserve">core </w:t>
      </w:r>
      <w:r w:rsidR="00B80B67">
        <w:rPr>
          <w:rFonts w:ascii="Times" w:hAnsi="Times"/>
        </w:rPr>
        <w:t>political attitudes (</w:t>
      </w:r>
      <w:proofErr w:type="spellStart"/>
      <w:r w:rsidR="00592991">
        <w:rPr>
          <w:rFonts w:ascii="Times" w:hAnsi="Times"/>
        </w:rPr>
        <w:t>Bernardi</w:t>
      </w:r>
      <w:proofErr w:type="spellEnd"/>
      <w:r w:rsidR="00592991">
        <w:rPr>
          <w:rFonts w:ascii="Times" w:hAnsi="Times"/>
        </w:rPr>
        <w:t xml:space="preserve"> and </w:t>
      </w:r>
      <w:proofErr w:type="spellStart"/>
      <w:r w:rsidR="007A2AE7">
        <w:rPr>
          <w:rFonts w:ascii="Times" w:hAnsi="Times"/>
        </w:rPr>
        <w:t>Gotlib</w:t>
      </w:r>
      <w:proofErr w:type="spellEnd"/>
      <w:r w:rsidR="007A2AE7">
        <w:rPr>
          <w:rFonts w:ascii="Times" w:hAnsi="Times"/>
        </w:rPr>
        <w:t xml:space="preserve"> 2022</w:t>
      </w:r>
      <w:r w:rsidR="00592991">
        <w:rPr>
          <w:rFonts w:ascii="Times" w:hAnsi="Times"/>
        </w:rPr>
        <w:t xml:space="preserve">; </w:t>
      </w:r>
      <w:proofErr w:type="spellStart"/>
      <w:r w:rsidR="00B80B67">
        <w:rPr>
          <w:rFonts w:ascii="Times" w:hAnsi="Times"/>
        </w:rPr>
        <w:t>Bernardi</w:t>
      </w:r>
      <w:proofErr w:type="spellEnd"/>
      <w:r w:rsidR="00B80B67">
        <w:rPr>
          <w:rFonts w:ascii="Times" w:hAnsi="Times"/>
        </w:rPr>
        <w:t xml:space="preserve"> et al. 2022)</w:t>
      </w:r>
      <w:r w:rsidR="00592991">
        <w:rPr>
          <w:rFonts w:ascii="Times" w:hAnsi="Times"/>
        </w:rPr>
        <w:t>.</w:t>
      </w:r>
      <w:r w:rsidR="00B80B67">
        <w:rPr>
          <w:rFonts w:ascii="Times" w:hAnsi="Times"/>
        </w:rPr>
        <w:t xml:space="preserve"> </w:t>
      </w:r>
      <w:r w:rsidR="00532ECE">
        <w:rPr>
          <w:rFonts w:ascii="Times" w:hAnsi="Times"/>
        </w:rPr>
        <w:t xml:space="preserve"> </w:t>
      </w:r>
    </w:p>
    <w:p w14:paraId="1B69E852" w14:textId="7EF1BDBF" w:rsidR="001E555E" w:rsidRDefault="001E555E" w:rsidP="00055ED6">
      <w:pPr>
        <w:autoSpaceDE w:val="0"/>
        <w:autoSpaceDN w:val="0"/>
        <w:adjustRightInd w:val="0"/>
        <w:spacing w:line="480" w:lineRule="auto"/>
        <w:ind w:firstLine="720"/>
        <w:rPr>
          <w:rFonts w:ascii="Times" w:hAnsi="Times"/>
        </w:rPr>
      </w:pPr>
    </w:p>
    <w:p w14:paraId="48EA91DE" w14:textId="77777777" w:rsidR="009518F9" w:rsidRDefault="001E555E" w:rsidP="009518F9">
      <w:pPr>
        <w:autoSpaceDE w:val="0"/>
        <w:autoSpaceDN w:val="0"/>
        <w:adjustRightInd w:val="0"/>
        <w:spacing w:line="480" w:lineRule="auto"/>
        <w:rPr>
          <w:rFonts w:ascii="Times" w:hAnsi="Times"/>
          <w:b/>
          <w:bCs/>
        </w:rPr>
      </w:pPr>
      <w:r w:rsidRPr="001E555E">
        <w:rPr>
          <w:rFonts w:ascii="Times" w:hAnsi="Times"/>
          <w:b/>
          <w:bCs/>
        </w:rPr>
        <w:t>Hypotheses</w:t>
      </w:r>
    </w:p>
    <w:p w14:paraId="73974036" w14:textId="5965FB1D" w:rsidR="009F1FB2" w:rsidRDefault="00B0345F" w:rsidP="000C238F">
      <w:pPr>
        <w:spacing w:line="480" w:lineRule="auto"/>
        <w:ind w:firstLine="708"/>
        <w:rPr>
          <w:rFonts w:ascii="Times" w:hAnsi="Times"/>
        </w:rPr>
      </w:pPr>
      <w:r>
        <w:rPr>
          <w:rFonts w:ascii="Times" w:hAnsi="Times"/>
        </w:rPr>
        <w:t xml:space="preserve">Depressive symptoms entail feelings </w:t>
      </w:r>
      <w:r w:rsidRPr="00A20768">
        <w:rPr>
          <w:rFonts w:ascii="Times" w:hAnsi="Times"/>
        </w:rPr>
        <w:t>of apathy, hopelessness, helplessness</w:t>
      </w:r>
      <w:r>
        <w:rPr>
          <w:rFonts w:ascii="Times" w:hAnsi="Times"/>
        </w:rPr>
        <w:t>,</w:t>
      </w:r>
      <w:r w:rsidRPr="00A20768">
        <w:rPr>
          <w:rFonts w:ascii="Times" w:hAnsi="Times"/>
        </w:rPr>
        <w:t xml:space="preserve"> </w:t>
      </w:r>
      <w:proofErr w:type="spellStart"/>
      <w:r w:rsidR="0090022D">
        <w:rPr>
          <w:rFonts w:ascii="Times" w:hAnsi="Times"/>
        </w:rPr>
        <w:t>anhedonia</w:t>
      </w:r>
      <w:proofErr w:type="spellEnd"/>
      <w:r w:rsidR="0090022D">
        <w:rPr>
          <w:rFonts w:ascii="Times" w:hAnsi="Times"/>
        </w:rPr>
        <w:t xml:space="preserve">, </w:t>
      </w:r>
      <w:r w:rsidRPr="00A20768">
        <w:rPr>
          <w:rFonts w:ascii="Times" w:hAnsi="Times"/>
        </w:rPr>
        <w:t>negative self-evaluations, internaliz</w:t>
      </w:r>
      <w:r>
        <w:rPr>
          <w:rFonts w:ascii="Times" w:hAnsi="Times"/>
        </w:rPr>
        <w:t>ation</w:t>
      </w:r>
      <w:r w:rsidRPr="00A20768">
        <w:rPr>
          <w:rFonts w:ascii="Times" w:hAnsi="Times"/>
        </w:rPr>
        <w:t xml:space="preserve"> </w:t>
      </w:r>
      <w:r>
        <w:rPr>
          <w:rFonts w:ascii="Times" w:hAnsi="Times"/>
        </w:rPr>
        <w:t xml:space="preserve">of personal </w:t>
      </w:r>
      <w:r w:rsidRPr="00A20768">
        <w:rPr>
          <w:rFonts w:ascii="Times" w:hAnsi="Times"/>
        </w:rPr>
        <w:t>failures</w:t>
      </w:r>
      <w:r>
        <w:rPr>
          <w:rFonts w:ascii="Times" w:hAnsi="Times"/>
        </w:rPr>
        <w:t xml:space="preserve">, and </w:t>
      </w:r>
      <w:r w:rsidRPr="00A20768">
        <w:rPr>
          <w:rFonts w:ascii="Times" w:hAnsi="Times"/>
        </w:rPr>
        <w:t>pessimis</w:t>
      </w:r>
      <w:r>
        <w:rPr>
          <w:rFonts w:ascii="Times" w:hAnsi="Times"/>
        </w:rPr>
        <w:t>m</w:t>
      </w:r>
      <w:r w:rsidRPr="00A20768">
        <w:rPr>
          <w:rFonts w:ascii="Times" w:hAnsi="Times"/>
        </w:rPr>
        <w:t xml:space="preserve"> about </w:t>
      </w:r>
      <w:r>
        <w:rPr>
          <w:rFonts w:ascii="Times" w:hAnsi="Times"/>
        </w:rPr>
        <w:t>the future (</w:t>
      </w:r>
      <w:r w:rsidR="00CE3684">
        <w:rPr>
          <w:rFonts w:ascii="Times" w:hAnsi="Times"/>
        </w:rPr>
        <w:t>Beck 1976</w:t>
      </w:r>
      <w:r>
        <w:rPr>
          <w:rFonts w:ascii="Times" w:hAnsi="Times"/>
        </w:rPr>
        <w:t>;</w:t>
      </w:r>
      <w:r w:rsidR="008528CC">
        <w:rPr>
          <w:rFonts w:ascii="Times" w:hAnsi="Times"/>
        </w:rPr>
        <w:t xml:space="preserve"> </w:t>
      </w:r>
      <w:r w:rsidRPr="009D6DCD">
        <w:rPr>
          <w:rFonts w:ascii="Times" w:hAnsi="Times"/>
          <w:color w:val="1A1A1A"/>
        </w:rPr>
        <w:t>Seligman et al. 1979</w:t>
      </w:r>
      <w:r>
        <w:rPr>
          <w:rFonts w:ascii="Times" w:hAnsi="Times"/>
          <w:color w:val="1A1A1A"/>
        </w:rPr>
        <w:t>)</w:t>
      </w:r>
      <w:r w:rsidR="00093614">
        <w:rPr>
          <w:rFonts w:ascii="Times" w:hAnsi="Times"/>
          <w:color w:val="1A1A1A"/>
        </w:rPr>
        <w:t>.</w:t>
      </w:r>
      <w:r>
        <w:rPr>
          <w:rFonts w:ascii="Times" w:hAnsi="Times"/>
          <w:color w:val="1A1A1A"/>
        </w:rPr>
        <w:t xml:space="preserve"> </w:t>
      </w:r>
      <w:r w:rsidRPr="00A20768">
        <w:rPr>
          <w:rFonts w:ascii="Times" w:hAnsi="Times"/>
        </w:rPr>
        <w:t>Apathy</w:t>
      </w:r>
      <w:r w:rsidR="009F1FB2">
        <w:rPr>
          <w:rFonts w:ascii="Times" w:hAnsi="Times"/>
        </w:rPr>
        <w:t xml:space="preserve"> may</w:t>
      </w:r>
      <w:r w:rsidRPr="00A20768">
        <w:rPr>
          <w:rFonts w:ascii="Times" w:hAnsi="Times"/>
        </w:rPr>
        <w:t xml:space="preserve"> </w:t>
      </w:r>
      <w:r w:rsidR="009F1FB2">
        <w:rPr>
          <w:rFonts w:ascii="Times" w:hAnsi="Times"/>
        </w:rPr>
        <w:t>be especially consequential</w:t>
      </w:r>
      <w:r w:rsidR="004F2988">
        <w:rPr>
          <w:rFonts w:ascii="Times" w:hAnsi="Times"/>
        </w:rPr>
        <w:t xml:space="preserve"> to political interest</w:t>
      </w:r>
      <w:r w:rsidR="009F1FB2">
        <w:rPr>
          <w:rFonts w:ascii="Times" w:hAnsi="Times"/>
        </w:rPr>
        <w:t>, creating the</w:t>
      </w:r>
      <w:r w:rsidRPr="00A20768">
        <w:rPr>
          <w:rFonts w:ascii="Times" w:hAnsi="Times"/>
        </w:rPr>
        <w:t xml:space="preserve"> belie</w:t>
      </w:r>
      <w:r w:rsidR="009F1FB2">
        <w:rPr>
          <w:rFonts w:ascii="Times" w:hAnsi="Times"/>
        </w:rPr>
        <w:t>f</w:t>
      </w:r>
      <w:r w:rsidRPr="00A20768">
        <w:rPr>
          <w:rFonts w:ascii="Times" w:hAnsi="Times"/>
        </w:rPr>
        <w:t xml:space="preserve"> that politics </w:t>
      </w:r>
      <w:r w:rsidR="00093614">
        <w:rPr>
          <w:rFonts w:ascii="Times" w:hAnsi="Times"/>
        </w:rPr>
        <w:t xml:space="preserve">is </w:t>
      </w:r>
      <w:r w:rsidR="009F1FB2">
        <w:rPr>
          <w:rFonts w:ascii="Times" w:hAnsi="Times"/>
        </w:rPr>
        <w:t>irrelevant or beyond one’s control</w:t>
      </w:r>
      <w:r w:rsidRPr="00A20768">
        <w:rPr>
          <w:rFonts w:ascii="Times" w:hAnsi="Times"/>
        </w:rPr>
        <w:t xml:space="preserve">. </w:t>
      </w:r>
      <w:r w:rsidR="009F1FB2">
        <w:rPr>
          <w:rFonts w:ascii="Times" w:hAnsi="Times"/>
          <w:color w:val="1A1A1A"/>
        </w:rPr>
        <w:t xml:space="preserve">There are thus good reasons to suspect that </w:t>
      </w:r>
      <w:r w:rsidR="00AC7A70">
        <w:rPr>
          <w:rFonts w:ascii="Times" w:hAnsi="Times"/>
          <w:color w:val="1A1A1A"/>
        </w:rPr>
        <w:t>feeling depressed reduces interest in politics</w:t>
      </w:r>
      <w:r w:rsidR="00AC7A70">
        <w:rPr>
          <w:rFonts w:ascii="Times" w:hAnsi="Times"/>
        </w:rPr>
        <w:t>, irrespective of gender</w:t>
      </w:r>
      <w:r w:rsidR="009F1FB2">
        <w:rPr>
          <w:rFonts w:ascii="Times" w:hAnsi="Times"/>
        </w:rPr>
        <w:t xml:space="preserve">. We call this the </w:t>
      </w:r>
      <w:r w:rsidR="009F1FB2">
        <w:rPr>
          <w:rFonts w:ascii="Times" w:hAnsi="Times"/>
          <w:i/>
          <w:iCs/>
        </w:rPr>
        <w:t>general depression hypothesis</w:t>
      </w:r>
      <w:r w:rsidR="00AC7A70">
        <w:rPr>
          <w:rFonts w:ascii="Times" w:hAnsi="Times"/>
        </w:rPr>
        <w:t>.</w:t>
      </w:r>
      <w:r w:rsidR="000C238F">
        <w:rPr>
          <w:rFonts w:ascii="Times" w:hAnsi="Times"/>
        </w:rPr>
        <w:t xml:space="preserve"> </w:t>
      </w:r>
      <w:r w:rsidR="009F1FB2">
        <w:t>I</w:t>
      </w:r>
      <w:r>
        <w:t>f depressive symptoms reduce political interest for everyone then this alone would mean more women are affected</w:t>
      </w:r>
      <w:r w:rsidR="00093614">
        <w:t>, given that</w:t>
      </w:r>
      <w:r w:rsidR="008B5394">
        <w:t xml:space="preserve"> </w:t>
      </w:r>
      <w:r>
        <w:t>more women experience depression.</w:t>
      </w:r>
      <w:r w:rsidR="004F2988">
        <w:t xml:space="preserve"> </w:t>
      </w:r>
      <w:r w:rsidR="000C238F">
        <w:t>Indeed, as we previously noted, o</w:t>
      </w:r>
      <w:r>
        <w:t xml:space="preserve">ne of the most robust findings in psychopathology is that women, irrespective of nationality, culture, or ethnicity, are twice as likely to </w:t>
      </w:r>
      <w:r w:rsidR="007C5209">
        <w:t xml:space="preserve">experience major </w:t>
      </w:r>
      <w:r>
        <w:t>depressi</w:t>
      </w:r>
      <w:r w:rsidR="007C5209">
        <w:t>ve disorder</w:t>
      </w:r>
      <w:r>
        <w:t xml:space="preserve"> at some point in their lifetime compared to men (</w:t>
      </w:r>
      <w:proofErr w:type="spellStart"/>
      <w:r>
        <w:t>Piccinelli</w:t>
      </w:r>
      <w:proofErr w:type="spellEnd"/>
      <w:r>
        <w:t xml:space="preserve"> and Wilkinson 2000). Although the precise ratio varies across countries (Van de </w:t>
      </w:r>
      <w:proofErr w:type="spellStart"/>
      <w:r>
        <w:t>Velde</w:t>
      </w:r>
      <w:proofErr w:type="spellEnd"/>
      <w:r>
        <w:t xml:space="preserve"> et al. 2010), the gender gap in depression is commonly called the “2:1</w:t>
      </w:r>
      <w:r w:rsidRPr="0037690B">
        <w:t xml:space="preserve"> ratio</w:t>
      </w:r>
      <w:r>
        <w:t xml:space="preserve">” and is also observed in less </w:t>
      </w:r>
      <w:r>
        <w:lastRenderedPageBreak/>
        <w:t>severe disorders, such as chronic minor depression and dysthymia, and in subclinical depressive symptoms (</w:t>
      </w:r>
      <w:r w:rsidR="008E555B">
        <w:t>Kessler 2003</w:t>
      </w:r>
      <w:r w:rsidR="00EC2B96">
        <w:rPr>
          <w:rFonts w:ascii="Times" w:hAnsi="Times"/>
        </w:rPr>
        <w:t xml:space="preserve">; </w:t>
      </w:r>
      <w:r w:rsidRPr="007513DF">
        <w:rPr>
          <w:rFonts w:ascii="Times" w:hAnsi="Times"/>
        </w:rPr>
        <w:t xml:space="preserve">Salk, Hyde, and Abramson 2017). </w:t>
      </w:r>
    </w:p>
    <w:p w14:paraId="7B0813C4" w14:textId="64B6DEA5" w:rsidR="002A39BD" w:rsidRDefault="002A39BD" w:rsidP="007F583B">
      <w:pPr>
        <w:spacing w:line="480" w:lineRule="auto"/>
        <w:ind w:firstLine="708"/>
        <w:rPr>
          <w:rFonts w:ascii="Times" w:hAnsi="Times"/>
        </w:rPr>
      </w:pPr>
      <w:r>
        <w:rPr>
          <w:rFonts w:ascii="Times" w:hAnsi="Times"/>
          <w:color w:val="000000"/>
          <w:shd w:val="clear" w:color="auto" w:fill="FFFFFF"/>
        </w:rPr>
        <w:t>We next turn to the possibility that</w:t>
      </w:r>
      <w:r w:rsidRPr="00741695">
        <w:rPr>
          <w:rFonts w:ascii="Times" w:hAnsi="Times"/>
          <w:color w:val="000000"/>
          <w:shd w:val="clear" w:color="auto" w:fill="FFFFFF"/>
        </w:rPr>
        <w:t xml:space="preserve"> depressive symptoms </w:t>
      </w:r>
      <w:r>
        <w:rPr>
          <w:rFonts w:ascii="Times" w:hAnsi="Times"/>
          <w:color w:val="000000"/>
          <w:shd w:val="clear" w:color="auto" w:fill="FFFFFF"/>
        </w:rPr>
        <w:t xml:space="preserve">matter more if they are </w:t>
      </w:r>
      <w:r w:rsidRPr="00741695">
        <w:rPr>
          <w:rFonts w:ascii="Times" w:hAnsi="Times"/>
          <w:color w:val="000000"/>
          <w:shd w:val="clear" w:color="auto" w:fill="FFFFFF"/>
        </w:rPr>
        <w:t>persistent</w:t>
      </w:r>
      <w:r w:rsidR="00216A2C">
        <w:rPr>
          <w:rFonts w:ascii="Times" w:hAnsi="Times"/>
          <w:color w:val="000000"/>
          <w:shd w:val="clear" w:color="auto" w:fill="FFFFFF"/>
        </w:rPr>
        <w:t>, that is, if there is some accumulation of symptoms over time</w:t>
      </w:r>
      <w:r w:rsidRPr="00741695">
        <w:rPr>
          <w:rFonts w:ascii="Times" w:hAnsi="Times"/>
          <w:color w:val="000000"/>
          <w:shd w:val="clear" w:color="auto" w:fill="FFFFFF"/>
        </w:rPr>
        <w:t>.</w:t>
      </w:r>
      <w:r w:rsidRPr="00741695">
        <w:rPr>
          <w:rFonts w:ascii="Times" w:hAnsi="Times"/>
        </w:rPr>
        <w:t xml:space="preserve"> </w:t>
      </w:r>
      <w:r>
        <w:rPr>
          <w:rFonts w:ascii="Times" w:hAnsi="Times"/>
        </w:rPr>
        <w:t>If</w:t>
      </w:r>
      <w:r w:rsidRPr="00741695">
        <w:rPr>
          <w:rFonts w:ascii="Times" w:hAnsi="Times"/>
        </w:rPr>
        <w:t xml:space="preserve"> depression creates a negative thought spiral in which the mind is gradually captured by negativity </w:t>
      </w:r>
      <w:r>
        <w:rPr>
          <w:rFonts w:ascii="Times" w:hAnsi="Times"/>
        </w:rPr>
        <w:t>(Beck 1976</w:t>
      </w:r>
      <w:r w:rsidRPr="005961F4">
        <w:rPr>
          <w:rFonts w:ascii="Times" w:hAnsi="Times"/>
        </w:rPr>
        <w:t>) and lack of reactivity to pleasurable stimuli (</w:t>
      </w:r>
      <w:proofErr w:type="spellStart"/>
      <w:r w:rsidRPr="005961F4">
        <w:rPr>
          <w:rFonts w:ascii="Times" w:hAnsi="Times"/>
        </w:rPr>
        <w:t>Pizzagalli</w:t>
      </w:r>
      <w:proofErr w:type="spellEnd"/>
      <w:r w:rsidRPr="005961F4">
        <w:rPr>
          <w:rFonts w:ascii="Times" w:hAnsi="Times"/>
        </w:rPr>
        <w:t xml:space="preserve"> 2014)</w:t>
      </w:r>
      <w:r>
        <w:rPr>
          <w:rFonts w:ascii="Times" w:hAnsi="Times"/>
        </w:rPr>
        <w:t>, then interest in</w:t>
      </w:r>
      <w:r w:rsidRPr="005961F4">
        <w:rPr>
          <w:rFonts w:ascii="Times" w:hAnsi="Times"/>
        </w:rPr>
        <w:t xml:space="preserve"> politics </w:t>
      </w:r>
      <w:r>
        <w:rPr>
          <w:rFonts w:ascii="Times" w:hAnsi="Times"/>
        </w:rPr>
        <w:t xml:space="preserve">may continually diminish while symptoms persist. We call this the </w:t>
      </w:r>
      <w:r>
        <w:rPr>
          <w:rFonts w:ascii="Times" w:hAnsi="Times"/>
          <w:i/>
          <w:iCs/>
        </w:rPr>
        <w:t xml:space="preserve">persistent symptoms </w:t>
      </w:r>
      <w:r w:rsidRPr="002A39BD">
        <w:rPr>
          <w:rFonts w:ascii="Times" w:hAnsi="Times"/>
          <w:i/>
          <w:iCs/>
        </w:rPr>
        <w:t>hypothesis.</w:t>
      </w:r>
      <w:r>
        <w:rPr>
          <w:rFonts w:ascii="Times" w:hAnsi="Times"/>
        </w:rPr>
        <w:t xml:space="preserve"> </w:t>
      </w:r>
      <w:r w:rsidR="007C5209">
        <w:rPr>
          <w:rFonts w:ascii="Times" w:hAnsi="Times"/>
        </w:rPr>
        <w:t xml:space="preserve">If the persistence of symptoms magnifies their negative effect on political interest, this could contribute to the gender gap in interest to the extent women experience more chronic or recurring depression. </w:t>
      </w:r>
      <w:r w:rsidRPr="002A39BD">
        <w:rPr>
          <w:rFonts w:ascii="Times" w:hAnsi="Times"/>
        </w:rPr>
        <w:t>There</w:t>
      </w:r>
      <w:r>
        <w:rPr>
          <w:rFonts w:ascii="Times" w:hAnsi="Times"/>
        </w:rPr>
        <w:t xml:space="preserve"> is </w:t>
      </w:r>
      <w:r w:rsidR="00174274">
        <w:rPr>
          <w:rFonts w:ascii="Times" w:hAnsi="Times"/>
        </w:rPr>
        <w:t>mixed</w:t>
      </w:r>
      <w:r>
        <w:rPr>
          <w:rFonts w:ascii="Times" w:hAnsi="Times"/>
        </w:rPr>
        <w:t xml:space="preserve"> evidence </w:t>
      </w:r>
      <w:r w:rsidR="00174274">
        <w:rPr>
          <w:rFonts w:ascii="Times" w:hAnsi="Times"/>
        </w:rPr>
        <w:t xml:space="preserve">on whether </w:t>
      </w:r>
      <w:r>
        <w:rPr>
          <w:rFonts w:ascii="Times" w:hAnsi="Times"/>
        </w:rPr>
        <w:t>women</w:t>
      </w:r>
      <w:r w:rsidR="00174274">
        <w:rPr>
          <w:rFonts w:ascii="Times" w:hAnsi="Times"/>
        </w:rPr>
        <w:t xml:space="preserve"> </w:t>
      </w:r>
      <w:r>
        <w:rPr>
          <w:rFonts w:ascii="Times" w:hAnsi="Times"/>
        </w:rPr>
        <w:t>experience recurring or chronic depression</w:t>
      </w:r>
      <w:r w:rsidR="00174274">
        <w:rPr>
          <w:rFonts w:ascii="Times" w:hAnsi="Times"/>
        </w:rPr>
        <w:t xml:space="preserve"> </w:t>
      </w:r>
      <w:r w:rsidR="007C5209">
        <w:rPr>
          <w:rFonts w:ascii="Times" w:hAnsi="Times"/>
        </w:rPr>
        <w:t xml:space="preserve">more </w:t>
      </w:r>
      <w:r w:rsidR="00174274">
        <w:rPr>
          <w:rFonts w:ascii="Times" w:hAnsi="Times"/>
        </w:rPr>
        <w:t>than</w:t>
      </w:r>
      <w:r>
        <w:rPr>
          <w:rFonts w:ascii="Times" w:hAnsi="Times"/>
        </w:rPr>
        <w:t xml:space="preserve"> men</w:t>
      </w:r>
      <w:r w:rsidR="00174274">
        <w:rPr>
          <w:rFonts w:ascii="Times" w:hAnsi="Times"/>
        </w:rPr>
        <w:t>, with some studies finding no difference (Kessler et al. 1993) and others finding women more affected (</w:t>
      </w:r>
      <w:r w:rsidR="007F583B">
        <w:rPr>
          <w:rFonts w:ascii="Times" w:hAnsi="Times"/>
        </w:rPr>
        <w:t xml:space="preserve">Stefansson et al. 1994); no studies suggest that men have more persistent symptoms. </w:t>
      </w:r>
    </w:p>
    <w:p w14:paraId="51B6C626" w14:textId="3F807908" w:rsidR="00C46B44" w:rsidRDefault="00605996" w:rsidP="00AE78A3">
      <w:pPr>
        <w:spacing w:line="480" w:lineRule="auto"/>
        <w:ind w:firstLine="708"/>
      </w:pPr>
      <w:r>
        <w:t>Moreover, depression has been found to</w:t>
      </w:r>
      <w:r w:rsidR="00BB4D3E">
        <w:t xml:space="preserve"> affect women differently than men. </w:t>
      </w:r>
      <w:r w:rsidR="00DE05ED">
        <w:t>Turning to the question of how sufferers cope with depressive symptoms, g</w:t>
      </w:r>
      <w:r w:rsidR="00B0345F">
        <w:t>ender differences in coping strategies</w:t>
      </w:r>
      <w:r w:rsidR="004F2988">
        <w:t xml:space="preserve"> are </w:t>
      </w:r>
      <w:proofErr w:type="gramStart"/>
      <w:r w:rsidR="004F2988">
        <w:t>well-documented</w:t>
      </w:r>
      <w:proofErr w:type="gramEnd"/>
      <w:r w:rsidR="00474FC8">
        <w:t xml:space="preserve"> </w:t>
      </w:r>
      <w:r w:rsidR="00B0345F">
        <w:t>(</w:t>
      </w:r>
      <w:proofErr w:type="spellStart"/>
      <w:r w:rsidR="00B0345F">
        <w:t>Piccinelli</w:t>
      </w:r>
      <w:proofErr w:type="spellEnd"/>
      <w:r w:rsidR="00B0345F">
        <w:t xml:space="preserve"> and Wilkinson 2000)</w:t>
      </w:r>
      <w:r w:rsidR="007A1425">
        <w:t xml:space="preserve"> and </w:t>
      </w:r>
      <w:r w:rsidR="00920B13">
        <w:t xml:space="preserve">have origins in the </w:t>
      </w:r>
      <w:r w:rsidR="00B0345F" w:rsidRPr="007513DF">
        <w:rPr>
          <w:rFonts w:ascii="Times" w:hAnsi="Times"/>
          <w:color w:val="000000" w:themeColor="text1"/>
        </w:rPr>
        <w:t xml:space="preserve">gender intensification process </w:t>
      </w:r>
      <w:r w:rsidR="00B0345F">
        <w:rPr>
          <w:rFonts w:ascii="Times" w:hAnsi="Times"/>
          <w:color w:val="000000" w:themeColor="text1"/>
        </w:rPr>
        <w:t>of</w:t>
      </w:r>
      <w:r w:rsidR="00B0345F" w:rsidRPr="007513DF">
        <w:rPr>
          <w:rFonts w:ascii="Times" w:hAnsi="Times"/>
          <w:color w:val="000000" w:themeColor="text1"/>
        </w:rPr>
        <w:t xml:space="preserve"> early adolescence </w:t>
      </w:r>
      <w:r w:rsidR="00474FC8" w:rsidRPr="007513DF">
        <w:rPr>
          <w:rFonts w:ascii="Times" w:hAnsi="Times"/>
          <w:color w:val="000000" w:themeColor="text1"/>
        </w:rPr>
        <w:t>(</w:t>
      </w:r>
      <w:proofErr w:type="spellStart"/>
      <w:r w:rsidR="00474FC8" w:rsidRPr="007513DF">
        <w:rPr>
          <w:rFonts w:ascii="Times" w:hAnsi="Times" w:cs="Arial"/>
          <w:color w:val="000000" w:themeColor="text1"/>
          <w:shd w:val="clear" w:color="auto" w:fill="FFFFFF"/>
        </w:rPr>
        <w:t>Wichstrøm</w:t>
      </w:r>
      <w:proofErr w:type="spellEnd"/>
      <w:r w:rsidR="00474FC8" w:rsidRPr="007513DF">
        <w:rPr>
          <w:rFonts w:ascii="Times" w:hAnsi="Times"/>
          <w:color w:val="000000" w:themeColor="text1"/>
        </w:rPr>
        <w:t xml:space="preserve"> 1999</w:t>
      </w:r>
      <w:r w:rsidR="00474FC8">
        <w:rPr>
          <w:rFonts w:ascii="Times" w:hAnsi="Times"/>
          <w:color w:val="000000" w:themeColor="text1"/>
        </w:rPr>
        <w:t>)</w:t>
      </w:r>
      <w:r w:rsidR="007A1425">
        <w:rPr>
          <w:rFonts w:ascii="Times" w:hAnsi="Times"/>
          <w:color w:val="000000" w:themeColor="text1"/>
        </w:rPr>
        <w:t xml:space="preserve">. </w:t>
      </w:r>
      <w:r w:rsidR="004F2988">
        <w:t xml:space="preserve">Rumination is </w:t>
      </w:r>
      <w:r w:rsidR="003D015C">
        <w:t>a coping strategy that</w:t>
      </w:r>
      <w:r w:rsidR="00920B13">
        <w:t xml:space="preserve"> consumes cognitive resources </w:t>
      </w:r>
      <w:r w:rsidR="003D015C">
        <w:t>by</w:t>
      </w:r>
      <w:r w:rsidR="00920B13">
        <w:t xml:space="preserve"> fixat</w:t>
      </w:r>
      <w:r w:rsidR="003D015C">
        <w:t xml:space="preserve">ing </w:t>
      </w:r>
      <w:r w:rsidR="00920B13">
        <w:t xml:space="preserve">attention on </w:t>
      </w:r>
      <w:r w:rsidR="003D015C">
        <w:t>depressed feelings</w:t>
      </w:r>
      <w:r w:rsidR="00920B13">
        <w:t>.</w:t>
      </w:r>
      <w:r w:rsidR="003D015C">
        <w:t xml:space="preserve"> </w:t>
      </w:r>
      <w:r w:rsidR="00DE05ED">
        <w:t>As the psychologist Susan Nolen-</w:t>
      </w:r>
      <w:proofErr w:type="spellStart"/>
      <w:r w:rsidR="00DE05ED">
        <w:t>Hoeksema</w:t>
      </w:r>
      <w:proofErr w:type="spellEnd"/>
      <w:r w:rsidR="00DE05ED">
        <w:t xml:space="preserve"> explains, rumination “can include sitting alone and thinking how tired and unmotivated you feel, worrying that your depression will interfere with your job, and passively reviewing all the things wrong in your life” (1990, p. 82).  </w:t>
      </w:r>
      <w:r w:rsidR="003D015C">
        <w:t>A recent meta-analysis confirms that this strategy is common among wom</w:t>
      </w:r>
      <w:r w:rsidR="009E7764">
        <w:t>e</w:t>
      </w:r>
      <w:r w:rsidR="003D015C">
        <w:t xml:space="preserve">n but less so among men (Johnson and </w:t>
      </w:r>
      <w:proofErr w:type="spellStart"/>
      <w:r w:rsidR="003D015C">
        <w:t>Whisman</w:t>
      </w:r>
      <w:proofErr w:type="spellEnd"/>
      <w:r w:rsidR="003D015C">
        <w:t xml:space="preserve"> 2013), possibly to the detriment of women’s political interest.</w:t>
      </w:r>
      <w:r w:rsidR="00920B13">
        <w:t xml:space="preserve"> </w:t>
      </w:r>
      <w:r w:rsidR="007A1425">
        <w:t>Rumination</w:t>
      </w:r>
      <w:r w:rsidR="002609E7">
        <w:t xml:space="preserve"> </w:t>
      </w:r>
      <w:r w:rsidR="007A1425">
        <w:t xml:space="preserve">thus </w:t>
      </w:r>
      <w:r w:rsidR="002609E7">
        <w:lastRenderedPageBreak/>
        <w:t>seems especially likely to dampen political interest given how it</w:t>
      </w:r>
      <w:r w:rsidR="00C46B44">
        <w:t xml:space="preserve"> monopolizes</w:t>
      </w:r>
      <w:r w:rsidR="00920B13">
        <w:t xml:space="preserve"> information processing</w:t>
      </w:r>
      <w:r w:rsidR="002609E7">
        <w:t>.</w:t>
      </w:r>
    </w:p>
    <w:p w14:paraId="27E86FB9" w14:textId="0B3D3DF0" w:rsidR="00466C5E" w:rsidRDefault="00605996" w:rsidP="00B0345F">
      <w:pPr>
        <w:spacing w:line="480" w:lineRule="auto"/>
        <w:ind w:firstLine="708"/>
        <w:rPr>
          <w:rFonts w:ascii="Times" w:hAnsi="Times"/>
        </w:rPr>
      </w:pPr>
      <w:r>
        <w:t>T</w:t>
      </w:r>
      <w:r w:rsidR="00993664">
        <w:t>here is less agreement</w:t>
      </w:r>
      <w:r>
        <w:t xml:space="preserve"> </w:t>
      </w:r>
      <w:r w:rsidR="00993664">
        <w:t xml:space="preserve">on </w:t>
      </w:r>
      <w:r w:rsidR="00474FC8">
        <w:t>the</w:t>
      </w:r>
      <w:r w:rsidR="00C46B44">
        <w:t xml:space="preserve"> typical</w:t>
      </w:r>
      <w:r w:rsidR="00474FC8">
        <w:t xml:space="preserve"> </w:t>
      </w:r>
      <w:r w:rsidR="006B046D">
        <w:t xml:space="preserve">coping strategies </w:t>
      </w:r>
      <w:r w:rsidR="007A1425">
        <w:t>of</w:t>
      </w:r>
      <w:r w:rsidR="00474FC8">
        <w:t xml:space="preserve"> </w:t>
      </w:r>
      <w:r w:rsidR="00993664">
        <w:t xml:space="preserve">men. </w:t>
      </w:r>
      <w:r w:rsidR="00474FC8">
        <w:t>Some studies highlight</w:t>
      </w:r>
      <w:r w:rsidR="00993664">
        <w:t xml:space="preserve"> </w:t>
      </w:r>
      <w:r w:rsidR="009348D3">
        <w:rPr>
          <w:rFonts w:ascii="Times" w:hAnsi="Times"/>
        </w:rPr>
        <w:t>externalizing symptoms</w:t>
      </w:r>
      <w:r w:rsidR="009A253B">
        <w:rPr>
          <w:rFonts w:ascii="Times" w:hAnsi="Times"/>
        </w:rPr>
        <w:t xml:space="preserve"> (e.g., Real 1998; Lynch and </w:t>
      </w:r>
      <w:proofErr w:type="spellStart"/>
      <w:r w:rsidR="009A253B">
        <w:rPr>
          <w:rFonts w:ascii="Times" w:hAnsi="Times"/>
        </w:rPr>
        <w:t>Kilmartin</w:t>
      </w:r>
      <w:proofErr w:type="spellEnd"/>
      <w:r w:rsidR="009A253B">
        <w:rPr>
          <w:rFonts w:ascii="Times" w:hAnsi="Times"/>
        </w:rPr>
        <w:t xml:space="preserve"> 1999; </w:t>
      </w:r>
      <w:r w:rsidR="00215641">
        <w:rPr>
          <w:rFonts w:ascii="Times" w:hAnsi="Times"/>
        </w:rPr>
        <w:t xml:space="preserve">Cochrane and </w:t>
      </w:r>
      <w:proofErr w:type="spellStart"/>
      <w:r w:rsidR="00215641">
        <w:rPr>
          <w:rFonts w:ascii="Times" w:hAnsi="Times"/>
        </w:rPr>
        <w:t>Rabinowitz</w:t>
      </w:r>
      <w:proofErr w:type="spellEnd"/>
      <w:r w:rsidR="00736BEC">
        <w:rPr>
          <w:rFonts w:ascii="Times" w:hAnsi="Times"/>
        </w:rPr>
        <w:t xml:space="preserve"> 2000</w:t>
      </w:r>
      <w:r w:rsidR="009A253B">
        <w:rPr>
          <w:rFonts w:ascii="Times" w:hAnsi="Times"/>
        </w:rPr>
        <w:t>)</w:t>
      </w:r>
      <w:r w:rsidR="00993664">
        <w:rPr>
          <w:rFonts w:ascii="Times" w:hAnsi="Times"/>
        </w:rPr>
        <w:t xml:space="preserve">, arguing that </w:t>
      </w:r>
      <w:r w:rsidR="009A253B">
        <w:rPr>
          <w:rFonts w:ascii="Times" w:hAnsi="Times"/>
        </w:rPr>
        <w:t>“rather than appearing sad, men experiencing emotional pain are more likely to react with anger, self-destructive behavior, self-distraction, or numbing of pain with substance use, gambling</w:t>
      </w:r>
      <w:r w:rsidR="00B30109">
        <w:rPr>
          <w:rFonts w:ascii="Times" w:hAnsi="Times"/>
        </w:rPr>
        <w:t>,</w:t>
      </w:r>
      <w:r w:rsidR="009A253B">
        <w:rPr>
          <w:rFonts w:ascii="Times" w:hAnsi="Times"/>
        </w:rPr>
        <w:t xml:space="preserve"> womanizing, and </w:t>
      </w:r>
      <w:proofErr w:type="spellStart"/>
      <w:r w:rsidR="009A253B">
        <w:rPr>
          <w:rFonts w:ascii="Times" w:hAnsi="Times"/>
        </w:rPr>
        <w:t>workaholism</w:t>
      </w:r>
      <w:proofErr w:type="spellEnd"/>
      <w:r w:rsidR="009A253B">
        <w:rPr>
          <w:rFonts w:ascii="Times" w:hAnsi="Times"/>
        </w:rPr>
        <w:t>” (Martin et al. 2013</w:t>
      </w:r>
      <w:r w:rsidR="0011738D">
        <w:rPr>
          <w:rFonts w:ascii="Times" w:hAnsi="Times"/>
        </w:rPr>
        <w:t>: 1101</w:t>
      </w:r>
      <w:r w:rsidR="009A253B">
        <w:rPr>
          <w:rFonts w:ascii="Times" w:hAnsi="Times"/>
        </w:rPr>
        <w:t>).</w:t>
      </w:r>
      <w:r w:rsidR="009348D3">
        <w:t xml:space="preserve"> </w:t>
      </w:r>
      <w:r w:rsidR="00C46B44">
        <w:t xml:space="preserve">Other studies </w:t>
      </w:r>
      <w:r w:rsidR="007A1425">
        <w:t>identify</w:t>
      </w:r>
      <w:r w:rsidR="00C46B44">
        <w:t xml:space="preserve"> </w:t>
      </w:r>
      <w:r w:rsidR="00993664">
        <w:t>avoidan</w:t>
      </w:r>
      <w:r w:rsidR="00B852BD">
        <w:t>t</w:t>
      </w:r>
      <w:r w:rsidR="00993664">
        <w:t xml:space="preserve"> behavior</w:t>
      </w:r>
      <w:r w:rsidR="00C46B44">
        <w:t xml:space="preserve"> as a coping strategy (Addis 2008)</w:t>
      </w:r>
      <w:r w:rsidR="00993664">
        <w:t xml:space="preserve">, </w:t>
      </w:r>
      <w:proofErr w:type="gramStart"/>
      <w:r w:rsidR="00B30109">
        <w:t>stat</w:t>
      </w:r>
      <w:r w:rsidR="00993664">
        <w:t>ing</w:t>
      </w:r>
      <w:r w:rsidR="00B30109">
        <w:t xml:space="preserve"> that</w:t>
      </w:r>
      <w:proofErr w:type="gramEnd"/>
      <w:r w:rsidR="00B30109">
        <w:t xml:space="preserve"> </w:t>
      </w:r>
      <w:r w:rsidR="00B852BD">
        <w:t>“g</w:t>
      </w:r>
      <w:r w:rsidR="00FA18C2">
        <w:t>ender socialization can direct some men to withhold or restrict emotional expression</w:t>
      </w:r>
      <w:r w:rsidR="0011738D">
        <w:t>” (Martin et al. 2013: 1101)</w:t>
      </w:r>
      <w:r w:rsidR="003D6982">
        <w:t>.</w:t>
      </w:r>
      <w:r w:rsidR="00B30109">
        <w:t xml:space="preserve"> </w:t>
      </w:r>
      <w:r w:rsidR="00265E3F">
        <w:rPr>
          <w:rFonts w:ascii="Times" w:hAnsi="Times"/>
        </w:rPr>
        <w:t xml:space="preserve">However, </w:t>
      </w:r>
      <w:r w:rsidR="006B046D">
        <w:t xml:space="preserve">there is mixed evidence that men employ </w:t>
      </w:r>
      <w:r w:rsidR="00B852BD">
        <w:t>these</w:t>
      </w:r>
      <w:r w:rsidR="00FC1974">
        <w:t xml:space="preserve"> </w:t>
      </w:r>
      <w:r w:rsidR="006B046D">
        <w:t xml:space="preserve">strategies </w:t>
      </w:r>
      <w:r w:rsidR="00B852BD">
        <w:t xml:space="preserve">more </w:t>
      </w:r>
      <w:r w:rsidR="006B046D">
        <w:t>(</w:t>
      </w:r>
      <w:r w:rsidR="00FC1974">
        <w:t xml:space="preserve">e.g., </w:t>
      </w:r>
      <w:proofErr w:type="spellStart"/>
      <w:r w:rsidR="006B046D">
        <w:t>Ottenbreit</w:t>
      </w:r>
      <w:proofErr w:type="spellEnd"/>
      <w:r w:rsidR="006B046D">
        <w:t xml:space="preserve"> and Dobson 2004) and </w:t>
      </w:r>
      <w:r w:rsidR="00466C5E">
        <w:rPr>
          <w:rFonts w:ascii="Times" w:hAnsi="Times"/>
        </w:rPr>
        <w:t>more clinical research is needed to establish gender differences in coping strategies</w:t>
      </w:r>
      <w:r w:rsidR="00FF36FB">
        <w:rPr>
          <w:rFonts w:ascii="Times" w:hAnsi="Times"/>
        </w:rPr>
        <w:t xml:space="preserve"> other</w:t>
      </w:r>
      <w:r w:rsidR="00466C5E">
        <w:rPr>
          <w:rFonts w:ascii="Times" w:hAnsi="Times"/>
        </w:rPr>
        <w:t xml:space="preserve"> than rumination.</w:t>
      </w:r>
    </w:p>
    <w:p w14:paraId="059D6A5B" w14:textId="477DE50C" w:rsidR="00B0345F" w:rsidRDefault="00466C5E" w:rsidP="00B0345F">
      <w:pPr>
        <w:spacing w:line="480" w:lineRule="auto"/>
        <w:ind w:firstLine="708"/>
      </w:pPr>
      <w:r>
        <w:rPr>
          <w:rFonts w:ascii="Times" w:hAnsi="Times"/>
        </w:rPr>
        <w:t xml:space="preserve"> </w:t>
      </w:r>
      <w:r w:rsidR="00BE427F">
        <w:rPr>
          <w:rFonts w:ascii="Times" w:hAnsi="Times"/>
        </w:rPr>
        <w:t>The pervasive role of rumination</w:t>
      </w:r>
      <w:r w:rsidR="00F86D30">
        <w:rPr>
          <w:rFonts w:ascii="Times" w:hAnsi="Times"/>
        </w:rPr>
        <w:t xml:space="preserve"> among </w:t>
      </w:r>
      <w:r w:rsidR="00C500B6">
        <w:rPr>
          <w:rFonts w:ascii="Times" w:hAnsi="Times"/>
        </w:rPr>
        <w:t>women</w:t>
      </w:r>
      <w:r w:rsidR="00F86D30">
        <w:rPr>
          <w:rFonts w:ascii="Times" w:hAnsi="Times"/>
        </w:rPr>
        <w:t xml:space="preserve"> compared to men leads</w:t>
      </w:r>
      <w:r w:rsidR="00BE427F">
        <w:rPr>
          <w:rFonts w:ascii="Times" w:hAnsi="Times"/>
        </w:rPr>
        <w:t xml:space="preserve"> us to think that the</w:t>
      </w:r>
      <w:r w:rsidR="00F86D30">
        <w:rPr>
          <w:rFonts w:ascii="Times" w:hAnsi="Times"/>
        </w:rPr>
        <w:t xml:space="preserve"> deleterious consequences of depression for political interest </w:t>
      </w:r>
      <w:r w:rsidR="00B852BD">
        <w:rPr>
          <w:rFonts w:ascii="Times" w:hAnsi="Times"/>
        </w:rPr>
        <w:t>may</w:t>
      </w:r>
      <w:r w:rsidR="00F86D30">
        <w:rPr>
          <w:rFonts w:ascii="Times" w:hAnsi="Times"/>
        </w:rPr>
        <w:t xml:space="preserve"> be amplified among women.</w:t>
      </w:r>
      <w:r w:rsidR="00741695">
        <w:rPr>
          <w:rFonts w:ascii="Times" w:hAnsi="Times"/>
        </w:rPr>
        <w:t xml:space="preserve"> </w:t>
      </w:r>
      <w:r w:rsidR="00AF0987">
        <w:rPr>
          <w:rFonts w:ascii="Times" w:hAnsi="Times"/>
        </w:rPr>
        <w:t>Although we cannot test it directly with our data, w</w:t>
      </w:r>
      <w:r w:rsidR="00741695">
        <w:rPr>
          <w:rFonts w:ascii="Times" w:hAnsi="Times"/>
        </w:rPr>
        <w:t xml:space="preserve">e call this argument the </w:t>
      </w:r>
      <w:r w:rsidR="00741695" w:rsidRPr="00741695">
        <w:rPr>
          <w:rFonts w:ascii="Times" w:hAnsi="Times"/>
          <w:i/>
        </w:rPr>
        <w:t>gender disparity hypothesis</w:t>
      </w:r>
      <w:r w:rsidR="00741695">
        <w:rPr>
          <w:rFonts w:ascii="Times" w:hAnsi="Times"/>
        </w:rPr>
        <w:t>.</w:t>
      </w:r>
      <w:r w:rsidR="00F86D30">
        <w:rPr>
          <w:rFonts w:ascii="Times" w:hAnsi="Times"/>
        </w:rPr>
        <w:t xml:space="preserve"> </w:t>
      </w:r>
      <w:r w:rsidR="00741695">
        <w:rPr>
          <w:rFonts w:ascii="Times" w:hAnsi="Times"/>
        </w:rPr>
        <w:t>Importantly, t</w:t>
      </w:r>
      <w:r w:rsidR="00BE427F">
        <w:rPr>
          <w:rFonts w:ascii="Times" w:hAnsi="Times"/>
        </w:rPr>
        <w:t xml:space="preserve">his </w:t>
      </w:r>
      <w:r w:rsidR="00741695">
        <w:rPr>
          <w:rFonts w:ascii="Times" w:hAnsi="Times"/>
        </w:rPr>
        <w:t>argument does not imply</w:t>
      </w:r>
      <w:r w:rsidR="00BE427F">
        <w:rPr>
          <w:rFonts w:ascii="Times" w:hAnsi="Times"/>
        </w:rPr>
        <w:t xml:space="preserve"> that </w:t>
      </w:r>
      <w:r w:rsidR="00741695">
        <w:rPr>
          <w:rFonts w:ascii="Times" w:hAnsi="Times"/>
        </w:rPr>
        <w:t xml:space="preserve">the political interest of </w:t>
      </w:r>
      <w:r w:rsidR="00BE427F">
        <w:rPr>
          <w:rFonts w:ascii="Times" w:hAnsi="Times"/>
        </w:rPr>
        <w:t xml:space="preserve">men </w:t>
      </w:r>
      <w:r w:rsidR="00C46B44">
        <w:rPr>
          <w:rFonts w:ascii="Times" w:hAnsi="Times"/>
        </w:rPr>
        <w:t>is</w:t>
      </w:r>
      <w:r w:rsidR="00BE427F">
        <w:rPr>
          <w:rFonts w:ascii="Times" w:hAnsi="Times"/>
        </w:rPr>
        <w:t xml:space="preserve"> </w:t>
      </w:r>
      <w:r w:rsidR="00F86D30">
        <w:rPr>
          <w:rFonts w:ascii="Times" w:hAnsi="Times"/>
        </w:rPr>
        <w:t>un</w:t>
      </w:r>
      <w:r w:rsidR="00BE427F">
        <w:rPr>
          <w:rFonts w:ascii="Times" w:hAnsi="Times"/>
        </w:rPr>
        <w:t>affected by depression</w:t>
      </w:r>
      <w:r w:rsidR="00F86D30">
        <w:rPr>
          <w:rFonts w:ascii="Times" w:hAnsi="Times"/>
        </w:rPr>
        <w:t>; rather it merely</w:t>
      </w:r>
      <w:r w:rsidR="00741695">
        <w:rPr>
          <w:rFonts w:ascii="Times" w:hAnsi="Times"/>
        </w:rPr>
        <w:t xml:space="preserve"> </w:t>
      </w:r>
      <w:r w:rsidR="00FB2324">
        <w:rPr>
          <w:rFonts w:ascii="Times" w:hAnsi="Times"/>
        </w:rPr>
        <w:t>states</w:t>
      </w:r>
      <w:r w:rsidR="00F86D30">
        <w:rPr>
          <w:rFonts w:ascii="Times" w:hAnsi="Times"/>
        </w:rPr>
        <w:t xml:space="preserve"> </w:t>
      </w:r>
      <w:r w:rsidR="00BE427F">
        <w:rPr>
          <w:rFonts w:ascii="Times" w:hAnsi="Times"/>
        </w:rPr>
        <w:t xml:space="preserve">that depressed women would be </w:t>
      </w:r>
      <w:r w:rsidR="00BE427F" w:rsidRPr="0000651A">
        <w:rPr>
          <w:rFonts w:ascii="Times" w:hAnsi="Times"/>
          <w:i/>
        </w:rPr>
        <w:t>more</w:t>
      </w:r>
      <w:r w:rsidR="00BE427F">
        <w:rPr>
          <w:rFonts w:ascii="Times" w:hAnsi="Times"/>
        </w:rPr>
        <w:t xml:space="preserve"> affected because </w:t>
      </w:r>
      <w:r w:rsidR="00F86D30">
        <w:rPr>
          <w:rFonts w:ascii="Times" w:hAnsi="Times"/>
        </w:rPr>
        <w:t>of</w:t>
      </w:r>
      <w:r w:rsidR="00C46B44">
        <w:rPr>
          <w:rFonts w:ascii="Times" w:hAnsi="Times"/>
        </w:rPr>
        <w:t xml:space="preserve"> a</w:t>
      </w:r>
      <w:r w:rsidR="00F86D30">
        <w:rPr>
          <w:rFonts w:ascii="Times" w:hAnsi="Times"/>
        </w:rPr>
        <w:t xml:space="preserve"> greater reliance </w:t>
      </w:r>
      <w:r w:rsidR="00FF36FB">
        <w:rPr>
          <w:rFonts w:ascii="Times" w:hAnsi="Times"/>
        </w:rPr>
        <w:t xml:space="preserve">on a coping strategy that draws their attention </w:t>
      </w:r>
      <w:r w:rsidR="00FF36FB" w:rsidRPr="0000651A">
        <w:rPr>
          <w:rFonts w:ascii="Times" w:hAnsi="Times"/>
          <w:i/>
        </w:rPr>
        <w:t>away</w:t>
      </w:r>
      <w:r w:rsidR="00FF36FB">
        <w:rPr>
          <w:rFonts w:ascii="Times" w:hAnsi="Times"/>
        </w:rPr>
        <w:t xml:space="preserve"> from the soci</w:t>
      </w:r>
      <w:r w:rsidR="007A1425">
        <w:rPr>
          <w:rFonts w:ascii="Times" w:hAnsi="Times"/>
        </w:rPr>
        <w:t>opolitical</w:t>
      </w:r>
      <w:r w:rsidR="00FF36FB">
        <w:rPr>
          <w:rFonts w:ascii="Times" w:hAnsi="Times"/>
        </w:rPr>
        <w:t xml:space="preserve"> world and to depressed feelings</w:t>
      </w:r>
      <w:r w:rsidR="00BE427F">
        <w:rPr>
          <w:rFonts w:ascii="Times" w:hAnsi="Times"/>
        </w:rPr>
        <w:t>.</w:t>
      </w:r>
      <w:r w:rsidR="00F30DC6">
        <w:rPr>
          <w:rFonts w:ascii="Times" w:hAnsi="Times"/>
        </w:rPr>
        <w:t xml:space="preserve"> </w:t>
      </w:r>
    </w:p>
    <w:p w14:paraId="7C57D6E0" w14:textId="77777777" w:rsidR="0056109F" w:rsidRDefault="0056109F" w:rsidP="00B14511">
      <w:pPr>
        <w:spacing w:line="480" w:lineRule="auto"/>
        <w:rPr>
          <w:rFonts w:ascii="Times" w:hAnsi="Times"/>
          <w:b/>
        </w:rPr>
      </w:pPr>
    </w:p>
    <w:p w14:paraId="7D6115ED" w14:textId="0DB88F22" w:rsidR="00B0345F" w:rsidRPr="00A0427D" w:rsidRDefault="00B0345F" w:rsidP="00B14511">
      <w:pPr>
        <w:spacing w:line="480" w:lineRule="auto"/>
        <w:rPr>
          <w:i/>
        </w:rPr>
      </w:pPr>
      <w:r>
        <w:rPr>
          <w:rFonts w:ascii="Times" w:hAnsi="Times"/>
          <w:b/>
        </w:rPr>
        <w:t>Methodology</w:t>
      </w:r>
    </w:p>
    <w:p w14:paraId="5F8EDD4D" w14:textId="0D5BD760" w:rsidR="00C302AB" w:rsidRPr="007331A2" w:rsidRDefault="007C5CDC" w:rsidP="007331A2">
      <w:pPr>
        <w:spacing w:line="480" w:lineRule="auto"/>
        <w:ind w:firstLine="720"/>
        <w:rPr>
          <w:rFonts w:ascii="Times" w:hAnsi="Times"/>
        </w:rPr>
      </w:pPr>
      <w:r>
        <w:rPr>
          <w:rFonts w:ascii="Times" w:hAnsi="Times" w:cs="Times"/>
        </w:rPr>
        <w:t>We use</w:t>
      </w:r>
      <w:r w:rsidR="00B0345F">
        <w:rPr>
          <w:rFonts w:ascii="Times" w:hAnsi="Times" w:cs="Times"/>
        </w:rPr>
        <w:t xml:space="preserve"> data</w:t>
      </w:r>
      <w:r w:rsidR="00B0345F" w:rsidRPr="00C15D62">
        <w:rPr>
          <w:rFonts w:ascii="Times" w:hAnsi="Times" w:cs="Times"/>
        </w:rPr>
        <w:t xml:space="preserve"> from the European Social Survey</w:t>
      </w:r>
      <w:r w:rsidR="00F1669C">
        <w:rPr>
          <w:rFonts w:ascii="Times" w:hAnsi="Times" w:cs="Times"/>
        </w:rPr>
        <w:t xml:space="preserve"> (ESS)</w:t>
      </w:r>
      <w:r w:rsidR="00922304">
        <w:rPr>
          <w:rFonts w:ascii="Times" w:hAnsi="Times" w:cs="Times"/>
        </w:rPr>
        <w:t xml:space="preserve"> and </w:t>
      </w:r>
      <w:r w:rsidR="00B0345F" w:rsidRPr="00C15D62">
        <w:rPr>
          <w:rFonts w:ascii="Times" w:hAnsi="Times" w:cs="Times"/>
        </w:rPr>
        <w:t xml:space="preserve">the German </w:t>
      </w:r>
      <w:r w:rsidR="00B0345F">
        <w:rPr>
          <w:rFonts w:ascii="Times" w:hAnsi="Times" w:cs="Times"/>
        </w:rPr>
        <w:t>GESIS Panel</w:t>
      </w:r>
      <w:r w:rsidR="00B0345F" w:rsidRPr="00C15D62">
        <w:rPr>
          <w:rFonts w:ascii="Times" w:hAnsi="Times" w:cs="Times"/>
        </w:rPr>
        <w:t xml:space="preserve"> Study</w:t>
      </w:r>
      <w:r w:rsidR="00F1669C">
        <w:rPr>
          <w:rFonts w:ascii="Times" w:hAnsi="Times" w:cs="Times"/>
        </w:rPr>
        <w:t xml:space="preserve"> (GESIS)</w:t>
      </w:r>
      <w:r w:rsidR="004C1A56">
        <w:rPr>
          <w:rFonts w:ascii="Times" w:hAnsi="Times" w:cs="Times"/>
        </w:rPr>
        <w:t xml:space="preserve">. </w:t>
      </w:r>
      <w:r w:rsidR="00B0345F" w:rsidRPr="00C15D62">
        <w:rPr>
          <w:rFonts w:ascii="Times" w:hAnsi="Times" w:cs="Times"/>
        </w:rPr>
        <w:t xml:space="preserve">The </w:t>
      </w:r>
      <w:r w:rsidR="00F1669C">
        <w:rPr>
          <w:rFonts w:ascii="Times" w:hAnsi="Times" w:cs="Times"/>
          <w:iCs/>
        </w:rPr>
        <w:t xml:space="preserve">ESS </w:t>
      </w:r>
      <w:r w:rsidR="00B0345F" w:rsidRPr="00C15D62">
        <w:rPr>
          <w:rFonts w:ascii="Times" w:hAnsi="Times"/>
        </w:rPr>
        <w:t xml:space="preserve">is </w:t>
      </w:r>
      <w:r w:rsidR="000D74ED">
        <w:rPr>
          <w:rFonts w:ascii="Times" w:hAnsi="Times"/>
        </w:rPr>
        <w:t xml:space="preserve">a </w:t>
      </w:r>
      <w:r w:rsidR="004C1A56">
        <w:rPr>
          <w:rFonts w:ascii="Times" w:hAnsi="Times"/>
        </w:rPr>
        <w:t>nationally representative</w:t>
      </w:r>
      <w:r w:rsidR="00B0345F">
        <w:rPr>
          <w:rFonts w:ascii="Times" w:hAnsi="Times"/>
        </w:rPr>
        <w:t xml:space="preserve"> </w:t>
      </w:r>
      <w:r w:rsidR="00B0345F" w:rsidRPr="00C15D62">
        <w:rPr>
          <w:rFonts w:ascii="Times" w:hAnsi="Times"/>
        </w:rPr>
        <w:t>survey of individuals</w:t>
      </w:r>
      <w:r w:rsidR="00B0345F">
        <w:rPr>
          <w:rFonts w:ascii="Times" w:hAnsi="Times"/>
        </w:rPr>
        <w:t xml:space="preserve"> living in Europe</w:t>
      </w:r>
      <w:r w:rsidR="0042281A">
        <w:rPr>
          <w:rFonts w:ascii="Times" w:hAnsi="Times"/>
        </w:rPr>
        <w:t xml:space="preserve"> and</w:t>
      </w:r>
      <w:r w:rsidR="001C6C8B">
        <w:rPr>
          <w:rFonts w:ascii="Times" w:hAnsi="Times"/>
        </w:rPr>
        <w:t xml:space="preserve"> </w:t>
      </w:r>
      <w:r w:rsidR="001C6C8B">
        <w:rPr>
          <w:rFonts w:ascii="Times" w:hAnsi="Times"/>
        </w:rPr>
        <w:lastRenderedPageBreak/>
        <w:t xml:space="preserve">Israel. </w:t>
      </w:r>
      <w:r w:rsidR="00F1669C">
        <w:rPr>
          <w:rFonts w:ascii="Times" w:hAnsi="Times"/>
        </w:rPr>
        <w:t>We use the waves from 2006 and 2012 because they</w:t>
      </w:r>
      <w:r w:rsidR="00B0345F">
        <w:rPr>
          <w:rFonts w:ascii="Times" w:hAnsi="Times"/>
        </w:rPr>
        <w:t xml:space="preserve"> include measures </w:t>
      </w:r>
      <w:r w:rsidR="00B0345F" w:rsidRPr="00C15D62">
        <w:rPr>
          <w:rFonts w:ascii="Times" w:hAnsi="Times"/>
        </w:rPr>
        <w:t>of depressive symptom</w:t>
      </w:r>
      <w:r w:rsidR="00605996">
        <w:rPr>
          <w:rFonts w:ascii="Times" w:hAnsi="Times"/>
        </w:rPr>
        <w:t>s</w:t>
      </w:r>
      <w:r w:rsidR="00B0345F">
        <w:rPr>
          <w:rFonts w:ascii="Times" w:hAnsi="Times"/>
        </w:rPr>
        <w:t xml:space="preserve"> and </w:t>
      </w:r>
      <w:r w:rsidR="00B0345F" w:rsidRPr="00C15D62">
        <w:rPr>
          <w:rFonts w:ascii="Times" w:hAnsi="Times"/>
        </w:rPr>
        <w:t>political interest</w:t>
      </w:r>
      <w:r w:rsidR="00B0345F">
        <w:rPr>
          <w:rFonts w:ascii="Times" w:hAnsi="Times"/>
        </w:rPr>
        <w:t xml:space="preserve">. </w:t>
      </w:r>
      <w:r w:rsidR="00F1669C">
        <w:rPr>
          <w:rFonts w:ascii="Times" w:hAnsi="Times"/>
        </w:rPr>
        <w:t xml:space="preserve">These data </w:t>
      </w:r>
      <w:r w:rsidR="00B0345F">
        <w:rPr>
          <w:rFonts w:ascii="Times" w:hAnsi="Times"/>
        </w:rPr>
        <w:t>tes</w:t>
      </w:r>
      <w:r w:rsidR="003E2D37">
        <w:rPr>
          <w:rFonts w:ascii="Times" w:hAnsi="Times"/>
        </w:rPr>
        <w:t xml:space="preserve">t the </w:t>
      </w:r>
      <w:r w:rsidR="003E2D37" w:rsidRPr="003E2D37">
        <w:rPr>
          <w:rFonts w:ascii="Times" w:hAnsi="Times"/>
          <w:i/>
          <w:iCs/>
        </w:rPr>
        <w:t>general depression</w:t>
      </w:r>
      <w:r w:rsidR="003E2D37">
        <w:rPr>
          <w:rFonts w:ascii="Times" w:hAnsi="Times"/>
        </w:rPr>
        <w:t xml:space="preserve"> and </w:t>
      </w:r>
      <w:r w:rsidR="003E2D37" w:rsidRPr="003E2D37">
        <w:rPr>
          <w:rFonts w:ascii="Times" w:hAnsi="Times"/>
          <w:i/>
          <w:iCs/>
        </w:rPr>
        <w:t>gender disparity</w:t>
      </w:r>
      <w:r w:rsidR="003E2D37">
        <w:rPr>
          <w:rFonts w:ascii="Times" w:hAnsi="Times"/>
        </w:rPr>
        <w:t xml:space="preserve"> hypotheses</w:t>
      </w:r>
      <w:r w:rsidR="00B0345F">
        <w:rPr>
          <w:rFonts w:ascii="Times" w:hAnsi="Times"/>
        </w:rPr>
        <w:t xml:space="preserve">. </w:t>
      </w:r>
      <w:r w:rsidR="00B0345F" w:rsidRPr="00C15D62">
        <w:rPr>
          <w:rFonts w:ascii="Times" w:hAnsi="Times"/>
        </w:rPr>
        <w:t>The</w:t>
      </w:r>
      <w:r w:rsidR="00B0345F">
        <w:rPr>
          <w:rFonts w:ascii="Times" w:hAnsi="Times"/>
          <w:i/>
        </w:rPr>
        <w:t xml:space="preserve"> GESIS Panel Study</w:t>
      </w:r>
      <w:r w:rsidR="00B0345F" w:rsidRPr="00C15D62">
        <w:rPr>
          <w:rFonts w:ascii="Times" w:hAnsi="Times"/>
          <w:i/>
        </w:rPr>
        <w:t xml:space="preserve"> </w:t>
      </w:r>
      <w:r w:rsidR="00B0345F" w:rsidRPr="00C15D62">
        <w:rPr>
          <w:rFonts w:ascii="Times" w:hAnsi="Times"/>
        </w:rPr>
        <w:t>(GESIS) is a</w:t>
      </w:r>
      <w:r w:rsidR="00B0345F">
        <w:rPr>
          <w:rFonts w:ascii="Times" w:hAnsi="Times"/>
        </w:rPr>
        <w:t>n online and mail</w:t>
      </w:r>
      <w:r w:rsidR="00B0345F" w:rsidRPr="00C15D62">
        <w:rPr>
          <w:rFonts w:ascii="Times" w:hAnsi="Times"/>
        </w:rPr>
        <w:t xml:space="preserve"> </w:t>
      </w:r>
      <w:r w:rsidR="00B0345F">
        <w:rPr>
          <w:rFonts w:ascii="Times" w:hAnsi="Times"/>
        </w:rPr>
        <w:t>panel study of</w:t>
      </w:r>
      <w:r w:rsidR="00B0345F" w:rsidRPr="00C15D62">
        <w:rPr>
          <w:rFonts w:ascii="Times" w:hAnsi="Times"/>
        </w:rPr>
        <w:t xml:space="preserve"> German-speaking adult</w:t>
      </w:r>
      <w:r w:rsidR="00620A96">
        <w:rPr>
          <w:rFonts w:ascii="Times" w:hAnsi="Times"/>
        </w:rPr>
        <w:t>s</w:t>
      </w:r>
      <w:r w:rsidR="00B0345F" w:rsidRPr="00C15D62">
        <w:rPr>
          <w:rFonts w:ascii="Times" w:hAnsi="Times"/>
        </w:rPr>
        <w:t xml:space="preserve"> </w:t>
      </w:r>
      <w:r w:rsidR="00B0345F">
        <w:rPr>
          <w:rFonts w:ascii="Times" w:hAnsi="Times"/>
        </w:rPr>
        <w:t xml:space="preserve">residing in </w:t>
      </w:r>
      <w:r w:rsidR="00B0345F" w:rsidRPr="00C15D62">
        <w:rPr>
          <w:rFonts w:ascii="Times" w:hAnsi="Times"/>
        </w:rPr>
        <w:t>Germany (</w:t>
      </w:r>
      <w:proofErr w:type="spellStart"/>
      <w:r w:rsidR="00B0345F" w:rsidRPr="00C15D62">
        <w:rPr>
          <w:rFonts w:ascii="Times" w:hAnsi="Times"/>
        </w:rPr>
        <w:t>Bosn</w:t>
      </w:r>
      <w:r w:rsidR="00B0345F">
        <w:rPr>
          <w:rFonts w:ascii="Times" w:hAnsi="Times"/>
        </w:rPr>
        <w:t>j</w:t>
      </w:r>
      <w:r w:rsidR="00B0345F" w:rsidRPr="00C15D62">
        <w:rPr>
          <w:rFonts w:ascii="Times" w:hAnsi="Times"/>
        </w:rPr>
        <w:t>ak</w:t>
      </w:r>
      <w:proofErr w:type="spellEnd"/>
      <w:r w:rsidR="00B0345F" w:rsidRPr="00C15D62">
        <w:rPr>
          <w:rFonts w:ascii="Times" w:hAnsi="Times"/>
        </w:rPr>
        <w:t xml:space="preserve"> et al. 2017). </w:t>
      </w:r>
      <w:r w:rsidR="00B0345F">
        <w:rPr>
          <w:rFonts w:ascii="Times" w:hAnsi="Times"/>
        </w:rPr>
        <w:t>Conducted annually since 2013, we focus on three waves from 2014-</w:t>
      </w:r>
      <w:proofErr w:type="gramStart"/>
      <w:r w:rsidR="00B0345F">
        <w:rPr>
          <w:rFonts w:ascii="Times" w:hAnsi="Times"/>
        </w:rPr>
        <w:t>201</w:t>
      </w:r>
      <w:r w:rsidR="004C1A56">
        <w:rPr>
          <w:rFonts w:ascii="Times" w:hAnsi="Times"/>
        </w:rPr>
        <w:t>6 which</w:t>
      </w:r>
      <w:proofErr w:type="gramEnd"/>
      <w:r w:rsidR="004C1A56">
        <w:rPr>
          <w:rFonts w:ascii="Times" w:hAnsi="Times"/>
        </w:rPr>
        <w:t xml:space="preserve"> </w:t>
      </w:r>
      <w:r w:rsidR="00B0345F">
        <w:rPr>
          <w:rFonts w:ascii="Times" w:hAnsi="Times"/>
        </w:rPr>
        <w:t xml:space="preserve">include </w:t>
      </w:r>
      <w:r w:rsidR="004C1A56">
        <w:rPr>
          <w:rFonts w:ascii="Times" w:hAnsi="Times"/>
        </w:rPr>
        <w:t xml:space="preserve">measures of </w:t>
      </w:r>
      <w:r w:rsidR="00B0345F">
        <w:rPr>
          <w:rFonts w:ascii="Times" w:hAnsi="Times" w:cs="Calibri"/>
        </w:rPr>
        <w:t>d</w:t>
      </w:r>
      <w:r w:rsidR="00B0345F" w:rsidRPr="00C15D62">
        <w:rPr>
          <w:rFonts w:ascii="Times" w:hAnsi="Times" w:cs="Calibri"/>
        </w:rPr>
        <w:t>epressive symptoms and political interest</w:t>
      </w:r>
      <w:r w:rsidR="004C1A56">
        <w:rPr>
          <w:rFonts w:ascii="Times" w:hAnsi="Times" w:cs="Calibri"/>
        </w:rPr>
        <w:t xml:space="preserve">. </w:t>
      </w:r>
      <w:r w:rsidR="00F1669C">
        <w:rPr>
          <w:rFonts w:ascii="Times" w:hAnsi="Times"/>
        </w:rPr>
        <w:t xml:space="preserve">The </w:t>
      </w:r>
      <w:r w:rsidR="00B0345F">
        <w:rPr>
          <w:rFonts w:ascii="Times" w:hAnsi="Times"/>
        </w:rPr>
        <w:t xml:space="preserve">GESIS </w:t>
      </w:r>
      <w:r w:rsidR="00620A96">
        <w:rPr>
          <w:rFonts w:ascii="Times" w:hAnsi="Times"/>
        </w:rPr>
        <w:t>data</w:t>
      </w:r>
      <w:r w:rsidR="00B0345F">
        <w:rPr>
          <w:rFonts w:ascii="Times" w:hAnsi="Times"/>
        </w:rPr>
        <w:t xml:space="preserve"> </w:t>
      </w:r>
      <w:r w:rsidR="003E2D37">
        <w:rPr>
          <w:rFonts w:ascii="Times" w:hAnsi="Times"/>
        </w:rPr>
        <w:t>tests all three hypotheses.</w:t>
      </w:r>
      <w:r w:rsidR="004C1A56">
        <w:rPr>
          <w:rFonts w:ascii="Times" w:hAnsi="Times"/>
        </w:rPr>
        <w:t xml:space="preserve"> </w:t>
      </w:r>
      <w:r w:rsidR="005067FB">
        <w:rPr>
          <w:rFonts w:ascii="Times" w:hAnsi="Times"/>
        </w:rPr>
        <w:t xml:space="preserve">We briefly describe the variables below. </w:t>
      </w:r>
      <w:r w:rsidR="005067FB">
        <w:rPr>
          <w:rFonts w:ascii="Times" w:hAnsi="Times" w:cs="Times"/>
        </w:rPr>
        <w:t>Appendix A provides a detailed description of all variables</w:t>
      </w:r>
      <w:r w:rsidR="005067FB">
        <w:rPr>
          <w:rFonts w:ascii="Times" w:hAnsi="Times" w:cs="Times"/>
          <w:color w:val="1C1D1E"/>
          <w:shd w:val="clear" w:color="auto" w:fill="FFFFFF"/>
        </w:rPr>
        <w:t>. Appendix B</w:t>
      </w:r>
      <w:r w:rsidR="00EE75F9">
        <w:rPr>
          <w:rFonts w:ascii="Times" w:hAnsi="Times" w:cs="Times"/>
          <w:color w:val="1C1D1E"/>
          <w:shd w:val="clear" w:color="auto" w:fill="FFFFFF"/>
        </w:rPr>
        <w:t xml:space="preserve"> </w:t>
      </w:r>
      <w:r w:rsidR="005067FB">
        <w:rPr>
          <w:rFonts w:ascii="Times" w:hAnsi="Times" w:cs="Times"/>
          <w:color w:val="1C1D1E"/>
          <w:shd w:val="clear" w:color="auto" w:fill="FFFFFF"/>
        </w:rPr>
        <w:t>reports t</w:t>
      </w:r>
      <w:r w:rsidR="00EE75F9">
        <w:rPr>
          <w:rFonts w:ascii="Times" w:hAnsi="Times" w:cs="Times"/>
          <w:color w:val="1C1D1E"/>
          <w:shd w:val="clear" w:color="auto" w:fill="FFFFFF"/>
        </w:rPr>
        <w:t>he descriptive statistics for all variables</w:t>
      </w:r>
      <w:r w:rsidR="005067FB">
        <w:rPr>
          <w:rFonts w:ascii="Times" w:hAnsi="Times" w:cs="Times"/>
          <w:color w:val="1C1D1E"/>
          <w:shd w:val="clear" w:color="auto" w:fill="FFFFFF"/>
        </w:rPr>
        <w:t>.</w:t>
      </w:r>
      <w:r w:rsidR="007331A2">
        <w:rPr>
          <w:rFonts w:ascii="Times" w:hAnsi="Times"/>
        </w:rPr>
        <w:t xml:space="preserve"> </w:t>
      </w:r>
    </w:p>
    <w:p w14:paraId="360CE484" w14:textId="22C01C6D" w:rsidR="006E47A2" w:rsidRPr="006E47A2" w:rsidRDefault="00B0345F" w:rsidP="006E47A2">
      <w:pPr>
        <w:spacing w:line="480" w:lineRule="auto"/>
        <w:ind w:firstLine="720"/>
        <w:rPr>
          <w:color w:val="000000" w:themeColor="text1"/>
        </w:rPr>
      </w:pPr>
      <w:r>
        <w:rPr>
          <w:rFonts w:ascii="Times" w:hAnsi="Times" w:cs="Calibri"/>
        </w:rPr>
        <w:t xml:space="preserve">Depressive symptoms are measured using abridged versions of the </w:t>
      </w:r>
      <w:r w:rsidRPr="00C15D62">
        <w:rPr>
          <w:rFonts w:ascii="Times" w:hAnsi="Times" w:cs="Calibri"/>
        </w:rPr>
        <w:t>Center for Epidemiological Studies Depression</w:t>
      </w:r>
      <w:r>
        <w:rPr>
          <w:rFonts w:ascii="Times" w:hAnsi="Times" w:cs="Calibri"/>
        </w:rPr>
        <w:t xml:space="preserve"> (CES-D) instrument </w:t>
      </w:r>
      <w:r w:rsidRPr="00C15D62">
        <w:rPr>
          <w:rFonts w:ascii="Times" w:hAnsi="Times" w:cs="Calibri"/>
        </w:rPr>
        <w:t>(</w:t>
      </w:r>
      <w:proofErr w:type="spellStart"/>
      <w:r w:rsidRPr="00C15D62">
        <w:rPr>
          <w:rFonts w:ascii="Times" w:hAnsi="Times" w:cs="Calibri"/>
        </w:rPr>
        <w:t>Radloff</w:t>
      </w:r>
      <w:proofErr w:type="spellEnd"/>
      <w:r w:rsidRPr="00C15D62">
        <w:rPr>
          <w:rFonts w:ascii="Times" w:hAnsi="Times" w:cs="Calibri"/>
        </w:rPr>
        <w:t xml:space="preserve"> 1977</w:t>
      </w:r>
      <w:r>
        <w:rPr>
          <w:rFonts w:ascii="Times" w:hAnsi="Times" w:cs="Calibri"/>
        </w:rPr>
        <w:t xml:space="preserve">; </w:t>
      </w:r>
      <w:proofErr w:type="spellStart"/>
      <w:r>
        <w:rPr>
          <w:rFonts w:ascii="Times" w:hAnsi="Times" w:cs="Calibri"/>
        </w:rPr>
        <w:t>Siddaway</w:t>
      </w:r>
      <w:proofErr w:type="spellEnd"/>
      <w:r>
        <w:rPr>
          <w:rFonts w:ascii="Times" w:hAnsi="Times" w:cs="Calibri"/>
        </w:rPr>
        <w:t xml:space="preserve"> et al. 2017</w:t>
      </w:r>
      <w:r w:rsidRPr="00C15D62">
        <w:rPr>
          <w:rFonts w:ascii="Times" w:hAnsi="Times" w:cs="Calibri"/>
        </w:rPr>
        <w:t>)</w:t>
      </w:r>
      <w:r w:rsidR="005A1B90">
        <w:rPr>
          <w:rFonts w:ascii="Times" w:hAnsi="Times" w:cs="Calibri"/>
        </w:rPr>
        <w:t>, asking</w:t>
      </w:r>
      <w:r w:rsidRPr="00C15D62">
        <w:rPr>
          <w:rFonts w:ascii="Times" w:hAnsi="Times" w:cs="Calibri"/>
        </w:rPr>
        <w:t xml:space="preserve"> </w:t>
      </w:r>
      <w:r w:rsidR="005A1B90">
        <w:rPr>
          <w:rFonts w:ascii="Times" w:hAnsi="Times" w:cs="Calibri"/>
        </w:rPr>
        <w:t>r</w:t>
      </w:r>
      <w:r>
        <w:rPr>
          <w:rFonts w:ascii="Times" w:hAnsi="Times" w:cs="Calibri"/>
        </w:rPr>
        <w:t xml:space="preserve">espondents </w:t>
      </w:r>
      <w:r w:rsidR="004C1A56">
        <w:rPr>
          <w:rFonts w:ascii="Times" w:hAnsi="Times" w:cs="Calibri"/>
        </w:rPr>
        <w:t>about eight symptoms</w:t>
      </w:r>
      <w:r w:rsidR="005A1B90">
        <w:rPr>
          <w:rFonts w:ascii="Times" w:hAnsi="Times" w:cs="Calibri"/>
        </w:rPr>
        <w:t xml:space="preserve">. </w:t>
      </w:r>
      <w:r w:rsidR="00E427BF">
        <w:rPr>
          <w:rFonts w:ascii="Times" w:hAnsi="Times" w:cs="Calibri"/>
        </w:rPr>
        <w:t xml:space="preserve"> </w:t>
      </w:r>
      <w:r w:rsidR="006E47A2">
        <w:rPr>
          <w:color w:val="000000" w:themeColor="text1"/>
        </w:rPr>
        <w:t xml:space="preserve">We generate a measure of </w:t>
      </w:r>
      <w:r w:rsidR="006E47A2" w:rsidRPr="00F050E9">
        <w:rPr>
          <w:i/>
          <w:color w:val="000000" w:themeColor="text1"/>
        </w:rPr>
        <w:t>contemporaneous</w:t>
      </w:r>
      <w:r w:rsidR="006E47A2">
        <w:rPr>
          <w:color w:val="000000" w:themeColor="text1"/>
        </w:rPr>
        <w:t xml:space="preserve"> symptoms—symptoms measured at the same time as political interest—by taking the mean of the responses to each item for each respondent. In the GESIS, we generate a measure of</w:t>
      </w:r>
      <w:r w:rsidR="006E47A2" w:rsidRPr="00F050E9">
        <w:rPr>
          <w:i/>
          <w:color w:val="000000" w:themeColor="text1"/>
        </w:rPr>
        <w:t xml:space="preserve"> </w:t>
      </w:r>
      <w:r w:rsidR="006E47A2">
        <w:rPr>
          <w:i/>
          <w:color w:val="000000" w:themeColor="text1"/>
        </w:rPr>
        <w:t>persistent</w:t>
      </w:r>
      <w:r w:rsidR="006E47A2">
        <w:rPr>
          <w:color w:val="000000" w:themeColor="text1"/>
        </w:rPr>
        <w:t xml:space="preserve"> symptoms as the mean across all preceding waves. We leave both scales in their continuous forms because we are interested in the effect of depressive symptoms, whether clinical or subclinical. </w:t>
      </w:r>
    </w:p>
    <w:p w14:paraId="10691D2C" w14:textId="3AE93807" w:rsidR="00B0345F" w:rsidRDefault="00AB4F7D" w:rsidP="00010344">
      <w:pPr>
        <w:spacing w:line="480" w:lineRule="auto"/>
        <w:ind w:firstLine="720"/>
        <w:rPr>
          <w:rFonts w:ascii="Times" w:hAnsi="Times"/>
          <w:lang w:val="en-GB"/>
        </w:rPr>
      </w:pPr>
      <w:r>
        <w:rPr>
          <w:color w:val="000000" w:themeColor="text1"/>
        </w:rPr>
        <w:t xml:space="preserve">Appendix </w:t>
      </w:r>
      <w:r w:rsidR="006526A5">
        <w:rPr>
          <w:color w:val="000000" w:themeColor="text1"/>
        </w:rPr>
        <w:t>C</w:t>
      </w:r>
      <w:r w:rsidR="00F51118">
        <w:rPr>
          <w:color w:val="000000" w:themeColor="text1"/>
        </w:rPr>
        <w:t xml:space="preserve"> </w:t>
      </w:r>
      <w:r w:rsidR="00C302AB">
        <w:rPr>
          <w:color w:val="000000" w:themeColor="text1"/>
        </w:rPr>
        <w:t>reports the</w:t>
      </w:r>
      <w:r w:rsidRPr="008E48F3">
        <w:rPr>
          <w:rFonts w:ascii="Times" w:hAnsi="Times"/>
          <w:lang w:val="en-GB"/>
        </w:rPr>
        <w:t xml:space="preserve"> validity of the abridged scales,</w:t>
      </w:r>
      <w:r w:rsidRPr="00222BE0">
        <w:rPr>
          <w:rFonts w:ascii="Times" w:hAnsi="Times"/>
          <w:lang w:val="en-GB"/>
        </w:rPr>
        <w:t xml:space="preserve"> </w:t>
      </w:r>
      <w:r>
        <w:rPr>
          <w:rFonts w:ascii="Times" w:hAnsi="Times"/>
          <w:lang w:val="en-GB"/>
        </w:rPr>
        <w:t xml:space="preserve">inter-item </w:t>
      </w:r>
      <w:r w:rsidRPr="00222BE0">
        <w:rPr>
          <w:rFonts w:ascii="Times" w:hAnsi="Times"/>
          <w:lang w:val="en-GB"/>
        </w:rPr>
        <w:t>correlations, a factor analysis</w:t>
      </w:r>
      <w:r>
        <w:rPr>
          <w:rFonts w:ascii="Times" w:hAnsi="Times"/>
          <w:lang w:val="en-GB"/>
        </w:rPr>
        <w:t xml:space="preserve"> of the scale’s dimensionality</w:t>
      </w:r>
      <w:r w:rsidRPr="00222BE0">
        <w:rPr>
          <w:rFonts w:ascii="Times" w:hAnsi="Times"/>
          <w:lang w:val="en-GB"/>
        </w:rPr>
        <w:t xml:space="preserve">, a discussion of diagnoses versus self-reported symptoms, </w:t>
      </w:r>
      <w:r>
        <w:rPr>
          <w:rFonts w:ascii="Times" w:hAnsi="Times"/>
          <w:lang w:val="en-GB"/>
        </w:rPr>
        <w:t xml:space="preserve">and </w:t>
      </w:r>
      <w:r w:rsidRPr="00222BE0">
        <w:rPr>
          <w:rFonts w:ascii="Times" w:hAnsi="Times"/>
          <w:lang w:val="en-GB"/>
        </w:rPr>
        <w:t>a discussion of potential response bias across genders</w:t>
      </w:r>
      <w:r>
        <w:rPr>
          <w:rFonts w:ascii="Times" w:hAnsi="Times"/>
          <w:lang w:val="en-GB"/>
        </w:rPr>
        <w:t>.</w:t>
      </w:r>
      <w:r w:rsidR="002820E3">
        <w:rPr>
          <w:rFonts w:ascii="Times" w:hAnsi="Times"/>
          <w:lang w:val="en-GB"/>
        </w:rPr>
        <w:t xml:space="preserve"> </w:t>
      </w:r>
      <w:r w:rsidR="004677AC">
        <w:rPr>
          <w:rFonts w:ascii="Times" w:hAnsi="Times"/>
          <w:lang w:val="en-GB"/>
        </w:rPr>
        <w:t xml:space="preserve">Although speculation that men underreport depressive symptoms </w:t>
      </w:r>
      <w:r w:rsidR="0098212B">
        <w:rPr>
          <w:rFonts w:ascii="Times" w:hAnsi="Times"/>
          <w:lang w:val="en-GB"/>
        </w:rPr>
        <w:t xml:space="preserve">is commonplace </w:t>
      </w:r>
      <w:r w:rsidR="004677AC">
        <w:rPr>
          <w:rFonts w:ascii="Times" w:hAnsi="Times"/>
          <w:lang w:val="en-GB"/>
        </w:rPr>
        <w:t>(e.g., Addis 2008), experimental research</w:t>
      </w:r>
      <w:r w:rsidR="002820E3">
        <w:rPr>
          <w:rFonts w:ascii="Times" w:hAnsi="Times"/>
          <w:lang w:val="en-GB"/>
        </w:rPr>
        <w:t xml:space="preserve"> finds minimal evidence of</w:t>
      </w:r>
      <w:r w:rsidR="004677AC">
        <w:rPr>
          <w:rFonts w:ascii="Times" w:hAnsi="Times"/>
          <w:lang w:val="en-GB"/>
        </w:rPr>
        <w:t xml:space="preserve"> underreporting when questions are asked covertly (</w:t>
      </w:r>
      <w:r w:rsidR="00FF363B">
        <w:rPr>
          <w:rFonts w:ascii="Times" w:hAnsi="Times"/>
        </w:rPr>
        <w:fldChar w:fldCharType="begin"/>
      </w:r>
      <w:r w:rsidR="00FF363B">
        <w:rPr>
          <w:rFonts w:ascii="Times" w:hAnsi="Times"/>
        </w:rPr>
        <w:instrText xml:space="preserve"> ADDIN EN.CITE &lt;EndNote&gt;&lt;Cite&gt;&lt;Author&gt;Hunt&lt;/Author&gt;&lt;Year&gt;2003&lt;/Year&gt;&lt;RecNum&gt;1691&lt;/RecNum&gt;&lt;DisplayText&gt;Hunt, Auriemma et al., 2003&lt;/DisplayText&gt;&lt;record&gt;&lt;rec-number&gt;1691&lt;/rec-number&gt;&lt;foreign-keys&gt;&lt;key app="EN" db-id="0ef5wasfvtdrsmeretm5ee529fe55xep0awe" timestamp="1580209066"&gt;1691&lt;/key&gt;&lt;/foreign-keys&gt;&lt;ref-type name="Journal Article"&gt;17&lt;/ref-type&gt;&lt;contributors&gt;&lt;authors&gt;&lt;author&gt;Hunt, Melissa&lt;/author&gt;&lt;author&gt;Auriemma, Joseph&lt;/author&gt;&lt;author&gt;Cashaw, Ashara CA&lt;/author&gt;&lt;/authors&gt;&lt;/contributors&gt;&lt;titles&gt;&lt;title&gt;Self-report bias and underreporting of depression on the BDI-II&lt;/title&gt;&lt;secondary-title&gt;Journal of personality assessment&lt;/secondary-title&gt;&lt;/titles&gt;&lt;periodical&gt;&lt;full-title&gt;Journal of personality assessment&lt;/full-title&gt;&lt;/periodical&gt;&lt;pages&gt;26-30&lt;/pages&gt;&lt;volume&gt;80&lt;/volume&gt;&lt;number&gt;1&lt;/number&gt;&lt;dates&gt;&lt;year&gt;2003&lt;/year&gt;&lt;/dates&gt;&lt;isbn&gt;0022-3891&lt;/isbn&gt;&lt;urls&gt;&lt;/urls&gt;&lt;/record&gt;&lt;/Cite&gt;&lt;/EndNote&gt;</w:instrText>
      </w:r>
      <w:r w:rsidR="00FF363B">
        <w:rPr>
          <w:rFonts w:ascii="Times" w:hAnsi="Times"/>
        </w:rPr>
        <w:fldChar w:fldCharType="separate"/>
      </w:r>
      <w:r w:rsidR="00FF363B">
        <w:rPr>
          <w:rFonts w:ascii="Times" w:hAnsi="Times"/>
          <w:noProof/>
        </w:rPr>
        <w:t>Hunt, Auriemma, and Cashew 2003</w:t>
      </w:r>
      <w:r w:rsidR="00FF363B">
        <w:rPr>
          <w:rFonts w:ascii="Times" w:hAnsi="Times"/>
        </w:rPr>
        <w:fldChar w:fldCharType="end"/>
      </w:r>
      <w:r w:rsidR="004677AC">
        <w:rPr>
          <w:rFonts w:ascii="Times" w:hAnsi="Times"/>
          <w:lang w:val="en-GB"/>
        </w:rPr>
        <w:t xml:space="preserve">) </w:t>
      </w:r>
      <w:r w:rsidR="00FF363B">
        <w:rPr>
          <w:rFonts w:ascii="Times" w:hAnsi="Times"/>
          <w:lang w:val="en-GB"/>
        </w:rPr>
        <w:t>and</w:t>
      </w:r>
      <w:r w:rsidR="004677AC">
        <w:rPr>
          <w:rFonts w:ascii="Times" w:hAnsi="Times"/>
          <w:lang w:val="en-GB"/>
        </w:rPr>
        <w:t xml:space="preserve"> </w:t>
      </w:r>
      <w:r w:rsidR="00FF363B">
        <w:rPr>
          <w:rFonts w:ascii="Times" w:hAnsi="Times"/>
          <w:lang w:val="en-GB"/>
        </w:rPr>
        <w:t>without the possibility of a clinical check-up (</w:t>
      </w:r>
      <w:proofErr w:type="spellStart"/>
      <w:r w:rsidR="004677AC">
        <w:rPr>
          <w:rFonts w:ascii="Times" w:hAnsi="Times"/>
          <w:lang w:val="en-GB"/>
        </w:rPr>
        <w:t>Sigmon</w:t>
      </w:r>
      <w:proofErr w:type="spellEnd"/>
      <w:r w:rsidR="004677AC">
        <w:rPr>
          <w:rFonts w:ascii="Times" w:hAnsi="Times"/>
          <w:lang w:val="en-GB"/>
        </w:rPr>
        <w:t xml:space="preserve"> et al. 2005)</w:t>
      </w:r>
      <w:r w:rsidR="00010344">
        <w:rPr>
          <w:rFonts w:ascii="Times" w:hAnsi="Times"/>
          <w:lang w:val="en-GB"/>
        </w:rPr>
        <w:t xml:space="preserve">. Given </w:t>
      </w:r>
      <w:r w:rsidR="00010344">
        <w:rPr>
          <w:rFonts w:ascii="Times" w:hAnsi="Times"/>
          <w:lang w:val="en-GB"/>
        </w:rPr>
        <w:lastRenderedPageBreak/>
        <w:t xml:space="preserve">that our questions </w:t>
      </w:r>
      <w:r w:rsidR="0098212B">
        <w:rPr>
          <w:rFonts w:ascii="Times" w:hAnsi="Times"/>
          <w:lang w:val="en-GB"/>
        </w:rPr>
        <w:t xml:space="preserve">are </w:t>
      </w:r>
      <w:r w:rsidR="00FF363B">
        <w:rPr>
          <w:rFonts w:ascii="Times" w:hAnsi="Times"/>
          <w:lang w:val="en-GB"/>
        </w:rPr>
        <w:t>neith</w:t>
      </w:r>
      <w:r w:rsidR="00010344">
        <w:rPr>
          <w:rFonts w:ascii="Times" w:hAnsi="Times"/>
          <w:lang w:val="en-GB"/>
        </w:rPr>
        <w:t xml:space="preserve">er </w:t>
      </w:r>
      <w:r w:rsidR="00FF363B">
        <w:rPr>
          <w:rFonts w:ascii="Times" w:hAnsi="Times"/>
          <w:lang w:val="en-GB"/>
        </w:rPr>
        <w:t xml:space="preserve">overt nor </w:t>
      </w:r>
      <w:r w:rsidR="00010344">
        <w:rPr>
          <w:rFonts w:ascii="Times" w:hAnsi="Times"/>
          <w:lang w:val="en-GB"/>
        </w:rPr>
        <w:t>refer</w:t>
      </w:r>
      <w:r w:rsidR="00FF363B">
        <w:rPr>
          <w:rFonts w:ascii="Times" w:hAnsi="Times"/>
          <w:lang w:val="en-GB"/>
        </w:rPr>
        <w:t xml:space="preserve"> to psychiatry, we believe </w:t>
      </w:r>
      <w:r w:rsidR="00010344">
        <w:rPr>
          <w:rFonts w:ascii="Times" w:hAnsi="Times"/>
          <w:lang w:val="en-GB"/>
        </w:rPr>
        <w:t>they</w:t>
      </w:r>
      <w:r w:rsidR="005B40F4">
        <w:rPr>
          <w:rFonts w:ascii="Times" w:hAnsi="Times"/>
          <w:lang w:val="en-GB"/>
        </w:rPr>
        <w:t xml:space="preserve"> </w:t>
      </w:r>
      <w:r w:rsidR="00FF363B">
        <w:rPr>
          <w:rFonts w:ascii="Times" w:hAnsi="Times"/>
          <w:lang w:val="en-GB"/>
        </w:rPr>
        <w:t>minim</w:t>
      </w:r>
      <w:r w:rsidR="005B40F4">
        <w:rPr>
          <w:rFonts w:ascii="Times" w:hAnsi="Times"/>
          <w:lang w:val="en-GB"/>
        </w:rPr>
        <w:t xml:space="preserve">ize the risk of </w:t>
      </w:r>
      <w:r w:rsidR="00FF363B">
        <w:rPr>
          <w:rFonts w:ascii="Times" w:hAnsi="Times"/>
          <w:lang w:val="en-GB"/>
        </w:rPr>
        <w:t xml:space="preserve">underreporting. </w:t>
      </w:r>
      <w:proofErr w:type="gramStart"/>
      <w:r w:rsidR="00605996">
        <w:rPr>
          <w:rFonts w:ascii="Times" w:hAnsi="Times"/>
          <w:lang w:val="en-GB"/>
        </w:rPr>
        <w:t>In the surveys, respondents self-identify as either male or female.</w:t>
      </w:r>
      <w:proofErr w:type="gramEnd"/>
      <w:r w:rsidR="00605996">
        <w:rPr>
          <w:rFonts w:ascii="Times" w:hAnsi="Times"/>
          <w:lang w:val="en-GB"/>
        </w:rPr>
        <w:t xml:space="preserve"> </w:t>
      </w:r>
    </w:p>
    <w:p w14:paraId="42AF63FD" w14:textId="2822FEB2" w:rsidR="007E697C" w:rsidRDefault="008A3EF0" w:rsidP="007331A2">
      <w:pPr>
        <w:spacing w:line="480" w:lineRule="auto"/>
        <w:ind w:firstLine="720"/>
        <w:rPr>
          <w:rFonts w:ascii="Times" w:hAnsi="Times"/>
        </w:rPr>
      </w:pPr>
      <w:r>
        <w:rPr>
          <w:rFonts w:ascii="Times" w:hAnsi="Times"/>
        </w:rPr>
        <w:t>We test the</w:t>
      </w:r>
      <w:r w:rsidR="00741695">
        <w:rPr>
          <w:rFonts w:ascii="Times" w:hAnsi="Times"/>
        </w:rPr>
        <w:t xml:space="preserve"> </w:t>
      </w:r>
      <w:r w:rsidR="00E32CA2" w:rsidRPr="00E32CA2">
        <w:rPr>
          <w:rFonts w:ascii="Times" w:hAnsi="Times"/>
          <w:i/>
          <w:iCs/>
        </w:rPr>
        <w:t>general depression</w:t>
      </w:r>
      <w:r w:rsidR="00741695" w:rsidRPr="00E32CA2">
        <w:rPr>
          <w:rFonts w:ascii="Times" w:hAnsi="Times"/>
          <w:i/>
          <w:iCs/>
        </w:rPr>
        <w:t xml:space="preserve"> h</w:t>
      </w:r>
      <w:r w:rsidR="00F050E9" w:rsidRPr="00E32CA2">
        <w:rPr>
          <w:rFonts w:ascii="Times" w:hAnsi="Times"/>
          <w:i/>
          <w:iCs/>
        </w:rPr>
        <w:t>ypothes</w:t>
      </w:r>
      <w:r w:rsidR="00F86D30" w:rsidRPr="00E32CA2">
        <w:rPr>
          <w:rFonts w:ascii="Times" w:hAnsi="Times"/>
          <w:i/>
          <w:iCs/>
        </w:rPr>
        <w:t>i</w:t>
      </w:r>
      <w:r w:rsidR="00F050E9" w:rsidRPr="00E32CA2">
        <w:rPr>
          <w:rFonts w:ascii="Times" w:hAnsi="Times"/>
          <w:i/>
          <w:iCs/>
        </w:rPr>
        <w:t>s</w:t>
      </w:r>
      <w:r w:rsidR="00F050E9">
        <w:rPr>
          <w:rFonts w:ascii="Times" w:hAnsi="Times"/>
        </w:rPr>
        <w:t xml:space="preserve"> </w:t>
      </w:r>
      <w:r>
        <w:rPr>
          <w:rFonts w:ascii="Times" w:hAnsi="Times"/>
        </w:rPr>
        <w:t>using</w:t>
      </w:r>
      <w:r w:rsidR="00E32CA2">
        <w:rPr>
          <w:rFonts w:ascii="Times" w:hAnsi="Times"/>
        </w:rPr>
        <w:t xml:space="preserve"> contemporaneous depressive symptom</w:t>
      </w:r>
      <w:r>
        <w:rPr>
          <w:rFonts w:ascii="Times" w:hAnsi="Times"/>
        </w:rPr>
        <w:t>s as the key predictor</w:t>
      </w:r>
      <w:r w:rsidR="00605996">
        <w:rPr>
          <w:rFonts w:ascii="Times" w:hAnsi="Times"/>
        </w:rPr>
        <w:t xml:space="preserve"> and</w:t>
      </w:r>
      <w:r>
        <w:rPr>
          <w:rFonts w:ascii="Times" w:hAnsi="Times"/>
        </w:rPr>
        <w:t xml:space="preserve"> the </w:t>
      </w:r>
      <w:r>
        <w:rPr>
          <w:rFonts w:ascii="Times" w:hAnsi="Times"/>
          <w:i/>
          <w:iCs/>
        </w:rPr>
        <w:t>persistent symptoms hypothesis</w:t>
      </w:r>
      <w:r>
        <w:rPr>
          <w:rFonts w:ascii="Times" w:hAnsi="Times"/>
        </w:rPr>
        <w:t xml:space="preserve"> using persistent depressive symptoms as the key predictor. I</w:t>
      </w:r>
      <w:r w:rsidR="00E32CA2">
        <w:rPr>
          <w:rFonts w:ascii="Times" w:hAnsi="Times"/>
        </w:rPr>
        <w:t>f the hypothes</w:t>
      </w:r>
      <w:r>
        <w:rPr>
          <w:rFonts w:ascii="Times" w:hAnsi="Times"/>
        </w:rPr>
        <w:t>es are</w:t>
      </w:r>
      <w:r w:rsidR="00E32CA2">
        <w:rPr>
          <w:rFonts w:ascii="Times" w:hAnsi="Times"/>
        </w:rPr>
        <w:t xml:space="preserve"> supported, the</w:t>
      </w:r>
      <w:r>
        <w:rPr>
          <w:rFonts w:ascii="Times" w:hAnsi="Times"/>
        </w:rPr>
        <w:t xml:space="preserve">n the coefficients for </w:t>
      </w:r>
      <w:r w:rsidR="00E32CA2">
        <w:rPr>
          <w:rFonts w:ascii="Times" w:hAnsi="Times"/>
        </w:rPr>
        <w:t>depressive symptoms should be negative and statistically significant</w:t>
      </w:r>
      <w:r w:rsidR="006D6A7B">
        <w:rPr>
          <w:rFonts w:ascii="Times" w:hAnsi="Times"/>
        </w:rPr>
        <w:t>, with the one on persistent symptoms larger than the one on contemporaneous symptoms</w:t>
      </w:r>
      <w:r w:rsidR="00F050E9">
        <w:rPr>
          <w:rFonts w:ascii="Times" w:hAnsi="Times"/>
        </w:rPr>
        <w:t xml:space="preserve">. </w:t>
      </w:r>
      <w:r>
        <w:rPr>
          <w:rFonts w:ascii="Times" w:hAnsi="Times"/>
        </w:rPr>
        <w:t xml:space="preserve">We expand these </w:t>
      </w:r>
      <w:r w:rsidR="00E32CA2">
        <w:rPr>
          <w:rFonts w:ascii="Times" w:hAnsi="Times"/>
        </w:rPr>
        <w:t>model</w:t>
      </w:r>
      <w:r>
        <w:rPr>
          <w:rFonts w:ascii="Times" w:hAnsi="Times"/>
        </w:rPr>
        <w:t>s</w:t>
      </w:r>
      <w:r w:rsidR="00E32CA2">
        <w:rPr>
          <w:rFonts w:ascii="Times" w:hAnsi="Times"/>
        </w:rPr>
        <w:t xml:space="preserve"> </w:t>
      </w:r>
      <w:r>
        <w:rPr>
          <w:rFonts w:ascii="Times" w:hAnsi="Times"/>
        </w:rPr>
        <w:t>to test</w:t>
      </w:r>
      <w:r w:rsidR="00E32CA2">
        <w:rPr>
          <w:rFonts w:ascii="Times" w:hAnsi="Times"/>
        </w:rPr>
        <w:t xml:space="preserve"> the </w:t>
      </w:r>
      <w:r w:rsidR="00E32CA2">
        <w:rPr>
          <w:rFonts w:ascii="Times" w:hAnsi="Times"/>
          <w:i/>
          <w:iCs/>
        </w:rPr>
        <w:t>gender disparity hypothesis</w:t>
      </w:r>
      <w:r w:rsidR="00E32CA2">
        <w:rPr>
          <w:rFonts w:ascii="Times" w:hAnsi="Times"/>
        </w:rPr>
        <w:t xml:space="preserve"> </w:t>
      </w:r>
      <w:r>
        <w:rPr>
          <w:rFonts w:ascii="Times" w:hAnsi="Times"/>
        </w:rPr>
        <w:t>by adding</w:t>
      </w:r>
      <w:r w:rsidR="00E32CA2">
        <w:rPr>
          <w:rFonts w:ascii="Times" w:hAnsi="Times"/>
        </w:rPr>
        <w:t xml:space="preserve"> an interaction term between gender and depressive symptoms; if the hypothesis is supported, then the coefficient for the interaction term should be negative and statistically significant.</w:t>
      </w:r>
      <w:r>
        <w:rPr>
          <w:rFonts w:ascii="Times" w:hAnsi="Times"/>
        </w:rPr>
        <w:t xml:space="preserve"> </w:t>
      </w:r>
      <w:r w:rsidR="00667C80">
        <w:rPr>
          <w:rFonts w:ascii="Times" w:hAnsi="Times"/>
        </w:rPr>
        <w:t>We conclude our analysis by presenting the results of mediation models that estimate how much of the gender gap in political interest can be explained by symptoms of depression.</w:t>
      </w:r>
    </w:p>
    <w:p w14:paraId="71152DAC" w14:textId="712A8F56" w:rsidR="0090491E" w:rsidRDefault="008A3EF0" w:rsidP="007331A2">
      <w:pPr>
        <w:spacing w:line="480" w:lineRule="auto"/>
        <w:ind w:firstLine="720"/>
        <w:rPr>
          <w:rFonts w:ascii="Times" w:hAnsi="Times"/>
        </w:rPr>
      </w:pPr>
      <w:r>
        <w:rPr>
          <w:rFonts w:ascii="Times" w:hAnsi="Times"/>
        </w:rPr>
        <w:t xml:space="preserve">The ESS </w:t>
      </w:r>
      <w:r w:rsidR="00B0345F">
        <w:rPr>
          <w:rFonts w:ascii="Times" w:hAnsi="Times"/>
        </w:rPr>
        <w:t>model</w:t>
      </w:r>
      <w:r>
        <w:rPr>
          <w:rFonts w:ascii="Times" w:hAnsi="Times"/>
        </w:rPr>
        <w:t>s</w:t>
      </w:r>
      <w:r w:rsidR="00B0345F">
        <w:rPr>
          <w:rFonts w:ascii="Times" w:hAnsi="Times"/>
        </w:rPr>
        <w:t xml:space="preserve"> </w:t>
      </w:r>
      <w:r w:rsidR="002B656F">
        <w:rPr>
          <w:rFonts w:ascii="Times" w:hAnsi="Times"/>
        </w:rPr>
        <w:t xml:space="preserve">are ordinal logistic regressions that </w:t>
      </w:r>
      <w:r w:rsidR="00B0345F">
        <w:rPr>
          <w:rFonts w:ascii="Times" w:hAnsi="Times"/>
        </w:rPr>
        <w:t xml:space="preserve">include </w:t>
      </w:r>
      <w:r w:rsidR="00B0345F" w:rsidRPr="00C17412">
        <w:rPr>
          <w:rFonts w:ascii="Times" w:hAnsi="Times"/>
        </w:rPr>
        <w:t>probability weights</w:t>
      </w:r>
      <w:r w:rsidR="00B0345F">
        <w:rPr>
          <w:rFonts w:ascii="Times" w:hAnsi="Times"/>
        </w:rPr>
        <w:t xml:space="preserve">, </w:t>
      </w:r>
      <w:r w:rsidR="00F050E9">
        <w:rPr>
          <w:rFonts w:ascii="Times" w:hAnsi="Times"/>
        </w:rPr>
        <w:t>country-level fixed effects,</w:t>
      </w:r>
      <w:r w:rsidR="009D1BC2">
        <w:rPr>
          <w:rFonts w:ascii="Times" w:hAnsi="Times"/>
        </w:rPr>
        <w:t xml:space="preserve"> and</w:t>
      </w:r>
      <w:r w:rsidR="00F050E9">
        <w:rPr>
          <w:rFonts w:ascii="Times" w:hAnsi="Times"/>
        </w:rPr>
        <w:t xml:space="preserve"> a </w:t>
      </w:r>
      <w:r w:rsidR="009D1BC2">
        <w:rPr>
          <w:rFonts w:ascii="Times" w:hAnsi="Times"/>
        </w:rPr>
        <w:t xml:space="preserve">year </w:t>
      </w:r>
      <w:r w:rsidR="00F050E9">
        <w:rPr>
          <w:rFonts w:ascii="Times" w:hAnsi="Times"/>
        </w:rPr>
        <w:t>variable</w:t>
      </w:r>
      <w:r w:rsidR="009D1BC2">
        <w:rPr>
          <w:rFonts w:ascii="Times" w:hAnsi="Times"/>
        </w:rPr>
        <w:t xml:space="preserve">. </w:t>
      </w:r>
      <w:r w:rsidR="00B0345F">
        <w:rPr>
          <w:rFonts w:ascii="Times" w:hAnsi="Times"/>
        </w:rPr>
        <w:t xml:space="preserve">The </w:t>
      </w:r>
      <w:r>
        <w:rPr>
          <w:rFonts w:ascii="Times" w:hAnsi="Times"/>
        </w:rPr>
        <w:t>GESIS models</w:t>
      </w:r>
      <w:r w:rsidR="002B656F">
        <w:rPr>
          <w:rFonts w:ascii="Times" w:hAnsi="Times"/>
        </w:rPr>
        <w:t xml:space="preserve"> are ordinary least squares regressions that</w:t>
      </w:r>
      <w:r>
        <w:rPr>
          <w:rFonts w:ascii="Times" w:hAnsi="Times"/>
        </w:rPr>
        <w:t xml:space="preserve"> include</w:t>
      </w:r>
      <w:r w:rsidR="00B0345F">
        <w:rPr>
          <w:rFonts w:ascii="Times" w:hAnsi="Times"/>
        </w:rPr>
        <w:t xml:space="preserve"> individual-level </w:t>
      </w:r>
      <w:r w:rsidR="009D1BC2">
        <w:rPr>
          <w:rFonts w:ascii="Times" w:hAnsi="Times"/>
        </w:rPr>
        <w:t>fixed</w:t>
      </w:r>
      <w:r w:rsidR="00B0345F">
        <w:rPr>
          <w:rFonts w:ascii="Times" w:hAnsi="Times"/>
        </w:rPr>
        <w:t xml:space="preserve"> effect</w:t>
      </w:r>
      <w:r>
        <w:rPr>
          <w:rFonts w:ascii="Times" w:hAnsi="Times"/>
        </w:rPr>
        <w:t>s</w:t>
      </w:r>
      <w:r w:rsidR="00B0345F">
        <w:rPr>
          <w:rFonts w:ascii="Times" w:hAnsi="Times"/>
        </w:rPr>
        <w:t xml:space="preserve">. </w:t>
      </w:r>
      <w:r w:rsidR="0089117B">
        <w:rPr>
          <w:rFonts w:ascii="Times" w:hAnsi="Times"/>
        </w:rPr>
        <w:t>All models include control variables that account for</w:t>
      </w:r>
      <w:r w:rsidR="0042281A">
        <w:rPr>
          <w:rFonts w:ascii="Times" w:hAnsi="Times"/>
        </w:rPr>
        <w:t xml:space="preserve"> </w:t>
      </w:r>
      <w:r w:rsidR="00805E6A">
        <w:rPr>
          <w:rFonts w:ascii="Times" w:hAnsi="Times"/>
        </w:rPr>
        <w:t>alternative explanations</w:t>
      </w:r>
      <w:r>
        <w:rPr>
          <w:rFonts w:ascii="Times" w:hAnsi="Times"/>
        </w:rPr>
        <w:t xml:space="preserve">. We account for </w:t>
      </w:r>
      <w:r w:rsidR="00805E6A">
        <w:rPr>
          <w:rFonts w:ascii="Times" w:hAnsi="Times"/>
        </w:rPr>
        <w:t>socialization</w:t>
      </w:r>
      <w:r>
        <w:rPr>
          <w:rFonts w:ascii="Times" w:hAnsi="Times"/>
        </w:rPr>
        <w:t xml:space="preserve"> theories</w:t>
      </w:r>
      <w:r w:rsidR="00805E6A">
        <w:rPr>
          <w:rFonts w:ascii="Times" w:hAnsi="Times"/>
        </w:rPr>
        <w:t xml:space="preserve"> </w:t>
      </w:r>
      <w:r>
        <w:rPr>
          <w:rFonts w:ascii="Times" w:hAnsi="Times"/>
        </w:rPr>
        <w:t>using a</w:t>
      </w:r>
      <w:r w:rsidR="00805E6A">
        <w:rPr>
          <w:rFonts w:ascii="Times" w:hAnsi="Times"/>
        </w:rPr>
        <w:t>ge</w:t>
      </w:r>
      <w:r>
        <w:rPr>
          <w:rFonts w:ascii="Times" w:hAnsi="Times"/>
        </w:rPr>
        <w:t xml:space="preserve"> and</w:t>
      </w:r>
      <w:r w:rsidR="00805E6A">
        <w:rPr>
          <w:rFonts w:ascii="Times" w:hAnsi="Times"/>
        </w:rPr>
        <w:t xml:space="preserve"> the presence of traditional value</w:t>
      </w:r>
      <w:r>
        <w:rPr>
          <w:rFonts w:ascii="Times" w:hAnsi="Times"/>
        </w:rPr>
        <w:t xml:space="preserve">s. </w:t>
      </w:r>
      <w:r w:rsidR="008533B3">
        <w:rPr>
          <w:rFonts w:ascii="Times" w:hAnsi="Times"/>
        </w:rPr>
        <w:t xml:space="preserve">Traditional values are measured as the importance of religious and familial customs in the ESS and as belief in traditional gender roles in the GESIS. </w:t>
      </w:r>
      <w:r>
        <w:rPr>
          <w:rFonts w:ascii="Times" w:hAnsi="Times"/>
        </w:rPr>
        <w:t xml:space="preserve">We account for </w:t>
      </w:r>
      <w:r w:rsidR="00805E6A">
        <w:rPr>
          <w:rFonts w:ascii="Times" w:hAnsi="Times"/>
        </w:rPr>
        <w:t>situation</w:t>
      </w:r>
      <w:r>
        <w:rPr>
          <w:rFonts w:ascii="Times" w:hAnsi="Times"/>
        </w:rPr>
        <w:t>al theories</w:t>
      </w:r>
      <w:r w:rsidR="00805E6A">
        <w:rPr>
          <w:rFonts w:ascii="Times" w:hAnsi="Times"/>
        </w:rPr>
        <w:t xml:space="preserve"> by controlling for socioeconomic status (education, income, employment status),</w:t>
      </w:r>
      <w:r w:rsidR="00404AD0">
        <w:rPr>
          <w:rFonts w:ascii="Times" w:hAnsi="Times"/>
        </w:rPr>
        <w:t xml:space="preserve"> potential </w:t>
      </w:r>
      <w:r w:rsidR="00805E6A">
        <w:rPr>
          <w:rFonts w:ascii="Times" w:hAnsi="Times"/>
        </w:rPr>
        <w:t xml:space="preserve">caretaking responsibilities (marital status, child in the household), </w:t>
      </w:r>
      <w:r w:rsidR="00805E6A" w:rsidRPr="006C3D73">
        <w:rPr>
          <w:rFonts w:ascii="Times" w:hAnsi="Times"/>
        </w:rPr>
        <w:t>and social capital (</w:t>
      </w:r>
      <w:r w:rsidR="00F51118">
        <w:rPr>
          <w:rFonts w:ascii="Times" w:hAnsi="Times"/>
        </w:rPr>
        <w:t xml:space="preserve">social activity, </w:t>
      </w:r>
      <w:r w:rsidR="00805E6A" w:rsidRPr="006C3D73">
        <w:rPr>
          <w:rFonts w:ascii="Times" w:hAnsi="Times"/>
        </w:rPr>
        <w:t xml:space="preserve">religious attendance, union membership). </w:t>
      </w:r>
      <w:r w:rsidR="00684406">
        <w:rPr>
          <w:rFonts w:ascii="Times" w:hAnsi="Times"/>
        </w:rPr>
        <w:t>We</w:t>
      </w:r>
      <w:r w:rsidR="00805E6A" w:rsidRPr="006C3D73">
        <w:rPr>
          <w:rFonts w:ascii="Times" w:hAnsi="Times"/>
        </w:rPr>
        <w:t xml:space="preserve"> account for context</w:t>
      </w:r>
      <w:r w:rsidR="007C6140">
        <w:rPr>
          <w:rFonts w:ascii="Times" w:hAnsi="Times"/>
        </w:rPr>
        <w:t xml:space="preserve"> in the ESS</w:t>
      </w:r>
      <w:r w:rsidR="00805E6A" w:rsidRPr="006C3D73">
        <w:rPr>
          <w:rFonts w:ascii="Times" w:hAnsi="Times"/>
        </w:rPr>
        <w:t xml:space="preserve"> through country-lev</w:t>
      </w:r>
      <w:r w:rsidR="00805E6A">
        <w:rPr>
          <w:rFonts w:ascii="Times" w:hAnsi="Times"/>
        </w:rPr>
        <w:t>el</w:t>
      </w:r>
      <w:r w:rsidR="00805E6A" w:rsidRPr="006C3D73">
        <w:rPr>
          <w:rFonts w:ascii="Times" w:hAnsi="Times"/>
        </w:rPr>
        <w:t xml:space="preserve"> variables</w:t>
      </w:r>
      <w:r w:rsidR="007C6140">
        <w:rPr>
          <w:rFonts w:ascii="Times" w:hAnsi="Times"/>
        </w:rPr>
        <w:t xml:space="preserve">, </w:t>
      </w:r>
      <w:r w:rsidR="00805E6A" w:rsidRPr="006C3D73">
        <w:rPr>
          <w:rFonts w:ascii="Times" w:hAnsi="Times"/>
        </w:rPr>
        <w:t xml:space="preserve">including gender inequality, the disproportionality of representation, income inequality, GDP per capita, and the unemployment rate. </w:t>
      </w:r>
    </w:p>
    <w:p w14:paraId="3E7CCEE0" w14:textId="77777777" w:rsidR="007331A2" w:rsidRPr="007331A2" w:rsidRDefault="007331A2" w:rsidP="007331A2">
      <w:pPr>
        <w:spacing w:line="480" w:lineRule="auto"/>
        <w:ind w:firstLine="720"/>
        <w:rPr>
          <w:rFonts w:ascii="Times" w:hAnsi="Times"/>
        </w:rPr>
      </w:pPr>
    </w:p>
    <w:p w14:paraId="4E027722" w14:textId="5F999872" w:rsidR="00B0345F" w:rsidRDefault="00B0345F" w:rsidP="00B0345F">
      <w:pPr>
        <w:spacing w:line="480" w:lineRule="auto"/>
        <w:rPr>
          <w:rFonts w:ascii="Times" w:hAnsi="Times"/>
          <w:b/>
        </w:rPr>
      </w:pPr>
      <w:r w:rsidRPr="00E81373">
        <w:rPr>
          <w:rFonts w:ascii="Times" w:hAnsi="Times"/>
          <w:b/>
        </w:rPr>
        <w:t>Results</w:t>
      </w:r>
    </w:p>
    <w:p w14:paraId="63254418" w14:textId="379E0F7B" w:rsidR="00AA2B93" w:rsidRDefault="00AA2B93" w:rsidP="00847CD3">
      <w:pPr>
        <w:spacing w:line="480" w:lineRule="auto"/>
        <w:ind w:firstLine="720"/>
        <w:rPr>
          <w:rFonts w:ascii="Times" w:hAnsi="Times"/>
        </w:rPr>
      </w:pPr>
      <w:r>
        <w:rPr>
          <w:rFonts w:ascii="Times" w:hAnsi="Times"/>
        </w:rPr>
        <w:t xml:space="preserve"> Figure 1 </w:t>
      </w:r>
      <w:r w:rsidR="00847CD3">
        <w:rPr>
          <w:rFonts w:ascii="Times" w:hAnsi="Times"/>
        </w:rPr>
        <w:t>reveals that women have less interest and more depressive symptoms than men</w:t>
      </w:r>
      <w:r w:rsidR="007331A2">
        <w:rPr>
          <w:rFonts w:ascii="Times" w:hAnsi="Times"/>
        </w:rPr>
        <w:t xml:space="preserve"> in the ESS</w:t>
      </w:r>
      <w:r w:rsidR="00847CD3">
        <w:rPr>
          <w:rFonts w:ascii="Times" w:hAnsi="Times"/>
        </w:rPr>
        <w:t xml:space="preserve">. Interest for women is 2.24 (vs. 2.50 for men) while symptoms </w:t>
      </w:r>
      <w:r w:rsidR="007331A2">
        <w:rPr>
          <w:rFonts w:ascii="Times" w:hAnsi="Times"/>
        </w:rPr>
        <w:t xml:space="preserve">are </w:t>
      </w:r>
      <w:r w:rsidR="00847CD3">
        <w:rPr>
          <w:rFonts w:ascii="Times" w:hAnsi="Times"/>
        </w:rPr>
        <w:t xml:space="preserve">1.94 (vs. 1.81 for men). The </w:t>
      </w:r>
      <w:r w:rsidR="006C7C2F">
        <w:rPr>
          <w:rFonts w:ascii="Times" w:hAnsi="Times"/>
        </w:rPr>
        <w:t xml:space="preserve">GESIS </w:t>
      </w:r>
      <w:r w:rsidR="007331A2">
        <w:rPr>
          <w:rFonts w:ascii="Times" w:hAnsi="Times"/>
        </w:rPr>
        <w:t>is similar</w:t>
      </w:r>
      <w:r w:rsidR="00DB082D">
        <w:rPr>
          <w:rFonts w:ascii="Times" w:hAnsi="Times"/>
        </w:rPr>
        <w:t>: interest is 2.86 for women (</w:t>
      </w:r>
      <w:proofErr w:type="spellStart"/>
      <w:r w:rsidR="00DB082D">
        <w:rPr>
          <w:rFonts w:ascii="Times" w:hAnsi="Times"/>
        </w:rPr>
        <w:t>vs</w:t>
      </w:r>
      <w:proofErr w:type="spellEnd"/>
      <w:r w:rsidR="00DB082D">
        <w:rPr>
          <w:rFonts w:ascii="Times" w:hAnsi="Times"/>
        </w:rPr>
        <w:t xml:space="preserve"> 3.38 for men), contemporaneous symptoms are 2.74 for women (vs. 2.65 for men), and persistent symptoms are 2.74 for women (vs. 2.65 for men).</w:t>
      </w:r>
      <w:r w:rsidR="00A40D48">
        <w:rPr>
          <w:rFonts w:ascii="Times" w:hAnsi="Times"/>
        </w:rPr>
        <w:t xml:space="preserve"> </w:t>
      </w:r>
      <w:r w:rsidR="00024831">
        <w:rPr>
          <w:rFonts w:ascii="Times" w:hAnsi="Times"/>
        </w:rPr>
        <w:t>T</w:t>
      </w:r>
      <w:r w:rsidR="00A40D48">
        <w:rPr>
          <w:rFonts w:ascii="Times" w:hAnsi="Times"/>
        </w:rPr>
        <w:t>-test</w:t>
      </w:r>
      <w:r w:rsidR="00024831">
        <w:rPr>
          <w:rFonts w:ascii="Times" w:hAnsi="Times"/>
        </w:rPr>
        <w:t>s</w:t>
      </w:r>
      <w:r w:rsidR="00A40D48">
        <w:rPr>
          <w:rFonts w:ascii="Times" w:hAnsi="Times"/>
        </w:rPr>
        <w:t xml:space="preserve"> </w:t>
      </w:r>
      <w:r w:rsidR="00024831">
        <w:rPr>
          <w:rFonts w:ascii="Times" w:hAnsi="Times"/>
        </w:rPr>
        <w:t xml:space="preserve">confirm </w:t>
      </w:r>
      <w:r w:rsidR="00A40D48">
        <w:rPr>
          <w:rFonts w:ascii="Times" w:hAnsi="Times"/>
        </w:rPr>
        <w:t xml:space="preserve">that </w:t>
      </w:r>
      <w:r w:rsidR="007331A2">
        <w:rPr>
          <w:rFonts w:ascii="Times" w:hAnsi="Times"/>
        </w:rPr>
        <w:t xml:space="preserve">these </w:t>
      </w:r>
      <w:r w:rsidR="00A40D48">
        <w:rPr>
          <w:rFonts w:ascii="Times" w:hAnsi="Times"/>
        </w:rPr>
        <w:t>differenc</w:t>
      </w:r>
      <w:r w:rsidR="007331A2">
        <w:rPr>
          <w:rFonts w:ascii="Times" w:hAnsi="Times"/>
        </w:rPr>
        <w:t>es are</w:t>
      </w:r>
      <w:r w:rsidR="00A40D48">
        <w:rPr>
          <w:rFonts w:ascii="Times" w:hAnsi="Times"/>
        </w:rPr>
        <w:t xml:space="preserve"> statistically significant.</w:t>
      </w:r>
      <w:r w:rsidR="00B27BAA">
        <w:rPr>
          <w:rFonts w:ascii="Times" w:hAnsi="Times"/>
        </w:rPr>
        <w:t xml:space="preserve"> </w:t>
      </w:r>
    </w:p>
    <w:p w14:paraId="736DA4E9" w14:textId="090770FA" w:rsidR="00AA2B93" w:rsidRDefault="00AA2B93" w:rsidP="00C77868">
      <w:pPr>
        <w:jc w:val="center"/>
        <w:rPr>
          <w:rFonts w:ascii="Times" w:hAnsi="Times"/>
          <w:b/>
          <w:bCs/>
        </w:rPr>
      </w:pPr>
      <w:r w:rsidRPr="00AA2B93">
        <w:rPr>
          <w:rFonts w:ascii="Times" w:hAnsi="Times"/>
          <w:b/>
          <w:bCs/>
        </w:rPr>
        <w:t>Figure 1: Gender Differences in</w:t>
      </w:r>
      <w:r>
        <w:rPr>
          <w:rFonts w:ascii="Times" w:hAnsi="Times"/>
          <w:b/>
          <w:bCs/>
        </w:rPr>
        <w:t xml:space="preserve"> </w:t>
      </w:r>
      <w:r w:rsidRPr="00AA2B93">
        <w:rPr>
          <w:rFonts w:ascii="Times" w:hAnsi="Times"/>
          <w:b/>
          <w:bCs/>
        </w:rPr>
        <w:t>Political Interest and Depressive Symptoms in the ESS</w:t>
      </w:r>
    </w:p>
    <w:p w14:paraId="1FEE2CF8" w14:textId="77777777" w:rsidR="007331A2" w:rsidRPr="00AA2B93" w:rsidRDefault="007331A2" w:rsidP="007331A2">
      <w:pPr>
        <w:rPr>
          <w:rFonts w:ascii="Times" w:hAnsi="Times"/>
          <w:b/>
          <w:bCs/>
        </w:rPr>
      </w:pPr>
    </w:p>
    <w:p w14:paraId="259F3409" w14:textId="455B81BF" w:rsidR="006A13D3" w:rsidRDefault="00F46210" w:rsidP="00F46210">
      <w:pPr>
        <w:spacing w:line="480" w:lineRule="auto"/>
        <w:jc w:val="center"/>
        <w:rPr>
          <w:rFonts w:ascii="Times" w:hAnsi="Times"/>
        </w:rPr>
      </w:pPr>
      <w:r>
        <w:rPr>
          <w:rFonts w:ascii="Times" w:hAnsi="Times"/>
          <w:noProof/>
          <w:lang w:val="it-IT" w:eastAsia="it-IT"/>
        </w:rPr>
        <w:drawing>
          <wp:inline distT="0" distB="0" distL="0" distR="0" wp14:anchorId="628D43DE" wp14:editId="2D8A7FA3">
            <wp:extent cx="5943600" cy="3962400"/>
            <wp:effectExtent l="0" t="0" r="0" b="0"/>
            <wp:docPr id="2" name="Picture 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pic:nvPicPr>
                  <pic:blipFill>
                    <a:blip r:embed="rId9"/>
                    <a:stretch>
                      <a:fillRect/>
                    </a:stretch>
                  </pic:blipFill>
                  <pic:spPr>
                    <a:xfrm>
                      <a:off x="0" y="0"/>
                      <a:ext cx="5943600" cy="3962400"/>
                    </a:xfrm>
                    <a:prstGeom prst="rect">
                      <a:avLst/>
                    </a:prstGeom>
                  </pic:spPr>
                </pic:pic>
              </a:graphicData>
            </a:graphic>
          </wp:inline>
        </w:drawing>
      </w:r>
    </w:p>
    <w:p w14:paraId="5BF8BB8F" w14:textId="43C1DF5A" w:rsidR="001E375A" w:rsidRDefault="0089117B" w:rsidP="00DB6476">
      <w:pPr>
        <w:spacing w:line="480" w:lineRule="auto"/>
        <w:ind w:firstLine="720"/>
        <w:rPr>
          <w:rFonts w:ascii="Times" w:hAnsi="Times"/>
        </w:rPr>
      </w:pPr>
      <w:r>
        <w:rPr>
          <w:rFonts w:ascii="Times" w:hAnsi="Times"/>
        </w:rPr>
        <w:t xml:space="preserve">The results </w:t>
      </w:r>
      <w:r w:rsidR="00DB6476">
        <w:rPr>
          <w:rFonts w:ascii="Times" w:hAnsi="Times"/>
        </w:rPr>
        <w:t>for the key variables in</w:t>
      </w:r>
      <w:r>
        <w:rPr>
          <w:rFonts w:ascii="Times" w:hAnsi="Times"/>
        </w:rPr>
        <w:t xml:space="preserve"> our </w:t>
      </w:r>
      <w:r w:rsidR="00EB74CA">
        <w:rPr>
          <w:rFonts w:ascii="Times" w:hAnsi="Times"/>
        </w:rPr>
        <w:t xml:space="preserve">regression </w:t>
      </w:r>
      <w:r>
        <w:rPr>
          <w:rFonts w:ascii="Times" w:hAnsi="Times"/>
        </w:rPr>
        <w:t xml:space="preserve">models are reported in </w:t>
      </w:r>
      <w:r w:rsidR="00B0345F">
        <w:rPr>
          <w:rFonts w:ascii="Times" w:hAnsi="Times"/>
        </w:rPr>
        <w:t xml:space="preserve">Table </w:t>
      </w:r>
      <w:r w:rsidR="006C0390">
        <w:rPr>
          <w:rFonts w:ascii="Times" w:hAnsi="Times"/>
        </w:rPr>
        <w:t>1</w:t>
      </w:r>
      <w:r>
        <w:rPr>
          <w:rFonts w:ascii="Times" w:hAnsi="Times"/>
        </w:rPr>
        <w:t>.</w:t>
      </w:r>
      <w:r w:rsidR="00DB6476">
        <w:rPr>
          <w:rFonts w:ascii="Times" w:hAnsi="Times"/>
        </w:rPr>
        <w:t xml:space="preserve"> Appendix D</w:t>
      </w:r>
      <w:r w:rsidR="00F41917">
        <w:rPr>
          <w:rFonts w:ascii="Times" w:hAnsi="Times"/>
        </w:rPr>
        <w:t xml:space="preserve"> </w:t>
      </w:r>
      <w:r w:rsidR="00DB6476">
        <w:rPr>
          <w:rFonts w:ascii="Times" w:hAnsi="Times"/>
        </w:rPr>
        <w:t xml:space="preserve">reports </w:t>
      </w:r>
      <w:r w:rsidR="00F41917">
        <w:rPr>
          <w:rFonts w:ascii="Times" w:hAnsi="Times"/>
        </w:rPr>
        <w:t>the full results</w:t>
      </w:r>
      <w:r w:rsidR="00DB6476">
        <w:rPr>
          <w:rFonts w:ascii="Times" w:hAnsi="Times"/>
        </w:rPr>
        <w:t xml:space="preserve">. The </w:t>
      </w:r>
      <w:r>
        <w:rPr>
          <w:rFonts w:ascii="Times" w:hAnsi="Times"/>
        </w:rPr>
        <w:t xml:space="preserve">negative and statistically significant coefficients for </w:t>
      </w:r>
      <w:r w:rsidR="00DB6476">
        <w:rPr>
          <w:rFonts w:ascii="Times" w:hAnsi="Times"/>
        </w:rPr>
        <w:t xml:space="preserve">contemporaneous </w:t>
      </w:r>
      <w:r>
        <w:rPr>
          <w:rFonts w:ascii="Times" w:hAnsi="Times"/>
        </w:rPr>
        <w:t>symptoms in</w:t>
      </w:r>
      <w:r w:rsidR="004D3FDE">
        <w:rPr>
          <w:rFonts w:ascii="Times" w:hAnsi="Times"/>
        </w:rPr>
        <w:t xml:space="preserve"> Model 1 </w:t>
      </w:r>
      <w:r>
        <w:rPr>
          <w:rFonts w:ascii="Times" w:hAnsi="Times"/>
        </w:rPr>
        <w:t>(</w:t>
      </w:r>
      <w:r w:rsidR="004D3FDE">
        <w:rPr>
          <w:rFonts w:ascii="Times" w:hAnsi="Times"/>
        </w:rPr>
        <w:t>ESS</w:t>
      </w:r>
      <w:r>
        <w:rPr>
          <w:rFonts w:ascii="Times" w:hAnsi="Times"/>
        </w:rPr>
        <w:t>)</w:t>
      </w:r>
      <w:r w:rsidR="004D3FDE">
        <w:rPr>
          <w:rFonts w:ascii="Times" w:hAnsi="Times"/>
        </w:rPr>
        <w:t xml:space="preserve"> and Model 2 </w:t>
      </w:r>
      <w:r>
        <w:rPr>
          <w:rFonts w:ascii="Times" w:hAnsi="Times"/>
        </w:rPr>
        <w:t>(</w:t>
      </w:r>
      <w:r w:rsidR="004D3FDE">
        <w:rPr>
          <w:rFonts w:ascii="Times" w:hAnsi="Times"/>
        </w:rPr>
        <w:t>GESIS</w:t>
      </w:r>
      <w:r>
        <w:rPr>
          <w:rFonts w:ascii="Times" w:hAnsi="Times"/>
        </w:rPr>
        <w:t>)</w:t>
      </w:r>
      <w:r w:rsidR="004D3FDE">
        <w:rPr>
          <w:rFonts w:ascii="Times" w:hAnsi="Times"/>
        </w:rPr>
        <w:t xml:space="preserve"> </w:t>
      </w:r>
      <w:r>
        <w:rPr>
          <w:rFonts w:ascii="Times" w:hAnsi="Times"/>
        </w:rPr>
        <w:t xml:space="preserve">provide </w:t>
      </w:r>
      <w:r w:rsidR="001E375A">
        <w:rPr>
          <w:rFonts w:ascii="Times" w:hAnsi="Times"/>
        </w:rPr>
        <w:t>s</w:t>
      </w:r>
      <w:r>
        <w:rPr>
          <w:rFonts w:ascii="Times" w:hAnsi="Times"/>
        </w:rPr>
        <w:t>upport for th</w:t>
      </w:r>
      <w:r w:rsidR="004557EE">
        <w:rPr>
          <w:rFonts w:ascii="Times" w:hAnsi="Times"/>
        </w:rPr>
        <w:t xml:space="preserve">e </w:t>
      </w:r>
      <w:r w:rsidR="004557EE">
        <w:rPr>
          <w:rFonts w:ascii="Times" w:hAnsi="Times"/>
          <w:i/>
          <w:iCs/>
        </w:rPr>
        <w:t>general depression hypothesis</w:t>
      </w:r>
      <w:r w:rsidR="004557EE">
        <w:rPr>
          <w:rFonts w:ascii="Times" w:hAnsi="Times"/>
        </w:rPr>
        <w:t>. As depressive symptoms increase, political interest decreases</w:t>
      </w:r>
      <w:r w:rsidR="00CB7304">
        <w:rPr>
          <w:rFonts w:ascii="Times" w:hAnsi="Times"/>
        </w:rPr>
        <w:t xml:space="preserve">. </w:t>
      </w:r>
      <w:r w:rsidR="004557EE">
        <w:rPr>
          <w:rFonts w:ascii="Times" w:hAnsi="Times"/>
        </w:rPr>
        <w:lastRenderedPageBreak/>
        <w:t>Model 3 (</w:t>
      </w:r>
      <w:r w:rsidR="00CB7304">
        <w:rPr>
          <w:rFonts w:ascii="Times" w:hAnsi="Times"/>
        </w:rPr>
        <w:t xml:space="preserve">GESIS) </w:t>
      </w:r>
      <w:r w:rsidR="001E375A">
        <w:rPr>
          <w:rFonts w:ascii="Times" w:hAnsi="Times"/>
        </w:rPr>
        <w:t xml:space="preserve">replaces contemporaneous symptoms with persistent symptoms and reveals </w:t>
      </w:r>
      <w:r w:rsidR="00CB7304">
        <w:rPr>
          <w:rFonts w:ascii="Times" w:hAnsi="Times"/>
        </w:rPr>
        <w:t xml:space="preserve">a negative </w:t>
      </w:r>
      <w:r w:rsidR="001E375A">
        <w:rPr>
          <w:rFonts w:ascii="Times" w:hAnsi="Times"/>
        </w:rPr>
        <w:t xml:space="preserve">and </w:t>
      </w:r>
      <w:r w:rsidR="00CB7304">
        <w:rPr>
          <w:rFonts w:ascii="Times" w:hAnsi="Times"/>
        </w:rPr>
        <w:t xml:space="preserve">statistically significant effect on political interest. </w:t>
      </w:r>
      <w:r w:rsidR="001E375A">
        <w:rPr>
          <w:rFonts w:ascii="Times" w:hAnsi="Times"/>
        </w:rPr>
        <w:t>Although the coefficient for persistent symptoms is twice as large as the coefficient for con</w:t>
      </w:r>
      <w:r w:rsidR="004C207A">
        <w:rPr>
          <w:rFonts w:ascii="Times" w:hAnsi="Times"/>
        </w:rPr>
        <w:t>temporaneous symptoms in Model 2</w:t>
      </w:r>
      <w:r w:rsidR="001E375A">
        <w:rPr>
          <w:rFonts w:ascii="Times" w:hAnsi="Times"/>
        </w:rPr>
        <w:t>,</w:t>
      </w:r>
      <w:r w:rsidR="00280006">
        <w:rPr>
          <w:rFonts w:ascii="Times" w:hAnsi="Times"/>
        </w:rPr>
        <w:t xml:space="preserve"> the difference in coefficient sizes is not statically significant</w:t>
      </w:r>
      <w:r w:rsidR="001E375A">
        <w:rPr>
          <w:rFonts w:ascii="Times" w:hAnsi="Times"/>
        </w:rPr>
        <w:t>.</w:t>
      </w:r>
      <w:r w:rsidR="00280006">
        <w:rPr>
          <w:rFonts w:ascii="Times" w:hAnsi="Times"/>
        </w:rPr>
        <w:t xml:space="preserve"> We report the results of this test in Appendix E.</w:t>
      </w:r>
      <w:r w:rsidR="001E375A">
        <w:rPr>
          <w:rFonts w:ascii="Times" w:hAnsi="Times"/>
        </w:rPr>
        <w:t xml:space="preserve"> In short, we can’t be sure that persistent symptoms have a stronger effect on political interest than contemporaneous symptoms.</w:t>
      </w:r>
      <w:r w:rsidR="00C92015">
        <w:rPr>
          <w:rFonts w:ascii="Times" w:hAnsi="Times"/>
        </w:rPr>
        <w:t xml:space="preserve"> Overall, this result does not support the </w:t>
      </w:r>
      <w:r w:rsidR="00C92015">
        <w:rPr>
          <w:rFonts w:ascii="Times" w:hAnsi="Times"/>
          <w:i/>
          <w:iCs/>
        </w:rPr>
        <w:t>persistent symptoms</w:t>
      </w:r>
      <w:r w:rsidR="00C92015">
        <w:rPr>
          <w:rFonts w:ascii="Times" w:hAnsi="Times"/>
        </w:rPr>
        <w:t xml:space="preserve"> </w:t>
      </w:r>
      <w:r w:rsidR="00C92015">
        <w:rPr>
          <w:rFonts w:ascii="Times" w:hAnsi="Times"/>
          <w:i/>
          <w:iCs/>
        </w:rPr>
        <w:t>hypothesis</w:t>
      </w:r>
      <w:r w:rsidR="00C92015">
        <w:rPr>
          <w:rFonts w:ascii="Times" w:hAnsi="Times"/>
        </w:rPr>
        <w:t>.</w:t>
      </w:r>
    </w:p>
    <w:p w14:paraId="6CBCD3D8" w14:textId="7B6F4CDA" w:rsidR="00635300" w:rsidRDefault="007331A2" w:rsidP="007331A2">
      <w:pPr>
        <w:spacing w:line="480" w:lineRule="auto"/>
        <w:ind w:firstLine="720"/>
        <w:rPr>
          <w:rFonts w:ascii="Times" w:hAnsi="Times"/>
        </w:rPr>
      </w:pPr>
      <w:r>
        <w:rPr>
          <w:rFonts w:ascii="Times" w:hAnsi="Times"/>
        </w:rPr>
        <w:t xml:space="preserve">The final three models in Table 1 test the </w:t>
      </w:r>
      <w:r>
        <w:rPr>
          <w:rFonts w:ascii="Times" w:hAnsi="Times"/>
          <w:i/>
          <w:iCs/>
        </w:rPr>
        <w:t>gender disparity hypothesis.</w:t>
      </w:r>
      <w:r>
        <w:rPr>
          <w:rFonts w:ascii="Times" w:hAnsi="Times"/>
        </w:rPr>
        <w:t xml:space="preserve"> In Model 4 (ESS), the coefficient for the depressive symptoms term represents the effect for men</w:t>
      </w:r>
      <w:r w:rsidR="00A305B0">
        <w:rPr>
          <w:rFonts w:ascii="Times" w:hAnsi="Times"/>
        </w:rPr>
        <w:t xml:space="preserve"> (i.e., when the “woman” variable is equal to 0)</w:t>
      </w:r>
      <w:r>
        <w:rPr>
          <w:rFonts w:ascii="Times" w:hAnsi="Times"/>
        </w:rPr>
        <w:t>; it is negative but not statistically significant. The interaction term indicates the difference</w:t>
      </w:r>
      <w:r w:rsidR="00A305B0">
        <w:rPr>
          <w:rFonts w:ascii="Times" w:hAnsi="Times"/>
        </w:rPr>
        <w:t xml:space="preserve"> in the effect of depressive symptoms</w:t>
      </w:r>
      <w:r>
        <w:rPr>
          <w:rFonts w:ascii="Times" w:hAnsi="Times"/>
        </w:rPr>
        <w:t xml:space="preserve"> between men and women; the coefficient is negative and statistically significant. Altogether, these results suggest that depressive symptoms reduce the political interest of women but not men. In contrast, the GESIS results in Model 5 (contemporaneous symptoms) and Model 6 (persistent symptoms) indicate that there is not a statistically significant difference in how depressive symptoms affect men and women; depressive symptoms reduce political interest equally. However, in Appendix </w:t>
      </w:r>
      <w:r w:rsidR="00584052">
        <w:rPr>
          <w:rFonts w:ascii="Times" w:hAnsi="Times"/>
        </w:rPr>
        <w:t>F</w:t>
      </w:r>
      <w:r w:rsidR="00F41917">
        <w:rPr>
          <w:rFonts w:ascii="Times" w:hAnsi="Times"/>
        </w:rPr>
        <w:t>,</w:t>
      </w:r>
      <w:r>
        <w:rPr>
          <w:rFonts w:ascii="Times" w:hAnsi="Times"/>
        </w:rPr>
        <w:t xml:space="preserve"> we re-estimate the GESIS models using random-effects and find a negative and statistically significant coefficient for the corresponding interaction terms; these results suggest the negative effects of depressive symptoms are greater for women.  Overall, these results provide mixed support for the </w:t>
      </w:r>
      <w:r w:rsidRPr="00274BB2">
        <w:rPr>
          <w:rFonts w:ascii="Times" w:hAnsi="Times"/>
          <w:i/>
          <w:iCs/>
        </w:rPr>
        <w:t>gender disparity hypothesis</w:t>
      </w:r>
      <w:r>
        <w:rPr>
          <w:rFonts w:ascii="Times" w:hAnsi="Times"/>
        </w:rPr>
        <w:t>.</w:t>
      </w:r>
    </w:p>
    <w:p w14:paraId="72324DCE" w14:textId="79FFFDE9" w:rsidR="00584052" w:rsidRDefault="00584052" w:rsidP="007331A2">
      <w:pPr>
        <w:spacing w:line="480" w:lineRule="auto"/>
        <w:ind w:firstLine="720"/>
        <w:rPr>
          <w:rFonts w:ascii="Times" w:hAnsi="Times"/>
        </w:rPr>
        <w:sectPr w:rsidR="00584052" w:rsidSect="00805E6A">
          <w:footerReference w:type="even" r:id="rId10"/>
          <w:footerReference w:type="default" r:id="rId11"/>
          <w:pgSz w:w="12240" w:h="15840"/>
          <w:pgMar w:top="1440" w:right="1440" w:bottom="1440" w:left="1440" w:header="720" w:footer="720" w:gutter="0"/>
          <w:pgNumType w:start="0"/>
          <w:cols w:space="720"/>
          <w:titlePg/>
          <w:docGrid w:linePitch="360"/>
        </w:sectPr>
      </w:pPr>
    </w:p>
    <w:p w14:paraId="3B8F9378" w14:textId="2ED1EFAA" w:rsidR="0042281A" w:rsidRDefault="0042281A" w:rsidP="0042281A">
      <w:pPr>
        <w:spacing w:line="480" w:lineRule="auto"/>
        <w:rPr>
          <w:rFonts w:ascii="Times" w:hAnsi="Times"/>
        </w:rPr>
      </w:pPr>
    </w:p>
    <w:p w14:paraId="46E412AA" w14:textId="26244F73" w:rsidR="00CB7304" w:rsidRPr="008F6FF3" w:rsidRDefault="00CB7304" w:rsidP="00CB7304">
      <w:pPr>
        <w:spacing w:line="480" w:lineRule="auto"/>
        <w:jc w:val="center"/>
        <w:rPr>
          <w:rFonts w:ascii="Times" w:hAnsi="Times"/>
          <w:b/>
          <w:bCs/>
        </w:rPr>
      </w:pPr>
      <w:r w:rsidRPr="008F6FF3">
        <w:rPr>
          <w:rFonts w:ascii="Times" w:hAnsi="Times"/>
          <w:b/>
          <w:bCs/>
        </w:rPr>
        <w:t xml:space="preserve">Table 1: </w:t>
      </w:r>
      <w:r w:rsidR="00762FDB" w:rsidRPr="008F6FF3">
        <w:rPr>
          <w:rFonts w:ascii="Times" w:hAnsi="Times"/>
          <w:b/>
          <w:bCs/>
        </w:rPr>
        <w:t>Multivariate Regression Models of Political Interest on Depressive Symptoms</w:t>
      </w:r>
    </w:p>
    <w:tbl>
      <w:tblPr>
        <w:tblStyle w:val="Grigliatabella"/>
        <w:tblW w:w="11366" w:type="dxa"/>
        <w:jc w:val="center"/>
        <w:tblLook w:val="04A0" w:firstRow="1" w:lastRow="0" w:firstColumn="1" w:lastColumn="0" w:noHBand="0" w:noVBand="1"/>
      </w:tblPr>
      <w:tblGrid>
        <w:gridCol w:w="3357"/>
        <w:gridCol w:w="1065"/>
        <w:gridCol w:w="1211"/>
        <w:gridCol w:w="403"/>
        <w:gridCol w:w="1362"/>
        <w:gridCol w:w="403"/>
        <w:gridCol w:w="1259"/>
        <w:gridCol w:w="1146"/>
        <w:gridCol w:w="1154"/>
        <w:gridCol w:w="6"/>
      </w:tblGrid>
      <w:tr w:rsidR="0067265C" w14:paraId="2996AAC0" w14:textId="77777777" w:rsidTr="00334C00">
        <w:trPr>
          <w:gridAfter w:val="1"/>
          <w:wAfter w:w="6" w:type="dxa"/>
          <w:jc w:val="center"/>
        </w:trPr>
        <w:tc>
          <w:tcPr>
            <w:tcW w:w="3357" w:type="dxa"/>
            <w:tcBorders>
              <w:top w:val="double" w:sz="4" w:space="0" w:color="auto"/>
              <w:left w:val="nil"/>
              <w:bottom w:val="nil"/>
              <w:right w:val="nil"/>
            </w:tcBorders>
          </w:tcPr>
          <w:p w14:paraId="70A2FC79" w14:textId="0CC0A36A" w:rsidR="0067265C" w:rsidRPr="003D454B" w:rsidRDefault="003D454B" w:rsidP="003D454B">
            <w:pPr>
              <w:jc w:val="right"/>
              <w:rPr>
                <w:bCs/>
              </w:rPr>
            </w:pPr>
            <w:r w:rsidRPr="003D454B">
              <w:rPr>
                <w:bCs/>
              </w:rPr>
              <w:t>Tested Hypothesis:</w:t>
            </w:r>
          </w:p>
        </w:tc>
        <w:tc>
          <w:tcPr>
            <w:tcW w:w="2276" w:type="dxa"/>
            <w:gridSpan w:val="2"/>
            <w:tcBorders>
              <w:top w:val="double" w:sz="4" w:space="0" w:color="auto"/>
              <w:left w:val="nil"/>
              <w:bottom w:val="single" w:sz="4" w:space="0" w:color="auto"/>
              <w:right w:val="nil"/>
            </w:tcBorders>
          </w:tcPr>
          <w:p w14:paraId="59581C79" w14:textId="77777777" w:rsidR="00334C00" w:rsidRDefault="0067265C" w:rsidP="003D454B">
            <w:pPr>
              <w:jc w:val="center"/>
              <w:rPr>
                <w:bCs/>
                <w:i/>
                <w:iCs/>
              </w:rPr>
            </w:pPr>
            <w:r w:rsidRPr="0067265C">
              <w:rPr>
                <w:bCs/>
                <w:i/>
                <w:iCs/>
              </w:rPr>
              <w:t>General</w:t>
            </w:r>
          </w:p>
          <w:p w14:paraId="5D6F2142" w14:textId="7897244A" w:rsidR="0067265C" w:rsidRPr="0067265C" w:rsidRDefault="0067265C" w:rsidP="003D454B">
            <w:pPr>
              <w:jc w:val="center"/>
              <w:rPr>
                <w:bCs/>
                <w:i/>
                <w:iCs/>
              </w:rPr>
            </w:pPr>
            <w:r w:rsidRPr="0067265C">
              <w:rPr>
                <w:bCs/>
                <w:i/>
                <w:iCs/>
              </w:rPr>
              <w:t xml:space="preserve"> Depression</w:t>
            </w:r>
          </w:p>
        </w:tc>
        <w:tc>
          <w:tcPr>
            <w:tcW w:w="403" w:type="dxa"/>
            <w:tcBorders>
              <w:top w:val="double" w:sz="4" w:space="0" w:color="auto"/>
              <w:left w:val="nil"/>
              <w:bottom w:val="nil"/>
              <w:right w:val="nil"/>
            </w:tcBorders>
          </w:tcPr>
          <w:p w14:paraId="6529351B" w14:textId="77777777" w:rsidR="0067265C" w:rsidRPr="0067265C" w:rsidRDefault="0067265C" w:rsidP="002E0519">
            <w:pPr>
              <w:jc w:val="center"/>
              <w:rPr>
                <w:rFonts w:ascii="Times" w:hAnsi="Times" w:cs="Calibri"/>
                <w:bCs/>
                <w:i/>
                <w:iCs/>
              </w:rPr>
            </w:pPr>
          </w:p>
        </w:tc>
        <w:tc>
          <w:tcPr>
            <w:tcW w:w="1362" w:type="dxa"/>
            <w:tcBorders>
              <w:top w:val="double" w:sz="4" w:space="0" w:color="auto"/>
              <w:left w:val="nil"/>
              <w:bottom w:val="single" w:sz="4" w:space="0" w:color="auto"/>
              <w:right w:val="nil"/>
            </w:tcBorders>
          </w:tcPr>
          <w:p w14:paraId="237C74BC" w14:textId="77777777" w:rsidR="00334C00" w:rsidRDefault="0067265C" w:rsidP="002E0519">
            <w:pPr>
              <w:jc w:val="center"/>
              <w:rPr>
                <w:rFonts w:ascii="Times" w:hAnsi="Times" w:cs="Calibri"/>
                <w:bCs/>
                <w:i/>
                <w:iCs/>
              </w:rPr>
            </w:pPr>
            <w:r w:rsidRPr="0067265C">
              <w:rPr>
                <w:rFonts w:ascii="Times" w:hAnsi="Times" w:cs="Calibri"/>
                <w:bCs/>
                <w:i/>
                <w:iCs/>
              </w:rPr>
              <w:t xml:space="preserve">Persistent </w:t>
            </w:r>
          </w:p>
          <w:p w14:paraId="0B5BD651" w14:textId="6CB62A2A" w:rsidR="0067265C" w:rsidRPr="0067265C" w:rsidRDefault="0067265C" w:rsidP="002E0519">
            <w:pPr>
              <w:jc w:val="center"/>
              <w:rPr>
                <w:rFonts w:ascii="Times" w:hAnsi="Times" w:cs="Calibri"/>
                <w:bCs/>
                <w:i/>
                <w:iCs/>
              </w:rPr>
            </w:pPr>
            <w:r w:rsidRPr="0067265C">
              <w:rPr>
                <w:rFonts w:ascii="Times" w:hAnsi="Times" w:cs="Calibri"/>
                <w:bCs/>
                <w:i/>
                <w:iCs/>
              </w:rPr>
              <w:t>Symptoms</w:t>
            </w:r>
          </w:p>
        </w:tc>
        <w:tc>
          <w:tcPr>
            <w:tcW w:w="403" w:type="dxa"/>
            <w:tcBorders>
              <w:top w:val="double" w:sz="4" w:space="0" w:color="auto"/>
              <w:left w:val="nil"/>
              <w:bottom w:val="nil"/>
              <w:right w:val="nil"/>
            </w:tcBorders>
          </w:tcPr>
          <w:p w14:paraId="4D44C871" w14:textId="77777777" w:rsidR="0067265C" w:rsidRPr="0067265C" w:rsidRDefault="0067265C" w:rsidP="002E0519">
            <w:pPr>
              <w:jc w:val="center"/>
              <w:rPr>
                <w:rFonts w:ascii="Times" w:hAnsi="Times" w:cs="Calibri"/>
                <w:bCs/>
                <w:i/>
                <w:iCs/>
              </w:rPr>
            </w:pPr>
          </w:p>
        </w:tc>
        <w:tc>
          <w:tcPr>
            <w:tcW w:w="3559" w:type="dxa"/>
            <w:gridSpan w:val="3"/>
            <w:tcBorders>
              <w:top w:val="double" w:sz="4" w:space="0" w:color="auto"/>
              <w:left w:val="nil"/>
              <w:bottom w:val="single" w:sz="4" w:space="0" w:color="auto"/>
              <w:right w:val="nil"/>
            </w:tcBorders>
          </w:tcPr>
          <w:p w14:paraId="27A4F678" w14:textId="77777777" w:rsidR="00334C00" w:rsidRDefault="0067265C" w:rsidP="003D454B">
            <w:pPr>
              <w:jc w:val="center"/>
              <w:rPr>
                <w:rFonts w:ascii="Times" w:hAnsi="Times" w:cs="Calibri"/>
                <w:bCs/>
                <w:i/>
                <w:iCs/>
              </w:rPr>
            </w:pPr>
            <w:r w:rsidRPr="0067265C">
              <w:rPr>
                <w:rFonts w:ascii="Times" w:hAnsi="Times" w:cs="Calibri"/>
                <w:bCs/>
                <w:i/>
                <w:iCs/>
              </w:rPr>
              <w:t xml:space="preserve">Gender </w:t>
            </w:r>
          </w:p>
          <w:p w14:paraId="39952419" w14:textId="244935E2" w:rsidR="0067265C" w:rsidRPr="0067265C" w:rsidRDefault="0067265C" w:rsidP="003D454B">
            <w:pPr>
              <w:jc w:val="center"/>
              <w:rPr>
                <w:rFonts w:ascii="Times" w:hAnsi="Times" w:cs="Calibri"/>
                <w:bCs/>
                <w:i/>
                <w:iCs/>
              </w:rPr>
            </w:pPr>
            <w:r w:rsidRPr="0067265C">
              <w:rPr>
                <w:rFonts w:ascii="Times" w:hAnsi="Times" w:cs="Calibri"/>
                <w:bCs/>
                <w:i/>
                <w:iCs/>
              </w:rPr>
              <w:t>Disparity</w:t>
            </w:r>
          </w:p>
        </w:tc>
      </w:tr>
      <w:tr w:rsidR="0067265C" w14:paraId="5D7E35AB" w14:textId="77777777" w:rsidTr="00334C00">
        <w:trPr>
          <w:gridAfter w:val="1"/>
          <w:wAfter w:w="6" w:type="dxa"/>
          <w:jc w:val="center"/>
        </w:trPr>
        <w:tc>
          <w:tcPr>
            <w:tcW w:w="3357" w:type="dxa"/>
            <w:tcBorders>
              <w:top w:val="nil"/>
              <w:left w:val="nil"/>
              <w:bottom w:val="single" w:sz="4" w:space="0" w:color="auto"/>
              <w:right w:val="nil"/>
            </w:tcBorders>
          </w:tcPr>
          <w:p w14:paraId="360E3035" w14:textId="4C4CE9FA" w:rsidR="00D96238" w:rsidRPr="00D96238" w:rsidRDefault="00D96238" w:rsidP="00D96238">
            <w:pPr>
              <w:jc w:val="right"/>
              <w:rPr>
                <w:bCs/>
              </w:rPr>
            </w:pPr>
          </w:p>
        </w:tc>
        <w:tc>
          <w:tcPr>
            <w:tcW w:w="1065" w:type="dxa"/>
            <w:tcBorders>
              <w:top w:val="single" w:sz="4" w:space="0" w:color="auto"/>
              <w:left w:val="nil"/>
              <w:bottom w:val="single" w:sz="4" w:space="0" w:color="auto"/>
              <w:right w:val="nil"/>
            </w:tcBorders>
          </w:tcPr>
          <w:p w14:paraId="595C327A" w14:textId="63A73CF0" w:rsidR="0067265C" w:rsidRPr="00313273" w:rsidRDefault="00D96238" w:rsidP="002E0519">
            <w:pPr>
              <w:jc w:val="center"/>
              <w:rPr>
                <w:b/>
              </w:rPr>
            </w:pPr>
            <w:r>
              <w:rPr>
                <w:b/>
              </w:rPr>
              <w:t>(1)</w:t>
            </w:r>
          </w:p>
          <w:p w14:paraId="41094843" w14:textId="77777777" w:rsidR="0067265C" w:rsidRPr="00313273" w:rsidRDefault="0067265C" w:rsidP="002E0519">
            <w:pPr>
              <w:jc w:val="center"/>
              <w:rPr>
                <w:b/>
              </w:rPr>
            </w:pPr>
            <w:r w:rsidRPr="00313273">
              <w:rPr>
                <w:b/>
              </w:rPr>
              <w:t>ESS</w:t>
            </w:r>
          </w:p>
        </w:tc>
        <w:tc>
          <w:tcPr>
            <w:tcW w:w="1211" w:type="dxa"/>
            <w:tcBorders>
              <w:top w:val="single" w:sz="4" w:space="0" w:color="auto"/>
              <w:left w:val="nil"/>
              <w:bottom w:val="single" w:sz="4" w:space="0" w:color="auto"/>
              <w:right w:val="nil"/>
            </w:tcBorders>
          </w:tcPr>
          <w:p w14:paraId="1C26194B" w14:textId="266022CB" w:rsidR="0067265C" w:rsidRPr="00313273" w:rsidRDefault="00D96238" w:rsidP="002E0519">
            <w:pPr>
              <w:jc w:val="center"/>
              <w:rPr>
                <w:b/>
              </w:rPr>
            </w:pPr>
            <w:r>
              <w:rPr>
                <w:b/>
              </w:rPr>
              <w:t>(2)</w:t>
            </w:r>
          </w:p>
          <w:p w14:paraId="7CA51BBF" w14:textId="77777777" w:rsidR="0067265C" w:rsidRPr="00313273" w:rsidRDefault="0067265C" w:rsidP="002E0519">
            <w:pPr>
              <w:jc w:val="center"/>
              <w:rPr>
                <w:b/>
              </w:rPr>
            </w:pPr>
            <w:r w:rsidRPr="00313273">
              <w:rPr>
                <w:b/>
              </w:rPr>
              <w:t>GESIS</w:t>
            </w:r>
          </w:p>
        </w:tc>
        <w:tc>
          <w:tcPr>
            <w:tcW w:w="403" w:type="dxa"/>
            <w:tcBorders>
              <w:top w:val="nil"/>
              <w:left w:val="nil"/>
              <w:bottom w:val="single" w:sz="4" w:space="0" w:color="auto"/>
              <w:right w:val="nil"/>
            </w:tcBorders>
          </w:tcPr>
          <w:p w14:paraId="5C4020BC" w14:textId="2E89F2A7" w:rsidR="0067265C" w:rsidRPr="00313273" w:rsidRDefault="0067265C" w:rsidP="002E0519">
            <w:pPr>
              <w:jc w:val="center"/>
              <w:rPr>
                <w:rFonts w:ascii="Times" w:hAnsi="Times" w:cs="Calibri"/>
                <w:b/>
              </w:rPr>
            </w:pPr>
          </w:p>
        </w:tc>
        <w:tc>
          <w:tcPr>
            <w:tcW w:w="1362" w:type="dxa"/>
            <w:tcBorders>
              <w:top w:val="single" w:sz="4" w:space="0" w:color="auto"/>
              <w:left w:val="nil"/>
              <w:bottom w:val="single" w:sz="4" w:space="0" w:color="auto"/>
              <w:right w:val="nil"/>
            </w:tcBorders>
          </w:tcPr>
          <w:p w14:paraId="280B87F3" w14:textId="2E95D33D" w:rsidR="0067265C" w:rsidRPr="00313273" w:rsidRDefault="00D96238" w:rsidP="002E0519">
            <w:pPr>
              <w:jc w:val="center"/>
              <w:rPr>
                <w:rFonts w:ascii="Times" w:hAnsi="Times" w:cs="Calibri"/>
                <w:b/>
              </w:rPr>
            </w:pPr>
            <w:r>
              <w:rPr>
                <w:rFonts w:ascii="Times" w:hAnsi="Times" w:cs="Calibri"/>
                <w:b/>
              </w:rPr>
              <w:t>(3)</w:t>
            </w:r>
            <w:r w:rsidR="0067265C" w:rsidRPr="00313273">
              <w:rPr>
                <w:rFonts w:ascii="Times" w:hAnsi="Times" w:cs="Calibri"/>
                <w:b/>
              </w:rPr>
              <w:t xml:space="preserve"> </w:t>
            </w:r>
          </w:p>
          <w:p w14:paraId="0F843BFC" w14:textId="5D6B3CC2" w:rsidR="0067265C" w:rsidRPr="00313273" w:rsidRDefault="0067265C" w:rsidP="002E0519">
            <w:pPr>
              <w:jc w:val="center"/>
              <w:rPr>
                <w:b/>
              </w:rPr>
            </w:pPr>
            <w:r w:rsidRPr="00313273">
              <w:rPr>
                <w:rFonts w:ascii="Times" w:hAnsi="Times" w:cs="Calibri"/>
                <w:b/>
              </w:rPr>
              <w:t>GESIS</w:t>
            </w:r>
          </w:p>
        </w:tc>
        <w:tc>
          <w:tcPr>
            <w:tcW w:w="403" w:type="dxa"/>
            <w:tcBorders>
              <w:top w:val="nil"/>
              <w:left w:val="nil"/>
              <w:bottom w:val="single" w:sz="4" w:space="0" w:color="auto"/>
              <w:right w:val="nil"/>
            </w:tcBorders>
          </w:tcPr>
          <w:p w14:paraId="099940AE" w14:textId="7D2EACD5" w:rsidR="0067265C" w:rsidRPr="00313273" w:rsidRDefault="0067265C" w:rsidP="002E0519">
            <w:pPr>
              <w:jc w:val="center"/>
              <w:rPr>
                <w:rFonts w:ascii="Times" w:hAnsi="Times" w:cs="Calibri"/>
                <w:b/>
              </w:rPr>
            </w:pPr>
          </w:p>
        </w:tc>
        <w:tc>
          <w:tcPr>
            <w:tcW w:w="1259" w:type="dxa"/>
            <w:tcBorders>
              <w:top w:val="single" w:sz="4" w:space="0" w:color="auto"/>
              <w:left w:val="nil"/>
              <w:bottom w:val="single" w:sz="4" w:space="0" w:color="auto"/>
              <w:right w:val="nil"/>
            </w:tcBorders>
          </w:tcPr>
          <w:p w14:paraId="5EFDFBD3" w14:textId="4857E5DD" w:rsidR="0067265C" w:rsidRPr="00313273" w:rsidRDefault="00D96238" w:rsidP="00D96238">
            <w:pPr>
              <w:jc w:val="center"/>
              <w:rPr>
                <w:rFonts w:ascii="Times" w:hAnsi="Times" w:cs="Calibri"/>
                <w:b/>
              </w:rPr>
            </w:pPr>
            <w:r>
              <w:rPr>
                <w:rFonts w:ascii="Times" w:hAnsi="Times" w:cs="Calibri"/>
                <w:b/>
              </w:rPr>
              <w:t>(</w:t>
            </w:r>
            <w:r w:rsidR="0067265C" w:rsidRPr="00313273">
              <w:rPr>
                <w:rFonts w:ascii="Times" w:hAnsi="Times" w:cs="Calibri"/>
                <w:b/>
              </w:rPr>
              <w:t>4</w:t>
            </w:r>
            <w:r>
              <w:rPr>
                <w:rFonts w:ascii="Times" w:hAnsi="Times" w:cs="Calibri"/>
                <w:b/>
              </w:rPr>
              <w:t>)</w:t>
            </w:r>
          </w:p>
          <w:p w14:paraId="50B2C038" w14:textId="4379A0A8" w:rsidR="0067265C" w:rsidRPr="00313273" w:rsidRDefault="0067265C" w:rsidP="002E0519">
            <w:pPr>
              <w:jc w:val="center"/>
              <w:rPr>
                <w:rFonts w:ascii="Times" w:hAnsi="Times" w:cs="Calibri"/>
                <w:b/>
              </w:rPr>
            </w:pPr>
            <w:r>
              <w:rPr>
                <w:rFonts w:ascii="Times" w:hAnsi="Times" w:cs="Calibri"/>
                <w:b/>
              </w:rPr>
              <w:t>ESS</w:t>
            </w:r>
          </w:p>
        </w:tc>
        <w:tc>
          <w:tcPr>
            <w:tcW w:w="1146" w:type="dxa"/>
            <w:tcBorders>
              <w:top w:val="single" w:sz="4" w:space="0" w:color="auto"/>
              <w:left w:val="nil"/>
              <w:bottom w:val="single" w:sz="4" w:space="0" w:color="auto"/>
              <w:right w:val="nil"/>
            </w:tcBorders>
          </w:tcPr>
          <w:p w14:paraId="7484F3C4" w14:textId="2C151E2E" w:rsidR="0067265C" w:rsidRPr="00313273" w:rsidRDefault="00D96238" w:rsidP="002E0519">
            <w:pPr>
              <w:jc w:val="center"/>
              <w:rPr>
                <w:rFonts w:ascii="Times" w:hAnsi="Times" w:cs="Calibri"/>
                <w:b/>
              </w:rPr>
            </w:pPr>
            <w:r>
              <w:rPr>
                <w:rFonts w:ascii="Times" w:hAnsi="Times" w:cs="Calibri"/>
                <w:b/>
              </w:rPr>
              <w:t>(</w:t>
            </w:r>
            <w:r w:rsidR="0067265C" w:rsidRPr="00313273">
              <w:rPr>
                <w:rFonts w:ascii="Times" w:hAnsi="Times" w:cs="Calibri"/>
                <w:b/>
              </w:rPr>
              <w:t>5</w:t>
            </w:r>
            <w:r>
              <w:rPr>
                <w:rFonts w:ascii="Times" w:hAnsi="Times" w:cs="Calibri"/>
                <w:b/>
              </w:rPr>
              <w:t>)</w:t>
            </w:r>
            <w:r w:rsidR="0067265C" w:rsidRPr="00313273">
              <w:rPr>
                <w:rFonts w:ascii="Times" w:hAnsi="Times" w:cs="Calibri"/>
                <w:b/>
              </w:rPr>
              <w:t xml:space="preserve"> </w:t>
            </w:r>
          </w:p>
          <w:p w14:paraId="2B8894B9" w14:textId="77777777" w:rsidR="0067265C" w:rsidRPr="00313273" w:rsidRDefault="0067265C" w:rsidP="002E0519">
            <w:pPr>
              <w:jc w:val="center"/>
              <w:rPr>
                <w:rFonts w:ascii="Times" w:hAnsi="Times" w:cs="Calibri"/>
                <w:b/>
              </w:rPr>
            </w:pPr>
            <w:r w:rsidRPr="00313273">
              <w:rPr>
                <w:rFonts w:ascii="Times" w:hAnsi="Times" w:cs="Calibri"/>
                <w:b/>
              </w:rPr>
              <w:t>GESIS</w:t>
            </w:r>
          </w:p>
        </w:tc>
        <w:tc>
          <w:tcPr>
            <w:tcW w:w="1154" w:type="dxa"/>
            <w:tcBorders>
              <w:top w:val="single" w:sz="4" w:space="0" w:color="auto"/>
              <w:left w:val="nil"/>
              <w:bottom w:val="single" w:sz="4" w:space="0" w:color="auto"/>
              <w:right w:val="nil"/>
            </w:tcBorders>
          </w:tcPr>
          <w:p w14:paraId="31BE540D" w14:textId="6C097A4E" w:rsidR="0067265C" w:rsidRPr="00313273" w:rsidRDefault="00D96238" w:rsidP="002E0519">
            <w:pPr>
              <w:jc w:val="center"/>
              <w:rPr>
                <w:rFonts w:ascii="Times" w:hAnsi="Times" w:cs="Calibri"/>
                <w:b/>
              </w:rPr>
            </w:pPr>
            <w:r>
              <w:rPr>
                <w:rFonts w:ascii="Times" w:hAnsi="Times" w:cs="Calibri"/>
                <w:b/>
              </w:rPr>
              <w:t>(</w:t>
            </w:r>
            <w:r w:rsidR="0067265C" w:rsidRPr="00313273">
              <w:rPr>
                <w:rFonts w:ascii="Times" w:hAnsi="Times" w:cs="Calibri"/>
                <w:b/>
              </w:rPr>
              <w:t>6</w:t>
            </w:r>
            <w:r>
              <w:rPr>
                <w:rFonts w:ascii="Times" w:hAnsi="Times" w:cs="Calibri"/>
                <w:b/>
              </w:rPr>
              <w:t>)</w:t>
            </w:r>
            <w:r w:rsidR="0067265C" w:rsidRPr="00313273">
              <w:rPr>
                <w:rFonts w:ascii="Times" w:hAnsi="Times" w:cs="Calibri"/>
                <w:b/>
              </w:rPr>
              <w:t xml:space="preserve"> </w:t>
            </w:r>
          </w:p>
          <w:p w14:paraId="6DAB3E34" w14:textId="77777777" w:rsidR="0067265C" w:rsidRPr="00313273" w:rsidRDefault="0067265C" w:rsidP="002E0519">
            <w:pPr>
              <w:jc w:val="center"/>
              <w:rPr>
                <w:rFonts w:ascii="Times" w:hAnsi="Times" w:cs="Calibri"/>
                <w:b/>
              </w:rPr>
            </w:pPr>
            <w:r w:rsidRPr="00313273">
              <w:rPr>
                <w:rFonts w:ascii="Times" w:hAnsi="Times" w:cs="Calibri"/>
                <w:b/>
              </w:rPr>
              <w:t>GESIS</w:t>
            </w:r>
          </w:p>
        </w:tc>
      </w:tr>
      <w:tr w:rsidR="0067265C" w14:paraId="656555B3" w14:textId="77777777" w:rsidTr="00334C00">
        <w:trPr>
          <w:gridAfter w:val="1"/>
          <w:wAfter w:w="6" w:type="dxa"/>
          <w:jc w:val="center"/>
        </w:trPr>
        <w:tc>
          <w:tcPr>
            <w:tcW w:w="3357" w:type="dxa"/>
            <w:tcBorders>
              <w:top w:val="single" w:sz="4" w:space="0" w:color="auto"/>
              <w:left w:val="nil"/>
              <w:bottom w:val="nil"/>
              <w:right w:val="nil"/>
            </w:tcBorders>
            <w:shd w:val="clear" w:color="auto" w:fill="auto"/>
          </w:tcPr>
          <w:p w14:paraId="50206C9B" w14:textId="4135CA9B" w:rsidR="0067265C" w:rsidRPr="00635300" w:rsidRDefault="0067265C" w:rsidP="00DA2DAE">
            <w:pPr>
              <w:jc w:val="right"/>
              <w:rPr>
                <w:rFonts w:ascii="Times" w:hAnsi="Times" w:cs="Calibri"/>
                <w:b/>
              </w:rPr>
            </w:pPr>
            <w:r w:rsidRPr="00635300">
              <w:rPr>
                <w:rFonts w:ascii="Times" w:hAnsi="Times" w:cs="Calibri"/>
                <w:b/>
              </w:rPr>
              <w:t>Contemporaneous Symptoms</w:t>
            </w:r>
          </w:p>
        </w:tc>
        <w:tc>
          <w:tcPr>
            <w:tcW w:w="1065" w:type="dxa"/>
            <w:tcBorders>
              <w:top w:val="single" w:sz="4" w:space="0" w:color="auto"/>
              <w:left w:val="nil"/>
              <w:bottom w:val="nil"/>
              <w:right w:val="nil"/>
            </w:tcBorders>
            <w:shd w:val="clear" w:color="auto" w:fill="auto"/>
          </w:tcPr>
          <w:p w14:paraId="06F350C0" w14:textId="17F36192" w:rsidR="0067265C" w:rsidRPr="008F6B12" w:rsidRDefault="0067265C" w:rsidP="002E0519">
            <w:pPr>
              <w:jc w:val="center"/>
              <w:rPr>
                <w:rFonts w:ascii="Times" w:hAnsi="Times" w:cs="Calibri"/>
              </w:rPr>
            </w:pPr>
            <w:r w:rsidRPr="008F6B12">
              <w:rPr>
                <w:rFonts w:ascii="Times" w:hAnsi="Times" w:cs="Calibri"/>
              </w:rPr>
              <w:t>-0.</w:t>
            </w:r>
            <w:r>
              <w:rPr>
                <w:rFonts w:ascii="Times" w:hAnsi="Times" w:cs="Calibri"/>
              </w:rPr>
              <w:t>098*</w:t>
            </w:r>
          </w:p>
          <w:p w14:paraId="3F6D9271" w14:textId="6C3558C8" w:rsidR="0067265C" w:rsidRPr="008F6B12" w:rsidRDefault="0067265C" w:rsidP="002E0519">
            <w:pPr>
              <w:jc w:val="center"/>
            </w:pPr>
            <w:r w:rsidRPr="008F6B12">
              <w:rPr>
                <w:rFonts w:ascii="Times" w:hAnsi="Times" w:cs="Calibri"/>
              </w:rPr>
              <w:t>(.0</w:t>
            </w:r>
            <w:r>
              <w:rPr>
                <w:rFonts w:ascii="Times" w:hAnsi="Times" w:cs="Calibri"/>
              </w:rPr>
              <w:t>20</w:t>
            </w:r>
            <w:r w:rsidRPr="008F6B12">
              <w:rPr>
                <w:rFonts w:ascii="Times" w:hAnsi="Times" w:cs="Calibri"/>
              </w:rPr>
              <w:t>)</w:t>
            </w:r>
          </w:p>
        </w:tc>
        <w:tc>
          <w:tcPr>
            <w:tcW w:w="1211" w:type="dxa"/>
            <w:tcBorders>
              <w:top w:val="single" w:sz="4" w:space="0" w:color="auto"/>
              <w:left w:val="nil"/>
              <w:bottom w:val="nil"/>
              <w:right w:val="nil"/>
            </w:tcBorders>
            <w:shd w:val="clear" w:color="auto" w:fill="auto"/>
          </w:tcPr>
          <w:p w14:paraId="6997D7D5" w14:textId="43F2B875" w:rsidR="0067265C" w:rsidRPr="008F6B12" w:rsidRDefault="0067265C" w:rsidP="002E0519">
            <w:pPr>
              <w:jc w:val="center"/>
              <w:rPr>
                <w:rFonts w:ascii="Times" w:hAnsi="Times" w:cs="Calibri"/>
              </w:rPr>
            </w:pPr>
            <w:r w:rsidRPr="008F6B12">
              <w:rPr>
                <w:rFonts w:ascii="Times" w:hAnsi="Times" w:cs="Calibri"/>
              </w:rPr>
              <w:t>-0.</w:t>
            </w:r>
            <w:r>
              <w:rPr>
                <w:rFonts w:ascii="Times" w:hAnsi="Times" w:cs="Calibri"/>
              </w:rPr>
              <w:t>0</w:t>
            </w:r>
            <w:r w:rsidR="00BF716D">
              <w:rPr>
                <w:rFonts w:ascii="Times" w:hAnsi="Times" w:cs="Calibri"/>
              </w:rPr>
              <w:t>40</w:t>
            </w:r>
            <w:r>
              <w:rPr>
                <w:rFonts w:ascii="Times" w:hAnsi="Times" w:cs="Calibri"/>
              </w:rPr>
              <w:t>*</w:t>
            </w:r>
          </w:p>
          <w:p w14:paraId="013FFDF8" w14:textId="4B56EC3C" w:rsidR="0067265C" w:rsidRPr="00396A8E" w:rsidRDefault="0067265C" w:rsidP="002E0519">
            <w:pPr>
              <w:jc w:val="center"/>
            </w:pPr>
            <w:r w:rsidRPr="008F6B12">
              <w:rPr>
                <w:rFonts w:ascii="Times" w:hAnsi="Times" w:cs="Calibri"/>
              </w:rPr>
              <w:t>(.0</w:t>
            </w:r>
            <w:r>
              <w:rPr>
                <w:rFonts w:ascii="Times" w:hAnsi="Times" w:cs="Calibri"/>
              </w:rPr>
              <w:t>14</w:t>
            </w:r>
            <w:r w:rsidRPr="008F6B12">
              <w:rPr>
                <w:rFonts w:ascii="Times" w:hAnsi="Times" w:cs="Calibri"/>
              </w:rPr>
              <w:t>)</w:t>
            </w:r>
          </w:p>
        </w:tc>
        <w:tc>
          <w:tcPr>
            <w:tcW w:w="403" w:type="dxa"/>
            <w:tcBorders>
              <w:top w:val="single" w:sz="4" w:space="0" w:color="auto"/>
              <w:left w:val="nil"/>
              <w:bottom w:val="nil"/>
              <w:right w:val="nil"/>
            </w:tcBorders>
          </w:tcPr>
          <w:p w14:paraId="387CBFDE" w14:textId="77777777" w:rsidR="0067265C" w:rsidRPr="002D62A3" w:rsidRDefault="0067265C" w:rsidP="002E0519">
            <w:pPr>
              <w:jc w:val="center"/>
            </w:pPr>
          </w:p>
        </w:tc>
        <w:tc>
          <w:tcPr>
            <w:tcW w:w="1362" w:type="dxa"/>
            <w:tcBorders>
              <w:top w:val="single" w:sz="4" w:space="0" w:color="auto"/>
              <w:left w:val="nil"/>
              <w:bottom w:val="nil"/>
              <w:right w:val="nil"/>
            </w:tcBorders>
            <w:shd w:val="clear" w:color="auto" w:fill="auto"/>
          </w:tcPr>
          <w:p w14:paraId="5E7F276F" w14:textId="2334B7D2" w:rsidR="0067265C" w:rsidRPr="002D62A3" w:rsidRDefault="0067265C" w:rsidP="002E0519">
            <w:pPr>
              <w:jc w:val="center"/>
            </w:pPr>
          </w:p>
        </w:tc>
        <w:tc>
          <w:tcPr>
            <w:tcW w:w="403" w:type="dxa"/>
            <w:tcBorders>
              <w:top w:val="single" w:sz="4" w:space="0" w:color="auto"/>
              <w:left w:val="nil"/>
              <w:bottom w:val="nil"/>
              <w:right w:val="nil"/>
            </w:tcBorders>
          </w:tcPr>
          <w:p w14:paraId="25BEB06C" w14:textId="77777777" w:rsidR="0067265C" w:rsidRPr="008F6B12" w:rsidRDefault="0067265C" w:rsidP="002E0519">
            <w:pPr>
              <w:jc w:val="center"/>
              <w:rPr>
                <w:rFonts w:ascii="Times" w:hAnsi="Times" w:cs="Calibri"/>
              </w:rPr>
            </w:pPr>
          </w:p>
        </w:tc>
        <w:tc>
          <w:tcPr>
            <w:tcW w:w="1259" w:type="dxa"/>
            <w:tcBorders>
              <w:top w:val="single" w:sz="4" w:space="0" w:color="auto"/>
              <w:left w:val="nil"/>
              <w:bottom w:val="nil"/>
              <w:right w:val="nil"/>
            </w:tcBorders>
            <w:shd w:val="clear" w:color="auto" w:fill="auto"/>
          </w:tcPr>
          <w:p w14:paraId="4FB9E2F3" w14:textId="1FD1A48C" w:rsidR="0067265C" w:rsidRPr="008F6B12" w:rsidRDefault="0067265C" w:rsidP="002E0519">
            <w:pPr>
              <w:jc w:val="center"/>
              <w:rPr>
                <w:rFonts w:ascii="Times" w:hAnsi="Times" w:cs="Calibri"/>
              </w:rPr>
            </w:pPr>
            <w:r w:rsidRPr="008F6B12">
              <w:rPr>
                <w:rFonts w:ascii="Times" w:hAnsi="Times" w:cs="Calibri"/>
              </w:rPr>
              <w:t>-0.</w:t>
            </w:r>
            <w:r>
              <w:rPr>
                <w:rFonts w:ascii="Times" w:hAnsi="Times" w:cs="Calibri"/>
              </w:rPr>
              <w:t>0</w:t>
            </w:r>
            <w:r w:rsidR="0060671D">
              <w:rPr>
                <w:rFonts w:ascii="Times" w:hAnsi="Times" w:cs="Calibri"/>
              </w:rPr>
              <w:t>50</w:t>
            </w:r>
          </w:p>
          <w:p w14:paraId="04D81E19" w14:textId="68D8AD25" w:rsidR="0067265C" w:rsidRPr="00D1313E" w:rsidRDefault="0067265C" w:rsidP="002E0519">
            <w:pPr>
              <w:jc w:val="center"/>
            </w:pPr>
            <w:r w:rsidRPr="008F6B12">
              <w:rPr>
                <w:rFonts w:ascii="Times" w:hAnsi="Times" w:cs="Calibri"/>
              </w:rPr>
              <w:t>(.0</w:t>
            </w:r>
            <w:r>
              <w:rPr>
                <w:rFonts w:ascii="Times" w:hAnsi="Times" w:cs="Calibri"/>
              </w:rPr>
              <w:t>30</w:t>
            </w:r>
            <w:r w:rsidRPr="008F6B12">
              <w:rPr>
                <w:rFonts w:ascii="Times" w:hAnsi="Times" w:cs="Calibri"/>
              </w:rPr>
              <w:t>)</w:t>
            </w:r>
          </w:p>
        </w:tc>
        <w:tc>
          <w:tcPr>
            <w:tcW w:w="1146" w:type="dxa"/>
            <w:tcBorders>
              <w:top w:val="single" w:sz="4" w:space="0" w:color="auto"/>
              <w:left w:val="nil"/>
              <w:bottom w:val="nil"/>
              <w:right w:val="nil"/>
            </w:tcBorders>
            <w:shd w:val="clear" w:color="auto" w:fill="auto"/>
          </w:tcPr>
          <w:p w14:paraId="5F44C25C" w14:textId="539612D6" w:rsidR="0067265C" w:rsidRPr="008F6B12" w:rsidRDefault="0067265C" w:rsidP="002E0519">
            <w:pPr>
              <w:jc w:val="center"/>
              <w:rPr>
                <w:rFonts w:ascii="Times" w:hAnsi="Times" w:cs="Calibri"/>
              </w:rPr>
            </w:pPr>
            <w:r w:rsidRPr="008F6B12">
              <w:rPr>
                <w:rFonts w:ascii="Times" w:hAnsi="Times" w:cs="Calibri"/>
              </w:rPr>
              <w:t>-0.</w:t>
            </w:r>
            <w:r>
              <w:rPr>
                <w:rFonts w:ascii="Times" w:hAnsi="Times" w:cs="Calibri"/>
              </w:rPr>
              <w:t>04</w:t>
            </w:r>
            <w:r w:rsidR="00BF7022">
              <w:rPr>
                <w:rFonts w:ascii="Times" w:hAnsi="Times" w:cs="Calibri"/>
              </w:rPr>
              <w:t>3</w:t>
            </w:r>
            <w:r>
              <w:rPr>
                <w:rFonts w:ascii="Times" w:hAnsi="Times" w:cs="Calibri"/>
              </w:rPr>
              <w:t>*</w:t>
            </w:r>
          </w:p>
          <w:p w14:paraId="1EE8B71B" w14:textId="525B776A" w:rsidR="0067265C" w:rsidRPr="008F6B12" w:rsidRDefault="0067265C" w:rsidP="002E0519">
            <w:pPr>
              <w:jc w:val="center"/>
              <w:rPr>
                <w:rFonts w:ascii="Times" w:hAnsi="Times" w:cs="Calibri"/>
              </w:rPr>
            </w:pPr>
            <w:r w:rsidRPr="008F6B12">
              <w:rPr>
                <w:rFonts w:ascii="Times" w:hAnsi="Times" w:cs="Calibri"/>
              </w:rPr>
              <w:t>(.</w:t>
            </w:r>
            <w:r>
              <w:rPr>
                <w:rFonts w:ascii="Times" w:hAnsi="Times" w:cs="Calibri"/>
              </w:rPr>
              <w:t>021</w:t>
            </w:r>
            <w:r w:rsidRPr="008F6B12">
              <w:rPr>
                <w:rFonts w:ascii="Times" w:hAnsi="Times" w:cs="Calibri"/>
              </w:rPr>
              <w:t>)</w:t>
            </w:r>
          </w:p>
        </w:tc>
        <w:tc>
          <w:tcPr>
            <w:tcW w:w="1154" w:type="dxa"/>
            <w:tcBorders>
              <w:top w:val="single" w:sz="4" w:space="0" w:color="auto"/>
              <w:left w:val="nil"/>
              <w:bottom w:val="nil"/>
              <w:right w:val="nil"/>
            </w:tcBorders>
            <w:shd w:val="clear" w:color="auto" w:fill="auto"/>
          </w:tcPr>
          <w:p w14:paraId="0C95AEF3" w14:textId="39AE516C" w:rsidR="0067265C" w:rsidRPr="008F6B12" w:rsidRDefault="0067265C" w:rsidP="002E0519">
            <w:pPr>
              <w:jc w:val="center"/>
              <w:rPr>
                <w:rFonts w:ascii="Times" w:hAnsi="Times" w:cs="Calibri"/>
              </w:rPr>
            </w:pPr>
          </w:p>
        </w:tc>
      </w:tr>
      <w:tr w:rsidR="0067265C" w14:paraId="0FD15993" w14:textId="77777777" w:rsidTr="00334C00">
        <w:trPr>
          <w:gridAfter w:val="1"/>
          <w:wAfter w:w="6" w:type="dxa"/>
          <w:jc w:val="center"/>
        </w:trPr>
        <w:tc>
          <w:tcPr>
            <w:tcW w:w="3357" w:type="dxa"/>
            <w:tcBorders>
              <w:top w:val="nil"/>
              <w:left w:val="nil"/>
              <w:bottom w:val="nil"/>
              <w:right w:val="nil"/>
            </w:tcBorders>
            <w:shd w:val="clear" w:color="auto" w:fill="auto"/>
          </w:tcPr>
          <w:p w14:paraId="7B95A16B" w14:textId="15F000E2" w:rsidR="0067265C" w:rsidRPr="00635300" w:rsidRDefault="0067265C" w:rsidP="00DA2DAE">
            <w:pPr>
              <w:jc w:val="right"/>
              <w:rPr>
                <w:b/>
              </w:rPr>
            </w:pPr>
            <w:r w:rsidRPr="00635300">
              <w:rPr>
                <w:b/>
              </w:rPr>
              <w:t>Persistent Symptoms</w:t>
            </w:r>
          </w:p>
        </w:tc>
        <w:tc>
          <w:tcPr>
            <w:tcW w:w="1065" w:type="dxa"/>
            <w:tcBorders>
              <w:top w:val="nil"/>
              <w:left w:val="nil"/>
              <w:bottom w:val="nil"/>
              <w:right w:val="nil"/>
            </w:tcBorders>
            <w:shd w:val="clear" w:color="auto" w:fill="auto"/>
          </w:tcPr>
          <w:p w14:paraId="6469CBB7" w14:textId="48A17100" w:rsidR="0067265C" w:rsidRPr="008F6B12" w:rsidRDefault="0067265C" w:rsidP="002E0519">
            <w:pPr>
              <w:jc w:val="center"/>
            </w:pPr>
          </w:p>
        </w:tc>
        <w:tc>
          <w:tcPr>
            <w:tcW w:w="1211" w:type="dxa"/>
            <w:tcBorders>
              <w:top w:val="nil"/>
              <w:left w:val="nil"/>
              <w:bottom w:val="nil"/>
              <w:right w:val="nil"/>
            </w:tcBorders>
            <w:shd w:val="clear" w:color="auto" w:fill="auto"/>
          </w:tcPr>
          <w:p w14:paraId="5C837023" w14:textId="320062BA" w:rsidR="0067265C" w:rsidRPr="00396A8E" w:rsidRDefault="0067265C" w:rsidP="0067265C">
            <w:pPr>
              <w:jc w:val="center"/>
            </w:pPr>
          </w:p>
        </w:tc>
        <w:tc>
          <w:tcPr>
            <w:tcW w:w="403" w:type="dxa"/>
            <w:tcBorders>
              <w:top w:val="nil"/>
              <w:left w:val="nil"/>
              <w:bottom w:val="nil"/>
              <w:right w:val="nil"/>
            </w:tcBorders>
          </w:tcPr>
          <w:p w14:paraId="4532C223" w14:textId="77777777" w:rsidR="0067265C" w:rsidRDefault="0067265C" w:rsidP="002E0519">
            <w:pPr>
              <w:jc w:val="center"/>
            </w:pPr>
          </w:p>
        </w:tc>
        <w:tc>
          <w:tcPr>
            <w:tcW w:w="1362" w:type="dxa"/>
            <w:tcBorders>
              <w:top w:val="nil"/>
              <w:left w:val="nil"/>
              <w:bottom w:val="nil"/>
              <w:right w:val="nil"/>
            </w:tcBorders>
            <w:shd w:val="clear" w:color="auto" w:fill="auto"/>
          </w:tcPr>
          <w:p w14:paraId="425713A5" w14:textId="0BE369CE" w:rsidR="0067265C" w:rsidRDefault="007863EC" w:rsidP="002E0519">
            <w:pPr>
              <w:jc w:val="center"/>
            </w:pPr>
            <w:r>
              <w:t>-0.080</w:t>
            </w:r>
            <w:r w:rsidR="0067265C">
              <w:t>*</w:t>
            </w:r>
          </w:p>
          <w:p w14:paraId="5FD1029B" w14:textId="4D53B2C7" w:rsidR="0067265C" w:rsidRPr="002D62A3" w:rsidRDefault="0067265C" w:rsidP="002E0519">
            <w:pPr>
              <w:jc w:val="center"/>
            </w:pPr>
            <w:r>
              <w:t>(.</w:t>
            </w:r>
            <w:r w:rsidR="007863EC">
              <w:t>030</w:t>
            </w:r>
            <w:r>
              <w:t>)</w:t>
            </w:r>
          </w:p>
        </w:tc>
        <w:tc>
          <w:tcPr>
            <w:tcW w:w="403" w:type="dxa"/>
            <w:tcBorders>
              <w:top w:val="nil"/>
              <w:left w:val="nil"/>
              <w:bottom w:val="nil"/>
              <w:right w:val="nil"/>
            </w:tcBorders>
          </w:tcPr>
          <w:p w14:paraId="7E5522AD" w14:textId="77777777" w:rsidR="0067265C" w:rsidRPr="00D1313E" w:rsidRDefault="0067265C" w:rsidP="002E0519">
            <w:pPr>
              <w:jc w:val="center"/>
            </w:pPr>
          </w:p>
        </w:tc>
        <w:tc>
          <w:tcPr>
            <w:tcW w:w="1259" w:type="dxa"/>
            <w:tcBorders>
              <w:top w:val="nil"/>
              <w:left w:val="nil"/>
              <w:bottom w:val="nil"/>
              <w:right w:val="nil"/>
            </w:tcBorders>
            <w:shd w:val="clear" w:color="auto" w:fill="auto"/>
          </w:tcPr>
          <w:p w14:paraId="5CC5566E" w14:textId="1F82F747" w:rsidR="0067265C" w:rsidRPr="00D1313E" w:rsidRDefault="0067265C" w:rsidP="002E0519">
            <w:pPr>
              <w:jc w:val="center"/>
            </w:pPr>
          </w:p>
        </w:tc>
        <w:tc>
          <w:tcPr>
            <w:tcW w:w="1146" w:type="dxa"/>
            <w:tcBorders>
              <w:top w:val="nil"/>
              <w:left w:val="nil"/>
              <w:bottom w:val="nil"/>
              <w:right w:val="nil"/>
            </w:tcBorders>
            <w:shd w:val="clear" w:color="auto" w:fill="auto"/>
          </w:tcPr>
          <w:p w14:paraId="002DB92B" w14:textId="44C3D739" w:rsidR="0067265C" w:rsidRDefault="0067265C" w:rsidP="002E0519">
            <w:pPr>
              <w:jc w:val="center"/>
            </w:pPr>
          </w:p>
        </w:tc>
        <w:tc>
          <w:tcPr>
            <w:tcW w:w="1154" w:type="dxa"/>
            <w:tcBorders>
              <w:top w:val="nil"/>
              <w:left w:val="nil"/>
              <w:bottom w:val="nil"/>
              <w:right w:val="nil"/>
            </w:tcBorders>
            <w:shd w:val="clear" w:color="auto" w:fill="auto"/>
          </w:tcPr>
          <w:p w14:paraId="3C022094" w14:textId="0CEA0A13" w:rsidR="0067265C" w:rsidRPr="008F6B12" w:rsidRDefault="0088570B" w:rsidP="002E0519">
            <w:pPr>
              <w:jc w:val="center"/>
              <w:rPr>
                <w:rFonts w:ascii="Times" w:hAnsi="Times" w:cs="Calibri"/>
              </w:rPr>
            </w:pPr>
            <w:r>
              <w:rPr>
                <w:rFonts w:ascii="Times" w:hAnsi="Times" w:cs="Calibri"/>
              </w:rPr>
              <w:t>-</w:t>
            </w:r>
            <w:r w:rsidR="0067265C">
              <w:rPr>
                <w:rFonts w:ascii="Times" w:hAnsi="Times" w:cs="Calibri"/>
              </w:rPr>
              <w:t>0.0</w:t>
            </w:r>
            <w:r w:rsidR="009C7E23">
              <w:rPr>
                <w:rFonts w:ascii="Times" w:hAnsi="Times" w:cs="Calibri"/>
              </w:rPr>
              <w:t>91</w:t>
            </w:r>
            <w:r w:rsidR="00525353">
              <w:rPr>
                <w:rFonts w:ascii="Times" w:hAnsi="Times" w:cs="Calibri"/>
              </w:rPr>
              <w:t>*</w:t>
            </w:r>
          </w:p>
          <w:p w14:paraId="32F8DA09" w14:textId="2103788B" w:rsidR="0067265C" w:rsidRDefault="0067265C" w:rsidP="002E0519">
            <w:pPr>
              <w:jc w:val="center"/>
            </w:pPr>
            <w:r w:rsidRPr="008F6B12">
              <w:rPr>
                <w:rFonts w:ascii="Times" w:hAnsi="Times" w:cs="Calibri"/>
              </w:rPr>
              <w:t>(.</w:t>
            </w:r>
            <w:r w:rsidR="0088570B">
              <w:rPr>
                <w:rFonts w:ascii="Times" w:hAnsi="Times" w:cs="Calibri"/>
              </w:rPr>
              <w:t>04</w:t>
            </w:r>
            <w:r w:rsidR="009C7E23">
              <w:rPr>
                <w:rFonts w:ascii="Times" w:hAnsi="Times" w:cs="Calibri"/>
              </w:rPr>
              <w:t>3</w:t>
            </w:r>
            <w:r w:rsidRPr="008F6B12">
              <w:rPr>
                <w:rFonts w:ascii="Times" w:hAnsi="Times" w:cs="Calibri"/>
              </w:rPr>
              <w:t>)</w:t>
            </w:r>
          </w:p>
        </w:tc>
      </w:tr>
      <w:tr w:rsidR="0067265C" w14:paraId="767CDAEC" w14:textId="77777777" w:rsidTr="00334C00">
        <w:trPr>
          <w:gridAfter w:val="1"/>
          <w:wAfter w:w="6" w:type="dxa"/>
          <w:jc w:val="center"/>
        </w:trPr>
        <w:tc>
          <w:tcPr>
            <w:tcW w:w="3357" w:type="dxa"/>
            <w:tcBorders>
              <w:top w:val="nil"/>
              <w:left w:val="nil"/>
              <w:bottom w:val="nil"/>
              <w:right w:val="nil"/>
            </w:tcBorders>
            <w:shd w:val="clear" w:color="auto" w:fill="auto"/>
          </w:tcPr>
          <w:p w14:paraId="0704DE89" w14:textId="0A8A4035" w:rsidR="0067265C" w:rsidRPr="00635300" w:rsidRDefault="0067265C" w:rsidP="00DA2DAE">
            <w:pPr>
              <w:jc w:val="right"/>
              <w:rPr>
                <w:rFonts w:ascii="Times" w:hAnsi="Times" w:cs="Calibri"/>
                <w:b/>
              </w:rPr>
            </w:pPr>
            <w:r w:rsidRPr="00635300">
              <w:rPr>
                <w:rFonts w:ascii="Times" w:hAnsi="Times" w:cs="Calibri"/>
                <w:b/>
              </w:rPr>
              <w:t>Woman</w:t>
            </w:r>
          </w:p>
        </w:tc>
        <w:tc>
          <w:tcPr>
            <w:tcW w:w="1065" w:type="dxa"/>
            <w:tcBorders>
              <w:top w:val="nil"/>
              <w:left w:val="nil"/>
              <w:bottom w:val="nil"/>
              <w:right w:val="nil"/>
            </w:tcBorders>
            <w:shd w:val="clear" w:color="auto" w:fill="auto"/>
          </w:tcPr>
          <w:p w14:paraId="74CDF36A" w14:textId="7FF79435" w:rsidR="0067265C" w:rsidRDefault="0067265C" w:rsidP="002E0519">
            <w:pPr>
              <w:jc w:val="center"/>
            </w:pPr>
            <w:r>
              <w:t>-0.512*</w:t>
            </w:r>
          </w:p>
          <w:p w14:paraId="60D9F27A" w14:textId="1C001243" w:rsidR="0067265C" w:rsidRDefault="0067265C" w:rsidP="002E0519">
            <w:pPr>
              <w:jc w:val="center"/>
            </w:pPr>
            <w:r>
              <w:t>(.017)</w:t>
            </w:r>
          </w:p>
        </w:tc>
        <w:tc>
          <w:tcPr>
            <w:tcW w:w="1211" w:type="dxa"/>
            <w:tcBorders>
              <w:top w:val="nil"/>
              <w:left w:val="nil"/>
              <w:bottom w:val="nil"/>
              <w:right w:val="nil"/>
            </w:tcBorders>
            <w:shd w:val="clear" w:color="auto" w:fill="auto"/>
          </w:tcPr>
          <w:p w14:paraId="49C9456B" w14:textId="53D84360" w:rsidR="0067265C" w:rsidRDefault="0067265C" w:rsidP="002E0519">
            <w:pPr>
              <w:jc w:val="center"/>
            </w:pPr>
          </w:p>
          <w:p w14:paraId="243821D1" w14:textId="050C2AEB" w:rsidR="0067265C" w:rsidRDefault="0067265C" w:rsidP="002E0519">
            <w:pPr>
              <w:jc w:val="center"/>
            </w:pPr>
          </w:p>
        </w:tc>
        <w:tc>
          <w:tcPr>
            <w:tcW w:w="403" w:type="dxa"/>
            <w:tcBorders>
              <w:top w:val="nil"/>
              <w:left w:val="nil"/>
              <w:bottom w:val="nil"/>
              <w:right w:val="nil"/>
            </w:tcBorders>
          </w:tcPr>
          <w:p w14:paraId="2C2B2554" w14:textId="77777777" w:rsidR="0067265C" w:rsidRDefault="0067265C" w:rsidP="002E0519">
            <w:pPr>
              <w:jc w:val="center"/>
            </w:pPr>
          </w:p>
        </w:tc>
        <w:tc>
          <w:tcPr>
            <w:tcW w:w="1362" w:type="dxa"/>
            <w:tcBorders>
              <w:top w:val="nil"/>
              <w:left w:val="nil"/>
              <w:bottom w:val="nil"/>
              <w:right w:val="nil"/>
            </w:tcBorders>
            <w:shd w:val="clear" w:color="auto" w:fill="auto"/>
          </w:tcPr>
          <w:p w14:paraId="04027B4A" w14:textId="4D9E687A" w:rsidR="0067265C" w:rsidRDefault="0067265C" w:rsidP="002E0519">
            <w:pPr>
              <w:jc w:val="center"/>
            </w:pPr>
          </w:p>
          <w:p w14:paraId="18760D32" w14:textId="14CD0700" w:rsidR="0067265C" w:rsidRDefault="0067265C" w:rsidP="002E0519">
            <w:pPr>
              <w:jc w:val="center"/>
            </w:pPr>
          </w:p>
        </w:tc>
        <w:tc>
          <w:tcPr>
            <w:tcW w:w="403" w:type="dxa"/>
            <w:tcBorders>
              <w:top w:val="nil"/>
              <w:left w:val="nil"/>
              <w:bottom w:val="nil"/>
              <w:right w:val="nil"/>
            </w:tcBorders>
          </w:tcPr>
          <w:p w14:paraId="25D46C2F" w14:textId="77777777" w:rsidR="0067265C" w:rsidRDefault="0067265C" w:rsidP="002E0519">
            <w:pPr>
              <w:jc w:val="center"/>
            </w:pPr>
          </w:p>
        </w:tc>
        <w:tc>
          <w:tcPr>
            <w:tcW w:w="1259" w:type="dxa"/>
            <w:tcBorders>
              <w:top w:val="nil"/>
              <w:left w:val="nil"/>
              <w:bottom w:val="nil"/>
              <w:right w:val="nil"/>
            </w:tcBorders>
            <w:shd w:val="clear" w:color="auto" w:fill="auto"/>
          </w:tcPr>
          <w:p w14:paraId="0B9C96A2" w14:textId="68068854" w:rsidR="0067265C" w:rsidRDefault="0060671D" w:rsidP="002E0519">
            <w:pPr>
              <w:jc w:val="center"/>
            </w:pPr>
            <w:r>
              <w:t>-0.364*</w:t>
            </w:r>
          </w:p>
          <w:p w14:paraId="03E4E879" w14:textId="142B629F" w:rsidR="0067265C" w:rsidRDefault="0060671D" w:rsidP="002E0519">
            <w:pPr>
              <w:jc w:val="center"/>
            </w:pPr>
            <w:r>
              <w:t>(.073)</w:t>
            </w:r>
          </w:p>
        </w:tc>
        <w:tc>
          <w:tcPr>
            <w:tcW w:w="1146" w:type="dxa"/>
            <w:tcBorders>
              <w:top w:val="nil"/>
              <w:left w:val="nil"/>
              <w:bottom w:val="nil"/>
              <w:right w:val="nil"/>
            </w:tcBorders>
            <w:shd w:val="clear" w:color="auto" w:fill="auto"/>
          </w:tcPr>
          <w:p w14:paraId="35C33591" w14:textId="79BD0AB6" w:rsidR="0067265C" w:rsidRDefault="0067265C" w:rsidP="002E0519">
            <w:pPr>
              <w:jc w:val="center"/>
            </w:pPr>
          </w:p>
          <w:p w14:paraId="7FB70AFF" w14:textId="1EB446C8" w:rsidR="0067265C" w:rsidRDefault="0067265C" w:rsidP="002E0519">
            <w:pPr>
              <w:jc w:val="center"/>
            </w:pPr>
          </w:p>
        </w:tc>
        <w:tc>
          <w:tcPr>
            <w:tcW w:w="1154" w:type="dxa"/>
            <w:tcBorders>
              <w:top w:val="nil"/>
              <w:left w:val="nil"/>
              <w:bottom w:val="nil"/>
              <w:right w:val="nil"/>
            </w:tcBorders>
            <w:shd w:val="clear" w:color="auto" w:fill="auto"/>
          </w:tcPr>
          <w:p w14:paraId="2C2DDCD0" w14:textId="6450D942" w:rsidR="0067265C" w:rsidRDefault="0067265C" w:rsidP="002E0519">
            <w:pPr>
              <w:jc w:val="center"/>
            </w:pPr>
          </w:p>
        </w:tc>
      </w:tr>
      <w:tr w:rsidR="0067265C" w14:paraId="4B46F8A7" w14:textId="77777777" w:rsidTr="00334C00">
        <w:trPr>
          <w:gridAfter w:val="1"/>
          <w:wAfter w:w="6" w:type="dxa"/>
          <w:jc w:val="center"/>
        </w:trPr>
        <w:tc>
          <w:tcPr>
            <w:tcW w:w="3357" w:type="dxa"/>
            <w:tcBorders>
              <w:top w:val="nil"/>
              <w:left w:val="nil"/>
              <w:bottom w:val="dashSmallGap" w:sz="4" w:space="0" w:color="auto"/>
              <w:right w:val="nil"/>
            </w:tcBorders>
            <w:shd w:val="clear" w:color="auto" w:fill="auto"/>
          </w:tcPr>
          <w:p w14:paraId="6D6608C2" w14:textId="77777777" w:rsidR="0067265C" w:rsidRPr="00635300" w:rsidRDefault="0067265C" w:rsidP="00DA2DAE">
            <w:pPr>
              <w:jc w:val="right"/>
              <w:rPr>
                <w:rFonts w:ascii="Times" w:hAnsi="Times" w:cs="Calibri"/>
                <w:b/>
              </w:rPr>
            </w:pPr>
            <w:r w:rsidRPr="00635300">
              <w:rPr>
                <w:rFonts w:ascii="Times" w:hAnsi="Times" w:cs="Calibri"/>
                <w:b/>
              </w:rPr>
              <w:t>Symptoms X Woman</w:t>
            </w:r>
          </w:p>
        </w:tc>
        <w:tc>
          <w:tcPr>
            <w:tcW w:w="1065" w:type="dxa"/>
            <w:tcBorders>
              <w:top w:val="nil"/>
              <w:left w:val="nil"/>
              <w:bottom w:val="dashSmallGap" w:sz="4" w:space="0" w:color="auto"/>
              <w:right w:val="nil"/>
            </w:tcBorders>
            <w:shd w:val="clear" w:color="auto" w:fill="auto"/>
          </w:tcPr>
          <w:p w14:paraId="7E6AE8B1" w14:textId="77777777" w:rsidR="0067265C" w:rsidRDefault="0067265C" w:rsidP="002E0519">
            <w:pPr>
              <w:jc w:val="center"/>
            </w:pPr>
          </w:p>
          <w:p w14:paraId="666DD5FE" w14:textId="77777777" w:rsidR="0067265C" w:rsidRPr="008F6B12" w:rsidRDefault="0067265C" w:rsidP="002E0519">
            <w:pPr>
              <w:jc w:val="center"/>
            </w:pPr>
          </w:p>
        </w:tc>
        <w:tc>
          <w:tcPr>
            <w:tcW w:w="1211" w:type="dxa"/>
            <w:tcBorders>
              <w:top w:val="nil"/>
              <w:left w:val="nil"/>
              <w:bottom w:val="dashSmallGap" w:sz="4" w:space="0" w:color="auto"/>
              <w:right w:val="nil"/>
            </w:tcBorders>
            <w:shd w:val="clear" w:color="auto" w:fill="auto"/>
          </w:tcPr>
          <w:p w14:paraId="1EB76FAE" w14:textId="77777777" w:rsidR="0067265C" w:rsidRDefault="0067265C" w:rsidP="002E0519">
            <w:pPr>
              <w:jc w:val="center"/>
            </w:pPr>
          </w:p>
          <w:p w14:paraId="7E442A18" w14:textId="77777777" w:rsidR="0067265C" w:rsidRPr="00396A8E" w:rsidRDefault="0067265C" w:rsidP="002E0519">
            <w:pPr>
              <w:jc w:val="center"/>
            </w:pPr>
          </w:p>
        </w:tc>
        <w:tc>
          <w:tcPr>
            <w:tcW w:w="403" w:type="dxa"/>
            <w:tcBorders>
              <w:top w:val="nil"/>
              <w:left w:val="nil"/>
              <w:bottom w:val="dashSmallGap" w:sz="4" w:space="0" w:color="auto"/>
              <w:right w:val="nil"/>
            </w:tcBorders>
          </w:tcPr>
          <w:p w14:paraId="5B7A0521" w14:textId="77777777" w:rsidR="0067265C" w:rsidRPr="002D62A3" w:rsidRDefault="0067265C" w:rsidP="002E0519">
            <w:pPr>
              <w:jc w:val="center"/>
            </w:pPr>
          </w:p>
        </w:tc>
        <w:tc>
          <w:tcPr>
            <w:tcW w:w="1362" w:type="dxa"/>
            <w:tcBorders>
              <w:top w:val="nil"/>
              <w:left w:val="nil"/>
              <w:bottom w:val="dashSmallGap" w:sz="4" w:space="0" w:color="auto"/>
              <w:right w:val="nil"/>
            </w:tcBorders>
            <w:shd w:val="clear" w:color="auto" w:fill="auto"/>
          </w:tcPr>
          <w:p w14:paraId="67453A03" w14:textId="0E43D61E" w:rsidR="0067265C" w:rsidRPr="002D62A3" w:rsidRDefault="0067265C" w:rsidP="002E0519">
            <w:pPr>
              <w:jc w:val="center"/>
            </w:pPr>
          </w:p>
          <w:p w14:paraId="30D03E31" w14:textId="41C59AC8" w:rsidR="0067265C" w:rsidRPr="002D62A3" w:rsidRDefault="0067265C" w:rsidP="002E0519">
            <w:pPr>
              <w:jc w:val="center"/>
            </w:pPr>
          </w:p>
        </w:tc>
        <w:tc>
          <w:tcPr>
            <w:tcW w:w="403" w:type="dxa"/>
            <w:tcBorders>
              <w:top w:val="nil"/>
              <w:left w:val="nil"/>
              <w:bottom w:val="dashSmallGap" w:sz="4" w:space="0" w:color="auto"/>
              <w:right w:val="nil"/>
            </w:tcBorders>
          </w:tcPr>
          <w:p w14:paraId="7B20A3BA" w14:textId="77777777" w:rsidR="0067265C" w:rsidRDefault="0067265C" w:rsidP="002E0519">
            <w:pPr>
              <w:jc w:val="center"/>
            </w:pPr>
          </w:p>
        </w:tc>
        <w:tc>
          <w:tcPr>
            <w:tcW w:w="1259" w:type="dxa"/>
            <w:tcBorders>
              <w:top w:val="nil"/>
              <w:left w:val="nil"/>
              <w:bottom w:val="dashSmallGap" w:sz="4" w:space="0" w:color="auto"/>
              <w:right w:val="nil"/>
            </w:tcBorders>
            <w:shd w:val="clear" w:color="auto" w:fill="auto"/>
          </w:tcPr>
          <w:p w14:paraId="5F4512F7" w14:textId="6DED6543" w:rsidR="0067265C" w:rsidRDefault="0060671D" w:rsidP="002E0519">
            <w:pPr>
              <w:jc w:val="center"/>
            </w:pPr>
            <w:r>
              <w:t>-0.082</w:t>
            </w:r>
            <w:r w:rsidR="007D3DAE">
              <w:t>*</w:t>
            </w:r>
          </w:p>
          <w:p w14:paraId="4421BF16" w14:textId="49BFF111" w:rsidR="0067265C" w:rsidRPr="00D1313E" w:rsidRDefault="0060671D" w:rsidP="0060671D">
            <w:pPr>
              <w:jc w:val="center"/>
            </w:pPr>
            <w:r>
              <w:t>(.039)</w:t>
            </w:r>
          </w:p>
        </w:tc>
        <w:tc>
          <w:tcPr>
            <w:tcW w:w="1146" w:type="dxa"/>
            <w:tcBorders>
              <w:top w:val="nil"/>
              <w:left w:val="nil"/>
              <w:bottom w:val="dashSmallGap" w:sz="4" w:space="0" w:color="auto"/>
              <w:right w:val="nil"/>
            </w:tcBorders>
            <w:shd w:val="clear" w:color="auto" w:fill="auto"/>
          </w:tcPr>
          <w:p w14:paraId="2007AED4" w14:textId="1DB59B39" w:rsidR="0067265C" w:rsidRDefault="00BF7022" w:rsidP="002E0519">
            <w:pPr>
              <w:jc w:val="center"/>
            </w:pPr>
            <w:r>
              <w:t>0</w:t>
            </w:r>
            <w:r w:rsidR="0067265C">
              <w:t>.00</w:t>
            </w:r>
            <w:r>
              <w:t>5</w:t>
            </w:r>
          </w:p>
          <w:p w14:paraId="3F29C3A1" w14:textId="650C7309" w:rsidR="0067265C" w:rsidRDefault="0067265C" w:rsidP="002E0519">
            <w:pPr>
              <w:jc w:val="center"/>
            </w:pPr>
            <w:r>
              <w:t>(.0</w:t>
            </w:r>
            <w:r w:rsidR="00BF7022">
              <w:t>28</w:t>
            </w:r>
            <w:r>
              <w:t>)</w:t>
            </w:r>
          </w:p>
        </w:tc>
        <w:tc>
          <w:tcPr>
            <w:tcW w:w="1154" w:type="dxa"/>
            <w:tcBorders>
              <w:top w:val="nil"/>
              <w:left w:val="nil"/>
              <w:bottom w:val="dashSmallGap" w:sz="4" w:space="0" w:color="auto"/>
              <w:right w:val="nil"/>
            </w:tcBorders>
            <w:shd w:val="clear" w:color="auto" w:fill="auto"/>
          </w:tcPr>
          <w:p w14:paraId="4042C9E9" w14:textId="4820E00A" w:rsidR="0067265C" w:rsidRDefault="0088570B" w:rsidP="002E0519">
            <w:pPr>
              <w:jc w:val="center"/>
            </w:pPr>
            <w:r>
              <w:t>0.0</w:t>
            </w:r>
            <w:r w:rsidR="005472B4">
              <w:t>22</w:t>
            </w:r>
          </w:p>
          <w:p w14:paraId="5D48C1FD" w14:textId="4C76B0FB" w:rsidR="0067265C" w:rsidRDefault="0067265C" w:rsidP="002E0519">
            <w:pPr>
              <w:jc w:val="center"/>
            </w:pPr>
            <w:r>
              <w:t>(.</w:t>
            </w:r>
            <w:r w:rsidR="005472B4">
              <w:t>059</w:t>
            </w:r>
            <w:r>
              <w:t>)</w:t>
            </w:r>
          </w:p>
        </w:tc>
      </w:tr>
      <w:tr w:rsidR="0067265C" w14:paraId="51C276AE" w14:textId="77777777" w:rsidTr="00334C00">
        <w:trPr>
          <w:gridAfter w:val="1"/>
          <w:wAfter w:w="6" w:type="dxa"/>
          <w:trHeight w:val="109"/>
          <w:jc w:val="center"/>
        </w:trPr>
        <w:tc>
          <w:tcPr>
            <w:tcW w:w="3357" w:type="dxa"/>
            <w:tcBorders>
              <w:top w:val="dashSmallGap" w:sz="4" w:space="0" w:color="auto"/>
              <w:left w:val="nil"/>
              <w:bottom w:val="nil"/>
              <w:right w:val="nil"/>
            </w:tcBorders>
          </w:tcPr>
          <w:p w14:paraId="7CBDEE2A" w14:textId="77777777" w:rsidR="0067265C" w:rsidRDefault="0067265C" w:rsidP="00DA2DAE">
            <w:pPr>
              <w:jc w:val="right"/>
              <w:rPr>
                <w:b/>
              </w:rPr>
            </w:pPr>
            <w:r w:rsidRPr="000106C3">
              <w:rPr>
                <w:rFonts w:ascii="Times" w:hAnsi="Times" w:cs="Calibri"/>
                <w:i/>
              </w:rPr>
              <w:t>Observations</w:t>
            </w:r>
          </w:p>
        </w:tc>
        <w:tc>
          <w:tcPr>
            <w:tcW w:w="1065" w:type="dxa"/>
            <w:tcBorders>
              <w:top w:val="dashSmallGap" w:sz="4" w:space="0" w:color="auto"/>
              <w:left w:val="nil"/>
              <w:bottom w:val="nil"/>
              <w:right w:val="nil"/>
            </w:tcBorders>
          </w:tcPr>
          <w:p w14:paraId="1D66B6BF" w14:textId="6C7B539D" w:rsidR="0067265C" w:rsidRPr="008F6B12" w:rsidRDefault="0067265C" w:rsidP="002E0519">
            <w:pPr>
              <w:jc w:val="center"/>
            </w:pPr>
            <w:r>
              <w:t>48,572</w:t>
            </w:r>
          </w:p>
        </w:tc>
        <w:tc>
          <w:tcPr>
            <w:tcW w:w="1211" w:type="dxa"/>
            <w:tcBorders>
              <w:top w:val="dashSmallGap" w:sz="4" w:space="0" w:color="auto"/>
              <w:left w:val="nil"/>
              <w:bottom w:val="nil"/>
              <w:right w:val="nil"/>
            </w:tcBorders>
          </w:tcPr>
          <w:p w14:paraId="087D9009" w14:textId="138AF8B7" w:rsidR="0067265C" w:rsidRPr="00E25BE1" w:rsidRDefault="0067265C" w:rsidP="002E0519">
            <w:pPr>
              <w:jc w:val="center"/>
            </w:pPr>
            <w:r>
              <w:t>7,</w:t>
            </w:r>
            <w:r w:rsidR="00BF716D">
              <w:t>440</w:t>
            </w:r>
          </w:p>
        </w:tc>
        <w:tc>
          <w:tcPr>
            <w:tcW w:w="403" w:type="dxa"/>
            <w:tcBorders>
              <w:top w:val="dashSmallGap" w:sz="4" w:space="0" w:color="auto"/>
              <w:left w:val="nil"/>
              <w:bottom w:val="nil"/>
              <w:right w:val="nil"/>
            </w:tcBorders>
          </w:tcPr>
          <w:p w14:paraId="38D9BBF7" w14:textId="77777777" w:rsidR="0067265C" w:rsidRPr="002D62A3" w:rsidRDefault="0067265C" w:rsidP="00635300"/>
        </w:tc>
        <w:tc>
          <w:tcPr>
            <w:tcW w:w="1362" w:type="dxa"/>
            <w:tcBorders>
              <w:top w:val="dashSmallGap" w:sz="4" w:space="0" w:color="auto"/>
              <w:left w:val="nil"/>
              <w:bottom w:val="nil"/>
              <w:right w:val="nil"/>
            </w:tcBorders>
          </w:tcPr>
          <w:p w14:paraId="540B6A28" w14:textId="29861977" w:rsidR="0067265C" w:rsidRPr="002D62A3" w:rsidRDefault="00334C00" w:rsidP="00334C00">
            <w:pPr>
              <w:jc w:val="center"/>
            </w:pPr>
            <w:r>
              <w:t>7,</w:t>
            </w:r>
            <w:r w:rsidR="00111AC0">
              <w:t>523</w:t>
            </w:r>
          </w:p>
        </w:tc>
        <w:tc>
          <w:tcPr>
            <w:tcW w:w="403" w:type="dxa"/>
            <w:tcBorders>
              <w:top w:val="dashSmallGap" w:sz="4" w:space="0" w:color="auto"/>
              <w:left w:val="nil"/>
              <w:bottom w:val="nil"/>
              <w:right w:val="nil"/>
            </w:tcBorders>
          </w:tcPr>
          <w:p w14:paraId="6C341A54" w14:textId="77777777" w:rsidR="0067265C" w:rsidRDefault="0067265C" w:rsidP="002E0519">
            <w:pPr>
              <w:jc w:val="center"/>
            </w:pPr>
          </w:p>
        </w:tc>
        <w:tc>
          <w:tcPr>
            <w:tcW w:w="1259" w:type="dxa"/>
            <w:tcBorders>
              <w:top w:val="dashSmallGap" w:sz="4" w:space="0" w:color="auto"/>
              <w:left w:val="nil"/>
              <w:bottom w:val="nil"/>
              <w:right w:val="nil"/>
            </w:tcBorders>
          </w:tcPr>
          <w:p w14:paraId="54F465E9" w14:textId="1D3EA241" w:rsidR="0067265C" w:rsidRPr="00D1313E" w:rsidRDefault="00334C00" w:rsidP="002E0519">
            <w:pPr>
              <w:jc w:val="center"/>
            </w:pPr>
            <w:r>
              <w:t>48,572</w:t>
            </w:r>
          </w:p>
        </w:tc>
        <w:tc>
          <w:tcPr>
            <w:tcW w:w="1146" w:type="dxa"/>
            <w:tcBorders>
              <w:top w:val="dashSmallGap" w:sz="4" w:space="0" w:color="auto"/>
              <w:left w:val="nil"/>
              <w:bottom w:val="nil"/>
              <w:right w:val="nil"/>
            </w:tcBorders>
          </w:tcPr>
          <w:p w14:paraId="3EF66C45" w14:textId="60245BAD" w:rsidR="0067265C" w:rsidRDefault="0067265C" w:rsidP="002E0519">
            <w:pPr>
              <w:jc w:val="center"/>
            </w:pPr>
            <w:r>
              <w:t>7,</w:t>
            </w:r>
            <w:r w:rsidR="00BF7022">
              <w:t>440</w:t>
            </w:r>
          </w:p>
        </w:tc>
        <w:tc>
          <w:tcPr>
            <w:tcW w:w="1154" w:type="dxa"/>
            <w:tcBorders>
              <w:top w:val="dashSmallGap" w:sz="4" w:space="0" w:color="auto"/>
              <w:left w:val="nil"/>
              <w:bottom w:val="nil"/>
              <w:right w:val="nil"/>
            </w:tcBorders>
          </w:tcPr>
          <w:p w14:paraId="0EA457A1" w14:textId="74C9A289" w:rsidR="0067265C" w:rsidRDefault="00334C00" w:rsidP="002E0519">
            <w:pPr>
              <w:jc w:val="center"/>
            </w:pPr>
            <w:r>
              <w:t>7,</w:t>
            </w:r>
            <w:r w:rsidR="005472B4">
              <w:t>523</w:t>
            </w:r>
          </w:p>
        </w:tc>
      </w:tr>
      <w:tr w:rsidR="00106E5C" w14:paraId="38C49EC5" w14:textId="77777777" w:rsidTr="00334C00">
        <w:trPr>
          <w:trHeight w:val="100"/>
          <w:jc w:val="center"/>
        </w:trPr>
        <w:tc>
          <w:tcPr>
            <w:tcW w:w="11366" w:type="dxa"/>
            <w:gridSpan w:val="10"/>
            <w:tcBorders>
              <w:top w:val="single" w:sz="4" w:space="0" w:color="auto"/>
              <w:left w:val="nil"/>
              <w:bottom w:val="nil"/>
              <w:right w:val="nil"/>
            </w:tcBorders>
          </w:tcPr>
          <w:p w14:paraId="66251C89" w14:textId="5420AD6F" w:rsidR="00106E5C" w:rsidRPr="00F27040" w:rsidRDefault="00106E5C" w:rsidP="000F4F9D">
            <w:r>
              <w:rPr>
                <w:i/>
                <w:iCs/>
              </w:rPr>
              <w:t>Note:</w:t>
            </w:r>
            <w:r w:rsidR="00F27040">
              <w:rPr>
                <w:i/>
                <w:iCs/>
              </w:rPr>
              <w:t xml:space="preserve"> </w:t>
            </w:r>
            <w:r w:rsidR="00F27040">
              <w:t xml:space="preserve">* p &lt; 0.05. </w:t>
            </w:r>
            <w:r w:rsidR="00923949">
              <w:t xml:space="preserve">The dependent variable in all models is political interest. </w:t>
            </w:r>
            <w:r w:rsidR="00F27040">
              <w:t xml:space="preserve">Results </w:t>
            </w:r>
            <w:r w:rsidR="000F4F9D">
              <w:t>are</w:t>
            </w:r>
            <w:r w:rsidR="00F27040">
              <w:t xml:space="preserve"> estimated coefficients from ordinal logistic regressions with standard errors in parentheses; control variables are suppressed for presentation purposes. Full results are reported in </w:t>
            </w:r>
            <w:r w:rsidR="00F27040" w:rsidRPr="00F41917">
              <w:t>Appendix D</w:t>
            </w:r>
            <w:r w:rsidR="00B32719" w:rsidRPr="00F41917">
              <w:t>.</w:t>
            </w:r>
            <w:r w:rsidR="00B32719">
              <w:t xml:space="preserve"> Coefficients for </w:t>
            </w:r>
            <w:proofErr w:type="gramStart"/>
            <w:r w:rsidR="00B32719">
              <w:t>gender are</w:t>
            </w:r>
            <w:proofErr w:type="gramEnd"/>
            <w:r w:rsidR="00B32719">
              <w:t xml:space="preserve"> not reported in the GESIS fixed-effects models since it is time-invariant.</w:t>
            </w:r>
          </w:p>
        </w:tc>
      </w:tr>
    </w:tbl>
    <w:p w14:paraId="4FD78BEA" w14:textId="0E192B21" w:rsidR="00D80BE0" w:rsidRDefault="00D80BE0" w:rsidP="0042281A">
      <w:pPr>
        <w:spacing w:line="480" w:lineRule="auto"/>
        <w:rPr>
          <w:rFonts w:ascii="Times" w:hAnsi="Times"/>
        </w:rPr>
      </w:pPr>
    </w:p>
    <w:p w14:paraId="498A6648" w14:textId="27A3AD61" w:rsidR="00635300" w:rsidRDefault="00635300" w:rsidP="0042281A">
      <w:pPr>
        <w:spacing w:line="480" w:lineRule="auto"/>
        <w:rPr>
          <w:rFonts w:ascii="Times" w:hAnsi="Times"/>
        </w:rPr>
        <w:sectPr w:rsidR="00635300" w:rsidSect="00635300">
          <w:pgSz w:w="15840" w:h="12240" w:orient="landscape"/>
          <w:pgMar w:top="1440" w:right="1440" w:bottom="1440" w:left="1440" w:header="720" w:footer="720" w:gutter="0"/>
          <w:pgNumType w:start="0"/>
          <w:cols w:space="720"/>
          <w:titlePg/>
          <w:docGrid w:linePitch="360"/>
        </w:sectPr>
      </w:pPr>
    </w:p>
    <w:p w14:paraId="276101AF" w14:textId="79AED7E7" w:rsidR="00A576F6" w:rsidRDefault="00A576F6" w:rsidP="00A576F6">
      <w:pPr>
        <w:spacing w:line="480" w:lineRule="auto"/>
        <w:ind w:firstLine="720"/>
        <w:rPr>
          <w:rFonts w:ascii="Times" w:hAnsi="Times"/>
        </w:rPr>
      </w:pPr>
      <w:r>
        <w:rPr>
          <w:rFonts w:ascii="Times" w:hAnsi="Times"/>
        </w:rPr>
        <w:lastRenderedPageBreak/>
        <w:t>How do these results translate into actual levels of political interests? Figure 2 plots the predicted probability of each response to the political interest question across values of depressive symptoms</w:t>
      </w:r>
      <w:r w:rsidR="007052EC">
        <w:rPr>
          <w:rFonts w:ascii="Times" w:hAnsi="Times"/>
        </w:rPr>
        <w:t xml:space="preserve"> </w:t>
      </w:r>
      <w:r w:rsidR="005A7601">
        <w:rPr>
          <w:rFonts w:ascii="Times" w:hAnsi="Times"/>
        </w:rPr>
        <w:t xml:space="preserve">using ESS results from Model 1. </w:t>
      </w:r>
      <w:r w:rsidR="007052EC">
        <w:rPr>
          <w:rFonts w:ascii="Times" w:hAnsi="Times"/>
        </w:rPr>
        <w:t>The results show how political interest changes substantively as depression increases—going from no symptoms to full</w:t>
      </w:r>
      <w:r w:rsidR="005A7601">
        <w:rPr>
          <w:rFonts w:ascii="Times" w:hAnsi="Times"/>
        </w:rPr>
        <w:t>-</w:t>
      </w:r>
      <w:r w:rsidR="007052EC">
        <w:rPr>
          <w:rFonts w:ascii="Times" w:hAnsi="Times"/>
        </w:rPr>
        <w:t xml:space="preserve">blown symptoms corresponds to a </w:t>
      </w:r>
      <w:r w:rsidR="00A8129C">
        <w:rPr>
          <w:rFonts w:ascii="Times" w:hAnsi="Times"/>
        </w:rPr>
        <w:t>3.5</w:t>
      </w:r>
      <w:r w:rsidR="005A7601">
        <w:rPr>
          <w:rFonts w:ascii="Times" w:hAnsi="Times"/>
        </w:rPr>
        <w:t>-</w:t>
      </w:r>
      <w:r w:rsidR="007052EC">
        <w:rPr>
          <w:rFonts w:ascii="Times" w:hAnsi="Times"/>
        </w:rPr>
        <w:t xml:space="preserve">point for not at all interested, a </w:t>
      </w:r>
      <w:r w:rsidR="005A7601">
        <w:rPr>
          <w:rFonts w:ascii="Times" w:hAnsi="Times"/>
        </w:rPr>
        <w:t>3.5-point</w:t>
      </w:r>
      <w:r w:rsidR="007052EC">
        <w:rPr>
          <w:rFonts w:ascii="Times" w:hAnsi="Times"/>
        </w:rPr>
        <w:t xml:space="preserve"> increase for hardly interested, a 5</w:t>
      </w:r>
      <w:r w:rsidR="005A7601">
        <w:rPr>
          <w:rFonts w:ascii="Times" w:hAnsi="Times"/>
        </w:rPr>
        <w:t>-</w:t>
      </w:r>
      <w:r w:rsidR="007052EC">
        <w:rPr>
          <w:rFonts w:ascii="Times" w:hAnsi="Times"/>
        </w:rPr>
        <w:t>point decrease for quite interested, and a 3</w:t>
      </w:r>
      <w:r w:rsidR="005A7601">
        <w:rPr>
          <w:rFonts w:ascii="Times" w:hAnsi="Times"/>
        </w:rPr>
        <w:t>-p</w:t>
      </w:r>
      <w:r w:rsidR="007052EC">
        <w:rPr>
          <w:rFonts w:ascii="Times" w:hAnsi="Times"/>
        </w:rPr>
        <w:t>oint decrease for very interested.</w:t>
      </w:r>
      <w:r w:rsidR="00A8129C">
        <w:rPr>
          <w:rFonts w:ascii="Times" w:hAnsi="Times"/>
        </w:rPr>
        <w:t xml:space="preserve"> </w:t>
      </w:r>
      <w:r w:rsidR="005A7601">
        <w:rPr>
          <w:rFonts w:ascii="Times" w:hAnsi="Times"/>
        </w:rPr>
        <w:t xml:space="preserve">Using the GESIS results from Model 3, </w:t>
      </w:r>
      <w:r w:rsidR="00A8129C">
        <w:rPr>
          <w:rFonts w:ascii="Times" w:hAnsi="Times"/>
        </w:rPr>
        <w:t xml:space="preserve">the expected value of political interest changes from </w:t>
      </w:r>
      <w:r w:rsidR="005A7601">
        <w:rPr>
          <w:rFonts w:ascii="Times" w:hAnsi="Times"/>
        </w:rPr>
        <w:t>3.30 (out of 6) to 2.91 (out of 6) going from no to full-blown persistent symptoms.</w:t>
      </w:r>
    </w:p>
    <w:p w14:paraId="4F8A6E17" w14:textId="77777777" w:rsidR="00A576F6" w:rsidRDefault="00A576F6" w:rsidP="00A576F6">
      <w:pPr>
        <w:jc w:val="center"/>
        <w:rPr>
          <w:rFonts w:ascii="Times" w:hAnsi="Times"/>
          <w:b/>
        </w:rPr>
      </w:pPr>
      <w:r w:rsidRPr="00824D42">
        <w:rPr>
          <w:rFonts w:ascii="Times" w:hAnsi="Times"/>
          <w:b/>
        </w:rPr>
        <w:t xml:space="preserve">Figure </w:t>
      </w:r>
      <w:r>
        <w:rPr>
          <w:rFonts w:ascii="Times" w:hAnsi="Times"/>
          <w:b/>
        </w:rPr>
        <w:t>2</w:t>
      </w:r>
      <w:r w:rsidRPr="00824D42">
        <w:rPr>
          <w:rFonts w:ascii="Times" w:hAnsi="Times"/>
          <w:b/>
        </w:rPr>
        <w:t xml:space="preserve">: Predicted Probability of Political Interest </w:t>
      </w:r>
      <w:r>
        <w:rPr>
          <w:rFonts w:ascii="Times" w:hAnsi="Times"/>
          <w:b/>
        </w:rPr>
        <w:t>for Everyone</w:t>
      </w:r>
    </w:p>
    <w:p w14:paraId="0CAE4831" w14:textId="77777777" w:rsidR="00A576F6" w:rsidRDefault="00A576F6" w:rsidP="00A576F6">
      <w:pPr>
        <w:jc w:val="center"/>
        <w:rPr>
          <w:rFonts w:ascii="Times" w:hAnsi="Times"/>
          <w:b/>
        </w:rPr>
      </w:pPr>
      <w:proofErr w:type="gramStart"/>
      <w:r>
        <w:rPr>
          <w:rFonts w:ascii="Times" w:hAnsi="Times"/>
          <w:b/>
        </w:rPr>
        <w:t>across</w:t>
      </w:r>
      <w:proofErr w:type="gramEnd"/>
      <w:r>
        <w:rPr>
          <w:rFonts w:ascii="Times" w:hAnsi="Times"/>
          <w:b/>
        </w:rPr>
        <w:t xml:space="preserve"> Contemporaneous Symptoms </w:t>
      </w:r>
      <w:r w:rsidRPr="00824D42">
        <w:rPr>
          <w:rFonts w:ascii="Times" w:hAnsi="Times"/>
          <w:b/>
        </w:rPr>
        <w:t>in the</w:t>
      </w:r>
      <w:r>
        <w:rPr>
          <w:rFonts w:ascii="Times" w:hAnsi="Times"/>
          <w:b/>
        </w:rPr>
        <w:t xml:space="preserve"> ESS</w:t>
      </w:r>
    </w:p>
    <w:p w14:paraId="44D48762" w14:textId="332EF5A1" w:rsidR="00A576F6" w:rsidRDefault="00F46210" w:rsidP="00F41917">
      <w:pPr>
        <w:spacing w:line="480" w:lineRule="auto"/>
        <w:jc w:val="center"/>
        <w:rPr>
          <w:rFonts w:ascii="Times" w:hAnsi="Times"/>
        </w:rPr>
      </w:pPr>
      <w:r>
        <w:rPr>
          <w:rFonts w:ascii="Times" w:hAnsi="Times"/>
          <w:noProof/>
          <w:lang w:val="it-IT" w:eastAsia="it-IT"/>
        </w:rPr>
        <w:drawing>
          <wp:inline distT="0" distB="0" distL="0" distR="0" wp14:anchorId="2B91F542" wp14:editId="477763D1">
            <wp:extent cx="5943600" cy="4322445"/>
            <wp:effectExtent l="0" t="0" r="0" b="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12"/>
                    <a:stretch>
                      <a:fillRect/>
                    </a:stretch>
                  </pic:blipFill>
                  <pic:spPr>
                    <a:xfrm>
                      <a:off x="0" y="0"/>
                      <a:ext cx="5943600" cy="4322445"/>
                    </a:xfrm>
                    <a:prstGeom prst="rect">
                      <a:avLst/>
                    </a:prstGeom>
                  </pic:spPr>
                </pic:pic>
              </a:graphicData>
            </a:graphic>
          </wp:inline>
        </w:drawing>
      </w:r>
    </w:p>
    <w:p w14:paraId="285AA6CD" w14:textId="77777777" w:rsidR="00A576F6" w:rsidRPr="002D3C3D" w:rsidRDefault="00A576F6" w:rsidP="00A576F6">
      <w:pPr>
        <w:spacing w:line="480" w:lineRule="auto"/>
        <w:ind w:firstLine="720"/>
        <w:rPr>
          <w:rFonts w:ascii="Times" w:hAnsi="Times"/>
        </w:rPr>
      </w:pPr>
      <w:r>
        <w:rPr>
          <w:rFonts w:ascii="Times" w:hAnsi="Times"/>
        </w:rPr>
        <w:t xml:space="preserve">Figure 3 plots the predicted probabilities of political interest across depressive symptoms for men and women using the ESS results of Model 5. The panels going from left to right show </w:t>
      </w:r>
      <w:r>
        <w:rPr>
          <w:rFonts w:ascii="Times" w:hAnsi="Times"/>
        </w:rPr>
        <w:lastRenderedPageBreak/>
        <w:t xml:space="preserve">the predicted probability of reporting each response option. The probability of being interested “none of the time” changes across symptoms from 0.09 to 0.11 for men and from 0.14 to 0.21 for women. The probability of reporting “most of the time” has an inverse pattern with shifts from 0.46 to 0.43 for men and from 0.38 to 0.30 for women. The changes for women and men are parallel for the other two categories; the greater shift in the political interest of women (relative to men) is in the categories of “none of the time” and “most of the time.” The confidence interval increases at higher levels of symptoms because fewer respondents cluster at this end of the scale. </w:t>
      </w:r>
    </w:p>
    <w:p w14:paraId="368F0289" w14:textId="77777777" w:rsidR="00A576F6" w:rsidRDefault="00A576F6" w:rsidP="0034764B">
      <w:pPr>
        <w:jc w:val="center"/>
        <w:rPr>
          <w:rFonts w:ascii="Times" w:hAnsi="Times"/>
          <w:b/>
        </w:rPr>
      </w:pPr>
    </w:p>
    <w:p w14:paraId="70B32E47" w14:textId="1D508F1D" w:rsidR="0034764B" w:rsidRDefault="00B0345F" w:rsidP="0034764B">
      <w:pPr>
        <w:jc w:val="center"/>
        <w:rPr>
          <w:rFonts w:ascii="Times" w:hAnsi="Times"/>
          <w:b/>
        </w:rPr>
      </w:pPr>
      <w:r w:rsidRPr="00824D42">
        <w:rPr>
          <w:rFonts w:ascii="Times" w:hAnsi="Times"/>
          <w:b/>
        </w:rPr>
        <w:t xml:space="preserve">Figure </w:t>
      </w:r>
      <w:r w:rsidR="00A576F6">
        <w:rPr>
          <w:rFonts w:ascii="Times" w:hAnsi="Times"/>
          <w:b/>
        </w:rPr>
        <w:t>3</w:t>
      </w:r>
      <w:r w:rsidRPr="00824D42">
        <w:rPr>
          <w:rFonts w:ascii="Times" w:hAnsi="Times"/>
          <w:b/>
        </w:rPr>
        <w:t xml:space="preserve">: </w:t>
      </w:r>
      <w:r w:rsidR="00055849" w:rsidRPr="00824D42">
        <w:rPr>
          <w:rFonts w:ascii="Times" w:hAnsi="Times"/>
          <w:b/>
        </w:rPr>
        <w:t xml:space="preserve">Predicted Probability of Political Interest </w:t>
      </w:r>
      <w:r w:rsidR="00660F3E">
        <w:rPr>
          <w:rFonts w:ascii="Times" w:hAnsi="Times"/>
          <w:b/>
        </w:rPr>
        <w:t>for Women and Men</w:t>
      </w:r>
    </w:p>
    <w:p w14:paraId="4FD6F480" w14:textId="3DDA1E8E" w:rsidR="00B0345F" w:rsidRDefault="00055849" w:rsidP="0034764B">
      <w:pPr>
        <w:jc w:val="center"/>
        <w:rPr>
          <w:rFonts w:ascii="Times" w:hAnsi="Times"/>
          <w:b/>
        </w:rPr>
      </w:pPr>
      <w:proofErr w:type="gramStart"/>
      <w:r>
        <w:rPr>
          <w:rFonts w:ascii="Times" w:hAnsi="Times"/>
          <w:b/>
        </w:rPr>
        <w:t>across</w:t>
      </w:r>
      <w:proofErr w:type="gramEnd"/>
      <w:r w:rsidR="0034764B">
        <w:rPr>
          <w:rFonts w:ascii="Times" w:hAnsi="Times"/>
          <w:b/>
        </w:rPr>
        <w:t xml:space="preserve"> </w:t>
      </w:r>
      <w:r>
        <w:rPr>
          <w:rFonts w:ascii="Times" w:hAnsi="Times"/>
          <w:b/>
        </w:rPr>
        <w:t xml:space="preserve">Contemporaneous Symptoms </w:t>
      </w:r>
      <w:r w:rsidRPr="00824D42">
        <w:rPr>
          <w:rFonts w:ascii="Times" w:hAnsi="Times"/>
          <w:b/>
        </w:rPr>
        <w:t>in the</w:t>
      </w:r>
      <w:r>
        <w:rPr>
          <w:rFonts w:ascii="Times" w:hAnsi="Times"/>
          <w:b/>
        </w:rPr>
        <w:t xml:space="preserve"> ES</w:t>
      </w:r>
      <w:r w:rsidR="00660F3E">
        <w:rPr>
          <w:rFonts w:ascii="Times" w:hAnsi="Times"/>
          <w:b/>
        </w:rPr>
        <w:t>S</w:t>
      </w:r>
    </w:p>
    <w:p w14:paraId="56FEC57B" w14:textId="5AAA6C9D" w:rsidR="001A7060" w:rsidRPr="001A7060" w:rsidRDefault="00F46210" w:rsidP="001A7060">
      <w:pPr>
        <w:jc w:val="center"/>
        <w:rPr>
          <w:rFonts w:ascii="Times" w:hAnsi="Times"/>
          <w:b/>
        </w:rPr>
      </w:pPr>
      <w:r>
        <w:rPr>
          <w:rFonts w:ascii="Times" w:hAnsi="Times"/>
          <w:b/>
          <w:noProof/>
          <w:lang w:val="it-IT" w:eastAsia="it-IT"/>
        </w:rPr>
        <w:drawing>
          <wp:inline distT="0" distB="0" distL="0" distR="0" wp14:anchorId="5715A304" wp14:editId="4739FCAD">
            <wp:extent cx="5943600" cy="4322445"/>
            <wp:effectExtent l="0" t="0" r="0" b="0"/>
            <wp:docPr id="6" name="Picture 6"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medium confidence"/>
                    <pic:cNvPicPr/>
                  </pic:nvPicPr>
                  <pic:blipFill>
                    <a:blip r:embed="rId13"/>
                    <a:stretch>
                      <a:fillRect/>
                    </a:stretch>
                  </pic:blipFill>
                  <pic:spPr>
                    <a:xfrm>
                      <a:off x="0" y="0"/>
                      <a:ext cx="5943600" cy="4322445"/>
                    </a:xfrm>
                    <a:prstGeom prst="rect">
                      <a:avLst/>
                    </a:prstGeom>
                  </pic:spPr>
                </pic:pic>
              </a:graphicData>
            </a:graphic>
          </wp:inline>
        </w:drawing>
      </w:r>
      <w:r w:rsidR="00CF7738" w:rsidRPr="00CF7738" w:rsidDel="00E64D5B">
        <w:rPr>
          <w:rFonts w:ascii="Times" w:hAnsi="Times"/>
          <w:b/>
        </w:rPr>
        <w:t xml:space="preserve"> </w:t>
      </w:r>
    </w:p>
    <w:p w14:paraId="0012D934" w14:textId="20AC2219" w:rsidR="006E5139" w:rsidRPr="006E5139" w:rsidRDefault="00D827BB" w:rsidP="009C5420">
      <w:pPr>
        <w:spacing w:line="480" w:lineRule="auto"/>
        <w:ind w:firstLine="720"/>
        <w:rPr>
          <w:rFonts w:ascii="Times" w:hAnsi="Times"/>
        </w:rPr>
      </w:pPr>
      <w:r>
        <w:rPr>
          <w:rFonts w:ascii="Times" w:hAnsi="Times"/>
        </w:rPr>
        <w:t xml:space="preserve">We conduct a series of robustness checks to ensure </w:t>
      </w:r>
      <w:r w:rsidR="00C14953">
        <w:rPr>
          <w:rFonts w:ascii="Times" w:hAnsi="Times"/>
        </w:rPr>
        <w:t>our</w:t>
      </w:r>
      <w:r>
        <w:rPr>
          <w:rFonts w:ascii="Times" w:hAnsi="Times"/>
        </w:rPr>
        <w:t xml:space="preserve"> findings are not an artifact of the analytic strategy or model</w:t>
      </w:r>
      <w:r w:rsidR="006E5139">
        <w:rPr>
          <w:rFonts w:ascii="Times" w:hAnsi="Times"/>
        </w:rPr>
        <w:t xml:space="preserve"> specification. Appendix </w:t>
      </w:r>
      <w:r w:rsidR="00584052">
        <w:rPr>
          <w:rFonts w:ascii="Times" w:hAnsi="Times"/>
        </w:rPr>
        <w:t>G</w:t>
      </w:r>
      <w:r w:rsidR="006E5139">
        <w:rPr>
          <w:rFonts w:ascii="Times" w:hAnsi="Times"/>
        </w:rPr>
        <w:t xml:space="preserve"> reveal</w:t>
      </w:r>
      <w:r w:rsidR="009E7764">
        <w:rPr>
          <w:rFonts w:ascii="Times" w:hAnsi="Times"/>
        </w:rPr>
        <w:t>s</w:t>
      </w:r>
      <w:r w:rsidR="006E5139">
        <w:rPr>
          <w:rFonts w:ascii="Times" w:hAnsi="Times"/>
        </w:rPr>
        <w:t xml:space="preserve"> that these association</w:t>
      </w:r>
      <w:r w:rsidR="009E7764">
        <w:rPr>
          <w:rFonts w:ascii="Times" w:hAnsi="Times"/>
        </w:rPr>
        <w:t>s</w:t>
      </w:r>
      <w:r w:rsidR="006E5139">
        <w:rPr>
          <w:rFonts w:ascii="Times" w:hAnsi="Times"/>
        </w:rPr>
        <w:t xml:space="preserve"> hold in the absence of control variables. Appendix </w:t>
      </w:r>
      <w:r w:rsidR="00584052">
        <w:rPr>
          <w:rFonts w:ascii="Times" w:hAnsi="Times"/>
        </w:rPr>
        <w:t>H</w:t>
      </w:r>
      <w:r w:rsidR="00F41917">
        <w:rPr>
          <w:rFonts w:ascii="Times" w:hAnsi="Times"/>
        </w:rPr>
        <w:t xml:space="preserve"> </w:t>
      </w:r>
      <w:r w:rsidR="006E5139">
        <w:rPr>
          <w:rFonts w:ascii="Times" w:hAnsi="Times"/>
        </w:rPr>
        <w:t>shows</w:t>
      </w:r>
      <w:r>
        <w:rPr>
          <w:rFonts w:ascii="Times" w:hAnsi="Times"/>
        </w:rPr>
        <w:t xml:space="preserve"> </w:t>
      </w:r>
      <w:r w:rsidR="006E5139">
        <w:rPr>
          <w:rFonts w:ascii="Times" w:hAnsi="Times"/>
        </w:rPr>
        <w:t xml:space="preserve">the results are unaffected by using </w:t>
      </w:r>
      <w:r>
        <w:rPr>
          <w:rFonts w:ascii="Times" w:hAnsi="Times"/>
        </w:rPr>
        <w:t xml:space="preserve">an </w:t>
      </w:r>
      <w:r w:rsidR="006E5139">
        <w:rPr>
          <w:rFonts w:ascii="Times" w:hAnsi="Times"/>
        </w:rPr>
        <w:t xml:space="preserve">ordinary </w:t>
      </w:r>
      <w:r w:rsidR="006E5139">
        <w:rPr>
          <w:rFonts w:ascii="Times" w:hAnsi="Times"/>
        </w:rPr>
        <w:lastRenderedPageBreak/>
        <w:t>least squares</w:t>
      </w:r>
      <w:r>
        <w:rPr>
          <w:rFonts w:ascii="Times" w:hAnsi="Times"/>
        </w:rPr>
        <w:t xml:space="preserve"> estimator</w:t>
      </w:r>
      <w:r w:rsidR="006E5139">
        <w:rPr>
          <w:rFonts w:ascii="Times" w:hAnsi="Times"/>
        </w:rPr>
        <w:t>.</w:t>
      </w:r>
      <w:r w:rsidR="006E5139" w:rsidRPr="004557EE">
        <w:rPr>
          <w:rFonts w:ascii="Times" w:hAnsi="Times"/>
        </w:rPr>
        <w:t xml:space="preserve"> </w:t>
      </w:r>
      <w:r w:rsidR="006E5139">
        <w:rPr>
          <w:rFonts w:ascii="Times" w:hAnsi="Times"/>
        </w:rPr>
        <w:t xml:space="preserve">Appendix </w:t>
      </w:r>
      <w:r w:rsidR="00584052">
        <w:rPr>
          <w:rFonts w:ascii="Times" w:hAnsi="Times"/>
        </w:rPr>
        <w:t>I</w:t>
      </w:r>
      <w:r w:rsidR="006E5139">
        <w:rPr>
          <w:rFonts w:ascii="Times" w:hAnsi="Times"/>
        </w:rPr>
        <w:t xml:space="preserve"> </w:t>
      </w:r>
      <w:proofErr w:type="gramStart"/>
      <w:r w:rsidR="006E5139">
        <w:rPr>
          <w:rFonts w:ascii="Times" w:hAnsi="Times"/>
        </w:rPr>
        <w:t>shows</w:t>
      </w:r>
      <w:proofErr w:type="gramEnd"/>
      <w:r w:rsidR="00BE0758">
        <w:rPr>
          <w:rFonts w:ascii="Times" w:hAnsi="Times"/>
        </w:rPr>
        <w:t xml:space="preserve"> </w:t>
      </w:r>
      <w:r w:rsidR="006E5139">
        <w:rPr>
          <w:rFonts w:ascii="Times" w:hAnsi="Times"/>
        </w:rPr>
        <w:t>our results are unaffected when estimating the models separate</w:t>
      </w:r>
      <w:r w:rsidR="00BE0758">
        <w:rPr>
          <w:rFonts w:ascii="Times" w:hAnsi="Times"/>
        </w:rPr>
        <w:t>l</w:t>
      </w:r>
      <w:r w:rsidR="006E5139">
        <w:rPr>
          <w:rFonts w:ascii="Times" w:hAnsi="Times"/>
        </w:rPr>
        <w:t>y</w:t>
      </w:r>
      <w:r w:rsidR="00BE0758">
        <w:rPr>
          <w:rFonts w:ascii="Times" w:hAnsi="Times"/>
        </w:rPr>
        <w:t xml:space="preserve"> by gender</w:t>
      </w:r>
      <w:r w:rsidR="006E5139">
        <w:rPr>
          <w:rFonts w:ascii="Times" w:hAnsi="Times"/>
        </w:rPr>
        <w:t xml:space="preserve">. </w:t>
      </w:r>
      <w:r w:rsidR="006E5139">
        <w:rPr>
          <w:color w:val="000000" w:themeColor="text1"/>
        </w:rPr>
        <w:t xml:space="preserve">Appendix </w:t>
      </w:r>
      <w:r w:rsidR="00584052">
        <w:rPr>
          <w:color w:val="000000" w:themeColor="text1"/>
        </w:rPr>
        <w:t>J</w:t>
      </w:r>
      <w:r w:rsidR="006E5139">
        <w:rPr>
          <w:color w:val="000000" w:themeColor="text1"/>
        </w:rPr>
        <w:t xml:space="preserve"> shows our results are unaffected by using a binary depressed/not depressed variable.</w:t>
      </w:r>
      <w:r w:rsidR="006E5139" w:rsidRPr="006E5139">
        <w:rPr>
          <w:rFonts w:ascii="Times" w:hAnsi="Times"/>
        </w:rPr>
        <w:t xml:space="preserve"> </w:t>
      </w:r>
      <w:r w:rsidR="009C5420">
        <w:rPr>
          <w:rFonts w:ascii="Times" w:hAnsi="Times"/>
        </w:rPr>
        <w:t xml:space="preserve">Appendix </w:t>
      </w:r>
      <w:r w:rsidR="00584052">
        <w:rPr>
          <w:rFonts w:ascii="Times" w:hAnsi="Times"/>
        </w:rPr>
        <w:t>K</w:t>
      </w:r>
      <w:r w:rsidR="00F41917">
        <w:rPr>
          <w:rFonts w:ascii="Times" w:hAnsi="Times"/>
        </w:rPr>
        <w:t xml:space="preserve"> </w:t>
      </w:r>
      <w:r w:rsidR="009C5420">
        <w:rPr>
          <w:rFonts w:ascii="Times" w:hAnsi="Times"/>
        </w:rPr>
        <w:t>shows</w:t>
      </w:r>
      <w:r w:rsidR="00BE0758">
        <w:rPr>
          <w:rFonts w:ascii="Times" w:hAnsi="Times"/>
        </w:rPr>
        <w:t xml:space="preserve"> </w:t>
      </w:r>
      <w:r w:rsidR="009C5420">
        <w:rPr>
          <w:rFonts w:ascii="Times" w:hAnsi="Times"/>
        </w:rPr>
        <w:t>gender differences in how depressive symptom</w:t>
      </w:r>
      <w:r w:rsidR="009E7764">
        <w:rPr>
          <w:rFonts w:ascii="Times" w:hAnsi="Times"/>
        </w:rPr>
        <w:t>s</w:t>
      </w:r>
      <w:r w:rsidR="009C5420">
        <w:rPr>
          <w:rFonts w:ascii="Times" w:hAnsi="Times"/>
        </w:rPr>
        <w:t xml:space="preserve"> shape political interest are consistent across countries and cultural regions of Europe, with women largely being more negatively affected than men. </w:t>
      </w:r>
      <w:r w:rsidR="006E5139">
        <w:rPr>
          <w:rFonts w:ascii="Times" w:hAnsi="Times"/>
        </w:rPr>
        <w:t xml:space="preserve">Appendix </w:t>
      </w:r>
      <w:r w:rsidR="00584052">
        <w:rPr>
          <w:rFonts w:ascii="Times" w:hAnsi="Times"/>
        </w:rPr>
        <w:t>L</w:t>
      </w:r>
      <w:r w:rsidR="006E5139">
        <w:rPr>
          <w:rFonts w:ascii="Times" w:hAnsi="Times"/>
        </w:rPr>
        <w:t xml:space="preserve"> reports analyses of individual symptoms and reveals consistent </w:t>
      </w:r>
      <w:r w:rsidR="005E26BD">
        <w:rPr>
          <w:rFonts w:ascii="Times" w:hAnsi="Times"/>
        </w:rPr>
        <w:t xml:space="preserve">results across </w:t>
      </w:r>
      <w:r w:rsidR="006E5139">
        <w:rPr>
          <w:rFonts w:ascii="Times" w:hAnsi="Times"/>
        </w:rPr>
        <w:t>gender</w:t>
      </w:r>
      <w:r w:rsidR="005E26BD">
        <w:rPr>
          <w:rFonts w:ascii="Times" w:hAnsi="Times"/>
        </w:rPr>
        <w:t>.</w:t>
      </w:r>
    </w:p>
    <w:p w14:paraId="45A122EE" w14:textId="386B4D3C" w:rsidR="009C5420" w:rsidRDefault="00D360E9" w:rsidP="00741695">
      <w:pPr>
        <w:spacing w:line="480" w:lineRule="auto"/>
        <w:rPr>
          <w:rFonts w:ascii="Times" w:hAnsi="Times"/>
          <w:bCs/>
        </w:rPr>
      </w:pPr>
      <w:r>
        <w:rPr>
          <w:rFonts w:ascii="Times" w:hAnsi="Times"/>
          <w:b/>
        </w:rPr>
        <w:tab/>
      </w:r>
      <w:r w:rsidR="00EB4458">
        <w:rPr>
          <w:rFonts w:ascii="Times" w:hAnsi="Times"/>
          <w:bCs/>
        </w:rPr>
        <w:t>Finally, we</w:t>
      </w:r>
      <w:r w:rsidR="00784388">
        <w:rPr>
          <w:rFonts w:ascii="Times" w:hAnsi="Times"/>
          <w:bCs/>
        </w:rPr>
        <w:t xml:space="preserve"> turn to the mediation models</w:t>
      </w:r>
      <w:r w:rsidR="00E00BB9">
        <w:rPr>
          <w:rFonts w:ascii="Times" w:hAnsi="Times"/>
          <w:bCs/>
        </w:rPr>
        <w:t xml:space="preserve"> to</w:t>
      </w:r>
      <w:r w:rsidR="00784388">
        <w:rPr>
          <w:rFonts w:ascii="Times" w:hAnsi="Times"/>
          <w:bCs/>
        </w:rPr>
        <w:t xml:space="preserve"> estimate how much of the gender gap in political interest can be explained by </w:t>
      </w:r>
      <w:r w:rsidR="00CB66CF">
        <w:rPr>
          <w:rFonts w:ascii="Times" w:hAnsi="Times"/>
          <w:bCs/>
        </w:rPr>
        <w:t>depression, both because of its greater prevalence and stronger impact on political interest among women</w:t>
      </w:r>
      <w:r w:rsidR="00784388">
        <w:rPr>
          <w:rFonts w:ascii="Times" w:hAnsi="Times"/>
          <w:bCs/>
        </w:rPr>
        <w:t>.</w:t>
      </w:r>
      <w:r w:rsidR="0096143D">
        <w:rPr>
          <w:rFonts w:ascii="Times" w:hAnsi="Times"/>
          <w:bCs/>
        </w:rPr>
        <w:t xml:space="preserve"> The results from the ESS analysis indicate that depressive symptoms account for about 3% of the gap</w:t>
      </w:r>
      <w:r w:rsidR="00A305B0">
        <w:rPr>
          <w:rFonts w:ascii="Times" w:hAnsi="Times"/>
          <w:bCs/>
        </w:rPr>
        <w:t xml:space="preserve"> on average</w:t>
      </w:r>
      <w:r w:rsidR="0096143D">
        <w:rPr>
          <w:rFonts w:ascii="Times" w:hAnsi="Times"/>
          <w:bCs/>
        </w:rPr>
        <w:t>.</w:t>
      </w:r>
      <w:r w:rsidR="00A305B0">
        <w:rPr>
          <w:rFonts w:ascii="Times" w:hAnsi="Times"/>
          <w:bCs/>
        </w:rPr>
        <w:t xml:space="preserve"> The</w:t>
      </w:r>
      <w:r w:rsidR="0096143D">
        <w:rPr>
          <w:rFonts w:ascii="Times" w:hAnsi="Times"/>
          <w:bCs/>
        </w:rPr>
        <w:t xml:space="preserve"> results of the GESIS analysis indicate a much smaller mediated effect—less than 1% when using either contemporaneous or persistent symptoms. </w:t>
      </w:r>
      <w:r w:rsidR="000C1754">
        <w:rPr>
          <w:rFonts w:ascii="Times" w:hAnsi="Times"/>
          <w:bCs/>
        </w:rPr>
        <w:t>In contrast, i</w:t>
      </w:r>
      <w:r w:rsidR="0096143D">
        <w:rPr>
          <w:rFonts w:ascii="Times" w:hAnsi="Times"/>
          <w:bCs/>
        </w:rPr>
        <w:t>f we reanalyze the ESS data using only German</w:t>
      </w:r>
      <w:r w:rsidR="000C1754">
        <w:rPr>
          <w:rFonts w:ascii="Times" w:hAnsi="Times"/>
          <w:bCs/>
        </w:rPr>
        <w:t xml:space="preserve"> respondents</w:t>
      </w:r>
      <w:r w:rsidR="0096143D">
        <w:rPr>
          <w:rFonts w:ascii="Times" w:hAnsi="Times"/>
          <w:bCs/>
        </w:rPr>
        <w:t xml:space="preserve"> to make it comparable to the GESIS, the results</w:t>
      </w:r>
      <w:r w:rsidR="000C1754">
        <w:rPr>
          <w:rFonts w:ascii="Times" w:hAnsi="Times"/>
          <w:bCs/>
        </w:rPr>
        <w:t xml:space="preserve"> show</w:t>
      </w:r>
      <w:r w:rsidR="0096143D">
        <w:rPr>
          <w:rFonts w:ascii="Times" w:hAnsi="Times"/>
          <w:bCs/>
        </w:rPr>
        <w:t xml:space="preserve"> that nearly 5% of the gender gap in political interest </w:t>
      </w:r>
      <w:r w:rsidR="000C1754">
        <w:rPr>
          <w:rFonts w:ascii="Times" w:hAnsi="Times"/>
          <w:bCs/>
        </w:rPr>
        <w:t>is</w:t>
      </w:r>
      <w:r w:rsidR="0096143D">
        <w:rPr>
          <w:rFonts w:ascii="Times" w:hAnsi="Times"/>
          <w:bCs/>
        </w:rPr>
        <w:t xml:space="preserve"> accounted for by depressive symptoms. </w:t>
      </w:r>
      <w:r w:rsidR="000C1754">
        <w:rPr>
          <w:rFonts w:ascii="Times" w:hAnsi="Times"/>
          <w:bCs/>
        </w:rPr>
        <w:t xml:space="preserve">Appendix M reports the full results from these mediation analyses. </w:t>
      </w:r>
      <w:r w:rsidR="0096143D">
        <w:rPr>
          <w:rFonts w:ascii="Times" w:hAnsi="Times"/>
          <w:bCs/>
        </w:rPr>
        <w:t xml:space="preserve">Altogether, the findings indicate </w:t>
      </w:r>
      <w:r w:rsidR="000C1754">
        <w:rPr>
          <w:rFonts w:ascii="Times" w:hAnsi="Times"/>
          <w:bCs/>
        </w:rPr>
        <w:t xml:space="preserve">that </w:t>
      </w:r>
      <w:r w:rsidR="0096143D">
        <w:rPr>
          <w:rFonts w:ascii="Times" w:hAnsi="Times"/>
          <w:bCs/>
        </w:rPr>
        <w:t>depressive symptoms mediate a small but non-trivial portion of the gap.</w:t>
      </w:r>
    </w:p>
    <w:p w14:paraId="0C89F3B6" w14:textId="77777777" w:rsidR="00D360E9" w:rsidRPr="007E255B" w:rsidRDefault="00D360E9" w:rsidP="00741695">
      <w:pPr>
        <w:spacing w:line="480" w:lineRule="auto"/>
        <w:rPr>
          <w:rFonts w:ascii="Times" w:hAnsi="Times"/>
          <w:bCs/>
        </w:rPr>
      </w:pPr>
    </w:p>
    <w:p w14:paraId="5980F3E0" w14:textId="3146C69E" w:rsidR="00741695" w:rsidRDefault="00B0345F" w:rsidP="00741695">
      <w:pPr>
        <w:spacing w:line="480" w:lineRule="auto"/>
        <w:rPr>
          <w:rFonts w:ascii="Times" w:hAnsi="Times"/>
        </w:rPr>
      </w:pPr>
      <w:r>
        <w:rPr>
          <w:rFonts w:ascii="Times" w:hAnsi="Times"/>
          <w:b/>
        </w:rPr>
        <w:t>Conclusion</w:t>
      </w:r>
    </w:p>
    <w:p w14:paraId="309142E8" w14:textId="1F2B1A66" w:rsidR="00B0345F" w:rsidRDefault="00B0345F" w:rsidP="00741695">
      <w:pPr>
        <w:spacing w:line="480" w:lineRule="auto"/>
        <w:ind w:firstLine="720"/>
        <w:rPr>
          <w:rFonts w:ascii="Times" w:hAnsi="Times"/>
        </w:rPr>
      </w:pPr>
      <w:r>
        <w:rPr>
          <w:rFonts w:ascii="Times" w:hAnsi="Times"/>
        </w:rPr>
        <w:t xml:space="preserve">This paper </w:t>
      </w:r>
      <w:r w:rsidR="00E65EAE">
        <w:rPr>
          <w:rFonts w:ascii="Times" w:hAnsi="Times"/>
        </w:rPr>
        <w:t xml:space="preserve">highlighted depressive symptoms as </w:t>
      </w:r>
      <w:r w:rsidR="00031C9F">
        <w:rPr>
          <w:rFonts w:ascii="Times" w:hAnsi="Times"/>
        </w:rPr>
        <w:t>an</w:t>
      </w:r>
      <w:r w:rsidR="00E65EAE">
        <w:rPr>
          <w:rFonts w:ascii="Times" w:hAnsi="Times"/>
        </w:rPr>
        <w:t xml:space="preserve"> </w:t>
      </w:r>
      <w:r w:rsidR="00F82643">
        <w:rPr>
          <w:rFonts w:ascii="Times" w:hAnsi="Times"/>
        </w:rPr>
        <w:t>explanation for the persistent gender gap in political interest</w:t>
      </w:r>
      <w:r w:rsidR="00E65EAE">
        <w:rPr>
          <w:rFonts w:ascii="Times" w:hAnsi="Times"/>
        </w:rPr>
        <w:t xml:space="preserve">. </w:t>
      </w:r>
      <w:r w:rsidR="00031C9F">
        <w:rPr>
          <w:rFonts w:ascii="Times" w:hAnsi="Times"/>
        </w:rPr>
        <w:t xml:space="preserve">Even though the </w:t>
      </w:r>
      <w:r>
        <w:rPr>
          <w:rFonts w:ascii="Times" w:hAnsi="Times"/>
        </w:rPr>
        <w:t>biographies and living conditions</w:t>
      </w:r>
      <w:r w:rsidR="00031C9F">
        <w:rPr>
          <w:rFonts w:ascii="Times" w:hAnsi="Times"/>
        </w:rPr>
        <w:t xml:space="preserve"> of women and men</w:t>
      </w:r>
      <w:r>
        <w:rPr>
          <w:rFonts w:ascii="Times" w:hAnsi="Times"/>
        </w:rPr>
        <w:t xml:space="preserve"> have become far more similar</w:t>
      </w:r>
      <w:r w:rsidR="00031C9F">
        <w:rPr>
          <w:rFonts w:ascii="Times" w:hAnsi="Times"/>
        </w:rPr>
        <w:t xml:space="preserve"> in developed democracies</w:t>
      </w:r>
      <w:r>
        <w:rPr>
          <w:rFonts w:ascii="Times" w:hAnsi="Times"/>
        </w:rPr>
        <w:t xml:space="preserve"> over the last 50 years, differences</w:t>
      </w:r>
      <w:r w:rsidR="00F82643">
        <w:rPr>
          <w:rFonts w:ascii="Times" w:hAnsi="Times"/>
        </w:rPr>
        <w:t xml:space="preserve"> in political attitudes and behavior, and most notably, political interest, persist</w:t>
      </w:r>
      <w:r>
        <w:rPr>
          <w:rFonts w:ascii="Times" w:hAnsi="Times"/>
        </w:rPr>
        <w:t>. Given</w:t>
      </w:r>
      <w:r w:rsidR="00031C9F">
        <w:rPr>
          <w:rFonts w:ascii="Times" w:hAnsi="Times"/>
        </w:rPr>
        <w:t xml:space="preserve"> the</w:t>
      </w:r>
      <w:r>
        <w:rPr>
          <w:rFonts w:ascii="Times" w:hAnsi="Times"/>
        </w:rPr>
        <w:t xml:space="preserve"> </w:t>
      </w:r>
      <w:r w:rsidR="00031C9F">
        <w:rPr>
          <w:rFonts w:ascii="Times" w:hAnsi="Times"/>
        </w:rPr>
        <w:t>crucial role of</w:t>
      </w:r>
      <w:r>
        <w:rPr>
          <w:rFonts w:ascii="Times" w:hAnsi="Times"/>
        </w:rPr>
        <w:t xml:space="preserve"> </w:t>
      </w:r>
      <w:r w:rsidR="00484F02">
        <w:rPr>
          <w:rFonts w:ascii="Times" w:hAnsi="Times"/>
        </w:rPr>
        <w:t xml:space="preserve">political interest </w:t>
      </w:r>
      <w:r w:rsidR="00031C9F">
        <w:rPr>
          <w:rFonts w:ascii="Times" w:hAnsi="Times"/>
        </w:rPr>
        <w:t xml:space="preserve">in motivating </w:t>
      </w:r>
      <w:r w:rsidR="00484F02">
        <w:rPr>
          <w:rFonts w:ascii="Times" w:hAnsi="Times"/>
        </w:rPr>
        <w:t>participation and</w:t>
      </w:r>
      <w:r w:rsidR="00031C9F">
        <w:rPr>
          <w:rFonts w:ascii="Times" w:hAnsi="Times"/>
        </w:rPr>
        <w:t xml:space="preserve"> the fact that </w:t>
      </w:r>
      <w:r>
        <w:rPr>
          <w:rFonts w:ascii="Times" w:hAnsi="Times"/>
        </w:rPr>
        <w:t>depression</w:t>
      </w:r>
      <w:r w:rsidR="00747839">
        <w:rPr>
          <w:rFonts w:ascii="Times" w:hAnsi="Times"/>
        </w:rPr>
        <w:t xml:space="preserve"> inhibits</w:t>
      </w:r>
      <w:r w:rsidR="00031C9F">
        <w:rPr>
          <w:rFonts w:ascii="Times" w:hAnsi="Times"/>
        </w:rPr>
        <w:t xml:space="preserve"> </w:t>
      </w:r>
      <w:r>
        <w:rPr>
          <w:rFonts w:ascii="Times" w:hAnsi="Times"/>
        </w:rPr>
        <w:lastRenderedPageBreak/>
        <w:t>participation</w:t>
      </w:r>
      <w:r w:rsidR="00FB2420">
        <w:rPr>
          <w:rFonts w:ascii="Times" w:hAnsi="Times"/>
        </w:rPr>
        <w:t xml:space="preserve"> (</w:t>
      </w:r>
      <w:proofErr w:type="spellStart"/>
      <w:r w:rsidR="00FB2420">
        <w:rPr>
          <w:rFonts w:ascii="Times" w:hAnsi="Times"/>
        </w:rPr>
        <w:t>Landwehr</w:t>
      </w:r>
      <w:proofErr w:type="spellEnd"/>
      <w:r w:rsidR="00FB2420">
        <w:rPr>
          <w:rFonts w:ascii="Times" w:hAnsi="Times"/>
        </w:rPr>
        <w:t xml:space="preserve"> and Ojeda 2021)</w:t>
      </w:r>
      <w:r w:rsidR="00031C9F">
        <w:rPr>
          <w:rFonts w:ascii="Times" w:hAnsi="Times"/>
        </w:rPr>
        <w:t xml:space="preserve">, </w:t>
      </w:r>
      <w:r w:rsidR="00B96A74">
        <w:rPr>
          <w:rFonts w:ascii="Times" w:hAnsi="Times"/>
        </w:rPr>
        <w:t xml:space="preserve">we </w:t>
      </w:r>
      <w:r w:rsidR="00484F02">
        <w:rPr>
          <w:rFonts w:ascii="Times" w:hAnsi="Times"/>
        </w:rPr>
        <w:t xml:space="preserve">set off to explore </w:t>
      </w:r>
      <w:r w:rsidR="00E65EAE">
        <w:rPr>
          <w:rFonts w:ascii="Times" w:hAnsi="Times"/>
        </w:rPr>
        <w:t>whether</w:t>
      </w:r>
      <w:r w:rsidR="00484F02">
        <w:rPr>
          <w:rFonts w:ascii="Times" w:hAnsi="Times"/>
        </w:rPr>
        <w:t xml:space="preserve"> depression undermine</w:t>
      </w:r>
      <w:r w:rsidR="00E65EAE">
        <w:rPr>
          <w:rFonts w:ascii="Times" w:hAnsi="Times"/>
        </w:rPr>
        <w:t xml:space="preserve">s </w:t>
      </w:r>
      <w:r w:rsidR="00484F02">
        <w:rPr>
          <w:rFonts w:ascii="Times" w:hAnsi="Times"/>
        </w:rPr>
        <w:t>political interest in women</w:t>
      </w:r>
      <w:r>
        <w:rPr>
          <w:rFonts w:ascii="Times" w:hAnsi="Times"/>
        </w:rPr>
        <w:t xml:space="preserve">. </w:t>
      </w:r>
    </w:p>
    <w:p w14:paraId="1798050A" w14:textId="75ECA9F2" w:rsidR="00296AEF" w:rsidRDefault="00484F02" w:rsidP="00747839">
      <w:pPr>
        <w:spacing w:line="480" w:lineRule="auto"/>
        <w:ind w:firstLine="720"/>
        <w:rPr>
          <w:rFonts w:ascii="Times" w:hAnsi="Times"/>
        </w:rPr>
      </w:pPr>
      <w:r>
        <w:rPr>
          <w:rFonts w:ascii="Times" w:hAnsi="Times"/>
        </w:rPr>
        <w:t>D</w:t>
      </w:r>
      <w:r w:rsidR="004B242D">
        <w:rPr>
          <w:rFonts w:ascii="Times" w:hAnsi="Times"/>
        </w:rPr>
        <w:t>rawing on data from the ESS, a large study of European countries, as well as longitudinal data from the German GESIS panel</w:t>
      </w:r>
      <w:r>
        <w:rPr>
          <w:rFonts w:ascii="Times" w:hAnsi="Times"/>
        </w:rPr>
        <w:t>, we tested t</w:t>
      </w:r>
      <w:r w:rsidR="00E65EAE">
        <w:rPr>
          <w:rFonts w:ascii="Times" w:hAnsi="Times"/>
        </w:rPr>
        <w:t>hree</w:t>
      </w:r>
      <w:r>
        <w:rPr>
          <w:rFonts w:ascii="Times" w:hAnsi="Times"/>
        </w:rPr>
        <w:t xml:space="preserve"> hypotheses: </w:t>
      </w:r>
      <w:r w:rsidR="00747839">
        <w:rPr>
          <w:rFonts w:ascii="Times" w:hAnsi="Times"/>
        </w:rPr>
        <w:t>first</w:t>
      </w:r>
      <w:r>
        <w:rPr>
          <w:rFonts w:ascii="Times" w:hAnsi="Times"/>
        </w:rPr>
        <w:t xml:space="preserve"> that </w:t>
      </w:r>
      <w:r>
        <w:t>depressive symptoms reduce political interest</w:t>
      </w:r>
      <w:r w:rsidR="00E65EAE">
        <w:t xml:space="preserve">, secondly that symptoms are more potent when persistent, and thirdly that symptoms affect the interest of women more strongly. </w:t>
      </w:r>
      <w:r w:rsidR="009A0522">
        <w:rPr>
          <w:rFonts w:ascii="Times" w:hAnsi="Times"/>
        </w:rPr>
        <w:t>Our analysis provides support</w:t>
      </w:r>
      <w:r w:rsidR="00E65EAE">
        <w:rPr>
          <w:rFonts w:ascii="Times" w:hAnsi="Times"/>
        </w:rPr>
        <w:t xml:space="preserve"> for the </w:t>
      </w:r>
      <w:r w:rsidR="00E65EAE" w:rsidRPr="00E65EAE">
        <w:rPr>
          <w:rFonts w:ascii="Times" w:hAnsi="Times"/>
          <w:i/>
          <w:iCs/>
        </w:rPr>
        <w:t>general depression hypothesis</w:t>
      </w:r>
      <w:r w:rsidR="00E65EAE">
        <w:rPr>
          <w:rFonts w:ascii="Times" w:hAnsi="Times"/>
        </w:rPr>
        <w:t>, mixed support</w:t>
      </w:r>
      <w:r w:rsidR="009A0522">
        <w:rPr>
          <w:rFonts w:ascii="Times" w:hAnsi="Times"/>
        </w:rPr>
        <w:t xml:space="preserve"> for the </w:t>
      </w:r>
      <w:r w:rsidR="002D3C3D" w:rsidRPr="00E65EAE">
        <w:rPr>
          <w:rFonts w:ascii="Times" w:hAnsi="Times"/>
          <w:i/>
          <w:iCs/>
        </w:rPr>
        <w:t>gender disparity</w:t>
      </w:r>
      <w:r w:rsidR="009A0522" w:rsidRPr="00E65EAE">
        <w:rPr>
          <w:rFonts w:ascii="Times" w:hAnsi="Times"/>
          <w:i/>
          <w:iCs/>
        </w:rPr>
        <w:t xml:space="preserve"> hypothesi</w:t>
      </w:r>
      <w:r w:rsidR="00E65EAE" w:rsidRPr="00E65EAE">
        <w:rPr>
          <w:rFonts w:ascii="Times" w:hAnsi="Times"/>
          <w:i/>
          <w:iCs/>
        </w:rPr>
        <w:t>s</w:t>
      </w:r>
      <w:r w:rsidR="00E65EAE">
        <w:rPr>
          <w:rFonts w:ascii="Times" w:hAnsi="Times"/>
        </w:rPr>
        <w:t xml:space="preserve">, and no support for the </w:t>
      </w:r>
      <w:r w:rsidR="00E65EAE" w:rsidRPr="00E65EAE">
        <w:rPr>
          <w:rFonts w:ascii="Times" w:hAnsi="Times"/>
          <w:i/>
          <w:iCs/>
        </w:rPr>
        <w:t>persistent symptoms</w:t>
      </w:r>
      <w:r w:rsidR="00E65EAE">
        <w:rPr>
          <w:rFonts w:ascii="Times" w:hAnsi="Times"/>
          <w:i/>
          <w:iCs/>
        </w:rPr>
        <w:t xml:space="preserve"> </w:t>
      </w:r>
      <w:r w:rsidR="00E65EAE" w:rsidRPr="00E65EAE">
        <w:rPr>
          <w:rFonts w:ascii="Times" w:hAnsi="Times"/>
          <w:i/>
          <w:iCs/>
        </w:rPr>
        <w:t>hypothesis</w:t>
      </w:r>
      <w:r w:rsidR="00E65EAE">
        <w:rPr>
          <w:rFonts w:ascii="Times" w:hAnsi="Times"/>
        </w:rPr>
        <w:t>.</w:t>
      </w:r>
      <w:r w:rsidR="00E65EAE" w:rsidRPr="00E65EAE">
        <w:rPr>
          <w:rFonts w:ascii="Times" w:hAnsi="Times"/>
        </w:rPr>
        <w:t xml:space="preserve"> </w:t>
      </w:r>
      <w:r w:rsidR="00E65EAE">
        <w:rPr>
          <w:rFonts w:ascii="Times" w:hAnsi="Times"/>
        </w:rPr>
        <w:t>We thus conclude that even subclinical and short-lived depressive symptoms can dampen political interest, perhaps more so for women than men.</w:t>
      </w:r>
      <w:r w:rsidR="00B96A74">
        <w:rPr>
          <w:rFonts w:ascii="Times" w:hAnsi="Times"/>
        </w:rPr>
        <w:t xml:space="preserve"> </w:t>
      </w:r>
      <w:r w:rsidR="00FD76CB">
        <w:rPr>
          <w:rFonts w:ascii="Times" w:hAnsi="Times"/>
        </w:rPr>
        <w:t xml:space="preserve">The finding </w:t>
      </w:r>
      <w:r w:rsidR="002D3C3D">
        <w:rPr>
          <w:rFonts w:ascii="Times" w:hAnsi="Times"/>
        </w:rPr>
        <w:t xml:space="preserve">against the </w:t>
      </w:r>
      <w:r w:rsidR="002D3C3D" w:rsidRPr="00E65EAE">
        <w:rPr>
          <w:rFonts w:ascii="Times" w:hAnsi="Times"/>
          <w:i/>
          <w:iCs/>
        </w:rPr>
        <w:t>persistent symptoms hypothesis</w:t>
      </w:r>
      <w:r w:rsidR="002D3C3D">
        <w:rPr>
          <w:rFonts w:ascii="Times" w:hAnsi="Times"/>
        </w:rPr>
        <w:t xml:space="preserve"> </w:t>
      </w:r>
      <w:r w:rsidR="00FD76CB">
        <w:rPr>
          <w:rFonts w:ascii="Times" w:hAnsi="Times"/>
        </w:rPr>
        <w:t xml:space="preserve">may actually lend greater support to our argument </w:t>
      </w:r>
      <w:proofErr w:type="gramStart"/>
      <w:r w:rsidR="00FD76CB">
        <w:rPr>
          <w:rFonts w:ascii="Times" w:hAnsi="Times"/>
        </w:rPr>
        <w:t>that</w:t>
      </w:r>
      <w:r w:rsidR="00FD76CB" w:rsidRPr="00B447F3">
        <w:rPr>
          <w:rFonts w:ascii="Times" w:hAnsi="Times"/>
          <w:lang w:val="en-GB"/>
        </w:rPr>
        <w:t xml:space="preserve"> differences</w:t>
      </w:r>
      <w:proofErr w:type="gramEnd"/>
      <w:r w:rsidR="00FD76CB" w:rsidRPr="00B447F3">
        <w:rPr>
          <w:rFonts w:ascii="Times" w:hAnsi="Times"/>
          <w:lang w:val="en-GB"/>
        </w:rPr>
        <w:t xml:space="preserve"> in coping </w:t>
      </w:r>
      <w:r w:rsidR="00FD76CB">
        <w:rPr>
          <w:rFonts w:ascii="Times" w:hAnsi="Times"/>
          <w:lang w:val="en-GB"/>
        </w:rPr>
        <w:t>strategies</w:t>
      </w:r>
      <w:r w:rsidR="00FD76CB" w:rsidRPr="00B447F3">
        <w:rPr>
          <w:rFonts w:ascii="Times" w:hAnsi="Times"/>
          <w:lang w:val="en-GB"/>
        </w:rPr>
        <w:t xml:space="preserve"> </w:t>
      </w:r>
      <w:r w:rsidR="00FD76CB">
        <w:rPr>
          <w:rFonts w:ascii="Times" w:hAnsi="Times"/>
          <w:lang w:val="en-GB"/>
        </w:rPr>
        <w:t>account for the</w:t>
      </w:r>
      <w:r w:rsidR="00FD76CB" w:rsidRPr="00B447F3">
        <w:rPr>
          <w:rFonts w:ascii="Times" w:hAnsi="Times"/>
          <w:lang w:val="en-GB"/>
        </w:rPr>
        <w:t xml:space="preserve"> gender differences </w:t>
      </w:r>
      <w:r w:rsidR="00FD76CB">
        <w:rPr>
          <w:rFonts w:ascii="Times" w:hAnsi="Times"/>
          <w:lang w:val="en-GB"/>
        </w:rPr>
        <w:t>we observe</w:t>
      </w:r>
      <w:r w:rsidR="00FD76CB" w:rsidRPr="00B447F3">
        <w:rPr>
          <w:rFonts w:ascii="Times" w:hAnsi="Times"/>
          <w:lang w:val="en-GB"/>
        </w:rPr>
        <w:t>.</w:t>
      </w:r>
      <w:r w:rsidR="00FD76CB">
        <w:rPr>
          <w:rFonts w:ascii="Times" w:hAnsi="Times"/>
          <w:lang w:val="en-GB"/>
        </w:rPr>
        <w:t xml:space="preserve"> If c</w:t>
      </w:r>
      <w:r w:rsidR="00FD76CB" w:rsidRPr="00B447F3">
        <w:rPr>
          <w:rFonts w:ascii="Times" w:hAnsi="Times"/>
          <w:lang w:val="en-GB"/>
        </w:rPr>
        <w:t xml:space="preserve">oping strategies are </w:t>
      </w:r>
      <w:r w:rsidR="00FD76CB">
        <w:rPr>
          <w:rFonts w:ascii="Times" w:hAnsi="Times"/>
          <w:lang w:val="en-GB"/>
        </w:rPr>
        <w:t xml:space="preserve">applied </w:t>
      </w:r>
      <w:r w:rsidR="00FD76CB" w:rsidRPr="00B447F3">
        <w:rPr>
          <w:rFonts w:ascii="Times" w:hAnsi="Times"/>
          <w:lang w:val="en-GB"/>
        </w:rPr>
        <w:t>as symptoms are experienced</w:t>
      </w:r>
      <w:r w:rsidR="00FD76CB">
        <w:rPr>
          <w:rFonts w:ascii="Times" w:hAnsi="Times"/>
          <w:lang w:val="en-GB"/>
        </w:rPr>
        <w:t>, then we would expect</w:t>
      </w:r>
      <w:r w:rsidR="00FD76CB" w:rsidRPr="00B447F3">
        <w:rPr>
          <w:rFonts w:ascii="Times" w:hAnsi="Times"/>
          <w:lang w:val="en-GB"/>
        </w:rPr>
        <w:t xml:space="preserve"> </w:t>
      </w:r>
      <w:r w:rsidR="00FD76CB">
        <w:rPr>
          <w:rFonts w:ascii="Times" w:hAnsi="Times"/>
          <w:lang w:val="en-GB"/>
        </w:rPr>
        <w:t>rumination to dampen</w:t>
      </w:r>
      <w:r w:rsidR="00FD76CB" w:rsidRPr="00B447F3">
        <w:rPr>
          <w:rFonts w:ascii="Times" w:hAnsi="Times"/>
          <w:lang w:val="en-GB"/>
        </w:rPr>
        <w:t xml:space="preserve"> </w:t>
      </w:r>
      <w:r w:rsidR="00FD76CB">
        <w:rPr>
          <w:rFonts w:ascii="Times" w:hAnsi="Times"/>
          <w:lang w:val="en-GB"/>
        </w:rPr>
        <w:t>political interest irrespective of whether symptoms have persisted over time.</w:t>
      </w:r>
      <w:r w:rsidR="00747839">
        <w:rPr>
          <w:rFonts w:ascii="Times" w:hAnsi="Times"/>
        </w:rPr>
        <w:t xml:space="preserve"> </w:t>
      </w:r>
      <w:r w:rsidR="00FD18A3">
        <w:rPr>
          <w:rFonts w:ascii="Times" w:hAnsi="Times"/>
        </w:rPr>
        <w:t>What is more</w:t>
      </w:r>
      <w:r w:rsidR="00B0345F">
        <w:rPr>
          <w:rFonts w:ascii="Times" w:hAnsi="Times"/>
        </w:rPr>
        <w:t xml:space="preserve">, our estimation may </w:t>
      </w:r>
      <w:r w:rsidR="00A95F2D">
        <w:rPr>
          <w:rFonts w:ascii="Times" w:hAnsi="Times"/>
        </w:rPr>
        <w:t>be rather</w:t>
      </w:r>
      <w:r w:rsidR="00B0345F">
        <w:rPr>
          <w:rFonts w:ascii="Times" w:hAnsi="Times"/>
        </w:rPr>
        <w:t xml:space="preserve"> conservative</w:t>
      </w:r>
      <w:r w:rsidR="00747839">
        <w:rPr>
          <w:rFonts w:ascii="Times" w:hAnsi="Times"/>
        </w:rPr>
        <w:t>, because su</w:t>
      </w:r>
      <w:r w:rsidR="00B0345F">
        <w:rPr>
          <w:rFonts w:ascii="Times" w:hAnsi="Times"/>
        </w:rPr>
        <w:t>fferers of clinical depression are less likely to participate in surveys and we may thus assume that the negative effects of depression on political interest are even stronger in this group.</w:t>
      </w:r>
      <w:r w:rsidR="00FB6C9D">
        <w:rPr>
          <w:rFonts w:ascii="Times" w:hAnsi="Times"/>
        </w:rPr>
        <w:t xml:space="preserve"> </w:t>
      </w:r>
      <w:r w:rsidR="005A1B90">
        <w:rPr>
          <w:rFonts w:ascii="Times" w:hAnsi="Times"/>
        </w:rPr>
        <w:t>D</w:t>
      </w:r>
      <w:r w:rsidR="00FF7E7C">
        <w:rPr>
          <w:rFonts w:ascii="Times" w:hAnsi="Times"/>
        </w:rPr>
        <w:t xml:space="preserve">espite our robustness checks, we cannot </w:t>
      </w:r>
      <w:r w:rsidR="005A1B90">
        <w:rPr>
          <w:rFonts w:ascii="Times" w:hAnsi="Times"/>
        </w:rPr>
        <w:t xml:space="preserve">however </w:t>
      </w:r>
      <w:r w:rsidR="00FF7E7C">
        <w:rPr>
          <w:rFonts w:ascii="Times" w:hAnsi="Times"/>
        </w:rPr>
        <w:t>fully rule out the possibility that men under-report depressive symptoms and over-report their political interest because of social desirability bias.</w:t>
      </w:r>
    </w:p>
    <w:p w14:paraId="3261CCCF" w14:textId="13409051" w:rsidR="00647B56" w:rsidRDefault="005A1B90" w:rsidP="00647B56">
      <w:pPr>
        <w:spacing w:line="480" w:lineRule="auto"/>
        <w:ind w:firstLine="720"/>
        <w:rPr>
          <w:rFonts w:ascii="Times" w:hAnsi="Times"/>
        </w:rPr>
      </w:pPr>
      <w:r>
        <w:rPr>
          <w:rFonts w:ascii="Times" w:hAnsi="Times"/>
        </w:rPr>
        <w:t>Overall, although we could not test here for the effect of rumination</w:t>
      </w:r>
      <w:r w:rsidR="00647B56">
        <w:rPr>
          <w:rFonts w:ascii="Times" w:hAnsi="Times"/>
        </w:rPr>
        <w:t xml:space="preserve"> directly</w:t>
      </w:r>
      <w:r>
        <w:rPr>
          <w:rFonts w:ascii="Times" w:hAnsi="Times"/>
        </w:rPr>
        <w:t>, our results have a great potential to help explain the lower political interest of women</w:t>
      </w:r>
      <w:r w:rsidR="002F1E21">
        <w:rPr>
          <w:rFonts w:ascii="Times" w:hAnsi="Times"/>
        </w:rPr>
        <w:t>, which may considerably reduce the extent to which women make use of their political voice options.</w:t>
      </w:r>
      <w:r>
        <w:rPr>
          <w:rFonts w:ascii="Times" w:hAnsi="Times"/>
        </w:rPr>
        <w:t xml:space="preserve"> </w:t>
      </w:r>
      <w:r w:rsidR="00AE1FFA">
        <w:rPr>
          <w:rFonts w:ascii="Times" w:hAnsi="Times"/>
        </w:rPr>
        <w:t>We thus need to</w:t>
      </w:r>
      <w:r w:rsidR="002F1E21">
        <w:rPr>
          <w:rFonts w:ascii="Times" w:hAnsi="Times"/>
        </w:rPr>
        <w:t xml:space="preserve"> reflect on </w:t>
      </w:r>
      <w:r w:rsidR="00647B56">
        <w:rPr>
          <w:rFonts w:ascii="Times" w:hAnsi="Times"/>
        </w:rPr>
        <w:t xml:space="preserve">the ways in which millennia of gender oppression </w:t>
      </w:r>
      <w:r w:rsidR="002F1E21">
        <w:rPr>
          <w:rFonts w:ascii="Times" w:hAnsi="Times"/>
        </w:rPr>
        <w:t xml:space="preserve">continue to </w:t>
      </w:r>
      <w:r w:rsidR="00647B56">
        <w:rPr>
          <w:rFonts w:ascii="Times" w:hAnsi="Times"/>
        </w:rPr>
        <w:t>further the development of depressive mood disorders</w:t>
      </w:r>
      <w:r w:rsidR="002F1E21">
        <w:rPr>
          <w:rFonts w:ascii="Times" w:hAnsi="Times"/>
        </w:rPr>
        <w:t xml:space="preserve"> in women</w:t>
      </w:r>
      <w:r w:rsidR="00647B56">
        <w:rPr>
          <w:rFonts w:ascii="Times" w:hAnsi="Times"/>
        </w:rPr>
        <w:t xml:space="preserve">. Social norms </w:t>
      </w:r>
      <w:r w:rsidR="002F1E21">
        <w:rPr>
          <w:rFonts w:ascii="Times" w:hAnsi="Times"/>
        </w:rPr>
        <w:t>still</w:t>
      </w:r>
      <w:r w:rsidR="00647B56">
        <w:rPr>
          <w:rFonts w:ascii="Times" w:hAnsi="Times"/>
        </w:rPr>
        <w:t xml:space="preserve"> </w:t>
      </w:r>
      <w:r w:rsidR="002F1E21">
        <w:rPr>
          <w:rFonts w:ascii="Times" w:hAnsi="Times"/>
        </w:rPr>
        <w:t xml:space="preserve">tend to </w:t>
      </w:r>
      <w:r w:rsidR="00647B56">
        <w:rPr>
          <w:rFonts w:ascii="Times" w:hAnsi="Times"/>
        </w:rPr>
        <w:t xml:space="preserve">require women </w:t>
      </w:r>
      <w:r w:rsidR="00647B56">
        <w:rPr>
          <w:rFonts w:ascii="Times" w:hAnsi="Times"/>
        </w:rPr>
        <w:lastRenderedPageBreak/>
        <w:t xml:space="preserve">to be gentle and caring rather than demanding and angry. If women’s </w:t>
      </w:r>
      <w:r w:rsidR="002F1E21">
        <w:rPr>
          <w:rFonts w:ascii="Times" w:hAnsi="Times"/>
        </w:rPr>
        <w:t xml:space="preserve">learned </w:t>
      </w:r>
      <w:r w:rsidR="00647B56">
        <w:rPr>
          <w:rFonts w:ascii="Times" w:hAnsi="Times"/>
        </w:rPr>
        <w:t xml:space="preserve">strategies in coping with negative emotions </w:t>
      </w:r>
      <w:r w:rsidR="00AE1FFA">
        <w:rPr>
          <w:rFonts w:ascii="Times" w:hAnsi="Times"/>
        </w:rPr>
        <w:t xml:space="preserve">therefore </w:t>
      </w:r>
      <w:r w:rsidR="00647B56">
        <w:rPr>
          <w:rFonts w:ascii="Times" w:hAnsi="Times"/>
        </w:rPr>
        <w:t>prevent them from externalizing these, this mean</w:t>
      </w:r>
      <w:r w:rsidR="0026027C">
        <w:rPr>
          <w:rFonts w:ascii="Times" w:hAnsi="Times"/>
        </w:rPr>
        <w:t>s</w:t>
      </w:r>
      <w:r w:rsidR="00647B56">
        <w:rPr>
          <w:rFonts w:ascii="Times" w:hAnsi="Times"/>
        </w:rPr>
        <w:t xml:space="preserve"> that in </w:t>
      </w:r>
      <w:r w:rsidR="002F1E21">
        <w:rPr>
          <w:rFonts w:ascii="Times" w:hAnsi="Times"/>
        </w:rPr>
        <w:t>societies</w:t>
      </w:r>
      <w:r w:rsidR="00647B56">
        <w:rPr>
          <w:rFonts w:ascii="Times" w:hAnsi="Times"/>
        </w:rPr>
        <w:t xml:space="preserve"> still in many respects stacked against them, women will on average be less likely </w:t>
      </w:r>
      <w:r w:rsidR="002F1E21">
        <w:rPr>
          <w:rFonts w:ascii="Times" w:hAnsi="Times"/>
        </w:rPr>
        <w:t>have</w:t>
      </w:r>
      <w:r w:rsidR="00647B56">
        <w:rPr>
          <w:rFonts w:ascii="Times" w:hAnsi="Times"/>
        </w:rPr>
        <w:t xml:space="preserve"> their voices heard</w:t>
      </w:r>
      <w:r w:rsidR="002F1E21">
        <w:rPr>
          <w:rFonts w:ascii="Times" w:hAnsi="Times"/>
        </w:rPr>
        <w:t xml:space="preserve"> and interests considered</w:t>
      </w:r>
      <w:r w:rsidR="00647B56">
        <w:rPr>
          <w:rFonts w:ascii="Times" w:hAnsi="Times"/>
        </w:rPr>
        <w:t xml:space="preserve"> in politics. </w:t>
      </w:r>
    </w:p>
    <w:p w14:paraId="06F4D1EC" w14:textId="1885EF6F" w:rsidR="00AE642E" w:rsidRDefault="002F1E21" w:rsidP="00885DCF">
      <w:pPr>
        <w:spacing w:line="480" w:lineRule="auto"/>
        <w:ind w:firstLine="720"/>
        <w:rPr>
          <w:rFonts w:ascii="Times" w:hAnsi="Times"/>
        </w:rPr>
      </w:pPr>
      <w:r>
        <w:rPr>
          <w:rFonts w:ascii="Times" w:hAnsi="Times"/>
        </w:rPr>
        <w:t>R</w:t>
      </w:r>
      <w:r w:rsidR="00B0345F">
        <w:rPr>
          <w:rFonts w:ascii="Times" w:hAnsi="Times"/>
        </w:rPr>
        <w:t xml:space="preserve">esearchers studying political behavior and/or gender equality should </w:t>
      </w:r>
      <w:r>
        <w:rPr>
          <w:rFonts w:ascii="Times" w:hAnsi="Times"/>
        </w:rPr>
        <w:t xml:space="preserve">thus </w:t>
      </w:r>
      <w:r w:rsidR="00B0345F">
        <w:rPr>
          <w:rFonts w:ascii="Times" w:hAnsi="Times"/>
        </w:rPr>
        <w:t xml:space="preserve">take depressive symptoms seriously as a determinant of political attitudes and participation and as a potential explanatory factor for the gender differences found here. </w:t>
      </w:r>
      <w:r w:rsidR="00FF7E7C">
        <w:rPr>
          <w:rFonts w:ascii="Times" w:hAnsi="Times"/>
        </w:rPr>
        <w:t xml:space="preserve">Although the effects </w:t>
      </w:r>
      <w:r w:rsidR="00934BBA">
        <w:rPr>
          <w:rFonts w:ascii="Times" w:hAnsi="Times"/>
        </w:rPr>
        <w:t>observed in our study are not huge,</w:t>
      </w:r>
      <w:r w:rsidR="00FF7E7C">
        <w:rPr>
          <w:rFonts w:ascii="Times" w:hAnsi="Times"/>
        </w:rPr>
        <w:t xml:space="preserve"> </w:t>
      </w:r>
      <w:r w:rsidR="00934BBA">
        <w:rPr>
          <w:rFonts w:ascii="Times" w:hAnsi="Times"/>
        </w:rPr>
        <w:t>f</w:t>
      </w:r>
      <w:r w:rsidR="00691A3A">
        <w:rPr>
          <w:rFonts w:ascii="Times" w:hAnsi="Times"/>
        </w:rPr>
        <w:t>uture</w:t>
      </w:r>
      <w:r w:rsidR="00F009C9">
        <w:rPr>
          <w:rFonts w:ascii="Times" w:hAnsi="Times"/>
        </w:rPr>
        <w:t xml:space="preserve"> analyses </w:t>
      </w:r>
      <w:r w:rsidR="00FA5B29">
        <w:rPr>
          <w:rFonts w:ascii="Times" w:hAnsi="Times"/>
        </w:rPr>
        <w:t>can and should further explore the</w:t>
      </w:r>
      <w:r w:rsidR="00934BBA">
        <w:rPr>
          <w:rFonts w:ascii="Times" w:hAnsi="Times"/>
        </w:rPr>
        <w:t xml:space="preserve"> mediating role of coping/emotion regulation strategies </w:t>
      </w:r>
      <w:r w:rsidR="00FA5B29">
        <w:rPr>
          <w:rFonts w:ascii="Times" w:hAnsi="Times"/>
        </w:rPr>
        <w:t>(see</w:t>
      </w:r>
      <w:r w:rsidR="00934BBA">
        <w:rPr>
          <w:rFonts w:ascii="Times" w:hAnsi="Times"/>
        </w:rPr>
        <w:t xml:space="preserve"> </w:t>
      </w:r>
      <w:proofErr w:type="spellStart"/>
      <w:r w:rsidR="00934BBA">
        <w:rPr>
          <w:rFonts w:ascii="Times" w:hAnsi="Times"/>
        </w:rPr>
        <w:t>Bernardi</w:t>
      </w:r>
      <w:proofErr w:type="spellEnd"/>
      <w:r w:rsidR="00934BBA">
        <w:rPr>
          <w:rFonts w:ascii="Times" w:hAnsi="Times"/>
        </w:rPr>
        <w:t xml:space="preserve"> et al. 2022</w:t>
      </w:r>
      <w:r w:rsidR="00FA5B29">
        <w:rPr>
          <w:rFonts w:ascii="Times" w:hAnsi="Times"/>
        </w:rPr>
        <w:t>)</w:t>
      </w:r>
      <w:r w:rsidR="00C61433">
        <w:rPr>
          <w:rFonts w:ascii="Times" w:hAnsi="Times"/>
        </w:rPr>
        <w:t>.</w:t>
      </w:r>
      <w:r w:rsidR="00FA5B29">
        <w:rPr>
          <w:rFonts w:ascii="Times" w:hAnsi="Times"/>
        </w:rPr>
        <w:t xml:space="preserve"> </w:t>
      </w:r>
      <w:r w:rsidR="00C61433">
        <w:rPr>
          <w:rFonts w:ascii="Times" w:hAnsi="Times"/>
        </w:rPr>
        <w:t>T</w:t>
      </w:r>
      <w:r w:rsidR="00FA5B29">
        <w:rPr>
          <w:rFonts w:ascii="Times" w:hAnsi="Times"/>
        </w:rPr>
        <w:t>he significance of</w:t>
      </w:r>
      <w:r w:rsidR="00934BBA">
        <w:rPr>
          <w:rFonts w:ascii="Times" w:hAnsi="Times"/>
        </w:rPr>
        <w:t xml:space="preserve"> c</w:t>
      </w:r>
      <w:r w:rsidR="004A21BF">
        <w:rPr>
          <w:rFonts w:ascii="Times" w:hAnsi="Times"/>
        </w:rPr>
        <w:t xml:space="preserve">ultural differences </w:t>
      </w:r>
      <w:r w:rsidR="00885DCF">
        <w:rPr>
          <w:rFonts w:ascii="Times" w:hAnsi="Times"/>
        </w:rPr>
        <w:t>regarding</w:t>
      </w:r>
      <w:r w:rsidR="00FA5B29">
        <w:rPr>
          <w:rFonts w:ascii="Times" w:hAnsi="Times"/>
        </w:rPr>
        <w:t xml:space="preserve"> gender stereotypes and</w:t>
      </w:r>
      <w:r w:rsidR="004A21BF">
        <w:rPr>
          <w:rFonts w:ascii="Times" w:hAnsi="Times"/>
        </w:rPr>
        <w:t xml:space="preserve"> the </w:t>
      </w:r>
      <w:r w:rsidR="00FA5B29">
        <w:rPr>
          <w:rFonts w:ascii="Times" w:hAnsi="Times"/>
        </w:rPr>
        <w:t>social acceptance of depression</w:t>
      </w:r>
      <w:r w:rsidR="004A21BF">
        <w:rPr>
          <w:rFonts w:ascii="Times" w:hAnsi="Times"/>
        </w:rPr>
        <w:t xml:space="preserve"> </w:t>
      </w:r>
      <w:r w:rsidR="00C61433">
        <w:rPr>
          <w:rFonts w:ascii="Times" w:hAnsi="Times"/>
        </w:rPr>
        <w:t xml:space="preserve">should also be further studied </w:t>
      </w:r>
      <w:r w:rsidR="004A21BF">
        <w:rPr>
          <w:rFonts w:ascii="Times" w:hAnsi="Times"/>
        </w:rPr>
        <w:t xml:space="preserve">to fully understand the </w:t>
      </w:r>
      <w:r w:rsidR="00EA3E65">
        <w:rPr>
          <w:rFonts w:ascii="Times" w:hAnsi="Times"/>
        </w:rPr>
        <w:t>political consequences</w:t>
      </w:r>
      <w:r w:rsidR="004A21BF">
        <w:rPr>
          <w:rFonts w:ascii="Times" w:hAnsi="Times"/>
        </w:rPr>
        <w:t xml:space="preserve"> of </w:t>
      </w:r>
      <w:proofErr w:type="gramStart"/>
      <w:r w:rsidR="004A21BF">
        <w:rPr>
          <w:rFonts w:ascii="Times" w:hAnsi="Times"/>
        </w:rPr>
        <w:t>men’s</w:t>
      </w:r>
      <w:proofErr w:type="gramEnd"/>
      <w:r w:rsidR="004A21BF">
        <w:rPr>
          <w:rFonts w:ascii="Times" w:hAnsi="Times"/>
        </w:rPr>
        <w:t xml:space="preserve"> and women’s mental</w:t>
      </w:r>
      <w:r w:rsidR="00C61433">
        <w:rPr>
          <w:rFonts w:ascii="Times" w:hAnsi="Times"/>
        </w:rPr>
        <w:t xml:space="preserve"> </w:t>
      </w:r>
      <w:r w:rsidR="004A21BF">
        <w:rPr>
          <w:rFonts w:ascii="Times" w:hAnsi="Times"/>
        </w:rPr>
        <w:t>health</w:t>
      </w:r>
      <w:r w:rsidR="00EA3E65">
        <w:rPr>
          <w:rFonts w:ascii="Times" w:hAnsi="Times"/>
        </w:rPr>
        <w:t xml:space="preserve">. </w:t>
      </w:r>
    </w:p>
    <w:p w14:paraId="258753FB" w14:textId="46D6FE5A" w:rsidR="00404AD0" w:rsidRDefault="00404AD0" w:rsidP="00CB6B9A">
      <w:pPr>
        <w:jc w:val="center"/>
        <w:rPr>
          <w:rFonts w:ascii="Times" w:hAnsi="Times"/>
          <w:b/>
        </w:rPr>
      </w:pPr>
      <w:r>
        <w:rPr>
          <w:rFonts w:ascii="Times" w:hAnsi="Times"/>
          <w:b/>
        </w:rPr>
        <w:br w:type="page"/>
      </w:r>
      <w:r w:rsidR="00B0345F" w:rsidRPr="007A1A09">
        <w:rPr>
          <w:rFonts w:ascii="Times" w:hAnsi="Times"/>
          <w:b/>
        </w:rPr>
        <w:lastRenderedPageBreak/>
        <w:t>References</w:t>
      </w:r>
    </w:p>
    <w:p w14:paraId="40E893D8" w14:textId="77777777" w:rsidR="00CB6B9A" w:rsidRDefault="00CB6B9A" w:rsidP="00CB6B9A">
      <w:pPr>
        <w:jc w:val="center"/>
        <w:rPr>
          <w:rFonts w:ascii="Times" w:hAnsi="Times"/>
          <w:b/>
        </w:rPr>
      </w:pPr>
    </w:p>
    <w:p w14:paraId="3A5EDC07" w14:textId="5A4ABA03" w:rsidR="00EA135E" w:rsidRPr="00AB4F7D" w:rsidRDefault="00EA135E" w:rsidP="00AB4F7D">
      <w:pPr>
        <w:spacing w:line="480" w:lineRule="auto"/>
        <w:ind w:left="482" w:hanging="482"/>
        <w:rPr>
          <w:rFonts w:eastAsiaTheme="minorHAnsi"/>
          <w:lang w:val="it-IT" w:eastAsia="it-IT"/>
        </w:rPr>
      </w:pPr>
      <w:r w:rsidRPr="00AB4F7D">
        <w:rPr>
          <w:rFonts w:eastAsiaTheme="minorHAnsi"/>
          <w:lang w:val="it-IT" w:eastAsia="it-IT"/>
        </w:rPr>
        <w:t xml:space="preserve">Addis, Michael </w:t>
      </w:r>
      <w:proofErr w:type="gramStart"/>
      <w:r w:rsidRPr="00AB4F7D">
        <w:rPr>
          <w:rFonts w:eastAsiaTheme="minorHAnsi"/>
          <w:lang w:val="it-IT" w:eastAsia="it-IT"/>
        </w:rPr>
        <w:t>E.</w:t>
      </w:r>
      <w:proofErr w:type="gramEnd"/>
      <w:r w:rsidRPr="00AB4F7D">
        <w:rPr>
          <w:rFonts w:eastAsiaTheme="minorHAnsi"/>
          <w:lang w:val="it-IT" w:eastAsia="it-IT"/>
        </w:rPr>
        <w:t xml:space="preserve"> 2008. “Gender and </w:t>
      </w:r>
      <w:proofErr w:type="spellStart"/>
      <w:r w:rsidRPr="00AB4F7D">
        <w:rPr>
          <w:rFonts w:eastAsiaTheme="minorHAnsi"/>
          <w:lang w:val="it-IT" w:eastAsia="it-IT"/>
        </w:rPr>
        <w:t>depression</w:t>
      </w:r>
      <w:proofErr w:type="spellEnd"/>
      <w:r w:rsidRPr="00AB4F7D">
        <w:rPr>
          <w:rFonts w:eastAsiaTheme="minorHAnsi"/>
          <w:lang w:val="it-IT" w:eastAsia="it-IT"/>
        </w:rPr>
        <w:t xml:space="preserve"> in men.” </w:t>
      </w:r>
      <w:proofErr w:type="spellStart"/>
      <w:r w:rsidRPr="00AB4F7D">
        <w:rPr>
          <w:rFonts w:eastAsiaTheme="minorHAnsi"/>
          <w:i/>
          <w:iCs/>
          <w:lang w:val="it-IT" w:eastAsia="it-IT"/>
        </w:rPr>
        <w:t>Clinical</w:t>
      </w:r>
      <w:proofErr w:type="spellEnd"/>
      <w:r w:rsidRPr="00AB4F7D">
        <w:rPr>
          <w:rFonts w:eastAsiaTheme="minorHAnsi"/>
          <w:i/>
          <w:iCs/>
          <w:lang w:val="it-IT" w:eastAsia="it-IT"/>
        </w:rPr>
        <w:t xml:space="preserve"> </w:t>
      </w:r>
      <w:proofErr w:type="spellStart"/>
      <w:r w:rsidRPr="00AB4F7D">
        <w:rPr>
          <w:rFonts w:eastAsiaTheme="minorHAnsi"/>
          <w:i/>
          <w:iCs/>
          <w:lang w:val="it-IT" w:eastAsia="it-IT"/>
        </w:rPr>
        <w:t>Psychology</w:t>
      </w:r>
      <w:proofErr w:type="spellEnd"/>
      <w:r w:rsidRPr="00AB4F7D">
        <w:rPr>
          <w:rFonts w:eastAsiaTheme="minorHAnsi"/>
          <w:i/>
          <w:iCs/>
          <w:lang w:val="it-IT" w:eastAsia="it-IT"/>
        </w:rPr>
        <w:t xml:space="preserve">: Science and </w:t>
      </w:r>
      <w:proofErr w:type="spellStart"/>
      <w:r w:rsidRPr="00AB4F7D">
        <w:rPr>
          <w:rFonts w:eastAsiaTheme="minorHAnsi"/>
          <w:i/>
          <w:iCs/>
          <w:lang w:val="it-IT" w:eastAsia="it-IT"/>
        </w:rPr>
        <w:t>Practice</w:t>
      </w:r>
      <w:proofErr w:type="spellEnd"/>
      <w:r w:rsidRPr="00AB4F7D">
        <w:rPr>
          <w:rFonts w:eastAsiaTheme="minorHAnsi"/>
          <w:lang w:val="it-IT" w:eastAsia="it-IT"/>
        </w:rPr>
        <w:t xml:space="preserve"> 15</w:t>
      </w:r>
      <w:proofErr w:type="gramStart"/>
      <w:r w:rsidRPr="00AB4F7D">
        <w:rPr>
          <w:rFonts w:eastAsiaTheme="minorHAnsi"/>
          <w:lang w:val="it-IT" w:eastAsia="it-IT"/>
        </w:rPr>
        <w:t>(</w:t>
      </w:r>
      <w:proofErr w:type="gramEnd"/>
      <w:r w:rsidRPr="00AB4F7D">
        <w:rPr>
          <w:rFonts w:eastAsiaTheme="minorHAnsi"/>
          <w:lang w:val="it-IT" w:eastAsia="it-IT"/>
        </w:rPr>
        <w:t>3): 153–168.</w:t>
      </w:r>
    </w:p>
    <w:p w14:paraId="6073DA48" w14:textId="77777777" w:rsidR="003526A0" w:rsidRPr="003526A0" w:rsidRDefault="003526A0" w:rsidP="00404AD0">
      <w:pPr>
        <w:pStyle w:val="NormaleWeb"/>
        <w:spacing w:before="0" w:beforeAutospacing="0" w:after="0" w:afterAutospacing="0" w:line="480" w:lineRule="auto"/>
        <w:ind w:left="480" w:hanging="480"/>
        <w:rPr>
          <w:rFonts w:ascii="Times New Roman" w:hAnsi="Times New Roman"/>
          <w:sz w:val="24"/>
          <w:szCs w:val="24"/>
          <w:lang w:val="en-US"/>
        </w:rPr>
      </w:pPr>
      <w:proofErr w:type="gramStart"/>
      <w:r w:rsidRPr="003526A0">
        <w:rPr>
          <w:rFonts w:ascii="Times New Roman" w:hAnsi="Times New Roman"/>
          <w:sz w:val="24"/>
          <w:szCs w:val="24"/>
          <w:lang w:val="en-US"/>
        </w:rPr>
        <w:t>Beck, Aaron T. 1976.</w:t>
      </w:r>
      <w:proofErr w:type="gramEnd"/>
      <w:r w:rsidRPr="003526A0">
        <w:rPr>
          <w:rFonts w:ascii="Times New Roman" w:hAnsi="Times New Roman"/>
          <w:sz w:val="24"/>
          <w:szCs w:val="24"/>
          <w:lang w:val="en-US"/>
        </w:rPr>
        <w:t xml:space="preserve"> </w:t>
      </w:r>
      <w:r w:rsidRPr="003526A0">
        <w:rPr>
          <w:rFonts w:ascii="Times New Roman" w:hAnsi="Times New Roman"/>
          <w:i/>
          <w:iCs/>
          <w:sz w:val="24"/>
          <w:szCs w:val="24"/>
          <w:lang w:val="en-US"/>
        </w:rPr>
        <w:t>Cognitive Therapy and the Emotional Disorders</w:t>
      </w:r>
      <w:r w:rsidRPr="003526A0">
        <w:rPr>
          <w:rFonts w:ascii="Times New Roman" w:hAnsi="Times New Roman"/>
          <w:sz w:val="24"/>
          <w:szCs w:val="24"/>
          <w:lang w:val="en-US"/>
        </w:rPr>
        <w:t>. New York: International Universities Press.</w:t>
      </w:r>
    </w:p>
    <w:p w14:paraId="00247F16" w14:textId="2B6BC6FB" w:rsidR="006A7A66" w:rsidRPr="003526A0" w:rsidRDefault="006A7A66" w:rsidP="00404AD0">
      <w:pPr>
        <w:pStyle w:val="NormaleWeb"/>
        <w:spacing w:before="0" w:beforeAutospacing="0" w:after="0" w:afterAutospacing="0" w:line="480" w:lineRule="auto"/>
        <w:ind w:left="480" w:hanging="480"/>
        <w:rPr>
          <w:rFonts w:ascii="Times New Roman" w:hAnsi="Times New Roman"/>
          <w:sz w:val="24"/>
          <w:szCs w:val="24"/>
          <w:lang w:val="en-US"/>
        </w:rPr>
      </w:pPr>
      <w:proofErr w:type="spellStart"/>
      <w:r>
        <w:rPr>
          <w:rFonts w:ascii="Times New Roman" w:hAnsi="Times New Roman"/>
          <w:sz w:val="24"/>
          <w:szCs w:val="24"/>
          <w:lang w:val="en-US"/>
        </w:rPr>
        <w:t>Bernardi</w:t>
      </w:r>
      <w:proofErr w:type="spellEnd"/>
      <w:r>
        <w:rPr>
          <w:rFonts w:ascii="Times New Roman" w:hAnsi="Times New Roman"/>
          <w:sz w:val="24"/>
          <w:szCs w:val="24"/>
          <w:lang w:val="en-US"/>
        </w:rPr>
        <w:t>, Luca</w:t>
      </w:r>
      <w:r w:rsidR="00B80B67">
        <w:rPr>
          <w:rFonts w:ascii="Times New Roman" w:hAnsi="Times New Roman"/>
          <w:sz w:val="24"/>
          <w:szCs w:val="24"/>
          <w:lang w:val="en-US"/>
        </w:rPr>
        <w:t xml:space="preserve">, </w:t>
      </w:r>
      <w:proofErr w:type="spellStart"/>
      <w:r w:rsidR="00B80B67">
        <w:rPr>
          <w:rFonts w:ascii="Times New Roman" w:hAnsi="Times New Roman"/>
          <w:sz w:val="24"/>
          <w:szCs w:val="24"/>
          <w:lang w:val="en-US"/>
        </w:rPr>
        <w:t>Mikko</w:t>
      </w:r>
      <w:proofErr w:type="spellEnd"/>
      <w:r w:rsidR="00B80B67">
        <w:rPr>
          <w:rFonts w:ascii="Times New Roman" w:hAnsi="Times New Roman"/>
          <w:sz w:val="24"/>
          <w:szCs w:val="24"/>
          <w:lang w:val="en-US"/>
        </w:rPr>
        <w:t xml:space="preserve"> </w:t>
      </w:r>
      <w:proofErr w:type="spellStart"/>
      <w:r w:rsidR="00B80B67">
        <w:rPr>
          <w:rFonts w:ascii="Times New Roman" w:hAnsi="Times New Roman"/>
          <w:sz w:val="24"/>
          <w:szCs w:val="24"/>
          <w:lang w:val="en-US"/>
        </w:rPr>
        <w:t>Mattila</w:t>
      </w:r>
      <w:proofErr w:type="spellEnd"/>
      <w:r w:rsidR="00B80B67">
        <w:rPr>
          <w:rFonts w:ascii="Times New Roman" w:hAnsi="Times New Roman"/>
          <w:sz w:val="24"/>
          <w:szCs w:val="24"/>
          <w:lang w:val="en-US"/>
        </w:rPr>
        <w:t xml:space="preserve">, </w:t>
      </w:r>
      <w:proofErr w:type="spellStart"/>
      <w:r w:rsidR="00B80B67">
        <w:rPr>
          <w:rFonts w:ascii="Times New Roman" w:hAnsi="Times New Roman"/>
          <w:sz w:val="24"/>
          <w:szCs w:val="24"/>
          <w:lang w:val="en-US"/>
        </w:rPr>
        <w:t>Achillefs</w:t>
      </w:r>
      <w:proofErr w:type="spellEnd"/>
      <w:r w:rsidR="00B80B67">
        <w:rPr>
          <w:rFonts w:ascii="Times New Roman" w:hAnsi="Times New Roman"/>
          <w:sz w:val="24"/>
          <w:szCs w:val="24"/>
          <w:lang w:val="en-US"/>
        </w:rPr>
        <w:t xml:space="preserve"> </w:t>
      </w:r>
      <w:proofErr w:type="spellStart"/>
      <w:r w:rsidR="00B80B67">
        <w:rPr>
          <w:rFonts w:ascii="Times New Roman" w:hAnsi="Times New Roman"/>
          <w:sz w:val="24"/>
          <w:szCs w:val="24"/>
          <w:lang w:val="en-US"/>
        </w:rPr>
        <w:t>Papageorgiou</w:t>
      </w:r>
      <w:proofErr w:type="spellEnd"/>
      <w:r w:rsidR="00B80B67">
        <w:rPr>
          <w:rFonts w:ascii="Times New Roman" w:hAnsi="Times New Roman"/>
          <w:sz w:val="24"/>
          <w:szCs w:val="24"/>
          <w:lang w:val="en-US"/>
        </w:rPr>
        <w:t xml:space="preserve">, and </w:t>
      </w:r>
      <w:proofErr w:type="spellStart"/>
      <w:r w:rsidR="00B80B67">
        <w:rPr>
          <w:rFonts w:ascii="Times New Roman" w:hAnsi="Times New Roman"/>
          <w:sz w:val="24"/>
          <w:szCs w:val="24"/>
          <w:lang w:val="en-US"/>
        </w:rPr>
        <w:t>Lauri</w:t>
      </w:r>
      <w:proofErr w:type="spellEnd"/>
      <w:r w:rsidR="00B80B67">
        <w:rPr>
          <w:rFonts w:ascii="Times New Roman" w:hAnsi="Times New Roman"/>
          <w:sz w:val="24"/>
          <w:szCs w:val="24"/>
          <w:lang w:val="en-US"/>
        </w:rPr>
        <w:t xml:space="preserve"> </w:t>
      </w:r>
      <w:proofErr w:type="spellStart"/>
      <w:r w:rsidR="00B80B67">
        <w:rPr>
          <w:rFonts w:ascii="Times New Roman" w:hAnsi="Times New Roman"/>
          <w:sz w:val="24"/>
          <w:szCs w:val="24"/>
          <w:lang w:val="en-US"/>
        </w:rPr>
        <w:t>Rapeli</w:t>
      </w:r>
      <w:proofErr w:type="spellEnd"/>
      <w:r w:rsidR="00B80B67">
        <w:rPr>
          <w:rFonts w:ascii="Times New Roman" w:hAnsi="Times New Roman"/>
          <w:sz w:val="24"/>
          <w:szCs w:val="24"/>
          <w:lang w:val="en-US"/>
        </w:rPr>
        <w:t>. 2022</w:t>
      </w:r>
      <w:r w:rsidRPr="003526A0">
        <w:rPr>
          <w:rFonts w:ascii="Times New Roman" w:hAnsi="Times New Roman"/>
          <w:sz w:val="24"/>
          <w:szCs w:val="24"/>
          <w:lang w:val="en-US"/>
        </w:rPr>
        <w:t>. “</w:t>
      </w:r>
      <w:r w:rsidR="00B80B67">
        <w:rPr>
          <w:rFonts w:ascii="Times New Roman" w:hAnsi="Times New Roman"/>
          <w:sz w:val="24"/>
          <w:szCs w:val="24"/>
          <w:lang w:val="en-US"/>
        </w:rPr>
        <w:t xml:space="preserve">Down But Not Yet Out: Depression, </w:t>
      </w:r>
      <w:r>
        <w:rPr>
          <w:rFonts w:ascii="Times New Roman" w:hAnsi="Times New Roman"/>
          <w:sz w:val="24"/>
          <w:szCs w:val="24"/>
          <w:lang w:val="en-US"/>
        </w:rPr>
        <w:t xml:space="preserve">Political </w:t>
      </w:r>
      <w:r w:rsidR="00B80B67">
        <w:rPr>
          <w:rFonts w:ascii="Times New Roman" w:hAnsi="Times New Roman"/>
          <w:sz w:val="24"/>
          <w:szCs w:val="24"/>
          <w:lang w:val="en-US"/>
        </w:rPr>
        <w:t>Efficacy, and Voting.</w:t>
      </w:r>
      <w:r w:rsidRPr="003526A0">
        <w:rPr>
          <w:rFonts w:ascii="Times New Roman" w:hAnsi="Times New Roman"/>
          <w:sz w:val="24"/>
          <w:szCs w:val="24"/>
          <w:lang w:val="en-US"/>
        </w:rPr>
        <w:t xml:space="preserve">” </w:t>
      </w:r>
      <w:r>
        <w:rPr>
          <w:rFonts w:ascii="Times New Roman" w:hAnsi="Times New Roman"/>
          <w:i/>
          <w:iCs/>
          <w:sz w:val="24"/>
          <w:szCs w:val="24"/>
          <w:lang w:val="en-US"/>
        </w:rPr>
        <w:t>Politic</w:t>
      </w:r>
      <w:r w:rsidR="00B80B67">
        <w:rPr>
          <w:rFonts w:ascii="Times New Roman" w:hAnsi="Times New Roman"/>
          <w:i/>
          <w:iCs/>
          <w:sz w:val="24"/>
          <w:szCs w:val="24"/>
          <w:lang w:val="en-US"/>
        </w:rPr>
        <w:t>al P</w:t>
      </w:r>
      <w:r>
        <w:rPr>
          <w:rFonts w:ascii="Times New Roman" w:hAnsi="Times New Roman"/>
          <w:i/>
          <w:iCs/>
          <w:sz w:val="24"/>
          <w:szCs w:val="24"/>
          <w:lang w:val="en-US"/>
        </w:rPr>
        <w:t>s</w:t>
      </w:r>
      <w:r w:rsidR="00B80B67">
        <w:rPr>
          <w:rFonts w:ascii="Times New Roman" w:hAnsi="Times New Roman"/>
          <w:i/>
          <w:iCs/>
          <w:sz w:val="24"/>
          <w:szCs w:val="24"/>
          <w:lang w:val="en-US"/>
        </w:rPr>
        <w:t>ychology</w:t>
      </w:r>
      <w:r w:rsidRPr="003526A0">
        <w:rPr>
          <w:rFonts w:ascii="Times New Roman" w:hAnsi="Times New Roman"/>
          <w:i/>
          <w:iCs/>
          <w:sz w:val="24"/>
          <w:szCs w:val="24"/>
          <w:lang w:val="en-US"/>
        </w:rPr>
        <w:t>.</w:t>
      </w:r>
      <w:r w:rsidRPr="003526A0">
        <w:rPr>
          <w:rFonts w:ascii="Times New Roman" w:hAnsi="Times New Roman"/>
          <w:sz w:val="24"/>
          <w:szCs w:val="24"/>
          <w:lang w:val="en-US"/>
        </w:rPr>
        <w:t xml:space="preserve"> </w:t>
      </w:r>
      <w:proofErr w:type="spellStart"/>
      <w:r>
        <w:rPr>
          <w:rFonts w:ascii="Times New Roman" w:hAnsi="Times New Roman"/>
          <w:sz w:val="24"/>
          <w:szCs w:val="24"/>
          <w:lang w:val="en-US"/>
        </w:rPr>
        <w:t>EarlyView</w:t>
      </w:r>
      <w:proofErr w:type="spellEnd"/>
      <w:r w:rsidR="00B80B67">
        <w:rPr>
          <w:rFonts w:ascii="Times New Roman" w:hAnsi="Times New Roman"/>
          <w:sz w:val="24"/>
          <w:szCs w:val="24"/>
          <w:lang w:val="en-US"/>
        </w:rPr>
        <w:t>.</w:t>
      </w:r>
    </w:p>
    <w:p w14:paraId="7E4469C3" w14:textId="5DB3BAC1" w:rsidR="003526A0" w:rsidRPr="003526A0" w:rsidRDefault="003526A0" w:rsidP="00404AD0">
      <w:pPr>
        <w:pStyle w:val="NormaleWeb"/>
        <w:spacing w:before="0" w:beforeAutospacing="0" w:after="0" w:afterAutospacing="0" w:line="480" w:lineRule="auto"/>
        <w:ind w:left="480" w:hanging="480"/>
        <w:rPr>
          <w:rFonts w:ascii="Times New Roman" w:hAnsi="Times New Roman"/>
          <w:sz w:val="24"/>
          <w:szCs w:val="24"/>
          <w:lang w:val="en-US"/>
        </w:rPr>
      </w:pPr>
      <w:proofErr w:type="spellStart"/>
      <w:r w:rsidRPr="003526A0">
        <w:rPr>
          <w:rFonts w:ascii="Times New Roman" w:hAnsi="Times New Roman"/>
          <w:sz w:val="24"/>
          <w:szCs w:val="24"/>
          <w:lang w:val="en-US"/>
        </w:rPr>
        <w:t>Bernar</w:t>
      </w:r>
      <w:r w:rsidR="00B80B67">
        <w:rPr>
          <w:rFonts w:ascii="Times New Roman" w:hAnsi="Times New Roman"/>
          <w:sz w:val="24"/>
          <w:szCs w:val="24"/>
          <w:lang w:val="en-US"/>
        </w:rPr>
        <w:t>di</w:t>
      </w:r>
      <w:proofErr w:type="spellEnd"/>
      <w:r w:rsidR="00B80B67">
        <w:rPr>
          <w:rFonts w:ascii="Times New Roman" w:hAnsi="Times New Roman"/>
          <w:sz w:val="24"/>
          <w:szCs w:val="24"/>
          <w:lang w:val="en-US"/>
        </w:rPr>
        <w:t xml:space="preserve">, Luca, and </w:t>
      </w:r>
      <w:r w:rsidR="007A2AE7">
        <w:rPr>
          <w:rFonts w:ascii="Times New Roman" w:hAnsi="Times New Roman"/>
          <w:sz w:val="24"/>
          <w:szCs w:val="24"/>
          <w:lang w:val="en-US"/>
        </w:rPr>
        <w:t>Ian H.</w:t>
      </w:r>
      <w:r w:rsidR="00B80B67">
        <w:rPr>
          <w:rFonts w:ascii="Times New Roman" w:hAnsi="Times New Roman"/>
          <w:sz w:val="24"/>
          <w:szCs w:val="24"/>
          <w:lang w:val="en-US"/>
        </w:rPr>
        <w:t xml:space="preserve"> </w:t>
      </w:r>
      <w:proofErr w:type="spellStart"/>
      <w:r w:rsidR="007A2AE7">
        <w:rPr>
          <w:rFonts w:ascii="Times New Roman" w:hAnsi="Times New Roman"/>
          <w:sz w:val="24"/>
          <w:szCs w:val="24"/>
          <w:lang w:val="en-US"/>
        </w:rPr>
        <w:t>Gotlib</w:t>
      </w:r>
      <w:proofErr w:type="spellEnd"/>
      <w:r w:rsidR="007A2AE7">
        <w:rPr>
          <w:rFonts w:ascii="Times New Roman" w:hAnsi="Times New Roman"/>
          <w:sz w:val="24"/>
          <w:szCs w:val="24"/>
          <w:lang w:val="en-US"/>
        </w:rPr>
        <w:t>. 2022</w:t>
      </w:r>
      <w:r w:rsidRPr="003526A0">
        <w:rPr>
          <w:rFonts w:ascii="Times New Roman" w:hAnsi="Times New Roman"/>
          <w:sz w:val="24"/>
          <w:szCs w:val="24"/>
          <w:lang w:val="en-US"/>
        </w:rPr>
        <w:t>. “</w:t>
      </w:r>
      <w:r w:rsidR="007A2AE7">
        <w:rPr>
          <w:rFonts w:ascii="Times New Roman" w:hAnsi="Times New Roman"/>
          <w:sz w:val="24"/>
          <w:szCs w:val="24"/>
          <w:lang w:val="en-US"/>
        </w:rPr>
        <w:t>COVID-19 stressors, mental/emotional distress and political support.</w:t>
      </w:r>
      <w:r w:rsidRPr="003526A0">
        <w:rPr>
          <w:rFonts w:ascii="Times New Roman" w:hAnsi="Times New Roman"/>
          <w:sz w:val="24"/>
          <w:szCs w:val="24"/>
          <w:lang w:val="en-US"/>
        </w:rPr>
        <w:t xml:space="preserve">” </w:t>
      </w:r>
      <w:proofErr w:type="gramStart"/>
      <w:r w:rsidR="007A2AE7">
        <w:rPr>
          <w:rFonts w:ascii="Times New Roman" w:hAnsi="Times New Roman"/>
          <w:i/>
          <w:iCs/>
          <w:sz w:val="24"/>
          <w:szCs w:val="24"/>
          <w:lang w:val="en-US"/>
        </w:rPr>
        <w:t>West European Politics</w:t>
      </w:r>
      <w:r w:rsidRPr="003526A0">
        <w:rPr>
          <w:rFonts w:ascii="Times New Roman" w:hAnsi="Times New Roman"/>
          <w:sz w:val="24"/>
          <w:szCs w:val="24"/>
          <w:lang w:val="en-US"/>
        </w:rPr>
        <w:t xml:space="preserve"> </w:t>
      </w:r>
      <w:proofErr w:type="spellStart"/>
      <w:r w:rsidR="007A2AE7">
        <w:rPr>
          <w:rFonts w:ascii="Times New Roman" w:hAnsi="Times New Roman"/>
          <w:sz w:val="24"/>
          <w:szCs w:val="24"/>
          <w:lang w:val="en-US"/>
        </w:rPr>
        <w:t>EarlyView</w:t>
      </w:r>
      <w:proofErr w:type="spellEnd"/>
      <w:r w:rsidRPr="003526A0">
        <w:rPr>
          <w:rFonts w:ascii="Times New Roman" w:hAnsi="Times New Roman"/>
          <w:sz w:val="24"/>
          <w:szCs w:val="24"/>
          <w:lang w:val="en-US"/>
        </w:rPr>
        <w:t>.</w:t>
      </w:r>
      <w:proofErr w:type="gramEnd"/>
    </w:p>
    <w:p w14:paraId="36FA61A4" w14:textId="77777777" w:rsidR="003526A0" w:rsidRPr="003526A0" w:rsidRDefault="003526A0" w:rsidP="00404AD0">
      <w:pPr>
        <w:pStyle w:val="NormaleWeb"/>
        <w:spacing w:before="0" w:beforeAutospacing="0" w:after="0" w:afterAutospacing="0" w:line="480" w:lineRule="auto"/>
        <w:ind w:left="480" w:hanging="480"/>
        <w:rPr>
          <w:rFonts w:ascii="Times New Roman" w:hAnsi="Times New Roman"/>
          <w:sz w:val="24"/>
          <w:szCs w:val="24"/>
          <w:lang w:val="en-US"/>
        </w:rPr>
      </w:pPr>
      <w:proofErr w:type="spellStart"/>
      <w:r w:rsidRPr="005B40F4">
        <w:rPr>
          <w:rFonts w:ascii="Times New Roman" w:hAnsi="Times New Roman"/>
          <w:sz w:val="24"/>
          <w:szCs w:val="24"/>
          <w:lang w:val="en-GB"/>
        </w:rPr>
        <w:t>Bosnjak</w:t>
      </w:r>
      <w:proofErr w:type="spellEnd"/>
      <w:r w:rsidRPr="005B40F4">
        <w:rPr>
          <w:rFonts w:ascii="Times New Roman" w:hAnsi="Times New Roman"/>
          <w:sz w:val="24"/>
          <w:szCs w:val="24"/>
          <w:lang w:val="en-GB"/>
        </w:rPr>
        <w:t xml:space="preserve">, Michael, </w:t>
      </w:r>
      <w:proofErr w:type="spellStart"/>
      <w:r w:rsidRPr="005B40F4">
        <w:rPr>
          <w:rFonts w:ascii="Times New Roman" w:hAnsi="Times New Roman"/>
          <w:sz w:val="24"/>
          <w:szCs w:val="24"/>
          <w:lang w:val="en-GB"/>
        </w:rPr>
        <w:t>Tanja</w:t>
      </w:r>
      <w:proofErr w:type="spellEnd"/>
      <w:r w:rsidRPr="005B40F4">
        <w:rPr>
          <w:rFonts w:ascii="Times New Roman" w:hAnsi="Times New Roman"/>
          <w:sz w:val="24"/>
          <w:szCs w:val="24"/>
          <w:lang w:val="en-GB"/>
        </w:rPr>
        <w:t xml:space="preserve"> </w:t>
      </w:r>
      <w:proofErr w:type="spellStart"/>
      <w:r w:rsidRPr="005B40F4">
        <w:rPr>
          <w:rFonts w:ascii="Times New Roman" w:hAnsi="Times New Roman"/>
          <w:sz w:val="24"/>
          <w:szCs w:val="24"/>
          <w:lang w:val="en-GB"/>
        </w:rPr>
        <w:t>Dannwolf</w:t>
      </w:r>
      <w:proofErr w:type="spellEnd"/>
      <w:r w:rsidRPr="005B40F4">
        <w:rPr>
          <w:rFonts w:ascii="Times New Roman" w:hAnsi="Times New Roman"/>
          <w:sz w:val="24"/>
          <w:szCs w:val="24"/>
          <w:lang w:val="en-GB"/>
        </w:rPr>
        <w:t xml:space="preserve">, Tobias </w:t>
      </w:r>
      <w:proofErr w:type="spellStart"/>
      <w:r w:rsidRPr="005B40F4">
        <w:rPr>
          <w:rFonts w:ascii="Times New Roman" w:hAnsi="Times New Roman"/>
          <w:sz w:val="24"/>
          <w:szCs w:val="24"/>
          <w:lang w:val="en-GB"/>
        </w:rPr>
        <w:t>Enderle</w:t>
      </w:r>
      <w:proofErr w:type="spellEnd"/>
      <w:r w:rsidRPr="005B40F4">
        <w:rPr>
          <w:rFonts w:ascii="Times New Roman" w:hAnsi="Times New Roman"/>
          <w:sz w:val="24"/>
          <w:szCs w:val="24"/>
          <w:lang w:val="en-GB"/>
        </w:rPr>
        <w:t xml:space="preserve">, Ines </w:t>
      </w:r>
      <w:proofErr w:type="spellStart"/>
      <w:r w:rsidRPr="005B40F4">
        <w:rPr>
          <w:rFonts w:ascii="Times New Roman" w:hAnsi="Times New Roman"/>
          <w:sz w:val="24"/>
          <w:szCs w:val="24"/>
          <w:lang w:val="en-GB"/>
        </w:rPr>
        <w:t>Schaurer</w:t>
      </w:r>
      <w:proofErr w:type="spellEnd"/>
      <w:r w:rsidRPr="005B40F4">
        <w:rPr>
          <w:rFonts w:ascii="Times New Roman" w:hAnsi="Times New Roman"/>
          <w:sz w:val="24"/>
          <w:szCs w:val="24"/>
          <w:lang w:val="en-GB"/>
        </w:rPr>
        <w:t xml:space="preserve">, Bella </w:t>
      </w:r>
      <w:proofErr w:type="spellStart"/>
      <w:r w:rsidRPr="005B40F4">
        <w:rPr>
          <w:rFonts w:ascii="Times New Roman" w:hAnsi="Times New Roman"/>
          <w:sz w:val="24"/>
          <w:szCs w:val="24"/>
          <w:lang w:val="en-GB"/>
        </w:rPr>
        <w:t>Struminskaya</w:t>
      </w:r>
      <w:proofErr w:type="spellEnd"/>
      <w:r w:rsidRPr="005B40F4">
        <w:rPr>
          <w:rFonts w:ascii="Times New Roman" w:hAnsi="Times New Roman"/>
          <w:sz w:val="24"/>
          <w:szCs w:val="24"/>
          <w:lang w:val="en-GB"/>
        </w:rPr>
        <w:t xml:space="preserve">, Angela Tanner, and Kai W. </w:t>
      </w:r>
      <w:proofErr w:type="spellStart"/>
      <w:r w:rsidRPr="005B40F4">
        <w:rPr>
          <w:rFonts w:ascii="Times New Roman" w:hAnsi="Times New Roman"/>
          <w:sz w:val="24"/>
          <w:szCs w:val="24"/>
          <w:lang w:val="en-GB"/>
        </w:rPr>
        <w:t>Weyandt</w:t>
      </w:r>
      <w:proofErr w:type="spellEnd"/>
      <w:r w:rsidRPr="005B40F4">
        <w:rPr>
          <w:rFonts w:ascii="Times New Roman" w:hAnsi="Times New Roman"/>
          <w:sz w:val="24"/>
          <w:szCs w:val="24"/>
          <w:lang w:val="en-GB"/>
        </w:rPr>
        <w:t xml:space="preserve">. </w:t>
      </w:r>
      <w:r w:rsidRPr="003526A0">
        <w:rPr>
          <w:rFonts w:ascii="Times New Roman" w:hAnsi="Times New Roman"/>
          <w:sz w:val="24"/>
          <w:szCs w:val="24"/>
          <w:lang w:val="en-US"/>
        </w:rPr>
        <w:t xml:space="preserve">2018. “Establishing an Open Probability-Based Mixed-Mode Panel of the General Population in Germany: The GESIS Panel.” </w:t>
      </w:r>
      <w:proofErr w:type="gramStart"/>
      <w:r w:rsidRPr="003526A0">
        <w:rPr>
          <w:rFonts w:ascii="Times New Roman" w:hAnsi="Times New Roman"/>
          <w:i/>
          <w:iCs/>
          <w:sz w:val="24"/>
          <w:szCs w:val="24"/>
          <w:lang w:val="en-US"/>
        </w:rPr>
        <w:t>Social Science Computer Review</w:t>
      </w:r>
      <w:r w:rsidRPr="003526A0">
        <w:rPr>
          <w:rFonts w:ascii="Times New Roman" w:hAnsi="Times New Roman"/>
          <w:sz w:val="24"/>
          <w:szCs w:val="24"/>
          <w:lang w:val="en-US"/>
        </w:rPr>
        <w:t xml:space="preserve"> 36 (1): 103–15.</w:t>
      </w:r>
      <w:proofErr w:type="gramEnd"/>
    </w:p>
    <w:p w14:paraId="69B4B56E" w14:textId="77777777" w:rsidR="003526A0" w:rsidRPr="003526A0" w:rsidRDefault="003526A0" w:rsidP="00404AD0">
      <w:pPr>
        <w:pStyle w:val="NormaleWeb"/>
        <w:spacing w:before="0" w:beforeAutospacing="0" w:after="0" w:afterAutospacing="0" w:line="480" w:lineRule="auto"/>
        <w:ind w:left="480" w:hanging="480"/>
        <w:rPr>
          <w:rFonts w:ascii="Times New Roman" w:hAnsi="Times New Roman"/>
          <w:sz w:val="24"/>
          <w:szCs w:val="24"/>
          <w:lang w:val="en-US"/>
        </w:rPr>
      </w:pPr>
      <w:r w:rsidRPr="003526A0">
        <w:rPr>
          <w:rFonts w:ascii="Times New Roman" w:hAnsi="Times New Roman"/>
          <w:sz w:val="24"/>
          <w:szCs w:val="24"/>
          <w:lang w:val="en-US"/>
        </w:rPr>
        <w:t xml:space="preserve">Burns, Nancy, Kay Lehman </w:t>
      </w:r>
      <w:proofErr w:type="spellStart"/>
      <w:r w:rsidRPr="003526A0">
        <w:rPr>
          <w:rFonts w:ascii="Times New Roman" w:hAnsi="Times New Roman"/>
          <w:sz w:val="24"/>
          <w:szCs w:val="24"/>
          <w:lang w:val="en-US"/>
        </w:rPr>
        <w:t>Schlozman</w:t>
      </w:r>
      <w:proofErr w:type="spellEnd"/>
      <w:r w:rsidRPr="003526A0">
        <w:rPr>
          <w:rFonts w:ascii="Times New Roman" w:hAnsi="Times New Roman"/>
          <w:sz w:val="24"/>
          <w:szCs w:val="24"/>
          <w:lang w:val="en-US"/>
        </w:rPr>
        <w:t xml:space="preserve">, and Sidney </w:t>
      </w:r>
      <w:proofErr w:type="spellStart"/>
      <w:r w:rsidRPr="003526A0">
        <w:rPr>
          <w:rFonts w:ascii="Times New Roman" w:hAnsi="Times New Roman"/>
          <w:sz w:val="24"/>
          <w:szCs w:val="24"/>
          <w:lang w:val="en-US"/>
        </w:rPr>
        <w:t>Verba</w:t>
      </w:r>
      <w:proofErr w:type="spellEnd"/>
      <w:r w:rsidRPr="003526A0">
        <w:rPr>
          <w:rFonts w:ascii="Times New Roman" w:hAnsi="Times New Roman"/>
          <w:sz w:val="24"/>
          <w:szCs w:val="24"/>
          <w:lang w:val="en-US"/>
        </w:rPr>
        <w:t xml:space="preserve">. 2001. </w:t>
      </w:r>
      <w:r w:rsidRPr="003526A0">
        <w:rPr>
          <w:rFonts w:ascii="Times New Roman" w:hAnsi="Times New Roman"/>
          <w:i/>
          <w:iCs/>
          <w:sz w:val="24"/>
          <w:szCs w:val="24"/>
          <w:lang w:val="en-US"/>
        </w:rPr>
        <w:t>The Private Roots of Public Action</w:t>
      </w:r>
      <w:r w:rsidRPr="003526A0">
        <w:rPr>
          <w:rFonts w:ascii="Times New Roman" w:hAnsi="Times New Roman"/>
          <w:sz w:val="24"/>
          <w:szCs w:val="24"/>
          <w:lang w:val="en-US"/>
        </w:rPr>
        <w:t>. Cambridge: Harvard University Press.</w:t>
      </w:r>
    </w:p>
    <w:p w14:paraId="5F646EE0" w14:textId="176BAB1C" w:rsidR="003B0FB9" w:rsidRPr="00AB4F7D" w:rsidRDefault="003B0FB9" w:rsidP="00AB4F7D">
      <w:pPr>
        <w:spacing w:line="480" w:lineRule="auto"/>
        <w:ind w:left="482" w:hanging="482"/>
        <w:rPr>
          <w:rFonts w:eastAsiaTheme="minorHAnsi"/>
          <w:lang w:val="it-IT"/>
        </w:rPr>
      </w:pPr>
      <w:proofErr w:type="spellStart"/>
      <w:r w:rsidRPr="003B0FB9">
        <w:rPr>
          <w:rFonts w:eastAsiaTheme="minorHAnsi"/>
          <w:lang w:val="it-IT" w:eastAsia="it-IT"/>
        </w:rPr>
        <w:t>Cochran</w:t>
      </w:r>
      <w:proofErr w:type="spellEnd"/>
      <w:r w:rsidRPr="003B0FB9">
        <w:rPr>
          <w:rFonts w:eastAsiaTheme="minorHAnsi"/>
          <w:lang w:val="it-IT" w:eastAsia="it-IT"/>
        </w:rPr>
        <w:t xml:space="preserve">, Sam </w:t>
      </w:r>
      <w:r w:rsidRPr="005E108C">
        <w:rPr>
          <w:rFonts w:eastAsiaTheme="minorHAnsi"/>
          <w:lang w:val="it-IT" w:eastAsia="it-IT"/>
        </w:rPr>
        <w:t xml:space="preserve">V., and </w:t>
      </w:r>
      <w:proofErr w:type="spellStart"/>
      <w:r w:rsidRPr="005E108C">
        <w:rPr>
          <w:rFonts w:eastAsiaTheme="minorHAnsi"/>
          <w:lang w:val="it-IT" w:eastAsia="it-IT"/>
        </w:rPr>
        <w:t>Fredric</w:t>
      </w:r>
      <w:proofErr w:type="spellEnd"/>
      <w:r w:rsidRPr="00AB4F7D">
        <w:rPr>
          <w:rFonts w:eastAsiaTheme="minorHAnsi"/>
          <w:lang w:val="it-IT" w:eastAsia="it-IT"/>
        </w:rPr>
        <w:t xml:space="preserve"> </w:t>
      </w:r>
      <w:proofErr w:type="gramStart"/>
      <w:r w:rsidRPr="00AB4F7D">
        <w:rPr>
          <w:rFonts w:eastAsiaTheme="minorHAnsi"/>
          <w:lang w:val="it-IT" w:eastAsia="it-IT"/>
        </w:rPr>
        <w:t>E.</w:t>
      </w:r>
      <w:proofErr w:type="gramEnd"/>
      <w:r w:rsidRPr="00AB4F7D">
        <w:rPr>
          <w:rFonts w:eastAsiaTheme="minorHAnsi"/>
          <w:lang w:val="it-IT" w:eastAsia="it-IT"/>
        </w:rPr>
        <w:t xml:space="preserve"> </w:t>
      </w:r>
      <w:proofErr w:type="spellStart"/>
      <w:r w:rsidRPr="00AB4F7D">
        <w:rPr>
          <w:rFonts w:eastAsiaTheme="minorHAnsi"/>
          <w:lang w:val="it-IT" w:eastAsia="it-IT"/>
        </w:rPr>
        <w:t>Rabinowitz</w:t>
      </w:r>
      <w:proofErr w:type="spellEnd"/>
      <w:r w:rsidRPr="00AB4F7D">
        <w:rPr>
          <w:rFonts w:eastAsiaTheme="minorHAnsi"/>
          <w:lang w:val="it-IT" w:eastAsia="it-IT"/>
        </w:rPr>
        <w:t xml:space="preserve">. 2000. </w:t>
      </w:r>
      <w:r w:rsidRPr="00AB4F7D">
        <w:rPr>
          <w:rFonts w:eastAsiaTheme="minorHAnsi"/>
          <w:i/>
          <w:iCs/>
          <w:lang w:val="it-IT" w:eastAsia="it-IT"/>
        </w:rPr>
        <w:t xml:space="preserve">Men and </w:t>
      </w:r>
      <w:proofErr w:type="spellStart"/>
      <w:r w:rsidRPr="00AB4F7D">
        <w:rPr>
          <w:rFonts w:eastAsiaTheme="minorHAnsi"/>
          <w:i/>
          <w:iCs/>
          <w:lang w:val="it-IT" w:eastAsia="it-IT"/>
        </w:rPr>
        <w:t>depression</w:t>
      </w:r>
      <w:proofErr w:type="spellEnd"/>
      <w:r w:rsidRPr="00AB4F7D">
        <w:rPr>
          <w:rFonts w:eastAsiaTheme="minorHAnsi"/>
          <w:i/>
          <w:iCs/>
          <w:lang w:val="it-IT" w:eastAsia="it-IT"/>
        </w:rPr>
        <w:t xml:space="preserve">: </w:t>
      </w:r>
      <w:proofErr w:type="spellStart"/>
      <w:r w:rsidRPr="00AB4F7D">
        <w:rPr>
          <w:rFonts w:eastAsiaTheme="minorHAnsi"/>
          <w:i/>
          <w:iCs/>
          <w:lang w:val="it-IT" w:eastAsia="it-IT"/>
        </w:rPr>
        <w:t>Clinical</w:t>
      </w:r>
      <w:proofErr w:type="spellEnd"/>
      <w:r w:rsidRPr="00AB4F7D">
        <w:rPr>
          <w:rFonts w:eastAsiaTheme="minorHAnsi"/>
          <w:i/>
          <w:iCs/>
          <w:lang w:val="it-IT" w:eastAsia="it-IT"/>
        </w:rPr>
        <w:t xml:space="preserve"> </w:t>
      </w:r>
      <w:proofErr w:type="gramStart"/>
      <w:r w:rsidRPr="00AB4F7D">
        <w:rPr>
          <w:rFonts w:eastAsiaTheme="minorHAnsi"/>
          <w:i/>
          <w:iCs/>
          <w:lang w:val="it-IT" w:eastAsia="it-IT"/>
        </w:rPr>
        <w:t>and</w:t>
      </w:r>
      <w:proofErr w:type="gramEnd"/>
      <w:r w:rsidRPr="00AB4F7D">
        <w:rPr>
          <w:rFonts w:eastAsiaTheme="minorHAnsi"/>
          <w:i/>
          <w:iCs/>
          <w:lang w:val="it-IT" w:eastAsia="it-IT"/>
        </w:rPr>
        <w:t xml:space="preserve"> </w:t>
      </w:r>
      <w:proofErr w:type="spellStart"/>
      <w:r w:rsidRPr="00AB4F7D">
        <w:rPr>
          <w:rFonts w:eastAsiaTheme="minorHAnsi"/>
          <w:i/>
          <w:iCs/>
          <w:lang w:val="it-IT" w:eastAsia="it-IT"/>
        </w:rPr>
        <w:t>empirical</w:t>
      </w:r>
      <w:proofErr w:type="spellEnd"/>
      <w:r w:rsidRPr="00AB4F7D">
        <w:rPr>
          <w:rFonts w:eastAsiaTheme="minorHAnsi"/>
          <w:i/>
          <w:iCs/>
          <w:lang w:val="it-IT" w:eastAsia="it-IT"/>
        </w:rPr>
        <w:t xml:space="preserve"> </w:t>
      </w:r>
      <w:proofErr w:type="spellStart"/>
      <w:r w:rsidRPr="00AB4F7D">
        <w:rPr>
          <w:rFonts w:eastAsiaTheme="minorHAnsi"/>
          <w:i/>
          <w:iCs/>
          <w:lang w:val="it-IT" w:eastAsia="it-IT"/>
        </w:rPr>
        <w:t>perspectives</w:t>
      </w:r>
      <w:proofErr w:type="spellEnd"/>
      <w:r w:rsidRPr="00AB4F7D">
        <w:rPr>
          <w:rFonts w:eastAsiaTheme="minorHAnsi"/>
          <w:lang w:val="it-IT" w:eastAsia="it-IT"/>
        </w:rPr>
        <w:t xml:space="preserve">. San Diego, CA: </w:t>
      </w:r>
      <w:proofErr w:type="spellStart"/>
      <w:r w:rsidRPr="00AB4F7D">
        <w:rPr>
          <w:rFonts w:eastAsiaTheme="minorHAnsi"/>
          <w:lang w:val="it-IT" w:eastAsia="it-IT"/>
        </w:rPr>
        <w:t>Academic</w:t>
      </w:r>
      <w:proofErr w:type="spellEnd"/>
      <w:r w:rsidRPr="00AB4F7D">
        <w:rPr>
          <w:rFonts w:eastAsiaTheme="minorHAnsi"/>
          <w:lang w:val="it-IT" w:eastAsia="it-IT"/>
        </w:rPr>
        <w:t xml:space="preserve"> Press.</w:t>
      </w:r>
    </w:p>
    <w:p w14:paraId="4DC23C7F" w14:textId="17F40201" w:rsidR="0054725E" w:rsidRPr="0054725E" w:rsidRDefault="003526A0" w:rsidP="003C060F">
      <w:pPr>
        <w:pStyle w:val="NormaleWeb"/>
        <w:spacing w:before="0" w:beforeAutospacing="0" w:after="0" w:afterAutospacing="0" w:line="480" w:lineRule="auto"/>
        <w:ind w:left="480" w:hanging="480"/>
        <w:rPr>
          <w:rFonts w:ascii="Times New Roman" w:hAnsi="Times New Roman"/>
          <w:sz w:val="24"/>
          <w:szCs w:val="24"/>
          <w:lang w:val="en-US"/>
        </w:rPr>
      </w:pPr>
      <w:proofErr w:type="spellStart"/>
      <w:r w:rsidRPr="003526A0">
        <w:rPr>
          <w:rFonts w:ascii="Times New Roman" w:hAnsi="Times New Roman"/>
          <w:sz w:val="24"/>
          <w:szCs w:val="24"/>
          <w:lang w:val="en-US"/>
        </w:rPr>
        <w:t>Coffé</w:t>
      </w:r>
      <w:proofErr w:type="spellEnd"/>
      <w:r w:rsidRPr="003526A0">
        <w:rPr>
          <w:rFonts w:ascii="Times New Roman" w:hAnsi="Times New Roman"/>
          <w:sz w:val="24"/>
          <w:szCs w:val="24"/>
          <w:lang w:val="en-US"/>
        </w:rPr>
        <w:t xml:space="preserve">, Hilde. 2013. “Women Stay Local, Men Go National and Global? Gender Differences in Political Interest.” </w:t>
      </w:r>
      <w:r w:rsidRPr="003526A0">
        <w:rPr>
          <w:rFonts w:ascii="Times New Roman" w:hAnsi="Times New Roman"/>
          <w:i/>
          <w:iCs/>
          <w:sz w:val="24"/>
          <w:szCs w:val="24"/>
          <w:lang w:val="en-US"/>
        </w:rPr>
        <w:t>Sex Roles</w:t>
      </w:r>
      <w:r w:rsidRPr="003526A0">
        <w:rPr>
          <w:rFonts w:ascii="Times New Roman" w:hAnsi="Times New Roman"/>
          <w:sz w:val="24"/>
          <w:szCs w:val="24"/>
          <w:lang w:val="en-US"/>
        </w:rPr>
        <w:t xml:space="preserve"> 69 (5): 323–38.</w:t>
      </w:r>
    </w:p>
    <w:p w14:paraId="4B2DA123" w14:textId="5FEA3B1F" w:rsidR="00CB1677" w:rsidRPr="005B40F4" w:rsidRDefault="00CB1677" w:rsidP="00404AD0">
      <w:pPr>
        <w:pStyle w:val="NormaleWeb"/>
        <w:spacing w:before="0" w:beforeAutospacing="0" w:after="0" w:afterAutospacing="0" w:line="480" w:lineRule="auto"/>
        <w:ind w:left="480" w:hanging="480"/>
        <w:rPr>
          <w:sz w:val="24"/>
          <w:szCs w:val="24"/>
          <w:lang w:val="en-US"/>
        </w:rPr>
      </w:pPr>
      <w:proofErr w:type="spellStart"/>
      <w:r w:rsidRPr="005B40F4">
        <w:rPr>
          <w:sz w:val="24"/>
          <w:szCs w:val="24"/>
        </w:rPr>
        <w:t>Ferrín</w:t>
      </w:r>
      <w:proofErr w:type="spellEnd"/>
      <w:r>
        <w:rPr>
          <w:sz w:val="24"/>
          <w:szCs w:val="24"/>
        </w:rPr>
        <w:t xml:space="preserve">, Monica, Marta </w:t>
      </w:r>
      <w:proofErr w:type="spellStart"/>
      <w:r>
        <w:rPr>
          <w:sz w:val="24"/>
          <w:szCs w:val="24"/>
        </w:rPr>
        <w:t>Fraile</w:t>
      </w:r>
      <w:proofErr w:type="spellEnd"/>
      <w:r>
        <w:rPr>
          <w:sz w:val="24"/>
          <w:szCs w:val="24"/>
        </w:rPr>
        <w:t xml:space="preserve">, Gema M. </w:t>
      </w:r>
      <w:proofErr w:type="spellStart"/>
      <w:r>
        <w:rPr>
          <w:sz w:val="24"/>
          <w:szCs w:val="24"/>
        </w:rPr>
        <w:t>Gar</w:t>
      </w:r>
      <w:r w:rsidRPr="002158E3">
        <w:rPr>
          <w:sz w:val="24"/>
          <w:szCs w:val="24"/>
        </w:rPr>
        <w:t>í</w:t>
      </w:r>
      <w:r>
        <w:rPr>
          <w:sz w:val="24"/>
          <w:szCs w:val="24"/>
        </w:rPr>
        <w:t>a</w:t>
      </w:r>
      <w:proofErr w:type="spellEnd"/>
      <w:r>
        <w:rPr>
          <w:sz w:val="24"/>
          <w:szCs w:val="24"/>
        </w:rPr>
        <w:t xml:space="preserve">-Albacete, Raul </w:t>
      </w:r>
      <w:proofErr w:type="spellStart"/>
      <w:r>
        <w:rPr>
          <w:sz w:val="24"/>
          <w:szCs w:val="24"/>
        </w:rPr>
        <w:t>Gómez</w:t>
      </w:r>
      <w:proofErr w:type="spellEnd"/>
      <w:r>
        <w:rPr>
          <w:sz w:val="24"/>
          <w:szCs w:val="24"/>
        </w:rPr>
        <w:t xml:space="preserve">. 2020. “The Gender Gap in </w:t>
      </w:r>
      <w:proofErr w:type="spellStart"/>
      <w:r>
        <w:rPr>
          <w:sz w:val="24"/>
          <w:szCs w:val="24"/>
        </w:rPr>
        <w:t>Political</w:t>
      </w:r>
      <w:proofErr w:type="spellEnd"/>
      <w:r>
        <w:rPr>
          <w:sz w:val="24"/>
          <w:szCs w:val="24"/>
        </w:rPr>
        <w:t xml:space="preserve"> </w:t>
      </w:r>
      <w:proofErr w:type="spellStart"/>
      <w:r>
        <w:rPr>
          <w:sz w:val="24"/>
          <w:szCs w:val="24"/>
        </w:rPr>
        <w:t>Interest</w:t>
      </w:r>
      <w:proofErr w:type="spellEnd"/>
      <w:r>
        <w:rPr>
          <w:sz w:val="24"/>
          <w:szCs w:val="24"/>
        </w:rPr>
        <w:t xml:space="preserve"> </w:t>
      </w:r>
      <w:proofErr w:type="spellStart"/>
      <w:r>
        <w:rPr>
          <w:sz w:val="24"/>
          <w:szCs w:val="24"/>
        </w:rPr>
        <w:t>Revisited</w:t>
      </w:r>
      <w:proofErr w:type="spellEnd"/>
      <w:r>
        <w:rPr>
          <w:sz w:val="24"/>
          <w:szCs w:val="24"/>
        </w:rPr>
        <w:t xml:space="preserve">.” </w:t>
      </w:r>
      <w:r>
        <w:rPr>
          <w:i/>
          <w:sz w:val="24"/>
          <w:szCs w:val="24"/>
        </w:rPr>
        <w:t xml:space="preserve">International </w:t>
      </w:r>
      <w:proofErr w:type="spellStart"/>
      <w:r>
        <w:rPr>
          <w:i/>
          <w:sz w:val="24"/>
          <w:szCs w:val="24"/>
        </w:rPr>
        <w:t>Political</w:t>
      </w:r>
      <w:proofErr w:type="spellEnd"/>
      <w:r>
        <w:rPr>
          <w:i/>
          <w:sz w:val="24"/>
          <w:szCs w:val="24"/>
        </w:rPr>
        <w:t xml:space="preserve"> Science </w:t>
      </w:r>
      <w:proofErr w:type="spellStart"/>
      <w:r>
        <w:rPr>
          <w:i/>
          <w:sz w:val="24"/>
          <w:szCs w:val="24"/>
        </w:rPr>
        <w:t>Review</w:t>
      </w:r>
      <w:proofErr w:type="spellEnd"/>
      <w:r>
        <w:rPr>
          <w:sz w:val="24"/>
          <w:szCs w:val="24"/>
        </w:rPr>
        <w:t xml:space="preserve"> 41</w:t>
      </w:r>
      <w:proofErr w:type="gramStart"/>
      <w:r>
        <w:rPr>
          <w:sz w:val="24"/>
          <w:szCs w:val="24"/>
        </w:rPr>
        <w:t>(</w:t>
      </w:r>
      <w:proofErr w:type="gramEnd"/>
      <w:r>
        <w:rPr>
          <w:sz w:val="24"/>
          <w:szCs w:val="24"/>
        </w:rPr>
        <w:t>4): 473-489.</w:t>
      </w:r>
    </w:p>
    <w:p w14:paraId="39BCE110" w14:textId="77777777" w:rsidR="003526A0" w:rsidRPr="003526A0" w:rsidRDefault="003526A0" w:rsidP="00404AD0">
      <w:pPr>
        <w:pStyle w:val="NormaleWeb"/>
        <w:spacing w:before="0" w:beforeAutospacing="0" w:after="0" w:afterAutospacing="0" w:line="480" w:lineRule="auto"/>
        <w:ind w:left="480" w:hanging="480"/>
        <w:rPr>
          <w:rFonts w:ascii="Times New Roman" w:hAnsi="Times New Roman"/>
          <w:sz w:val="24"/>
          <w:szCs w:val="24"/>
          <w:lang w:val="en-US"/>
        </w:rPr>
      </w:pPr>
      <w:proofErr w:type="spellStart"/>
      <w:r w:rsidRPr="005B40F4">
        <w:rPr>
          <w:sz w:val="24"/>
          <w:szCs w:val="24"/>
          <w:lang w:val="en-US"/>
        </w:rPr>
        <w:lastRenderedPageBreak/>
        <w:t>Fraile</w:t>
      </w:r>
      <w:proofErr w:type="spellEnd"/>
      <w:r w:rsidRPr="005B40F4">
        <w:rPr>
          <w:sz w:val="24"/>
          <w:szCs w:val="24"/>
          <w:lang w:val="en-US"/>
        </w:rPr>
        <w:t>, Marta</w:t>
      </w:r>
      <w:r w:rsidRPr="003526A0">
        <w:rPr>
          <w:rFonts w:ascii="Times New Roman" w:hAnsi="Times New Roman"/>
          <w:sz w:val="24"/>
          <w:szCs w:val="24"/>
          <w:lang w:val="en-US"/>
        </w:rPr>
        <w:t xml:space="preserve">, and Raul Gomez. 2017. “Bridging the Enduring Gender Gap in Political Interest in Europe: The Relevance of Promoting Gender Equality.” </w:t>
      </w:r>
      <w:proofErr w:type="gramStart"/>
      <w:r w:rsidRPr="003526A0">
        <w:rPr>
          <w:rFonts w:ascii="Times New Roman" w:hAnsi="Times New Roman"/>
          <w:i/>
          <w:iCs/>
          <w:sz w:val="24"/>
          <w:szCs w:val="24"/>
          <w:lang w:val="en-US"/>
        </w:rPr>
        <w:t>European Journal of Political Research</w:t>
      </w:r>
      <w:r w:rsidRPr="003526A0">
        <w:rPr>
          <w:rFonts w:ascii="Times New Roman" w:hAnsi="Times New Roman"/>
          <w:sz w:val="24"/>
          <w:szCs w:val="24"/>
          <w:lang w:val="en-US"/>
        </w:rPr>
        <w:t xml:space="preserve"> 56 (3): 601–18.</w:t>
      </w:r>
      <w:proofErr w:type="gramEnd"/>
    </w:p>
    <w:p w14:paraId="5A577BEE" w14:textId="77777777" w:rsidR="003526A0" w:rsidRDefault="003526A0" w:rsidP="00404AD0">
      <w:pPr>
        <w:pStyle w:val="NormaleWeb"/>
        <w:spacing w:before="0" w:beforeAutospacing="0" w:after="0" w:afterAutospacing="0" w:line="480" w:lineRule="auto"/>
        <w:ind w:left="480" w:hanging="480"/>
        <w:rPr>
          <w:rFonts w:ascii="Times New Roman" w:hAnsi="Times New Roman"/>
          <w:sz w:val="24"/>
          <w:szCs w:val="24"/>
          <w:lang w:val="en-US"/>
        </w:rPr>
      </w:pPr>
      <w:proofErr w:type="spellStart"/>
      <w:r w:rsidRPr="003526A0">
        <w:rPr>
          <w:rFonts w:ascii="Times New Roman" w:hAnsi="Times New Roman"/>
          <w:sz w:val="24"/>
          <w:szCs w:val="24"/>
          <w:lang w:val="en-US"/>
        </w:rPr>
        <w:t>Hammen</w:t>
      </w:r>
      <w:proofErr w:type="spellEnd"/>
      <w:r w:rsidRPr="003526A0">
        <w:rPr>
          <w:rFonts w:ascii="Times New Roman" w:hAnsi="Times New Roman"/>
          <w:sz w:val="24"/>
          <w:szCs w:val="24"/>
          <w:lang w:val="en-US"/>
        </w:rPr>
        <w:t xml:space="preserve">, Constance. 2018. “Risk Factors for Depression: An Autobiographical Review.” </w:t>
      </w:r>
      <w:r w:rsidRPr="003526A0">
        <w:rPr>
          <w:rFonts w:ascii="Times New Roman" w:hAnsi="Times New Roman"/>
          <w:i/>
          <w:iCs/>
          <w:sz w:val="24"/>
          <w:szCs w:val="24"/>
          <w:lang w:val="en-US"/>
        </w:rPr>
        <w:t>Annual Review of Clinical Psychology</w:t>
      </w:r>
      <w:r w:rsidRPr="003526A0">
        <w:rPr>
          <w:rFonts w:ascii="Times New Roman" w:hAnsi="Times New Roman"/>
          <w:sz w:val="24"/>
          <w:szCs w:val="24"/>
          <w:lang w:val="en-US"/>
        </w:rPr>
        <w:t xml:space="preserve"> 14 (1): 1–28.</w:t>
      </w:r>
    </w:p>
    <w:p w14:paraId="7A4A5192" w14:textId="77777777" w:rsidR="003526A0" w:rsidRPr="003526A0" w:rsidRDefault="003526A0" w:rsidP="00404AD0">
      <w:pPr>
        <w:pStyle w:val="NormaleWeb"/>
        <w:spacing w:before="0" w:beforeAutospacing="0" w:after="0" w:afterAutospacing="0" w:line="480" w:lineRule="auto"/>
        <w:ind w:left="480" w:hanging="480"/>
        <w:rPr>
          <w:rFonts w:ascii="Times New Roman" w:hAnsi="Times New Roman"/>
          <w:sz w:val="24"/>
          <w:szCs w:val="24"/>
          <w:lang w:val="en-US"/>
        </w:rPr>
      </w:pPr>
      <w:proofErr w:type="gramStart"/>
      <w:r w:rsidRPr="003526A0">
        <w:rPr>
          <w:rFonts w:ascii="Times New Roman" w:hAnsi="Times New Roman"/>
          <w:sz w:val="24"/>
          <w:szCs w:val="24"/>
          <w:lang w:val="en-US"/>
        </w:rPr>
        <w:t>Hidaka, Brandon H. 2012.</w:t>
      </w:r>
      <w:proofErr w:type="gramEnd"/>
      <w:r w:rsidRPr="003526A0">
        <w:rPr>
          <w:rFonts w:ascii="Times New Roman" w:hAnsi="Times New Roman"/>
          <w:sz w:val="24"/>
          <w:szCs w:val="24"/>
          <w:lang w:val="en-US"/>
        </w:rPr>
        <w:t xml:space="preserve"> “Depression as a Disease of Modernity: Explanations for Increasing Prevalence.” </w:t>
      </w:r>
      <w:proofErr w:type="gramStart"/>
      <w:r w:rsidRPr="003526A0">
        <w:rPr>
          <w:rFonts w:ascii="Times New Roman" w:hAnsi="Times New Roman"/>
          <w:i/>
          <w:iCs/>
          <w:sz w:val="24"/>
          <w:szCs w:val="24"/>
          <w:lang w:val="en-US"/>
        </w:rPr>
        <w:t>Journal of Affective Disorders</w:t>
      </w:r>
      <w:r w:rsidRPr="003526A0">
        <w:rPr>
          <w:rFonts w:ascii="Times New Roman" w:hAnsi="Times New Roman"/>
          <w:sz w:val="24"/>
          <w:szCs w:val="24"/>
          <w:lang w:val="en-US"/>
        </w:rPr>
        <w:t xml:space="preserve"> 140 (3): 205–14.</w:t>
      </w:r>
      <w:proofErr w:type="gramEnd"/>
    </w:p>
    <w:p w14:paraId="3440E8D5" w14:textId="77777777" w:rsidR="003526A0" w:rsidRPr="003526A0" w:rsidRDefault="003526A0" w:rsidP="00404AD0">
      <w:pPr>
        <w:pStyle w:val="NormaleWeb"/>
        <w:spacing w:before="0" w:beforeAutospacing="0" w:after="0" w:afterAutospacing="0" w:line="480" w:lineRule="auto"/>
        <w:ind w:left="480" w:hanging="480"/>
        <w:rPr>
          <w:rFonts w:ascii="Times New Roman" w:hAnsi="Times New Roman"/>
          <w:sz w:val="24"/>
          <w:szCs w:val="24"/>
          <w:lang w:val="en-US"/>
        </w:rPr>
      </w:pPr>
      <w:r w:rsidRPr="003526A0">
        <w:rPr>
          <w:rFonts w:ascii="Times New Roman" w:hAnsi="Times New Roman"/>
          <w:sz w:val="24"/>
          <w:szCs w:val="24"/>
          <w:lang w:val="en-US"/>
        </w:rPr>
        <w:t xml:space="preserve">Hunt, Melissa G., Joseph </w:t>
      </w:r>
      <w:proofErr w:type="spellStart"/>
      <w:r w:rsidRPr="003526A0">
        <w:rPr>
          <w:rFonts w:ascii="Times New Roman" w:hAnsi="Times New Roman"/>
          <w:sz w:val="24"/>
          <w:szCs w:val="24"/>
          <w:lang w:val="en-US"/>
        </w:rPr>
        <w:t>Auriemma</w:t>
      </w:r>
      <w:proofErr w:type="spellEnd"/>
      <w:r w:rsidRPr="003526A0">
        <w:rPr>
          <w:rFonts w:ascii="Times New Roman" w:hAnsi="Times New Roman"/>
          <w:sz w:val="24"/>
          <w:szCs w:val="24"/>
          <w:lang w:val="en-US"/>
        </w:rPr>
        <w:t xml:space="preserve">, and </w:t>
      </w:r>
      <w:proofErr w:type="spellStart"/>
      <w:r w:rsidRPr="003526A0">
        <w:rPr>
          <w:rFonts w:ascii="Times New Roman" w:hAnsi="Times New Roman"/>
          <w:sz w:val="24"/>
          <w:szCs w:val="24"/>
          <w:lang w:val="en-US"/>
        </w:rPr>
        <w:t>Ashara</w:t>
      </w:r>
      <w:proofErr w:type="spellEnd"/>
      <w:r w:rsidRPr="003526A0">
        <w:rPr>
          <w:rFonts w:ascii="Times New Roman" w:hAnsi="Times New Roman"/>
          <w:sz w:val="24"/>
          <w:szCs w:val="24"/>
          <w:lang w:val="en-US"/>
        </w:rPr>
        <w:t xml:space="preserve"> C. A. </w:t>
      </w:r>
      <w:proofErr w:type="spellStart"/>
      <w:r w:rsidRPr="003526A0">
        <w:rPr>
          <w:rFonts w:ascii="Times New Roman" w:hAnsi="Times New Roman"/>
          <w:sz w:val="24"/>
          <w:szCs w:val="24"/>
          <w:lang w:val="en-US"/>
        </w:rPr>
        <w:t>Cashaw</w:t>
      </w:r>
      <w:proofErr w:type="spellEnd"/>
      <w:r w:rsidRPr="003526A0">
        <w:rPr>
          <w:rFonts w:ascii="Times New Roman" w:hAnsi="Times New Roman"/>
          <w:sz w:val="24"/>
          <w:szCs w:val="24"/>
          <w:lang w:val="en-US"/>
        </w:rPr>
        <w:t xml:space="preserve">. 2003. “Self-Report Bias and Underreporting of Depression on the BDI-II.” </w:t>
      </w:r>
      <w:proofErr w:type="gramStart"/>
      <w:r w:rsidRPr="003526A0">
        <w:rPr>
          <w:rFonts w:ascii="Times New Roman" w:hAnsi="Times New Roman"/>
          <w:i/>
          <w:iCs/>
          <w:sz w:val="24"/>
          <w:szCs w:val="24"/>
          <w:lang w:val="en-US"/>
        </w:rPr>
        <w:t>Journal of Personality Assessment</w:t>
      </w:r>
      <w:r w:rsidRPr="003526A0">
        <w:rPr>
          <w:rFonts w:ascii="Times New Roman" w:hAnsi="Times New Roman"/>
          <w:sz w:val="24"/>
          <w:szCs w:val="24"/>
          <w:lang w:val="en-US"/>
        </w:rPr>
        <w:t xml:space="preserve"> 80 (1): 26–30.</w:t>
      </w:r>
      <w:proofErr w:type="gramEnd"/>
    </w:p>
    <w:p w14:paraId="780DDCF3" w14:textId="5168756C" w:rsidR="00DE1EA9" w:rsidRDefault="00DE1EA9" w:rsidP="00404AD0">
      <w:pPr>
        <w:pStyle w:val="NormaleWeb"/>
        <w:spacing w:before="0" w:beforeAutospacing="0" w:after="0" w:afterAutospacing="0" w:line="480" w:lineRule="auto"/>
        <w:ind w:left="480" w:hanging="480"/>
        <w:rPr>
          <w:rFonts w:ascii="Times New Roman" w:hAnsi="Times New Roman"/>
          <w:sz w:val="24"/>
          <w:szCs w:val="24"/>
          <w:lang w:val="en-US"/>
        </w:rPr>
      </w:pPr>
      <w:r>
        <w:rPr>
          <w:rFonts w:ascii="Times New Roman" w:hAnsi="Times New Roman"/>
          <w:sz w:val="24"/>
          <w:szCs w:val="24"/>
          <w:lang w:val="en-US"/>
        </w:rPr>
        <w:t xml:space="preserve">Johnson, Daniel P., and </w:t>
      </w:r>
      <w:r w:rsidR="00EF4E7D">
        <w:rPr>
          <w:rFonts w:ascii="Times New Roman" w:hAnsi="Times New Roman"/>
          <w:sz w:val="24"/>
          <w:szCs w:val="24"/>
          <w:lang w:val="en-US"/>
        </w:rPr>
        <w:t xml:space="preserve">Mark A. </w:t>
      </w:r>
      <w:proofErr w:type="spellStart"/>
      <w:r w:rsidR="00EF4E7D">
        <w:rPr>
          <w:rFonts w:ascii="Times New Roman" w:hAnsi="Times New Roman"/>
          <w:sz w:val="24"/>
          <w:szCs w:val="24"/>
          <w:lang w:val="en-US"/>
        </w:rPr>
        <w:t>Whi</w:t>
      </w:r>
      <w:r w:rsidR="0079516F">
        <w:rPr>
          <w:rFonts w:ascii="Times New Roman" w:hAnsi="Times New Roman"/>
          <w:sz w:val="24"/>
          <w:szCs w:val="24"/>
          <w:lang w:val="en-US"/>
        </w:rPr>
        <w:t>sman</w:t>
      </w:r>
      <w:proofErr w:type="spellEnd"/>
      <w:r w:rsidR="0079516F">
        <w:rPr>
          <w:rFonts w:ascii="Times New Roman" w:hAnsi="Times New Roman"/>
          <w:sz w:val="24"/>
          <w:szCs w:val="24"/>
          <w:lang w:val="en-US"/>
        </w:rPr>
        <w:t>. 2013. “Gender differences in rumination: A meta-a</w:t>
      </w:r>
      <w:r>
        <w:rPr>
          <w:rFonts w:ascii="Times New Roman" w:hAnsi="Times New Roman"/>
          <w:sz w:val="24"/>
          <w:szCs w:val="24"/>
          <w:lang w:val="en-US"/>
        </w:rPr>
        <w:t>nalysis</w:t>
      </w:r>
      <w:r w:rsidR="006250B9">
        <w:rPr>
          <w:rFonts w:ascii="Times New Roman" w:hAnsi="Times New Roman"/>
          <w:sz w:val="24"/>
          <w:szCs w:val="24"/>
          <w:lang w:val="en-US"/>
        </w:rPr>
        <w:t>.</w:t>
      </w:r>
      <w:r>
        <w:rPr>
          <w:rFonts w:ascii="Times New Roman" w:hAnsi="Times New Roman"/>
          <w:sz w:val="24"/>
          <w:szCs w:val="24"/>
          <w:lang w:val="en-US"/>
        </w:rPr>
        <w:t>”</w:t>
      </w:r>
      <w:r w:rsidR="006250B9">
        <w:rPr>
          <w:rFonts w:ascii="Times New Roman" w:hAnsi="Times New Roman"/>
          <w:sz w:val="24"/>
          <w:szCs w:val="24"/>
          <w:lang w:val="en-US"/>
        </w:rPr>
        <w:t xml:space="preserve"> </w:t>
      </w:r>
      <w:r w:rsidR="006250B9" w:rsidRPr="00846A1F">
        <w:rPr>
          <w:rFonts w:ascii="Times New Roman" w:hAnsi="Times New Roman"/>
          <w:i/>
          <w:sz w:val="24"/>
          <w:szCs w:val="24"/>
          <w:lang w:val="en-US"/>
        </w:rPr>
        <w:t>Personality and Individual Differences</w:t>
      </w:r>
      <w:r w:rsidR="006250B9">
        <w:rPr>
          <w:rFonts w:ascii="Times New Roman" w:hAnsi="Times New Roman"/>
          <w:sz w:val="24"/>
          <w:szCs w:val="24"/>
          <w:lang w:val="en-US"/>
        </w:rPr>
        <w:t xml:space="preserve"> 55</w:t>
      </w:r>
      <w:r w:rsidR="00F24AD3">
        <w:rPr>
          <w:rFonts w:ascii="Times New Roman" w:hAnsi="Times New Roman"/>
          <w:sz w:val="24"/>
          <w:szCs w:val="24"/>
          <w:lang w:val="en-US"/>
        </w:rPr>
        <w:t xml:space="preserve"> </w:t>
      </w:r>
      <w:r w:rsidR="006250B9">
        <w:rPr>
          <w:rFonts w:ascii="Times New Roman" w:hAnsi="Times New Roman"/>
          <w:sz w:val="24"/>
          <w:szCs w:val="24"/>
          <w:lang w:val="en-US"/>
        </w:rPr>
        <w:t>(4): 367-374.</w:t>
      </w:r>
    </w:p>
    <w:p w14:paraId="04AFAA69" w14:textId="726892F0" w:rsidR="008E555B" w:rsidRDefault="008E555B" w:rsidP="00404AD0">
      <w:pPr>
        <w:pStyle w:val="NormaleWeb"/>
        <w:spacing w:before="0" w:beforeAutospacing="0" w:after="0" w:afterAutospacing="0" w:line="480" w:lineRule="auto"/>
        <w:ind w:left="480" w:hanging="480"/>
        <w:rPr>
          <w:rFonts w:ascii="Times New Roman" w:hAnsi="Times New Roman"/>
          <w:sz w:val="24"/>
          <w:szCs w:val="24"/>
          <w:lang w:val="en-US"/>
        </w:rPr>
      </w:pPr>
      <w:r>
        <w:rPr>
          <w:rFonts w:ascii="Times New Roman" w:hAnsi="Times New Roman"/>
          <w:sz w:val="24"/>
          <w:szCs w:val="24"/>
          <w:lang w:val="en-US"/>
        </w:rPr>
        <w:t xml:space="preserve">Kessler, Ronald C. 2003. “Epidemiology of women and depression.” </w:t>
      </w:r>
      <w:proofErr w:type="gramStart"/>
      <w:r>
        <w:rPr>
          <w:rFonts w:ascii="Times New Roman" w:hAnsi="Times New Roman"/>
          <w:sz w:val="24"/>
          <w:szCs w:val="24"/>
          <w:lang w:val="en-US"/>
        </w:rPr>
        <w:t>Journal of Affective Disorders 74: 5–13.</w:t>
      </w:r>
      <w:proofErr w:type="gramEnd"/>
    </w:p>
    <w:p w14:paraId="03B6943B" w14:textId="77777777" w:rsidR="003526A0" w:rsidRPr="003526A0" w:rsidRDefault="003526A0" w:rsidP="00404AD0">
      <w:pPr>
        <w:pStyle w:val="NormaleWeb"/>
        <w:spacing w:before="0" w:beforeAutospacing="0" w:after="0" w:afterAutospacing="0" w:line="480" w:lineRule="auto"/>
        <w:ind w:left="480" w:hanging="480"/>
        <w:rPr>
          <w:rFonts w:ascii="Times New Roman" w:hAnsi="Times New Roman"/>
          <w:sz w:val="24"/>
          <w:szCs w:val="24"/>
          <w:lang w:val="en-US"/>
        </w:rPr>
      </w:pPr>
      <w:proofErr w:type="gramStart"/>
      <w:r w:rsidRPr="003526A0">
        <w:rPr>
          <w:rFonts w:ascii="Times New Roman" w:hAnsi="Times New Roman"/>
          <w:sz w:val="24"/>
          <w:szCs w:val="24"/>
          <w:lang w:val="en-US"/>
        </w:rPr>
        <w:t xml:space="preserve">Kessler, Ronald C., Katherine A </w:t>
      </w:r>
      <w:proofErr w:type="spellStart"/>
      <w:r w:rsidRPr="003526A0">
        <w:rPr>
          <w:rFonts w:ascii="Times New Roman" w:hAnsi="Times New Roman"/>
          <w:sz w:val="24"/>
          <w:szCs w:val="24"/>
          <w:lang w:val="en-US"/>
        </w:rPr>
        <w:t>McGonagle</w:t>
      </w:r>
      <w:proofErr w:type="spellEnd"/>
      <w:r w:rsidRPr="003526A0">
        <w:rPr>
          <w:rFonts w:ascii="Times New Roman" w:hAnsi="Times New Roman"/>
          <w:sz w:val="24"/>
          <w:szCs w:val="24"/>
          <w:lang w:val="en-US"/>
        </w:rPr>
        <w:t>, Marvin Swartz, Dan G. Blazer, and Christopher B. Nelson.</w:t>
      </w:r>
      <w:proofErr w:type="gramEnd"/>
      <w:r w:rsidRPr="003526A0">
        <w:rPr>
          <w:rFonts w:ascii="Times New Roman" w:hAnsi="Times New Roman"/>
          <w:sz w:val="24"/>
          <w:szCs w:val="24"/>
          <w:lang w:val="en-US"/>
        </w:rPr>
        <w:t xml:space="preserve"> 1993. “Sex and Depression in the National Comorbidity Survey I: Lifetime Prevalence, Chronicity and Recurrence.” </w:t>
      </w:r>
      <w:proofErr w:type="gramStart"/>
      <w:r w:rsidRPr="003526A0">
        <w:rPr>
          <w:rFonts w:ascii="Times New Roman" w:hAnsi="Times New Roman"/>
          <w:i/>
          <w:iCs/>
          <w:sz w:val="24"/>
          <w:szCs w:val="24"/>
          <w:lang w:val="en-US"/>
        </w:rPr>
        <w:t>Journal of Affective Disorders</w:t>
      </w:r>
      <w:r w:rsidRPr="003526A0">
        <w:rPr>
          <w:rFonts w:ascii="Times New Roman" w:hAnsi="Times New Roman"/>
          <w:sz w:val="24"/>
          <w:szCs w:val="24"/>
          <w:lang w:val="en-US"/>
        </w:rPr>
        <w:t xml:space="preserve"> 29 (2): 85–96.</w:t>
      </w:r>
      <w:proofErr w:type="gramEnd"/>
    </w:p>
    <w:p w14:paraId="7B064E6C" w14:textId="3A7E7988" w:rsidR="003E4884" w:rsidRPr="003E4884" w:rsidRDefault="003E4884" w:rsidP="00404AD0">
      <w:pPr>
        <w:pStyle w:val="NormaleWeb"/>
        <w:spacing w:before="0" w:beforeAutospacing="0" w:after="0" w:afterAutospacing="0" w:line="480" w:lineRule="auto"/>
        <w:ind w:left="480" w:hanging="480"/>
        <w:rPr>
          <w:rFonts w:ascii="Times New Roman" w:hAnsi="Times New Roman"/>
          <w:sz w:val="24"/>
          <w:szCs w:val="24"/>
          <w:lang w:val="en-US"/>
        </w:rPr>
      </w:pPr>
      <w:proofErr w:type="spellStart"/>
      <w:r>
        <w:rPr>
          <w:rFonts w:ascii="Times New Roman" w:hAnsi="Times New Roman"/>
          <w:sz w:val="24"/>
          <w:szCs w:val="24"/>
          <w:lang w:val="en-US"/>
        </w:rPr>
        <w:t>Landwehr</w:t>
      </w:r>
      <w:proofErr w:type="spellEnd"/>
      <w:r>
        <w:rPr>
          <w:rFonts w:ascii="Times New Roman" w:hAnsi="Times New Roman"/>
          <w:sz w:val="24"/>
          <w:szCs w:val="24"/>
          <w:lang w:val="en-US"/>
        </w:rPr>
        <w:t>, Clau</w:t>
      </w:r>
      <w:r w:rsidR="006E511D">
        <w:rPr>
          <w:rFonts w:ascii="Times New Roman" w:hAnsi="Times New Roman"/>
          <w:sz w:val="24"/>
          <w:szCs w:val="24"/>
          <w:lang w:val="en-US"/>
        </w:rPr>
        <w:t>dia, and Christopher Ojeda. 2021</w:t>
      </w:r>
      <w:r>
        <w:rPr>
          <w:rFonts w:ascii="Times New Roman" w:hAnsi="Times New Roman"/>
          <w:sz w:val="24"/>
          <w:szCs w:val="24"/>
          <w:lang w:val="en-US"/>
        </w:rPr>
        <w:t xml:space="preserve">. “Democracy and Depression: A Cross-National Study of Depressive Symptoms and Nonparticipation.” </w:t>
      </w:r>
      <w:r>
        <w:rPr>
          <w:rFonts w:ascii="Times New Roman" w:hAnsi="Times New Roman"/>
          <w:i/>
          <w:sz w:val="24"/>
          <w:szCs w:val="24"/>
          <w:lang w:val="en-US"/>
        </w:rPr>
        <w:t>American Political Science Review</w:t>
      </w:r>
      <w:r w:rsidR="00082172">
        <w:rPr>
          <w:rFonts w:ascii="Times New Roman" w:hAnsi="Times New Roman"/>
          <w:sz w:val="24"/>
          <w:szCs w:val="24"/>
          <w:lang w:val="en-US"/>
        </w:rPr>
        <w:t xml:space="preserve"> </w:t>
      </w:r>
      <w:r w:rsidR="006E511D">
        <w:rPr>
          <w:rFonts w:ascii="Times New Roman" w:hAnsi="Times New Roman"/>
          <w:sz w:val="24"/>
          <w:szCs w:val="24"/>
          <w:lang w:val="en-US"/>
        </w:rPr>
        <w:t>115 (1): 323-330.</w:t>
      </w:r>
    </w:p>
    <w:p w14:paraId="0A3BB3E2" w14:textId="36A4F4BD" w:rsidR="005E108C" w:rsidRPr="00AB4F7D" w:rsidRDefault="005E108C" w:rsidP="00AB4F7D">
      <w:pPr>
        <w:spacing w:line="480" w:lineRule="auto"/>
        <w:ind w:left="482" w:hanging="482"/>
        <w:rPr>
          <w:rFonts w:eastAsiaTheme="minorHAnsi"/>
          <w:lang w:val="it-IT"/>
        </w:rPr>
      </w:pPr>
      <w:r w:rsidRPr="00AB4F7D">
        <w:rPr>
          <w:rFonts w:eastAsiaTheme="minorHAnsi"/>
          <w:lang w:val="it-IT" w:eastAsia="it-IT"/>
        </w:rPr>
        <w:t xml:space="preserve">Lynch, John, and Christopher </w:t>
      </w:r>
      <w:proofErr w:type="spellStart"/>
      <w:r w:rsidRPr="00AB4F7D">
        <w:rPr>
          <w:rFonts w:eastAsiaTheme="minorHAnsi"/>
          <w:lang w:val="it-IT" w:eastAsia="it-IT"/>
        </w:rPr>
        <w:t>Kilmartin</w:t>
      </w:r>
      <w:proofErr w:type="spellEnd"/>
      <w:r w:rsidRPr="00AB4F7D">
        <w:rPr>
          <w:rFonts w:eastAsiaTheme="minorHAnsi"/>
          <w:lang w:val="it-IT" w:eastAsia="it-IT"/>
        </w:rPr>
        <w:t xml:space="preserve">. 1999. </w:t>
      </w:r>
      <w:r w:rsidRPr="00AB4F7D">
        <w:rPr>
          <w:rFonts w:eastAsiaTheme="minorHAnsi"/>
          <w:i/>
          <w:iCs/>
          <w:lang w:val="it-IT" w:eastAsia="it-IT"/>
        </w:rPr>
        <w:t xml:space="preserve">The </w:t>
      </w:r>
      <w:proofErr w:type="spellStart"/>
      <w:r w:rsidRPr="00AB4F7D">
        <w:rPr>
          <w:rFonts w:eastAsiaTheme="minorHAnsi"/>
          <w:i/>
          <w:iCs/>
          <w:lang w:val="it-IT" w:eastAsia="it-IT"/>
        </w:rPr>
        <w:t>Pain</w:t>
      </w:r>
      <w:proofErr w:type="spellEnd"/>
      <w:r w:rsidRPr="00AB4F7D">
        <w:rPr>
          <w:rFonts w:eastAsiaTheme="minorHAnsi"/>
          <w:i/>
          <w:iCs/>
          <w:lang w:val="it-IT" w:eastAsia="it-IT"/>
        </w:rPr>
        <w:t xml:space="preserve"> </w:t>
      </w:r>
      <w:proofErr w:type="spellStart"/>
      <w:r w:rsidRPr="00AB4F7D">
        <w:rPr>
          <w:rFonts w:eastAsiaTheme="minorHAnsi"/>
          <w:i/>
          <w:iCs/>
          <w:lang w:val="it-IT" w:eastAsia="it-IT"/>
        </w:rPr>
        <w:t>Behind</w:t>
      </w:r>
      <w:proofErr w:type="spellEnd"/>
      <w:r w:rsidRPr="00AB4F7D">
        <w:rPr>
          <w:rFonts w:eastAsiaTheme="minorHAnsi"/>
          <w:i/>
          <w:iCs/>
          <w:lang w:val="it-IT" w:eastAsia="it-IT"/>
        </w:rPr>
        <w:t xml:space="preserve"> </w:t>
      </w:r>
      <w:proofErr w:type="gramStart"/>
      <w:r w:rsidRPr="00AB4F7D">
        <w:rPr>
          <w:rFonts w:eastAsiaTheme="minorHAnsi"/>
          <w:i/>
          <w:iCs/>
          <w:lang w:val="it-IT" w:eastAsia="it-IT"/>
        </w:rPr>
        <w:t>the</w:t>
      </w:r>
      <w:proofErr w:type="gramEnd"/>
      <w:r w:rsidRPr="00AB4F7D">
        <w:rPr>
          <w:rFonts w:eastAsiaTheme="minorHAnsi"/>
          <w:i/>
          <w:iCs/>
          <w:lang w:val="it-IT" w:eastAsia="it-IT"/>
        </w:rPr>
        <w:t xml:space="preserve"> </w:t>
      </w:r>
      <w:proofErr w:type="spellStart"/>
      <w:r w:rsidRPr="00AB4F7D">
        <w:rPr>
          <w:rFonts w:eastAsiaTheme="minorHAnsi"/>
          <w:i/>
          <w:iCs/>
          <w:lang w:val="it-IT" w:eastAsia="it-IT"/>
        </w:rPr>
        <w:t>Mask</w:t>
      </w:r>
      <w:proofErr w:type="spellEnd"/>
      <w:r w:rsidRPr="00AB4F7D">
        <w:rPr>
          <w:rFonts w:eastAsiaTheme="minorHAnsi"/>
          <w:i/>
          <w:iCs/>
          <w:lang w:val="it-IT" w:eastAsia="it-IT"/>
        </w:rPr>
        <w:t xml:space="preserve">: </w:t>
      </w:r>
      <w:proofErr w:type="spellStart"/>
      <w:r w:rsidRPr="00AB4F7D">
        <w:rPr>
          <w:rFonts w:eastAsiaTheme="minorHAnsi"/>
          <w:i/>
          <w:iCs/>
          <w:lang w:val="it-IT" w:eastAsia="it-IT"/>
        </w:rPr>
        <w:t>Overcoming</w:t>
      </w:r>
      <w:proofErr w:type="spellEnd"/>
      <w:r w:rsidRPr="00AB4F7D">
        <w:rPr>
          <w:rFonts w:eastAsiaTheme="minorHAnsi"/>
          <w:i/>
          <w:iCs/>
          <w:lang w:val="it-IT" w:eastAsia="it-IT"/>
        </w:rPr>
        <w:t xml:space="preserve"> </w:t>
      </w:r>
      <w:proofErr w:type="spellStart"/>
      <w:r w:rsidRPr="00AB4F7D">
        <w:rPr>
          <w:rFonts w:eastAsiaTheme="minorHAnsi"/>
          <w:i/>
          <w:iCs/>
          <w:lang w:val="it-IT" w:eastAsia="it-IT"/>
        </w:rPr>
        <w:t>Masculine</w:t>
      </w:r>
      <w:proofErr w:type="spellEnd"/>
      <w:r w:rsidRPr="00AB4F7D">
        <w:rPr>
          <w:rFonts w:eastAsiaTheme="minorHAnsi"/>
          <w:i/>
          <w:iCs/>
          <w:lang w:val="it-IT" w:eastAsia="it-IT"/>
        </w:rPr>
        <w:t xml:space="preserve"> </w:t>
      </w:r>
      <w:proofErr w:type="spellStart"/>
      <w:r w:rsidRPr="00AB4F7D">
        <w:rPr>
          <w:rFonts w:eastAsiaTheme="minorHAnsi"/>
          <w:i/>
          <w:iCs/>
          <w:lang w:val="it-IT" w:eastAsia="it-IT"/>
        </w:rPr>
        <w:t>Depression</w:t>
      </w:r>
      <w:proofErr w:type="spellEnd"/>
      <w:r w:rsidRPr="00AB4F7D">
        <w:rPr>
          <w:rFonts w:eastAsiaTheme="minorHAnsi"/>
          <w:lang w:val="it-IT" w:eastAsia="it-IT"/>
        </w:rPr>
        <w:t xml:space="preserve">. New York, NY: </w:t>
      </w:r>
      <w:proofErr w:type="spellStart"/>
      <w:r w:rsidRPr="00AB4F7D">
        <w:rPr>
          <w:rFonts w:eastAsiaTheme="minorHAnsi"/>
          <w:lang w:val="it-IT" w:eastAsia="it-IT"/>
        </w:rPr>
        <w:t>Haworth</w:t>
      </w:r>
      <w:proofErr w:type="spellEnd"/>
      <w:r w:rsidRPr="00AB4F7D">
        <w:rPr>
          <w:rFonts w:eastAsiaTheme="minorHAnsi"/>
          <w:lang w:val="it-IT" w:eastAsia="it-IT"/>
        </w:rPr>
        <w:t xml:space="preserve"> Press.</w:t>
      </w:r>
    </w:p>
    <w:p w14:paraId="27904298" w14:textId="2883449E" w:rsidR="008A1B1F" w:rsidRPr="00AB4F7D" w:rsidRDefault="008A1B1F" w:rsidP="00AB4F7D">
      <w:pPr>
        <w:spacing w:line="480" w:lineRule="auto"/>
        <w:ind w:left="482" w:hanging="482"/>
        <w:rPr>
          <w:rFonts w:eastAsiaTheme="minorHAnsi"/>
          <w:lang w:val="it-IT"/>
        </w:rPr>
      </w:pPr>
      <w:r w:rsidRPr="00AB4F7D">
        <w:rPr>
          <w:rFonts w:eastAsiaTheme="minorHAnsi"/>
          <w:lang w:val="it-IT" w:eastAsia="it-IT"/>
        </w:rPr>
        <w:lastRenderedPageBreak/>
        <w:t xml:space="preserve">Martin, Lisa A., Harold W. </w:t>
      </w:r>
      <w:proofErr w:type="spellStart"/>
      <w:r w:rsidRPr="00AB4F7D">
        <w:rPr>
          <w:rFonts w:eastAsiaTheme="minorHAnsi"/>
          <w:lang w:val="it-IT" w:eastAsia="it-IT"/>
        </w:rPr>
        <w:t>Neighbors</w:t>
      </w:r>
      <w:proofErr w:type="spellEnd"/>
      <w:r w:rsidRPr="00AB4F7D">
        <w:rPr>
          <w:rFonts w:eastAsiaTheme="minorHAnsi"/>
          <w:lang w:val="it-IT" w:eastAsia="it-IT"/>
        </w:rPr>
        <w:t xml:space="preserve">, and Derek M. Griffith. </w:t>
      </w:r>
      <w:proofErr w:type="gramStart"/>
      <w:r w:rsidRPr="00AB4F7D">
        <w:rPr>
          <w:rFonts w:eastAsiaTheme="minorHAnsi"/>
          <w:lang w:val="it-IT" w:eastAsia="it-IT"/>
        </w:rPr>
        <w:t xml:space="preserve">2013. “The </w:t>
      </w:r>
      <w:proofErr w:type="spellStart"/>
      <w:r w:rsidRPr="00AB4F7D">
        <w:rPr>
          <w:rFonts w:eastAsiaTheme="minorHAnsi"/>
          <w:lang w:val="it-IT" w:eastAsia="it-IT"/>
        </w:rPr>
        <w:t>experience</w:t>
      </w:r>
      <w:proofErr w:type="spellEnd"/>
      <w:r w:rsidRPr="00AB4F7D">
        <w:rPr>
          <w:rFonts w:eastAsiaTheme="minorHAnsi"/>
          <w:lang w:val="it-IT" w:eastAsia="it-IT"/>
        </w:rPr>
        <w:t xml:space="preserve"> of </w:t>
      </w:r>
      <w:proofErr w:type="spellStart"/>
      <w:r w:rsidRPr="00AB4F7D">
        <w:rPr>
          <w:rFonts w:eastAsiaTheme="minorHAnsi"/>
          <w:lang w:val="it-IT" w:eastAsia="it-IT"/>
        </w:rPr>
        <w:t>symptoms</w:t>
      </w:r>
      <w:proofErr w:type="spellEnd"/>
      <w:r w:rsidRPr="00AB4F7D">
        <w:rPr>
          <w:rFonts w:eastAsiaTheme="minorHAnsi"/>
          <w:lang w:val="it-IT" w:eastAsia="it-IT"/>
        </w:rPr>
        <w:t xml:space="preserve"> of </w:t>
      </w:r>
      <w:proofErr w:type="spellStart"/>
      <w:r w:rsidRPr="00AB4F7D">
        <w:rPr>
          <w:rFonts w:eastAsiaTheme="minorHAnsi"/>
          <w:lang w:val="it-IT" w:eastAsia="it-IT"/>
        </w:rPr>
        <w:t>depression</w:t>
      </w:r>
      <w:proofErr w:type="spellEnd"/>
      <w:r w:rsidRPr="00AB4F7D">
        <w:rPr>
          <w:rFonts w:eastAsiaTheme="minorHAnsi"/>
          <w:lang w:val="it-IT" w:eastAsia="it-IT"/>
        </w:rPr>
        <w:t xml:space="preserve"> in men vs </w:t>
      </w:r>
      <w:proofErr w:type="spellStart"/>
      <w:r w:rsidRPr="00AB4F7D">
        <w:rPr>
          <w:rFonts w:eastAsiaTheme="minorHAnsi"/>
          <w:lang w:val="it-IT" w:eastAsia="it-IT"/>
        </w:rPr>
        <w:t>women</w:t>
      </w:r>
      <w:proofErr w:type="spellEnd"/>
      <w:r w:rsidRPr="00AB4F7D">
        <w:rPr>
          <w:rFonts w:eastAsiaTheme="minorHAnsi"/>
          <w:lang w:val="it-IT" w:eastAsia="it-IT"/>
        </w:rPr>
        <w:t xml:space="preserve">: Analysis of the </w:t>
      </w:r>
      <w:proofErr w:type="spellStart"/>
      <w:r w:rsidRPr="00AB4F7D">
        <w:rPr>
          <w:rFonts w:eastAsiaTheme="minorHAnsi"/>
          <w:lang w:val="it-IT" w:eastAsia="it-IT"/>
        </w:rPr>
        <w:t>national</w:t>
      </w:r>
      <w:proofErr w:type="spellEnd"/>
      <w:r w:rsidRPr="00AB4F7D">
        <w:rPr>
          <w:rFonts w:eastAsiaTheme="minorHAnsi"/>
          <w:lang w:val="it-IT" w:eastAsia="it-IT"/>
        </w:rPr>
        <w:t xml:space="preserve"> </w:t>
      </w:r>
      <w:proofErr w:type="spellStart"/>
      <w:r w:rsidRPr="00AB4F7D">
        <w:rPr>
          <w:rFonts w:eastAsiaTheme="minorHAnsi"/>
          <w:lang w:val="it-IT" w:eastAsia="it-IT"/>
        </w:rPr>
        <w:t>comorbidity</w:t>
      </w:r>
      <w:proofErr w:type="spellEnd"/>
      <w:r w:rsidRPr="00AB4F7D">
        <w:rPr>
          <w:rFonts w:eastAsiaTheme="minorHAnsi"/>
          <w:lang w:val="it-IT" w:eastAsia="it-IT"/>
        </w:rPr>
        <w:t xml:space="preserve"> </w:t>
      </w:r>
      <w:proofErr w:type="spellStart"/>
      <w:r w:rsidRPr="00AB4F7D">
        <w:rPr>
          <w:rFonts w:eastAsiaTheme="minorHAnsi"/>
          <w:lang w:val="it-IT" w:eastAsia="it-IT"/>
        </w:rPr>
        <w:t>survey</w:t>
      </w:r>
      <w:proofErr w:type="spellEnd"/>
      <w:r w:rsidRPr="00AB4F7D">
        <w:rPr>
          <w:rFonts w:eastAsiaTheme="minorHAnsi"/>
          <w:lang w:val="it-IT" w:eastAsia="it-IT"/>
        </w:rPr>
        <w:t xml:space="preserve"> </w:t>
      </w:r>
      <w:proofErr w:type="spellStart"/>
      <w:r w:rsidRPr="00AB4F7D">
        <w:rPr>
          <w:rFonts w:eastAsiaTheme="minorHAnsi"/>
          <w:lang w:val="it-IT" w:eastAsia="it-IT"/>
        </w:rPr>
        <w:t>replication</w:t>
      </w:r>
      <w:proofErr w:type="spellEnd"/>
      <w:r w:rsidRPr="00AB4F7D">
        <w:rPr>
          <w:rFonts w:eastAsiaTheme="minorHAnsi"/>
          <w:lang w:val="it-IT" w:eastAsia="it-IT"/>
        </w:rPr>
        <w:t>.”</w:t>
      </w:r>
      <w:proofErr w:type="gramEnd"/>
      <w:r w:rsidRPr="00AB4F7D">
        <w:rPr>
          <w:rFonts w:eastAsiaTheme="minorHAnsi"/>
          <w:lang w:val="it-IT" w:eastAsia="it-IT"/>
        </w:rPr>
        <w:t xml:space="preserve"> </w:t>
      </w:r>
      <w:r w:rsidRPr="00AB4F7D">
        <w:rPr>
          <w:rFonts w:eastAsiaTheme="minorHAnsi"/>
          <w:i/>
          <w:iCs/>
          <w:lang w:val="it-IT" w:eastAsia="it-IT"/>
        </w:rPr>
        <w:t xml:space="preserve">JAMA </w:t>
      </w:r>
      <w:proofErr w:type="spellStart"/>
      <w:r w:rsidRPr="00AB4F7D">
        <w:rPr>
          <w:rFonts w:eastAsiaTheme="minorHAnsi"/>
          <w:i/>
          <w:iCs/>
          <w:lang w:val="it-IT" w:eastAsia="it-IT"/>
        </w:rPr>
        <w:t>Psychiatry</w:t>
      </w:r>
      <w:proofErr w:type="spellEnd"/>
      <w:r w:rsidRPr="00AB4F7D">
        <w:rPr>
          <w:rFonts w:eastAsiaTheme="minorHAnsi"/>
          <w:lang w:val="it-IT" w:eastAsia="it-IT"/>
        </w:rPr>
        <w:t xml:space="preserve"> 70</w:t>
      </w:r>
      <w:proofErr w:type="gramStart"/>
      <w:r w:rsidRPr="00AB4F7D">
        <w:rPr>
          <w:rFonts w:eastAsiaTheme="minorHAnsi"/>
          <w:lang w:val="it-IT" w:eastAsia="it-IT"/>
        </w:rPr>
        <w:t>(</w:t>
      </w:r>
      <w:proofErr w:type="gramEnd"/>
      <w:r w:rsidRPr="00AB4F7D">
        <w:rPr>
          <w:rFonts w:eastAsiaTheme="minorHAnsi"/>
          <w:lang w:val="it-IT" w:eastAsia="it-IT"/>
        </w:rPr>
        <w:t>10): 1100–1106.</w:t>
      </w:r>
    </w:p>
    <w:p w14:paraId="5436ABB0" w14:textId="77777777" w:rsidR="003526A0" w:rsidRPr="003526A0" w:rsidRDefault="003526A0" w:rsidP="00404AD0">
      <w:pPr>
        <w:pStyle w:val="NormaleWeb"/>
        <w:spacing w:before="0" w:beforeAutospacing="0" w:after="0" w:afterAutospacing="0" w:line="480" w:lineRule="auto"/>
        <w:ind w:left="480" w:hanging="480"/>
        <w:rPr>
          <w:rFonts w:ascii="Times New Roman" w:hAnsi="Times New Roman"/>
          <w:sz w:val="24"/>
          <w:szCs w:val="24"/>
          <w:lang w:val="en-US"/>
        </w:rPr>
      </w:pPr>
      <w:proofErr w:type="gramStart"/>
      <w:r w:rsidRPr="003526A0">
        <w:rPr>
          <w:rFonts w:ascii="Times New Roman" w:hAnsi="Times New Roman"/>
          <w:sz w:val="24"/>
          <w:szCs w:val="24"/>
          <w:lang w:val="en-US"/>
        </w:rPr>
        <w:t>Nolen-</w:t>
      </w:r>
      <w:proofErr w:type="spellStart"/>
      <w:r w:rsidRPr="003526A0">
        <w:rPr>
          <w:rFonts w:ascii="Times New Roman" w:hAnsi="Times New Roman"/>
          <w:sz w:val="24"/>
          <w:szCs w:val="24"/>
          <w:lang w:val="en-US"/>
        </w:rPr>
        <w:t>Hoeksema</w:t>
      </w:r>
      <w:proofErr w:type="spellEnd"/>
      <w:r w:rsidRPr="003526A0">
        <w:rPr>
          <w:rFonts w:ascii="Times New Roman" w:hAnsi="Times New Roman"/>
          <w:sz w:val="24"/>
          <w:szCs w:val="24"/>
          <w:lang w:val="en-US"/>
        </w:rPr>
        <w:t>, Susan.</w:t>
      </w:r>
      <w:proofErr w:type="gramEnd"/>
      <w:r w:rsidRPr="003526A0">
        <w:rPr>
          <w:rFonts w:ascii="Times New Roman" w:hAnsi="Times New Roman"/>
          <w:sz w:val="24"/>
          <w:szCs w:val="24"/>
          <w:lang w:val="en-US"/>
        </w:rPr>
        <w:t xml:space="preserve"> 1990. </w:t>
      </w:r>
      <w:r w:rsidRPr="003526A0">
        <w:rPr>
          <w:rFonts w:ascii="Times New Roman" w:hAnsi="Times New Roman"/>
          <w:i/>
          <w:iCs/>
          <w:sz w:val="24"/>
          <w:szCs w:val="24"/>
          <w:lang w:val="en-US"/>
        </w:rPr>
        <w:t>Sex Differences in Depression</w:t>
      </w:r>
      <w:r w:rsidRPr="003526A0">
        <w:rPr>
          <w:rFonts w:ascii="Times New Roman" w:hAnsi="Times New Roman"/>
          <w:sz w:val="24"/>
          <w:szCs w:val="24"/>
          <w:lang w:val="en-US"/>
        </w:rPr>
        <w:t>. Stanford: Stanford University Press.</w:t>
      </w:r>
    </w:p>
    <w:p w14:paraId="31640619" w14:textId="77777777" w:rsidR="003526A0" w:rsidRPr="003526A0" w:rsidRDefault="003526A0" w:rsidP="00404AD0">
      <w:pPr>
        <w:pStyle w:val="NormaleWeb"/>
        <w:spacing w:before="0" w:beforeAutospacing="0" w:after="0" w:afterAutospacing="0" w:line="480" w:lineRule="auto"/>
        <w:ind w:left="480" w:hanging="480"/>
        <w:rPr>
          <w:rFonts w:ascii="Times New Roman" w:hAnsi="Times New Roman"/>
          <w:sz w:val="24"/>
          <w:szCs w:val="24"/>
          <w:lang w:val="en-US"/>
        </w:rPr>
      </w:pPr>
      <w:proofErr w:type="spellStart"/>
      <w:r w:rsidRPr="003526A0">
        <w:rPr>
          <w:rFonts w:ascii="Times New Roman" w:hAnsi="Times New Roman"/>
          <w:sz w:val="24"/>
          <w:szCs w:val="24"/>
          <w:lang w:val="en-US"/>
        </w:rPr>
        <w:t>Ottenbreit</w:t>
      </w:r>
      <w:proofErr w:type="spellEnd"/>
      <w:r w:rsidRPr="003526A0">
        <w:rPr>
          <w:rFonts w:ascii="Times New Roman" w:hAnsi="Times New Roman"/>
          <w:sz w:val="24"/>
          <w:szCs w:val="24"/>
          <w:lang w:val="en-US"/>
        </w:rPr>
        <w:t xml:space="preserve">, Nicole, and Keith Dobson. 2004. “Avoidance and Depression: The Construction of the Cognitive-Behavioral Avoidance Scale.” </w:t>
      </w:r>
      <w:proofErr w:type="spellStart"/>
      <w:proofErr w:type="gramStart"/>
      <w:r w:rsidRPr="003526A0">
        <w:rPr>
          <w:rFonts w:ascii="Times New Roman" w:hAnsi="Times New Roman"/>
          <w:i/>
          <w:iCs/>
          <w:sz w:val="24"/>
          <w:szCs w:val="24"/>
          <w:lang w:val="en-US"/>
        </w:rPr>
        <w:t>Behaviour</w:t>
      </w:r>
      <w:proofErr w:type="spellEnd"/>
      <w:r w:rsidRPr="003526A0">
        <w:rPr>
          <w:rFonts w:ascii="Times New Roman" w:hAnsi="Times New Roman"/>
          <w:i/>
          <w:iCs/>
          <w:sz w:val="24"/>
          <w:szCs w:val="24"/>
          <w:lang w:val="en-US"/>
        </w:rPr>
        <w:t xml:space="preserve"> Research and Therapy</w:t>
      </w:r>
      <w:r w:rsidRPr="003526A0">
        <w:rPr>
          <w:rFonts w:ascii="Times New Roman" w:hAnsi="Times New Roman"/>
          <w:sz w:val="24"/>
          <w:szCs w:val="24"/>
          <w:lang w:val="en-US"/>
        </w:rPr>
        <w:t xml:space="preserve"> 42 (3): 293–313.</w:t>
      </w:r>
      <w:proofErr w:type="gramEnd"/>
    </w:p>
    <w:p w14:paraId="7D7C82E8" w14:textId="77777777" w:rsidR="003526A0" w:rsidRPr="003526A0" w:rsidRDefault="003526A0" w:rsidP="00404AD0">
      <w:pPr>
        <w:pStyle w:val="NormaleWeb"/>
        <w:spacing w:before="0" w:beforeAutospacing="0" w:after="0" w:afterAutospacing="0" w:line="480" w:lineRule="auto"/>
        <w:ind w:left="480" w:hanging="480"/>
        <w:rPr>
          <w:rFonts w:ascii="Times New Roman" w:hAnsi="Times New Roman"/>
          <w:sz w:val="24"/>
          <w:szCs w:val="24"/>
          <w:lang w:val="en-US"/>
        </w:rPr>
      </w:pPr>
      <w:proofErr w:type="spellStart"/>
      <w:r w:rsidRPr="003526A0">
        <w:rPr>
          <w:rFonts w:ascii="Times New Roman" w:hAnsi="Times New Roman"/>
          <w:sz w:val="24"/>
          <w:szCs w:val="24"/>
          <w:lang w:val="en-US"/>
        </w:rPr>
        <w:t>Piccinelli</w:t>
      </w:r>
      <w:proofErr w:type="spellEnd"/>
      <w:r w:rsidRPr="003526A0">
        <w:rPr>
          <w:rFonts w:ascii="Times New Roman" w:hAnsi="Times New Roman"/>
          <w:sz w:val="24"/>
          <w:szCs w:val="24"/>
          <w:lang w:val="en-US"/>
        </w:rPr>
        <w:t xml:space="preserve">, Marco, and Greg Wilkinson. 2001. “Gender Differences in Depression: Critical Review.” </w:t>
      </w:r>
      <w:proofErr w:type="gramStart"/>
      <w:r w:rsidRPr="003526A0">
        <w:rPr>
          <w:rFonts w:ascii="Times New Roman" w:hAnsi="Times New Roman"/>
          <w:i/>
          <w:iCs/>
          <w:sz w:val="24"/>
          <w:szCs w:val="24"/>
          <w:lang w:val="en-US"/>
        </w:rPr>
        <w:t>The British Journal of Psychiatry</w:t>
      </w:r>
      <w:r w:rsidRPr="003526A0">
        <w:rPr>
          <w:rFonts w:ascii="Times New Roman" w:hAnsi="Times New Roman"/>
          <w:sz w:val="24"/>
          <w:szCs w:val="24"/>
          <w:lang w:val="en-US"/>
        </w:rPr>
        <w:t xml:space="preserve"> 177 (6): 486–92.</w:t>
      </w:r>
      <w:proofErr w:type="gramEnd"/>
    </w:p>
    <w:p w14:paraId="2CB703E1" w14:textId="77777777" w:rsidR="003526A0" w:rsidRPr="003526A0" w:rsidRDefault="003526A0" w:rsidP="00404AD0">
      <w:pPr>
        <w:pStyle w:val="NormaleWeb"/>
        <w:spacing w:before="0" w:beforeAutospacing="0" w:after="0" w:afterAutospacing="0" w:line="480" w:lineRule="auto"/>
        <w:ind w:left="480" w:hanging="480"/>
        <w:rPr>
          <w:rFonts w:ascii="Times New Roman" w:hAnsi="Times New Roman"/>
          <w:sz w:val="24"/>
          <w:szCs w:val="24"/>
          <w:lang w:val="en-US"/>
        </w:rPr>
      </w:pPr>
      <w:proofErr w:type="spellStart"/>
      <w:r w:rsidRPr="003526A0">
        <w:rPr>
          <w:rFonts w:ascii="Times New Roman" w:hAnsi="Times New Roman"/>
          <w:sz w:val="24"/>
          <w:szCs w:val="24"/>
          <w:lang w:val="en-US"/>
        </w:rPr>
        <w:t>Pizzagalli</w:t>
      </w:r>
      <w:proofErr w:type="spellEnd"/>
      <w:r w:rsidRPr="003526A0">
        <w:rPr>
          <w:rFonts w:ascii="Times New Roman" w:hAnsi="Times New Roman"/>
          <w:sz w:val="24"/>
          <w:szCs w:val="24"/>
          <w:lang w:val="en-US"/>
        </w:rPr>
        <w:t xml:space="preserve">, Diego. 2014. “Depression, Stress, and </w:t>
      </w:r>
      <w:proofErr w:type="spellStart"/>
      <w:r w:rsidRPr="003526A0">
        <w:rPr>
          <w:rFonts w:ascii="Times New Roman" w:hAnsi="Times New Roman"/>
          <w:sz w:val="24"/>
          <w:szCs w:val="24"/>
          <w:lang w:val="en-US"/>
        </w:rPr>
        <w:t>Anhedonia</w:t>
      </w:r>
      <w:proofErr w:type="spellEnd"/>
      <w:r w:rsidRPr="003526A0">
        <w:rPr>
          <w:rFonts w:ascii="Times New Roman" w:hAnsi="Times New Roman"/>
          <w:sz w:val="24"/>
          <w:szCs w:val="24"/>
          <w:lang w:val="en-US"/>
        </w:rPr>
        <w:t xml:space="preserve">: Toward a Synthesis and Integrated Model.” </w:t>
      </w:r>
      <w:r w:rsidRPr="003526A0">
        <w:rPr>
          <w:rFonts w:ascii="Times New Roman" w:hAnsi="Times New Roman"/>
          <w:i/>
          <w:iCs/>
          <w:sz w:val="24"/>
          <w:szCs w:val="24"/>
          <w:lang w:val="en-US"/>
        </w:rPr>
        <w:t>Annual Review of Clinical Psychology</w:t>
      </w:r>
      <w:r w:rsidRPr="003526A0">
        <w:rPr>
          <w:rFonts w:ascii="Times New Roman" w:hAnsi="Times New Roman"/>
          <w:sz w:val="24"/>
          <w:szCs w:val="24"/>
          <w:lang w:val="en-US"/>
        </w:rPr>
        <w:t xml:space="preserve"> 10 (1): 329–423.</w:t>
      </w:r>
    </w:p>
    <w:p w14:paraId="59B8903B" w14:textId="77777777" w:rsidR="003526A0" w:rsidRPr="003526A0" w:rsidRDefault="003526A0" w:rsidP="00404AD0">
      <w:pPr>
        <w:pStyle w:val="NormaleWeb"/>
        <w:spacing w:before="0" w:beforeAutospacing="0" w:after="0" w:afterAutospacing="0" w:line="480" w:lineRule="auto"/>
        <w:ind w:left="480" w:hanging="480"/>
        <w:rPr>
          <w:rFonts w:ascii="Times New Roman" w:hAnsi="Times New Roman"/>
          <w:sz w:val="24"/>
          <w:szCs w:val="24"/>
          <w:lang w:val="en-US"/>
        </w:rPr>
      </w:pPr>
      <w:proofErr w:type="spellStart"/>
      <w:r w:rsidRPr="003526A0">
        <w:rPr>
          <w:rFonts w:ascii="Times New Roman" w:hAnsi="Times New Roman"/>
          <w:sz w:val="24"/>
          <w:szCs w:val="24"/>
          <w:lang w:val="en-US"/>
        </w:rPr>
        <w:t>Radloff</w:t>
      </w:r>
      <w:proofErr w:type="spellEnd"/>
      <w:r w:rsidRPr="003526A0">
        <w:rPr>
          <w:rFonts w:ascii="Times New Roman" w:hAnsi="Times New Roman"/>
          <w:sz w:val="24"/>
          <w:szCs w:val="24"/>
          <w:lang w:val="en-US"/>
        </w:rPr>
        <w:t xml:space="preserve">, Lenore Sawyer. 1977. “The CES-D Scale: A Self-Report Depression Scale for Research in the General Population.” </w:t>
      </w:r>
      <w:r w:rsidRPr="003526A0">
        <w:rPr>
          <w:rFonts w:ascii="Times New Roman" w:hAnsi="Times New Roman"/>
          <w:i/>
          <w:iCs/>
          <w:sz w:val="24"/>
          <w:szCs w:val="24"/>
          <w:lang w:val="en-US"/>
        </w:rPr>
        <w:t>Applied Psychological Measurement</w:t>
      </w:r>
      <w:r w:rsidRPr="003526A0">
        <w:rPr>
          <w:rFonts w:ascii="Times New Roman" w:hAnsi="Times New Roman"/>
          <w:sz w:val="24"/>
          <w:szCs w:val="24"/>
          <w:lang w:val="en-US"/>
        </w:rPr>
        <w:t xml:space="preserve"> 1 (3): 385–401.</w:t>
      </w:r>
    </w:p>
    <w:p w14:paraId="18820C84" w14:textId="77777777" w:rsidR="003526A0" w:rsidRPr="003526A0" w:rsidRDefault="003526A0" w:rsidP="00404AD0">
      <w:pPr>
        <w:pStyle w:val="NormaleWeb"/>
        <w:spacing w:before="0" w:beforeAutospacing="0" w:after="0" w:afterAutospacing="0" w:line="480" w:lineRule="auto"/>
        <w:ind w:left="480" w:hanging="480"/>
        <w:rPr>
          <w:rFonts w:ascii="Times New Roman" w:hAnsi="Times New Roman"/>
          <w:sz w:val="24"/>
          <w:szCs w:val="24"/>
          <w:lang w:val="en-US"/>
        </w:rPr>
      </w:pPr>
      <w:proofErr w:type="gramStart"/>
      <w:r w:rsidRPr="003526A0">
        <w:rPr>
          <w:rFonts w:ascii="Times New Roman" w:hAnsi="Times New Roman"/>
          <w:sz w:val="24"/>
          <w:szCs w:val="24"/>
          <w:lang w:val="en-US"/>
        </w:rPr>
        <w:t>Real, Terrance.</w:t>
      </w:r>
      <w:proofErr w:type="gramEnd"/>
      <w:r w:rsidRPr="003526A0">
        <w:rPr>
          <w:rFonts w:ascii="Times New Roman" w:hAnsi="Times New Roman"/>
          <w:sz w:val="24"/>
          <w:szCs w:val="24"/>
          <w:lang w:val="en-US"/>
        </w:rPr>
        <w:t xml:space="preserve"> 1998. </w:t>
      </w:r>
      <w:r w:rsidRPr="003526A0">
        <w:rPr>
          <w:rFonts w:ascii="Times New Roman" w:hAnsi="Times New Roman"/>
          <w:i/>
          <w:iCs/>
          <w:sz w:val="24"/>
          <w:szCs w:val="24"/>
          <w:lang w:val="en-US"/>
        </w:rPr>
        <w:t>I Don’t Want to Talk About It: Overcoming the Secret Legacy of Male Depression</w:t>
      </w:r>
      <w:r w:rsidRPr="003526A0">
        <w:rPr>
          <w:rFonts w:ascii="Times New Roman" w:hAnsi="Times New Roman"/>
          <w:sz w:val="24"/>
          <w:szCs w:val="24"/>
          <w:lang w:val="en-US"/>
        </w:rPr>
        <w:t>. New York: Scribner.</w:t>
      </w:r>
    </w:p>
    <w:p w14:paraId="251EF062" w14:textId="77777777" w:rsidR="003526A0" w:rsidRPr="003526A0" w:rsidRDefault="003526A0" w:rsidP="00404AD0">
      <w:pPr>
        <w:pStyle w:val="NormaleWeb"/>
        <w:spacing w:before="0" w:beforeAutospacing="0" w:after="0" w:afterAutospacing="0" w:line="480" w:lineRule="auto"/>
        <w:ind w:left="480" w:hanging="480"/>
        <w:rPr>
          <w:rFonts w:ascii="Times New Roman" w:hAnsi="Times New Roman"/>
          <w:sz w:val="24"/>
          <w:szCs w:val="24"/>
          <w:lang w:val="en-US"/>
        </w:rPr>
      </w:pPr>
      <w:proofErr w:type="gramStart"/>
      <w:r w:rsidRPr="003526A0">
        <w:rPr>
          <w:rFonts w:ascii="Times New Roman" w:hAnsi="Times New Roman"/>
          <w:sz w:val="24"/>
          <w:szCs w:val="24"/>
          <w:lang w:val="en-US"/>
        </w:rPr>
        <w:t>Salk, Rachel H., Janet S. Hyde, and Lyn Y. Abramson.</w:t>
      </w:r>
      <w:proofErr w:type="gramEnd"/>
      <w:r w:rsidRPr="003526A0">
        <w:rPr>
          <w:rFonts w:ascii="Times New Roman" w:hAnsi="Times New Roman"/>
          <w:sz w:val="24"/>
          <w:szCs w:val="24"/>
          <w:lang w:val="en-US"/>
        </w:rPr>
        <w:t xml:space="preserve"> 2017. “Gender Differences in Depression in Representative National Samples: Meta-Analyses of Diagnoses and Symptoms.” </w:t>
      </w:r>
      <w:proofErr w:type="gramStart"/>
      <w:r w:rsidRPr="003526A0">
        <w:rPr>
          <w:rFonts w:ascii="Times New Roman" w:hAnsi="Times New Roman"/>
          <w:i/>
          <w:iCs/>
          <w:sz w:val="24"/>
          <w:szCs w:val="24"/>
          <w:lang w:val="en-US"/>
        </w:rPr>
        <w:t>Psychological Bulletin</w:t>
      </w:r>
      <w:r w:rsidRPr="003526A0">
        <w:rPr>
          <w:rFonts w:ascii="Times New Roman" w:hAnsi="Times New Roman"/>
          <w:sz w:val="24"/>
          <w:szCs w:val="24"/>
          <w:lang w:val="en-US"/>
        </w:rPr>
        <w:t xml:space="preserve"> 143 (8): 783–822.</w:t>
      </w:r>
      <w:proofErr w:type="gramEnd"/>
    </w:p>
    <w:p w14:paraId="64D70D10" w14:textId="136D1EC9" w:rsidR="00644CEA" w:rsidRDefault="00644CEA" w:rsidP="00404AD0">
      <w:pPr>
        <w:pStyle w:val="NormaleWeb"/>
        <w:spacing w:before="0" w:beforeAutospacing="0" w:after="0" w:afterAutospacing="0" w:line="480" w:lineRule="auto"/>
        <w:ind w:left="480" w:hanging="480"/>
        <w:rPr>
          <w:rFonts w:ascii="Times New Roman" w:hAnsi="Times New Roman"/>
          <w:sz w:val="24"/>
          <w:szCs w:val="24"/>
          <w:lang w:val="en-US"/>
        </w:rPr>
      </w:pPr>
      <w:proofErr w:type="gramStart"/>
      <w:r>
        <w:rPr>
          <w:rFonts w:ascii="Times New Roman" w:hAnsi="Times New Roman"/>
          <w:sz w:val="24"/>
          <w:szCs w:val="24"/>
          <w:lang w:val="en-US"/>
        </w:rPr>
        <w:t xml:space="preserve">Schneider, Monica C., and Angela L. </w:t>
      </w:r>
      <w:proofErr w:type="spellStart"/>
      <w:r>
        <w:rPr>
          <w:rFonts w:ascii="Times New Roman" w:hAnsi="Times New Roman"/>
          <w:sz w:val="24"/>
          <w:szCs w:val="24"/>
          <w:lang w:val="en-US"/>
        </w:rPr>
        <w:t>Bos</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2019. “The Application of Social Role Theory to the Study of Gender in Politics.” </w:t>
      </w:r>
      <w:proofErr w:type="gramStart"/>
      <w:r w:rsidRPr="0066506C">
        <w:rPr>
          <w:rFonts w:ascii="Times New Roman" w:hAnsi="Times New Roman"/>
          <w:i/>
          <w:sz w:val="24"/>
          <w:szCs w:val="24"/>
          <w:lang w:val="en-US"/>
        </w:rPr>
        <w:t>Advances in Political Psychology</w:t>
      </w:r>
      <w:r>
        <w:rPr>
          <w:rFonts w:ascii="Times New Roman" w:hAnsi="Times New Roman"/>
          <w:sz w:val="24"/>
          <w:szCs w:val="24"/>
          <w:lang w:val="en-US"/>
        </w:rPr>
        <w:t xml:space="preserve"> 40 (Suppl</w:t>
      </w:r>
      <w:r w:rsidR="0066506C">
        <w:rPr>
          <w:rFonts w:ascii="Times New Roman" w:hAnsi="Times New Roman"/>
          <w:sz w:val="24"/>
          <w:szCs w:val="24"/>
          <w:lang w:val="en-US"/>
        </w:rPr>
        <w:t>.</w:t>
      </w:r>
      <w:r>
        <w:rPr>
          <w:rFonts w:ascii="Times New Roman" w:hAnsi="Times New Roman"/>
          <w:sz w:val="24"/>
          <w:szCs w:val="24"/>
          <w:lang w:val="en-US"/>
        </w:rPr>
        <w:t xml:space="preserve"> 1): 173–213.</w:t>
      </w:r>
      <w:proofErr w:type="gramEnd"/>
    </w:p>
    <w:p w14:paraId="162B7E85" w14:textId="77777777" w:rsidR="003526A0" w:rsidRPr="003526A0" w:rsidRDefault="003526A0" w:rsidP="00404AD0">
      <w:pPr>
        <w:pStyle w:val="NormaleWeb"/>
        <w:spacing w:before="0" w:beforeAutospacing="0" w:after="0" w:afterAutospacing="0" w:line="480" w:lineRule="auto"/>
        <w:ind w:left="480" w:hanging="480"/>
        <w:rPr>
          <w:rFonts w:ascii="Times New Roman" w:hAnsi="Times New Roman"/>
          <w:sz w:val="24"/>
          <w:szCs w:val="24"/>
          <w:lang w:val="en-US"/>
        </w:rPr>
      </w:pPr>
      <w:r w:rsidRPr="003526A0">
        <w:rPr>
          <w:rFonts w:ascii="Times New Roman" w:hAnsi="Times New Roman"/>
          <w:sz w:val="24"/>
          <w:szCs w:val="24"/>
          <w:lang w:val="en-US"/>
        </w:rPr>
        <w:t xml:space="preserve">Seligman, Martin E., Lyn Y. Abramson, Amy </w:t>
      </w:r>
      <w:proofErr w:type="spellStart"/>
      <w:r w:rsidRPr="003526A0">
        <w:rPr>
          <w:rFonts w:ascii="Times New Roman" w:hAnsi="Times New Roman"/>
          <w:sz w:val="24"/>
          <w:szCs w:val="24"/>
          <w:lang w:val="en-US"/>
        </w:rPr>
        <w:t>Semmel</w:t>
      </w:r>
      <w:proofErr w:type="spellEnd"/>
      <w:r w:rsidRPr="003526A0">
        <w:rPr>
          <w:rFonts w:ascii="Times New Roman" w:hAnsi="Times New Roman"/>
          <w:sz w:val="24"/>
          <w:szCs w:val="24"/>
          <w:lang w:val="en-US"/>
        </w:rPr>
        <w:t xml:space="preserve">, and Carl von Baeyer. 1979. “Depressive </w:t>
      </w:r>
      <w:proofErr w:type="spellStart"/>
      <w:r w:rsidRPr="003526A0">
        <w:rPr>
          <w:rFonts w:ascii="Times New Roman" w:hAnsi="Times New Roman"/>
          <w:sz w:val="24"/>
          <w:szCs w:val="24"/>
          <w:lang w:val="en-US"/>
        </w:rPr>
        <w:t>Attributional</w:t>
      </w:r>
      <w:proofErr w:type="spellEnd"/>
      <w:r w:rsidRPr="003526A0">
        <w:rPr>
          <w:rFonts w:ascii="Times New Roman" w:hAnsi="Times New Roman"/>
          <w:sz w:val="24"/>
          <w:szCs w:val="24"/>
          <w:lang w:val="en-US"/>
        </w:rPr>
        <w:t xml:space="preserve"> Style.” </w:t>
      </w:r>
      <w:proofErr w:type="gramStart"/>
      <w:r w:rsidRPr="003526A0">
        <w:rPr>
          <w:rFonts w:ascii="Times New Roman" w:hAnsi="Times New Roman"/>
          <w:i/>
          <w:iCs/>
          <w:sz w:val="24"/>
          <w:szCs w:val="24"/>
          <w:lang w:val="en-US"/>
        </w:rPr>
        <w:t>Journal of Abnormal Psychology</w:t>
      </w:r>
      <w:r w:rsidRPr="003526A0">
        <w:rPr>
          <w:rFonts w:ascii="Times New Roman" w:hAnsi="Times New Roman"/>
          <w:sz w:val="24"/>
          <w:szCs w:val="24"/>
          <w:lang w:val="en-US"/>
        </w:rPr>
        <w:t xml:space="preserve"> 88 (3): 242–47.</w:t>
      </w:r>
      <w:proofErr w:type="gramEnd"/>
    </w:p>
    <w:p w14:paraId="1DA17309" w14:textId="57E4747E" w:rsidR="003526A0" w:rsidRDefault="003526A0" w:rsidP="00DC3CF2">
      <w:pPr>
        <w:pStyle w:val="NormaleWeb"/>
        <w:spacing w:before="0" w:beforeAutospacing="0" w:after="0" w:afterAutospacing="0" w:line="480" w:lineRule="auto"/>
        <w:ind w:left="480" w:hanging="480"/>
        <w:rPr>
          <w:rFonts w:ascii="Times New Roman" w:hAnsi="Times New Roman"/>
          <w:sz w:val="24"/>
          <w:szCs w:val="24"/>
          <w:lang w:val="en-US"/>
        </w:rPr>
      </w:pPr>
      <w:proofErr w:type="spellStart"/>
      <w:r w:rsidRPr="003526A0">
        <w:rPr>
          <w:rFonts w:ascii="Times New Roman" w:hAnsi="Times New Roman"/>
          <w:sz w:val="24"/>
          <w:szCs w:val="24"/>
          <w:lang w:val="en-US"/>
        </w:rPr>
        <w:lastRenderedPageBreak/>
        <w:t>Siddaway</w:t>
      </w:r>
      <w:proofErr w:type="spellEnd"/>
      <w:r w:rsidRPr="003526A0">
        <w:rPr>
          <w:rFonts w:ascii="Times New Roman" w:hAnsi="Times New Roman"/>
          <w:sz w:val="24"/>
          <w:szCs w:val="24"/>
          <w:lang w:val="en-US"/>
        </w:rPr>
        <w:t xml:space="preserve">, Andy P., Alex M. Wood, and Peter J. Taylor. 2017. “The Center for Epidemiologic Studies-Depression (CES-D) Scale Measures a Continuum from Well-Being to Depression: Testing Two Key Predictions of Positive Clinical Psychology.” </w:t>
      </w:r>
      <w:proofErr w:type="gramStart"/>
      <w:r w:rsidRPr="003526A0">
        <w:rPr>
          <w:rFonts w:ascii="Times New Roman" w:hAnsi="Times New Roman"/>
          <w:i/>
          <w:iCs/>
          <w:sz w:val="24"/>
          <w:szCs w:val="24"/>
          <w:lang w:val="en-US"/>
        </w:rPr>
        <w:t>Journal of Affective Disorders</w:t>
      </w:r>
      <w:r w:rsidRPr="003526A0">
        <w:rPr>
          <w:rFonts w:ascii="Times New Roman" w:hAnsi="Times New Roman"/>
          <w:sz w:val="24"/>
          <w:szCs w:val="24"/>
          <w:lang w:val="en-US"/>
        </w:rPr>
        <w:t xml:space="preserve"> 213 (15): 180–86.</w:t>
      </w:r>
      <w:proofErr w:type="gramEnd"/>
    </w:p>
    <w:p w14:paraId="1A46332C" w14:textId="77777777" w:rsidR="00DC3CF2" w:rsidRDefault="00DC3CF2" w:rsidP="005B40F4">
      <w:pPr>
        <w:spacing w:line="480" w:lineRule="auto"/>
      </w:pPr>
      <w:proofErr w:type="spellStart"/>
      <w:r>
        <w:t>Sigmon</w:t>
      </w:r>
      <w:proofErr w:type="spellEnd"/>
      <w:r>
        <w:t xml:space="preserve">, Sandra T., Jennifer J. </w:t>
      </w:r>
      <w:proofErr w:type="spellStart"/>
      <w:r>
        <w:t>Pells</w:t>
      </w:r>
      <w:proofErr w:type="spellEnd"/>
      <w:r>
        <w:t xml:space="preserve">, Nina E. </w:t>
      </w:r>
      <w:proofErr w:type="spellStart"/>
      <w:r>
        <w:t>Boulard</w:t>
      </w:r>
      <w:proofErr w:type="spellEnd"/>
      <w:r>
        <w:t xml:space="preserve">, Stacy Whitcomb-Smith, Teresa M. </w:t>
      </w:r>
    </w:p>
    <w:p w14:paraId="1225F1B5" w14:textId="77777777" w:rsidR="00DC3CF2" w:rsidRDefault="00DC3CF2" w:rsidP="005B40F4">
      <w:pPr>
        <w:spacing w:line="480" w:lineRule="auto"/>
        <w:ind w:firstLine="720"/>
      </w:pPr>
      <w:proofErr w:type="spellStart"/>
      <w:r>
        <w:t>Edenfield</w:t>
      </w:r>
      <w:proofErr w:type="spellEnd"/>
      <w:r>
        <w:t xml:space="preserve">, Barbara A. Hermann, Stephanie M. </w:t>
      </w:r>
      <w:proofErr w:type="spellStart"/>
      <w:r>
        <w:t>LaMattina</w:t>
      </w:r>
      <w:proofErr w:type="spellEnd"/>
      <w:r>
        <w:t xml:space="preserve">, </w:t>
      </w:r>
      <w:proofErr w:type="spellStart"/>
      <w:r>
        <w:t>Janell</w:t>
      </w:r>
      <w:proofErr w:type="spellEnd"/>
      <w:r>
        <w:t xml:space="preserve"> G. </w:t>
      </w:r>
      <w:proofErr w:type="spellStart"/>
      <w:r>
        <w:t>Schartel</w:t>
      </w:r>
      <w:proofErr w:type="spellEnd"/>
      <w:r>
        <w:t xml:space="preserve">, and </w:t>
      </w:r>
    </w:p>
    <w:p w14:paraId="7255F02B" w14:textId="23C897EE" w:rsidR="00DC3CF2" w:rsidRDefault="00DC3CF2" w:rsidP="00BD2330">
      <w:pPr>
        <w:spacing w:line="480" w:lineRule="auto"/>
        <w:ind w:left="720"/>
      </w:pPr>
      <w:r>
        <w:t xml:space="preserve">Elizabeth </w:t>
      </w:r>
      <w:proofErr w:type="spellStart"/>
      <w:r>
        <w:t>Kubik</w:t>
      </w:r>
      <w:proofErr w:type="spellEnd"/>
      <w:r>
        <w:t xml:space="preserve">. 2005. “Gender Differences in Self-Reports of Depression: The Response Bias Hypothesis Revisited.” </w:t>
      </w:r>
      <w:r>
        <w:rPr>
          <w:i/>
        </w:rPr>
        <w:t>Sex Roles</w:t>
      </w:r>
      <w:r>
        <w:t xml:space="preserve"> 53: 401-411.</w:t>
      </w:r>
    </w:p>
    <w:p w14:paraId="15E1B89B" w14:textId="77777777" w:rsidR="00BD2330" w:rsidRDefault="00BD2330" w:rsidP="00BD2330">
      <w:pPr>
        <w:spacing w:line="480" w:lineRule="auto"/>
      </w:pPr>
      <w:proofErr w:type="spellStart"/>
      <w:proofErr w:type="gramStart"/>
      <w:r w:rsidRPr="00BD2330">
        <w:t>Stefànsson</w:t>
      </w:r>
      <w:proofErr w:type="spellEnd"/>
      <w:r w:rsidRPr="00BD2330">
        <w:t>, J. G., </w:t>
      </w:r>
      <w:r>
        <w:t xml:space="preserve">E. </w:t>
      </w:r>
      <w:proofErr w:type="spellStart"/>
      <w:r w:rsidRPr="00BD2330">
        <w:t>Lindal</w:t>
      </w:r>
      <w:proofErr w:type="spellEnd"/>
      <w:r w:rsidRPr="00BD2330">
        <w:t>, </w:t>
      </w:r>
      <w:r>
        <w:t xml:space="preserve">J.K. </w:t>
      </w:r>
      <w:proofErr w:type="spellStart"/>
      <w:r w:rsidRPr="00BD2330">
        <w:t>Bjornsson</w:t>
      </w:r>
      <w:proofErr w:type="spellEnd"/>
      <w:r w:rsidRPr="00BD2330">
        <w:t xml:space="preserve">, </w:t>
      </w:r>
      <w:r>
        <w:t xml:space="preserve">and A. </w:t>
      </w:r>
      <w:proofErr w:type="spellStart"/>
      <w:r>
        <w:t>Guomundsdottir</w:t>
      </w:r>
      <w:proofErr w:type="spellEnd"/>
      <w:r>
        <w:t>.</w:t>
      </w:r>
      <w:proofErr w:type="gramEnd"/>
      <w:r>
        <w:t xml:space="preserve"> </w:t>
      </w:r>
      <w:r w:rsidRPr="00BD2330">
        <w:t>1994</w:t>
      </w:r>
      <w:r>
        <w:t>. “</w:t>
      </w:r>
      <w:r w:rsidRPr="00BD2330">
        <w:t xml:space="preserve">Period </w:t>
      </w:r>
      <w:r>
        <w:t>p</w:t>
      </w:r>
      <w:r w:rsidRPr="00BD2330">
        <w:t>revalence</w:t>
      </w:r>
      <w:r>
        <w:t xml:space="preserve"> </w:t>
      </w:r>
    </w:p>
    <w:p w14:paraId="6179490B" w14:textId="07384CAA" w:rsidR="00BD2330" w:rsidRPr="003526A0" w:rsidRDefault="00BD2330" w:rsidP="00BD2330">
      <w:pPr>
        <w:spacing w:line="480" w:lineRule="auto"/>
        <w:ind w:left="480"/>
      </w:pPr>
      <w:proofErr w:type="gramStart"/>
      <w:r w:rsidRPr="00BD2330">
        <w:t>rates</w:t>
      </w:r>
      <w:proofErr w:type="gramEnd"/>
      <w:r w:rsidRPr="00BD2330">
        <w:t xml:space="preserve"> of specific mental disorders in an Icelandic cohort.</w:t>
      </w:r>
      <w:r>
        <w:t>”</w:t>
      </w:r>
      <w:r w:rsidRPr="00BD2330">
        <w:t> </w:t>
      </w:r>
      <w:proofErr w:type="gramStart"/>
      <w:r w:rsidRPr="00BD2330">
        <w:rPr>
          <w:i/>
          <w:iCs/>
        </w:rPr>
        <w:t>Social Psychiatry and Psychiatric</w:t>
      </w:r>
      <w:r>
        <w:rPr>
          <w:i/>
          <w:iCs/>
        </w:rPr>
        <w:t xml:space="preserve"> </w:t>
      </w:r>
      <w:r w:rsidRPr="00BD2330">
        <w:rPr>
          <w:i/>
          <w:iCs/>
        </w:rPr>
        <w:t>Epidemiology</w:t>
      </w:r>
      <w:r>
        <w:t xml:space="preserve"> </w:t>
      </w:r>
      <w:r w:rsidRPr="00BD2330">
        <w:t>29</w:t>
      </w:r>
      <w:r>
        <w:t xml:space="preserve">: </w:t>
      </w:r>
      <w:r w:rsidRPr="00BD2330">
        <w:t>119–125</w:t>
      </w:r>
      <w:r>
        <w:t>.</w:t>
      </w:r>
      <w:proofErr w:type="gramEnd"/>
    </w:p>
    <w:p w14:paraId="4345528B" w14:textId="77777777" w:rsidR="004F7B23" w:rsidRDefault="003526A0" w:rsidP="00BD2330">
      <w:pPr>
        <w:pStyle w:val="NormaleWeb"/>
        <w:spacing w:before="0" w:beforeAutospacing="0" w:after="0" w:afterAutospacing="0" w:line="480" w:lineRule="auto"/>
        <w:ind w:left="480" w:hanging="480"/>
        <w:rPr>
          <w:rFonts w:ascii="Times New Roman" w:hAnsi="Times New Roman"/>
          <w:sz w:val="24"/>
          <w:szCs w:val="24"/>
          <w:lang w:val="en-US"/>
        </w:rPr>
      </w:pPr>
      <w:proofErr w:type="spellStart"/>
      <w:r w:rsidRPr="003526A0">
        <w:rPr>
          <w:rFonts w:ascii="Times New Roman" w:hAnsi="Times New Roman"/>
          <w:sz w:val="24"/>
          <w:szCs w:val="24"/>
          <w:lang w:val="en-US"/>
        </w:rPr>
        <w:t>Stolle</w:t>
      </w:r>
      <w:proofErr w:type="spellEnd"/>
      <w:r w:rsidRPr="003526A0">
        <w:rPr>
          <w:rFonts w:ascii="Times New Roman" w:hAnsi="Times New Roman"/>
          <w:sz w:val="24"/>
          <w:szCs w:val="24"/>
          <w:lang w:val="en-US"/>
        </w:rPr>
        <w:t xml:space="preserve">, </w:t>
      </w:r>
      <w:proofErr w:type="spellStart"/>
      <w:r w:rsidRPr="003526A0">
        <w:rPr>
          <w:rFonts w:ascii="Times New Roman" w:hAnsi="Times New Roman"/>
          <w:sz w:val="24"/>
          <w:szCs w:val="24"/>
          <w:lang w:val="en-US"/>
        </w:rPr>
        <w:t>Dietlind</w:t>
      </w:r>
      <w:proofErr w:type="spellEnd"/>
      <w:r w:rsidRPr="003526A0">
        <w:rPr>
          <w:rFonts w:ascii="Times New Roman" w:hAnsi="Times New Roman"/>
          <w:sz w:val="24"/>
          <w:szCs w:val="24"/>
          <w:lang w:val="en-US"/>
        </w:rPr>
        <w:t xml:space="preserve">, and Elisabeth </w:t>
      </w:r>
      <w:proofErr w:type="spellStart"/>
      <w:r w:rsidRPr="003526A0">
        <w:rPr>
          <w:rFonts w:ascii="Times New Roman" w:hAnsi="Times New Roman"/>
          <w:sz w:val="24"/>
          <w:szCs w:val="24"/>
          <w:lang w:val="en-US"/>
        </w:rPr>
        <w:t>Gidengil</w:t>
      </w:r>
      <w:proofErr w:type="spellEnd"/>
      <w:r w:rsidRPr="003526A0">
        <w:rPr>
          <w:rFonts w:ascii="Times New Roman" w:hAnsi="Times New Roman"/>
          <w:sz w:val="24"/>
          <w:szCs w:val="24"/>
          <w:lang w:val="en-US"/>
        </w:rPr>
        <w:t xml:space="preserve">. 2010. “What Do Women Really Know? A Gendered Analysis of Varieties of Political Knowledge.” </w:t>
      </w:r>
      <w:r w:rsidRPr="003526A0">
        <w:rPr>
          <w:rFonts w:ascii="Times New Roman" w:hAnsi="Times New Roman"/>
          <w:i/>
          <w:iCs/>
          <w:sz w:val="24"/>
          <w:szCs w:val="24"/>
          <w:lang w:val="en-US"/>
        </w:rPr>
        <w:t>Perspectives on Politics</w:t>
      </w:r>
      <w:r w:rsidRPr="003526A0">
        <w:rPr>
          <w:rFonts w:ascii="Times New Roman" w:hAnsi="Times New Roman"/>
          <w:sz w:val="24"/>
          <w:szCs w:val="24"/>
          <w:lang w:val="en-US"/>
        </w:rPr>
        <w:t xml:space="preserve"> 8 (1): 93–109.</w:t>
      </w:r>
    </w:p>
    <w:p w14:paraId="038AC93C" w14:textId="37975284" w:rsidR="003526A0" w:rsidRPr="003526A0" w:rsidRDefault="003526A0" w:rsidP="004F7B23">
      <w:pPr>
        <w:pStyle w:val="NormaleWeb"/>
        <w:spacing w:before="0" w:beforeAutospacing="0" w:after="0" w:afterAutospacing="0" w:line="480" w:lineRule="auto"/>
        <w:ind w:left="480" w:hanging="480"/>
        <w:rPr>
          <w:rFonts w:ascii="Times New Roman" w:hAnsi="Times New Roman"/>
          <w:sz w:val="24"/>
          <w:szCs w:val="24"/>
          <w:lang w:val="en-US"/>
        </w:rPr>
      </w:pPr>
      <w:proofErr w:type="spellStart"/>
      <w:proofErr w:type="gramStart"/>
      <w:r w:rsidRPr="003526A0">
        <w:rPr>
          <w:rFonts w:ascii="Times New Roman" w:hAnsi="Times New Roman"/>
          <w:sz w:val="24"/>
          <w:szCs w:val="24"/>
          <w:lang w:val="en-US"/>
        </w:rPr>
        <w:t>Velde</w:t>
      </w:r>
      <w:proofErr w:type="spellEnd"/>
      <w:r w:rsidRPr="003526A0">
        <w:rPr>
          <w:rFonts w:ascii="Times New Roman" w:hAnsi="Times New Roman"/>
          <w:sz w:val="24"/>
          <w:szCs w:val="24"/>
          <w:lang w:val="en-US"/>
        </w:rPr>
        <w:t xml:space="preserve">, Sarah Van de, Piet </w:t>
      </w:r>
      <w:proofErr w:type="spellStart"/>
      <w:r w:rsidRPr="003526A0">
        <w:rPr>
          <w:rFonts w:ascii="Times New Roman" w:hAnsi="Times New Roman"/>
          <w:sz w:val="24"/>
          <w:szCs w:val="24"/>
          <w:lang w:val="en-US"/>
        </w:rPr>
        <w:t>Bracke</w:t>
      </w:r>
      <w:proofErr w:type="spellEnd"/>
      <w:r w:rsidRPr="003526A0">
        <w:rPr>
          <w:rFonts w:ascii="Times New Roman" w:hAnsi="Times New Roman"/>
          <w:sz w:val="24"/>
          <w:szCs w:val="24"/>
          <w:lang w:val="en-US"/>
        </w:rPr>
        <w:t xml:space="preserve">, and Katia </w:t>
      </w:r>
      <w:proofErr w:type="spellStart"/>
      <w:r w:rsidRPr="003526A0">
        <w:rPr>
          <w:rFonts w:ascii="Times New Roman" w:hAnsi="Times New Roman"/>
          <w:sz w:val="24"/>
          <w:szCs w:val="24"/>
          <w:lang w:val="en-US"/>
        </w:rPr>
        <w:t>Levecque</w:t>
      </w:r>
      <w:proofErr w:type="spellEnd"/>
      <w:r w:rsidRPr="003526A0">
        <w:rPr>
          <w:rFonts w:ascii="Times New Roman" w:hAnsi="Times New Roman"/>
          <w:sz w:val="24"/>
          <w:szCs w:val="24"/>
          <w:lang w:val="en-US"/>
        </w:rPr>
        <w:t>.</w:t>
      </w:r>
      <w:proofErr w:type="gramEnd"/>
      <w:r w:rsidRPr="003526A0">
        <w:rPr>
          <w:rFonts w:ascii="Times New Roman" w:hAnsi="Times New Roman"/>
          <w:sz w:val="24"/>
          <w:szCs w:val="24"/>
          <w:lang w:val="en-US"/>
        </w:rPr>
        <w:t xml:space="preserve"> 2010. “Gender Differences in Depression in 23 European Countries. Cross-National Variation in the Gender Gap in Depression.” </w:t>
      </w:r>
      <w:proofErr w:type="gramStart"/>
      <w:r w:rsidRPr="003526A0">
        <w:rPr>
          <w:rFonts w:ascii="Times New Roman" w:hAnsi="Times New Roman"/>
          <w:i/>
          <w:iCs/>
          <w:sz w:val="24"/>
          <w:szCs w:val="24"/>
          <w:lang w:val="en-US"/>
        </w:rPr>
        <w:t>Social Science &amp; Medicine</w:t>
      </w:r>
      <w:r w:rsidRPr="003526A0">
        <w:rPr>
          <w:rFonts w:ascii="Times New Roman" w:hAnsi="Times New Roman"/>
          <w:sz w:val="24"/>
          <w:szCs w:val="24"/>
          <w:lang w:val="en-US"/>
        </w:rPr>
        <w:t xml:space="preserve"> 71 (2): 305–13.</w:t>
      </w:r>
      <w:proofErr w:type="gramEnd"/>
    </w:p>
    <w:p w14:paraId="61C91403" w14:textId="77777777" w:rsidR="003526A0" w:rsidRPr="003526A0" w:rsidRDefault="003526A0" w:rsidP="00404AD0">
      <w:pPr>
        <w:pStyle w:val="NormaleWeb"/>
        <w:spacing w:before="0" w:beforeAutospacing="0" w:after="0" w:afterAutospacing="0" w:line="480" w:lineRule="auto"/>
        <w:ind w:left="480" w:hanging="480"/>
        <w:rPr>
          <w:rFonts w:ascii="Times New Roman" w:hAnsi="Times New Roman"/>
          <w:sz w:val="24"/>
          <w:szCs w:val="24"/>
          <w:lang w:val="en-US"/>
        </w:rPr>
      </w:pPr>
      <w:proofErr w:type="spellStart"/>
      <w:r w:rsidRPr="003526A0">
        <w:rPr>
          <w:rFonts w:ascii="Times New Roman" w:hAnsi="Times New Roman"/>
          <w:sz w:val="24"/>
          <w:szCs w:val="24"/>
          <w:lang w:val="en-US"/>
        </w:rPr>
        <w:t>Verba</w:t>
      </w:r>
      <w:proofErr w:type="spellEnd"/>
      <w:r w:rsidRPr="003526A0">
        <w:rPr>
          <w:rFonts w:ascii="Times New Roman" w:hAnsi="Times New Roman"/>
          <w:sz w:val="24"/>
          <w:szCs w:val="24"/>
          <w:lang w:val="en-US"/>
        </w:rPr>
        <w:t xml:space="preserve">, Sidney, Nancy Burns, and Kay Lehman </w:t>
      </w:r>
      <w:proofErr w:type="spellStart"/>
      <w:r w:rsidRPr="003526A0">
        <w:rPr>
          <w:rFonts w:ascii="Times New Roman" w:hAnsi="Times New Roman"/>
          <w:sz w:val="24"/>
          <w:szCs w:val="24"/>
          <w:lang w:val="en-US"/>
        </w:rPr>
        <w:t>Schlozman</w:t>
      </w:r>
      <w:proofErr w:type="spellEnd"/>
      <w:r w:rsidRPr="003526A0">
        <w:rPr>
          <w:rFonts w:ascii="Times New Roman" w:hAnsi="Times New Roman"/>
          <w:sz w:val="24"/>
          <w:szCs w:val="24"/>
          <w:lang w:val="en-US"/>
        </w:rPr>
        <w:t xml:space="preserve">. 1997. “Knowing and Caring about Politics: Gender and Political Engagement.” </w:t>
      </w:r>
      <w:proofErr w:type="gramStart"/>
      <w:r w:rsidRPr="003526A0">
        <w:rPr>
          <w:rFonts w:ascii="Times New Roman" w:hAnsi="Times New Roman"/>
          <w:i/>
          <w:iCs/>
          <w:sz w:val="24"/>
          <w:szCs w:val="24"/>
          <w:lang w:val="en-US"/>
        </w:rPr>
        <w:t>The Journal of Politics</w:t>
      </w:r>
      <w:r w:rsidRPr="003526A0">
        <w:rPr>
          <w:rFonts w:ascii="Times New Roman" w:hAnsi="Times New Roman"/>
          <w:sz w:val="24"/>
          <w:szCs w:val="24"/>
          <w:lang w:val="en-US"/>
        </w:rPr>
        <w:t xml:space="preserve"> 59 (4): 1051–72.</w:t>
      </w:r>
      <w:proofErr w:type="gramEnd"/>
    </w:p>
    <w:p w14:paraId="7A11969F" w14:textId="77777777" w:rsidR="003526A0" w:rsidRPr="003526A0" w:rsidRDefault="003526A0" w:rsidP="00404AD0">
      <w:pPr>
        <w:pStyle w:val="NormaleWeb"/>
        <w:spacing w:before="0" w:beforeAutospacing="0" w:after="0" w:afterAutospacing="0" w:line="480" w:lineRule="auto"/>
        <w:ind w:left="480" w:hanging="480"/>
        <w:rPr>
          <w:rFonts w:ascii="Times New Roman" w:hAnsi="Times New Roman"/>
          <w:sz w:val="24"/>
          <w:szCs w:val="24"/>
          <w:lang w:val="en-US"/>
        </w:rPr>
      </w:pPr>
      <w:r w:rsidRPr="003526A0">
        <w:rPr>
          <w:rFonts w:ascii="Times New Roman" w:hAnsi="Times New Roman"/>
          <w:sz w:val="24"/>
          <w:szCs w:val="24"/>
          <w:lang w:val="en-US"/>
        </w:rPr>
        <w:t xml:space="preserve">Welch, Susan. 1977. “Women as Political Animals? A Test of Some Explanations for Male-Female Political Participation Differences.” </w:t>
      </w:r>
      <w:proofErr w:type="gramStart"/>
      <w:r w:rsidRPr="003526A0">
        <w:rPr>
          <w:rFonts w:ascii="Times New Roman" w:hAnsi="Times New Roman"/>
          <w:i/>
          <w:iCs/>
          <w:sz w:val="24"/>
          <w:szCs w:val="24"/>
          <w:lang w:val="en-US"/>
        </w:rPr>
        <w:t>American Journal of Political Science</w:t>
      </w:r>
      <w:r w:rsidRPr="003526A0">
        <w:rPr>
          <w:rFonts w:ascii="Times New Roman" w:hAnsi="Times New Roman"/>
          <w:sz w:val="24"/>
          <w:szCs w:val="24"/>
          <w:lang w:val="en-US"/>
        </w:rPr>
        <w:t xml:space="preserve"> 21 (4): 711–30.</w:t>
      </w:r>
      <w:proofErr w:type="gramEnd"/>
    </w:p>
    <w:p w14:paraId="0FCC424F" w14:textId="77777777" w:rsidR="003526A0" w:rsidRPr="003526A0" w:rsidRDefault="003526A0" w:rsidP="00404AD0">
      <w:pPr>
        <w:pStyle w:val="NormaleWeb"/>
        <w:spacing w:before="0" w:beforeAutospacing="0" w:after="0" w:afterAutospacing="0" w:line="480" w:lineRule="auto"/>
        <w:ind w:left="480" w:hanging="480"/>
        <w:rPr>
          <w:rFonts w:ascii="Times New Roman" w:hAnsi="Times New Roman"/>
          <w:sz w:val="24"/>
          <w:szCs w:val="24"/>
          <w:lang w:val="en-US"/>
        </w:rPr>
      </w:pPr>
      <w:proofErr w:type="spellStart"/>
      <w:r w:rsidRPr="003526A0">
        <w:rPr>
          <w:rFonts w:ascii="Times New Roman" w:hAnsi="Times New Roman"/>
          <w:sz w:val="24"/>
          <w:szCs w:val="24"/>
          <w:lang w:val="en-US"/>
        </w:rPr>
        <w:t>Wichstrøm</w:t>
      </w:r>
      <w:proofErr w:type="spellEnd"/>
      <w:r w:rsidRPr="003526A0">
        <w:rPr>
          <w:rFonts w:ascii="Times New Roman" w:hAnsi="Times New Roman"/>
          <w:sz w:val="24"/>
          <w:szCs w:val="24"/>
          <w:lang w:val="en-US"/>
        </w:rPr>
        <w:t xml:space="preserve">, Lars. 1999. “The Emergence of Gender Difference in Depressed Mood during Adolescence: The Role of Intensified Gender Socialization.” </w:t>
      </w:r>
      <w:r w:rsidRPr="003526A0">
        <w:rPr>
          <w:rFonts w:ascii="Times New Roman" w:hAnsi="Times New Roman"/>
          <w:i/>
          <w:iCs/>
          <w:sz w:val="24"/>
          <w:szCs w:val="24"/>
          <w:lang w:val="en-US"/>
        </w:rPr>
        <w:t>Developmental Psychology</w:t>
      </w:r>
      <w:r w:rsidRPr="003526A0">
        <w:rPr>
          <w:rFonts w:ascii="Times New Roman" w:hAnsi="Times New Roman"/>
          <w:sz w:val="24"/>
          <w:szCs w:val="24"/>
          <w:lang w:val="en-US"/>
        </w:rPr>
        <w:t>.</w:t>
      </w:r>
    </w:p>
    <w:p w14:paraId="45B69FDB" w14:textId="7BEA6788" w:rsidR="003526A0" w:rsidRPr="00114154" w:rsidRDefault="003526A0" w:rsidP="00114154">
      <w:pPr>
        <w:pStyle w:val="NormaleWeb"/>
        <w:spacing w:before="0" w:beforeAutospacing="0" w:after="0" w:afterAutospacing="0" w:line="480" w:lineRule="auto"/>
        <w:ind w:left="480" w:hanging="480"/>
        <w:rPr>
          <w:rFonts w:ascii="Times New Roman" w:hAnsi="Times New Roman"/>
          <w:sz w:val="24"/>
          <w:szCs w:val="24"/>
          <w:lang w:val="en-US"/>
        </w:rPr>
      </w:pPr>
      <w:proofErr w:type="spellStart"/>
      <w:r w:rsidRPr="003526A0">
        <w:rPr>
          <w:rFonts w:ascii="Times New Roman" w:hAnsi="Times New Roman"/>
          <w:sz w:val="24"/>
          <w:szCs w:val="24"/>
          <w:lang w:val="en-US"/>
        </w:rPr>
        <w:lastRenderedPageBreak/>
        <w:t>Wolak</w:t>
      </w:r>
      <w:proofErr w:type="spellEnd"/>
      <w:r w:rsidRPr="003526A0">
        <w:rPr>
          <w:rFonts w:ascii="Times New Roman" w:hAnsi="Times New Roman"/>
          <w:sz w:val="24"/>
          <w:szCs w:val="24"/>
          <w:lang w:val="en-US"/>
        </w:rPr>
        <w:t>, Jennifer. 2020. “</w:t>
      </w:r>
      <w:r w:rsidR="00C34438">
        <w:rPr>
          <w:rFonts w:ascii="Times New Roman" w:hAnsi="Times New Roman"/>
          <w:sz w:val="24"/>
          <w:szCs w:val="24"/>
          <w:lang w:val="en-US"/>
        </w:rPr>
        <w:t>Self-Confidence and Gender Gaps in Political Interest, Attention, and Efficacy.”</w:t>
      </w:r>
      <w:r w:rsidR="00A13A41">
        <w:rPr>
          <w:rFonts w:ascii="Times New Roman" w:hAnsi="Times New Roman"/>
          <w:sz w:val="24"/>
          <w:szCs w:val="24"/>
          <w:lang w:val="en-US"/>
        </w:rPr>
        <w:t xml:space="preserve"> </w:t>
      </w:r>
      <w:r w:rsidR="00A13A41">
        <w:rPr>
          <w:rFonts w:ascii="Times New Roman" w:hAnsi="Times New Roman"/>
          <w:i/>
          <w:sz w:val="24"/>
          <w:szCs w:val="24"/>
          <w:lang w:val="en-US"/>
        </w:rPr>
        <w:t>Journal of Politics</w:t>
      </w:r>
      <w:r w:rsidR="00A13A41">
        <w:rPr>
          <w:rFonts w:ascii="Times New Roman" w:hAnsi="Times New Roman"/>
          <w:sz w:val="24"/>
          <w:szCs w:val="24"/>
          <w:lang w:val="en-US"/>
        </w:rPr>
        <w:t xml:space="preserve"> 82(4): 1490-1501.</w:t>
      </w:r>
    </w:p>
    <w:sectPr w:rsidR="003526A0" w:rsidRPr="00114154" w:rsidSect="00635300">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882979" w15:done="0"/>
  <w15:commentEx w15:paraId="7D445EC5" w15:done="0"/>
  <w15:commentEx w15:paraId="10728CDD" w15:done="0"/>
  <w15:commentEx w15:paraId="2BC95387" w15:paraIdParent="10728C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BA27A" w16cex:dateUtc="2023-01-13T08:27:00Z"/>
  <w16cex:commentExtensible w16cex:durableId="276BA2F3" w16cex:dateUtc="2023-01-13T08:29:00Z"/>
  <w16cex:commentExtensible w16cex:durableId="276AD9D8" w16cex:dateUtc="2023-01-13T03:11:00Z"/>
  <w16cex:commentExtensible w16cex:durableId="276BA399" w16cex:dateUtc="2023-01-13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882979" w16cid:durableId="276BA27A"/>
  <w16cid:commentId w16cid:paraId="7D445EC5" w16cid:durableId="276BA2F3"/>
  <w16cid:commentId w16cid:paraId="10728CDD" w16cid:durableId="276AD9D8"/>
  <w16cid:commentId w16cid:paraId="2BC95387" w16cid:durableId="276BA39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2B35A" w14:textId="77777777" w:rsidR="00314A83" w:rsidRDefault="00314A83" w:rsidP="00805E6A">
      <w:r>
        <w:separator/>
      </w:r>
    </w:p>
  </w:endnote>
  <w:endnote w:type="continuationSeparator" w:id="0">
    <w:p w14:paraId="150C62C2" w14:textId="77777777" w:rsidR="00314A83" w:rsidRDefault="00314A83" w:rsidP="0080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altName w:val="Tahoma"/>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440685650"/>
      <w:docPartObj>
        <w:docPartGallery w:val="Page Numbers (Bottom of Page)"/>
        <w:docPartUnique/>
      </w:docPartObj>
    </w:sdtPr>
    <w:sdtEndPr>
      <w:rPr>
        <w:rStyle w:val="Numeropagina"/>
      </w:rPr>
    </w:sdtEndPr>
    <w:sdtContent>
      <w:p w14:paraId="2C56A216" w14:textId="79949B22" w:rsidR="006D6A7B" w:rsidRDefault="006D6A7B" w:rsidP="004506A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AEF6085" w14:textId="77777777" w:rsidR="006D6A7B" w:rsidRDefault="006D6A7B" w:rsidP="00805E6A">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119068254"/>
      <w:docPartObj>
        <w:docPartGallery w:val="Page Numbers (Bottom of Page)"/>
        <w:docPartUnique/>
      </w:docPartObj>
    </w:sdtPr>
    <w:sdtEndPr>
      <w:rPr>
        <w:rStyle w:val="Numeropagina"/>
      </w:rPr>
    </w:sdtEndPr>
    <w:sdtContent>
      <w:p w14:paraId="7A4CA9DB" w14:textId="37F4DB7A" w:rsidR="006D6A7B" w:rsidRDefault="006D6A7B" w:rsidP="004506A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427004">
          <w:rPr>
            <w:rStyle w:val="Numeropagina"/>
            <w:noProof/>
          </w:rPr>
          <w:t>1</w:t>
        </w:r>
        <w:r>
          <w:rPr>
            <w:rStyle w:val="Numeropagina"/>
          </w:rPr>
          <w:fldChar w:fldCharType="end"/>
        </w:r>
      </w:p>
    </w:sdtContent>
  </w:sdt>
  <w:p w14:paraId="226791AF" w14:textId="77777777" w:rsidR="006D6A7B" w:rsidRDefault="006D6A7B" w:rsidP="00805E6A">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8E427" w14:textId="77777777" w:rsidR="00314A83" w:rsidRDefault="00314A83" w:rsidP="00805E6A">
      <w:r>
        <w:separator/>
      </w:r>
    </w:p>
  </w:footnote>
  <w:footnote w:type="continuationSeparator" w:id="0">
    <w:p w14:paraId="28C9B069" w14:textId="77777777" w:rsidR="00314A83" w:rsidRDefault="00314A83" w:rsidP="00805E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3093C"/>
    <w:multiLevelType w:val="hybridMultilevel"/>
    <w:tmpl w:val="94D094A2"/>
    <w:lvl w:ilvl="0" w:tplc="4FC460B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5CCE264E"/>
    <w:multiLevelType w:val="hybridMultilevel"/>
    <w:tmpl w:val="5B728E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ndwehr, Claudia">
    <w15:presenceInfo w15:providerId="AD" w15:userId="S::landwehc@uni-mainz.de::09b96fb2-7e9b-4c9b-a0dd-8f0d53e5f9ef"/>
  </w15:person>
  <w15:person w15:author="Christopher Ojeda">
    <w15:presenceInfo w15:providerId="AD" w15:userId="S::cojeda5@ucmerced.edu::7f39587e-37a5-4af3-adfc-f8cc23a3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5F"/>
    <w:rsid w:val="00000447"/>
    <w:rsid w:val="0000651A"/>
    <w:rsid w:val="00010344"/>
    <w:rsid w:val="00015A65"/>
    <w:rsid w:val="0002291D"/>
    <w:rsid w:val="00022BF8"/>
    <w:rsid w:val="00024831"/>
    <w:rsid w:val="000273FB"/>
    <w:rsid w:val="00031C9F"/>
    <w:rsid w:val="00041FC7"/>
    <w:rsid w:val="00046F86"/>
    <w:rsid w:val="0005005F"/>
    <w:rsid w:val="00053046"/>
    <w:rsid w:val="00055849"/>
    <w:rsid w:val="00055ED6"/>
    <w:rsid w:val="00057F78"/>
    <w:rsid w:val="00063BD8"/>
    <w:rsid w:val="00070E4B"/>
    <w:rsid w:val="0007469C"/>
    <w:rsid w:val="00082172"/>
    <w:rsid w:val="00082252"/>
    <w:rsid w:val="0008704A"/>
    <w:rsid w:val="0009145C"/>
    <w:rsid w:val="00092F1D"/>
    <w:rsid w:val="00093614"/>
    <w:rsid w:val="000A4F03"/>
    <w:rsid w:val="000A7E0C"/>
    <w:rsid w:val="000C1754"/>
    <w:rsid w:val="000C1F52"/>
    <w:rsid w:val="000C238F"/>
    <w:rsid w:val="000C37FC"/>
    <w:rsid w:val="000D5986"/>
    <w:rsid w:val="000D74ED"/>
    <w:rsid w:val="000E169A"/>
    <w:rsid w:val="000E2F5B"/>
    <w:rsid w:val="000E36F1"/>
    <w:rsid w:val="000E415D"/>
    <w:rsid w:val="000E5087"/>
    <w:rsid w:val="000F1B14"/>
    <w:rsid w:val="000F4F9D"/>
    <w:rsid w:val="00102BEF"/>
    <w:rsid w:val="00103CDA"/>
    <w:rsid w:val="00106E5C"/>
    <w:rsid w:val="00110A69"/>
    <w:rsid w:val="00111AC0"/>
    <w:rsid w:val="00113EC9"/>
    <w:rsid w:val="00114154"/>
    <w:rsid w:val="0011738D"/>
    <w:rsid w:val="001237FB"/>
    <w:rsid w:val="00124D66"/>
    <w:rsid w:val="00135B2C"/>
    <w:rsid w:val="00155444"/>
    <w:rsid w:val="00156FA4"/>
    <w:rsid w:val="00161A49"/>
    <w:rsid w:val="00164CC8"/>
    <w:rsid w:val="00166F20"/>
    <w:rsid w:val="001710A4"/>
    <w:rsid w:val="00174274"/>
    <w:rsid w:val="00185BD0"/>
    <w:rsid w:val="00190A24"/>
    <w:rsid w:val="001917C6"/>
    <w:rsid w:val="001937FE"/>
    <w:rsid w:val="00197BB7"/>
    <w:rsid w:val="001A0D55"/>
    <w:rsid w:val="001A405E"/>
    <w:rsid w:val="001A7060"/>
    <w:rsid w:val="001B1A31"/>
    <w:rsid w:val="001B4904"/>
    <w:rsid w:val="001C0139"/>
    <w:rsid w:val="001C6C8B"/>
    <w:rsid w:val="001C6F63"/>
    <w:rsid w:val="001C7169"/>
    <w:rsid w:val="001D53E6"/>
    <w:rsid w:val="001E0436"/>
    <w:rsid w:val="001E375A"/>
    <w:rsid w:val="001E555E"/>
    <w:rsid w:val="001E6B6F"/>
    <w:rsid w:val="0020009F"/>
    <w:rsid w:val="00200C4C"/>
    <w:rsid w:val="0020115A"/>
    <w:rsid w:val="00215641"/>
    <w:rsid w:val="002163B3"/>
    <w:rsid w:val="00216A2C"/>
    <w:rsid w:val="00227DDB"/>
    <w:rsid w:val="00227E9A"/>
    <w:rsid w:val="002301C7"/>
    <w:rsid w:val="002302F3"/>
    <w:rsid w:val="00233976"/>
    <w:rsid w:val="00236A55"/>
    <w:rsid w:val="00236A97"/>
    <w:rsid w:val="002427E4"/>
    <w:rsid w:val="00247761"/>
    <w:rsid w:val="00253245"/>
    <w:rsid w:val="00254569"/>
    <w:rsid w:val="00254AAA"/>
    <w:rsid w:val="0026027C"/>
    <w:rsid w:val="0026059C"/>
    <w:rsid w:val="002609E7"/>
    <w:rsid w:val="00263AC3"/>
    <w:rsid w:val="00265E3F"/>
    <w:rsid w:val="00274BB2"/>
    <w:rsid w:val="002765AA"/>
    <w:rsid w:val="00280006"/>
    <w:rsid w:val="002820E3"/>
    <w:rsid w:val="00286190"/>
    <w:rsid w:val="00290D7A"/>
    <w:rsid w:val="00292771"/>
    <w:rsid w:val="00293179"/>
    <w:rsid w:val="00296AEF"/>
    <w:rsid w:val="002A39BD"/>
    <w:rsid w:val="002A780D"/>
    <w:rsid w:val="002A7E0C"/>
    <w:rsid w:val="002B158E"/>
    <w:rsid w:val="002B37D2"/>
    <w:rsid w:val="002B5E78"/>
    <w:rsid w:val="002B60E2"/>
    <w:rsid w:val="002B656F"/>
    <w:rsid w:val="002C123D"/>
    <w:rsid w:val="002C5399"/>
    <w:rsid w:val="002C7602"/>
    <w:rsid w:val="002C774B"/>
    <w:rsid w:val="002D11E1"/>
    <w:rsid w:val="002D3C3D"/>
    <w:rsid w:val="002D4125"/>
    <w:rsid w:val="002E0519"/>
    <w:rsid w:val="002F1E21"/>
    <w:rsid w:val="00302CB5"/>
    <w:rsid w:val="00304CAA"/>
    <w:rsid w:val="003076D8"/>
    <w:rsid w:val="00311922"/>
    <w:rsid w:val="00313273"/>
    <w:rsid w:val="00314A83"/>
    <w:rsid w:val="00320FE5"/>
    <w:rsid w:val="003235D6"/>
    <w:rsid w:val="00323D34"/>
    <w:rsid w:val="00326238"/>
    <w:rsid w:val="00326A6C"/>
    <w:rsid w:val="0033261F"/>
    <w:rsid w:val="00334C00"/>
    <w:rsid w:val="00341E88"/>
    <w:rsid w:val="00344611"/>
    <w:rsid w:val="0034764B"/>
    <w:rsid w:val="0035097F"/>
    <w:rsid w:val="003526A0"/>
    <w:rsid w:val="00353A66"/>
    <w:rsid w:val="00360741"/>
    <w:rsid w:val="003638E2"/>
    <w:rsid w:val="00365FC9"/>
    <w:rsid w:val="00366A55"/>
    <w:rsid w:val="003679F0"/>
    <w:rsid w:val="00373B81"/>
    <w:rsid w:val="0039290C"/>
    <w:rsid w:val="0039317D"/>
    <w:rsid w:val="00394648"/>
    <w:rsid w:val="00396334"/>
    <w:rsid w:val="003A31F4"/>
    <w:rsid w:val="003A56B6"/>
    <w:rsid w:val="003B0FB9"/>
    <w:rsid w:val="003B281C"/>
    <w:rsid w:val="003C060F"/>
    <w:rsid w:val="003C18A2"/>
    <w:rsid w:val="003C3CD1"/>
    <w:rsid w:val="003D015C"/>
    <w:rsid w:val="003D048C"/>
    <w:rsid w:val="003D0D80"/>
    <w:rsid w:val="003D1043"/>
    <w:rsid w:val="003D454B"/>
    <w:rsid w:val="003D6982"/>
    <w:rsid w:val="003E0371"/>
    <w:rsid w:val="003E2580"/>
    <w:rsid w:val="003E2D37"/>
    <w:rsid w:val="003E4884"/>
    <w:rsid w:val="003E63A8"/>
    <w:rsid w:val="003F1DEB"/>
    <w:rsid w:val="003F46C5"/>
    <w:rsid w:val="0040238C"/>
    <w:rsid w:val="00404AD0"/>
    <w:rsid w:val="004141AA"/>
    <w:rsid w:val="0041743E"/>
    <w:rsid w:val="0042281A"/>
    <w:rsid w:val="00427004"/>
    <w:rsid w:val="00431833"/>
    <w:rsid w:val="00444FA2"/>
    <w:rsid w:val="00447177"/>
    <w:rsid w:val="004506A3"/>
    <w:rsid w:val="00454AC4"/>
    <w:rsid w:val="0045529D"/>
    <w:rsid w:val="004557EE"/>
    <w:rsid w:val="00456D14"/>
    <w:rsid w:val="00457B6C"/>
    <w:rsid w:val="00463CE0"/>
    <w:rsid w:val="00466C5E"/>
    <w:rsid w:val="004677AC"/>
    <w:rsid w:val="00473FDE"/>
    <w:rsid w:val="0047405A"/>
    <w:rsid w:val="00474DB4"/>
    <w:rsid w:val="00474FC8"/>
    <w:rsid w:val="00480500"/>
    <w:rsid w:val="00481323"/>
    <w:rsid w:val="00483CEC"/>
    <w:rsid w:val="00484F02"/>
    <w:rsid w:val="00490160"/>
    <w:rsid w:val="004903C6"/>
    <w:rsid w:val="0049420C"/>
    <w:rsid w:val="004A21BF"/>
    <w:rsid w:val="004A6481"/>
    <w:rsid w:val="004A697F"/>
    <w:rsid w:val="004A78A3"/>
    <w:rsid w:val="004B242D"/>
    <w:rsid w:val="004B2672"/>
    <w:rsid w:val="004C1A56"/>
    <w:rsid w:val="004C207A"/>
    <w:rsid w:val="004C4C10"/>
    <w:rsid w:val="004D3FDE"/>
    <w:rsid w:val="004D5A36"/>
    <w:rsid w:val="004E40CB"/>
    <w:rsid w:val="004E60B6"/>
    <w:rsid w:val="004E6828"/>
    <w:rsid w:val="004E6931"/>
    <w:rsid w:val="004E6A07"/>
    <w:rsid w:val="004E7DF8"/>
    <w:rsid w:val="004F0322"/>
    <w:rsid w:val="004F2617"/>
    <w:rsid w:val="004F2988"/>
    <w:rsid w:val="004F41B5"/>
    <w:rsid w:val="004F68CE"/>
    <w:rsid w:val="004F6B6F"/>
    <w:rsid w:val="004F7B23"/>
    <w:rsid w:val="00505C43"/>
    <w:rsid w:val="005067FB"/>
    <w:rsid w:val="005069A3"/>
    <w:rsid w:val="00511902"/>
    <w:rsid w:val="00511BCA"/>
    <w:rsid w:val="00520210"/>
    <w:rsid w:val="00525353"/>
    <w:rsid w:val="00530AF7"/>
    <w:rsid w:val="00530E19"/>
    <w:rsid w:val="00531D16"/>
    <w:rsid w:val="00532ECE"/>
    <w:rsid w:val="005409D5"/>
    <w:rsid w:val="0054235B"/>
    <w:rsid w:val="00542908"/>
    <w:rsid w:val="00545BB1"/>
    <w:rsid w:val="0054725E"/>
    <w:rsid w:val="005472B4"/>
    <w:rsid w:val="00550448"/>
    <w:rsid w:val="0056109F"/>
    <w:rsid w:val="005735DD"/>
    <w:rsid w:val="00575DF5"/>
    <w:rsid w:val="00584052"/>
    <w:rsid w:val="00592991"/>
    <w:rsid w:val="0059429E"/>
    <w:rsid w:val="005961F4"/>
    <w:rsid w:val="00596645"/>
    <w:rsid w:val="005968D4"/>
    <w:rsid w:val="00596ED1"/>
    <w:rsid w:val="005A1B90"/>
    <w:rsid w:val="005A7601"/>
    <w:rsid w:val="005A790F"/>
    <w:rsid w:val="005B40F4"/>
    <w:rsid w:val="005C3FBD"/>
    <w:rsid w:val="005D0E76"/>
    <w:rsid w:val="005E108C"/>
    <w:rsid w:val="005E1B32"/>
    <w:rsid w:val="005E202C"/>
    <w:rsid w:val="005E26BD"/>
    <w:rsid w:val="00600DD6"/>
    <w:rsid w:val="00602512"/>
    <w:rsid w:val="00605996"/>
    <w:rsid w:val="0060671D"/>
    <w:rsid w:val="006126A6"/>
    <w:rsid w:val="006169AC"/>
    <w:rsid w:val="006204E6"/>
    <w:rsid w:val="00620A96"/>
    <w:rsid w:val="0062187A"/>
    <w:rsid w:val="006250B9"/>
    <w:rsid w:val="0062688C"/>
    <w:rsid w:val="0062798F"/>
    <w:rsid w:val="0063235A"/>
    <w:rsid w:val="00635300"/>
    <w:rsid w:val="00637536"/>
    <w:rsid w:val="00644266"/>
    <w:rsid w:val="00644CEA"/>
    <w:rsid w:val="00645005"/>
    <w:rsid w:val="00647B56"/>
    <w:rsid w:val="00651501"/>
    <w:rsid w:val="006526A5"/>
    <w:rsid w:val="006561E2"/>
    <w:rsid w:val="006570F0"/>
    <w:rsid w:val="00657AF0"/>
    <w:rsid w:val="00660F3E"/>
    <w:rsid w:val="0066506C"/>
    <w:rsid w:val="00666D60"/>
    <w:rsid w:val="00667C80"/>
    <w:rsid w:val="0067084B"/>
    <w:rsid w:val="006724B4"/>
    <w:rsid w:val="0067265C"/>
    <w:rsid w:val="00673832"/>
    <w:rsid w:val="00684406"/>
    <w:rsid w:val="00691A3A"/>
    <w:rsid w:val="006A13D3"/>
    <w:rsid w:val="006A3E15"/>
    <w:rsid w:val="006A7A66"/>
    <w:rsid w:val="006B046D"/>
    <w:rsid w:val="006B2E72"/>
    <w:rsid w:val="006B5D0C"/>
    <w:rsid w:val="006B6CF7"/>
    <w:rsid w:val="006C0390"/>
    <w:rsid w:val="006C1199"/>
    <w:rsid w:val="006C138F"/>
    <w:rsid w:val="006C21D6"/>
    <w:rsid w:val="006C582F"/>
    <w:rsid w:val="006C5996"/>
    <w:rsid w:val="006C7C2F"/>
    <w:rsid w:val="006D04FE"/>
    <w:rsid w:val="006D132F"/>
    <w:rsid w:val="006D403F"/>
    <w:rsid w:val="006D5EE6"/>
    <w:rsid w:val="006D6A7B"/>
    <w:rsid w:val="006E20CF"/>
    <w:rsid w:val="006E4638"/>
    <w:rsid w:val="006E47A2"/>
    <w:rsid w:val="006E511D"/>
    <w:rsid w:val="006E5139"/>
    <w:rsid w:val="006F0A64"/>
    <w:rsid w:val="006F1A1C"/>
    <w:rsid w:val="006F2A37"/>
    <w:rsid w:val="006F2CAC"/>
    <w:rsid w:val="006F7ECD"/>
    <w:rsid w:val="0070488E"/>
    <w:rsid w:val="007052EC"/>
    <w:rsid w:val="00706177"/>
    <w:rsid w:val="00710BC6"/>
    <w:rsid w:val="0071484B"/>
    <w:rsid w:val="00714D6C"/>
    <w:rsid w:val="00722214"/>
    <w:rsid w:val="0072247D"/>
    <w:rsid w:val="007247AF"/>
    <w:rsid w:val="007327E4"/>
    <w:rsid w:val="007331A2"/>
    <w:rsid w:val="00733633"/>
    <w:rsid w:val="00735201"/>
    <w:rsid w:val="00736BEC"/>
    <w:rsid w:val="00741695"/>
    <w:rsid w:val="0074717A"/>
    <w:rsid w:val="00747839"/>
    <w:rsid w:val="00762FDB"/>
    <w:rsid w:val="0076506C"/>
    <w:rsid w:val="00765C77"/>
    <w:rsid w:val="00767BA1"/>
    <w:rsid w:val="0077394D"/>
    <w:rsid w:val="00780E21"/>
    <w:rsid w:val="00781DEE"/>
    <w:rsid w:val="00784388"/>
    <w:rsid w:val="007863EC"/>
    <w:rsid w:val="0078696D"/>
    <w:rsid w:val="00787946"/>
    <w:rsid w:val="007931DE"/>
    <w:rsid w:val="0079516F"/>
    <w:rsid w:val="007A1425"/>
    <w:rsid w:val="007A2AE7"/>
    <w:rsid w:val="007A4B94"/>
    <w:rsid w:val="007A7588"/>
    <w:rsid w:val="007A78E9"/>
    <w:rsid w:val="007B01AC"/>
    <w:rsid w:val="007B2646"/>
    <w:rsid w:val="007B3000"/>
    <w:rsid w:val="007B7289"/>
    <w:rsid w:val="007C5209"/>
    <w:rsid w:val="007C5CDC"/>
    <w:rsid w:val="007C6140"/>
    <w:rsid w:val="007C7862"/>
    <w:rsid w:val="007D023B"/>
    <w:rsid w:val="007D11E9"/>
    <w:rsid w:val="007D19C4"/>
    <w:rsid w:val="007D3DAE"/>
    <w:rsid w:val="007D51D7"/>
    <w:rsid w:val="007D632D"/>
    <w:rsid w:val="007D6C3C"/>
    <w:rsid w:val="007E255B"/>
    <w:rsid w:val="007E697C"/>
    <w:rsid w:val="007E7EDB"/>
    <w:rsid w:val="007F049F"/>
    <w:rsid w:val="007F3BE8"/>
    <w:rsid w:val="007F3E71"/>
    <w:rsid w:val="007F4EBF"/>
    <w:rsid w:val="007F583B"/>
    <w:rsid w:val="00801B8E"/>
    <w:rsid w:val="008026EA"/>
    <w:rsid w:val="00805E6A"/>
    <w:rsid w:val="00814D9C"/>
    <w:rsid w:val="00824CEB"/>
    <w:rsid w:val="00826621"/>
    <w:rsid w:val="00826D4C"/>
    <w:rsid w:val="00831C77"/>
    <w:rsid w:val="008325CE"/>
    <w:rsid w:val="008334CA"/>
    <w:rsid w:val="00835309"/>
    <w:rsid w:val="008366DF"/>
    <w:rsid w:val="00845324"/>
    <w:rsid w:val="00846A1F"/>
    <w:rsid w:val="00847CD3"/>
    <w:rsid w:val="00850A99"/>
    <w:rsid w:val="008528CC"/>
    <w:rsid w:val="008529D1"/>
    <w:rsid w:val="008533B3"/>
    <w:rsid w:val="00860183"/>
    <w:rsid w:val="0086036A"/>
    <w:rsid w:val="0086585E"/>
    <w:rsid w:val="00866EAE"/>
    <w:rsid w:val="008722A5"/>
    <w:rsid w:val="0087464B"/>
    <w:rsid w:val="00877425"/>
    <w:rsid w:val="00884F3C"/>
    <w:rsid w:val="0088570B"/>
    <w:rsid w:val="00885CF0"/>
    <w:rsid w:val="00885DCF"/>
    <w:rsid w:val="0089117B"/>
    <w:rsid w:val="008977AF"/>
    <w:rsid w:val="008A0145"/>
    <w:rsid w:val="008A1B1F"/>
    <w:rsid w:val="008A24C5"/>
    <w:rsid w:val="008A2949"/>
    <w:rsid w:val="008A2A91"/>
    <w:rsid w:val="008A3EF0"/>
    <w:rsid w:val="008A71F9"/>
    <w:rsid w:val="008B0652"/>
    <w:rsid w:val="008B479D"/>
    <w:rsid w:val="008B5394"/>
    <w:rsid w:val="008B55FF"/>
    <w:rsid w:val="008B70E0"/>
    <w:rsid w:val="008C1B4A"/>
    <w:rsid w:val="008D1B2A"/>
    <w:rsid w:val="008E555B"/>
    <w:rsid w:val="008F6FF3"/>
    <w:rsid w:val="0090022D"/>
    <w:rsid w:val="00901328"/>
    <w:rsid w:val="0090323F"/>
    <w:rsid w:val="0090491E"/>
    <w:rsid w:val="00912872"/>
    <w:rsid w:val="0091528B"/>
    <w:rsid w:val="00920B13"/>
    <w:rsid w:val="00922304"/>
    <w:rsid w:val="00923949"/>
    <w:rsid w:val="009348D3"/>
    <w:rsid w:val="00934BBA"/>
    <w:rsid w:val="0093606B"/>
    <w:rsid w:val="009403A0"/>
    <w:rsid w:val="0094687F"/>
    <w:rsid w:val="009508AC"/>
    <w:rsid w:val="009518F9"/>
    <w:rsid w:val="0095420B"/>
    <w:rsid w:val="00957E61"/>
    <w:rsid w:val="0096143D"/>
    <w:rsid w:val="009618F2"/>
    <w:rsid w:val="009634A7"/>
    <w:rsid w:val="0096648F"/>
    <w:rsid w:val="00970E38"/>
    <w:rsid w:val="009747BE"/>
    <w:rsid w:val="009752B0"/>
    <w:rsid w:val="00976ABA"/>
    <w:rsid w:val="0097780E"/>
    <w:rsid w:val="0098020E"/>
    <w:rsid w:val="009811EF"/>
    <w:rsid w:val="0098212B"/>
    <w:rsid w:val="00984A2A"/>
    <w:rsid w:val="00986AC9"/>
    <w:rsid w:val="00993664"/>
    <w:rsid w:val="009939F4"/>
    <w:rsid w:val="00994BF9"/>
    <w:rsid w:val="009A0522"/>
    <w:rsid w:val="009A253B"/>
    <w:rsid w:val="009A3899"/>
    <w:rsid w:val="009A60EE"/>
    <w:rsid w:val="009B32C1"/>
    <w:rsid w:val="009B4BFC"/>
    <w:rsid w:val="009C5420"/>
    <w:rsid w:val="009C7E23"/>
    <w:rsid w:val="009D0638"/>
    <w:rsid w:val="009D1BC2"/>
    <w:rsid w:val="009D1E92"/>
    <w:rsid w:val="009D5AD2"/>
    <w:rsid w:val="009E6B3C"/>
    <w:rsid w:val="009E7764"/>
    <w:rsid w:val="009F1FB2"/>
    <w:rsid w:val="009F3F8A"/>
    <w:rsid w:val="009F4D71"/>
    <w:rsid w:val="009F6A3C"/>
    <w:rsid w:val="00A04666"/>
    <w:rsid w:val="00A13A41"/>
    <w:rsid w:val="00A168B4"/>
    <w:rsid w:val="00A17A8F"/>
    <w:rsid w:val="00A258DA"/>
    <w:rsid w:val="00A260D3"/>
    <w:rsid w:val="00A26E75"/>
    <w:rsid w:val="00A27738"/>
    <w:rsid w:val="00A305B0"/>
    <w:rsid w:val="00A31AF7"/>
    <w:rsid w:val="00A40D48"/>
    <w:rsid w:val="00A450C8"/>
    <w:rsid w:val="00A47B15"/>
    <w:rsid w:val="00A576F6"/>
    <w:rsid w:val="00A62D47"/>
    <w:rsid w:val="00A67AE2"/>
    <w:rsid w:val="00A712A6"/>
    <w:rsid w:val="00A8125E"/>
    <w:rsid w:val="00A8129C"/>
    <w:rsid w:val="00A83135"/>
    <w:rsid w:val="00A8747B"/>
    <w:rsid w:val="00A91B5E"/>
    <w:rsid w:val="00A939CD"/>
    <w:rsid w:val="00A95F2D"/>
    <w:rsid w:val="00A96CB4"/>
    <w:rsid w:val="00AA2B93"/>
    <w:rsid w:val="00AA51E0"/>
    <w:rsid w:val="00AB0EFC"/>
    <w:rsid w:val="00AB26A1"/>
    <w:rsid w:val="00AB440D"/>
    <w:rsid w:val="00AB4F7D"/>
    <w:rsid w:val="00AB5F4D"/>
    <w:rsid w:val="00AC17CE"/>
    <w:rsid w:val="00AC7A70"/>
    <w:rsid w:val="00AD2A50"/>
    <w:rsid w:val="00AD59AD"/>
    <w:rsid w:val="00AE1FFA"/>
    <w:rsid w:val="00AE642E"/>
    <w:rsid w:val="00AE78A3"/>
    <w:rsid w:val="00AF0987"/>
    <w:rsid w:val="00AF2E3D"/>
    <w:rsid w:val="00AF5AEA"/>
    <w:rsid w:val="00AF5D76"/>
    <w:rsid w:val="00AF71A8"/>
    <w:rsid w:val="00B01360"/>
    <w:rsid w:val="00B015C5"/>
    <w:rsid w:val="00B0345F"/>
    <w:rsid w:val="00B05ABC"/>
    <w:rsid w:val="00B065B9"/>
    <w:rsid w:val="00B0754B"/>
    <w:rsid w:val="00B07845"/>
    <w:rsid w:val="00B14511"/>
    <w:rsid w:val="00B21585"/>
    <w:rsid w:val="00B2196A"/>
    <w:rsid w:val="00B22029"/>
    <w:rsid w:val="00B27BAA"/>
    <w:rsid w:val="00B30109"/>
    <w:rsid w:val="00B32719"/>
    <w:rsid w:val="00B3324E"/>
    <w:rsid w:val="00B34B51"/>
    <w:rsid w:val="00B3566B"/>
    <w:rsid w:val="00B35D7A"/>
    <w:rsid w:val="00B42BC0"/>
    <w:rsid w:val="00B4449E"/>
    <w:rsid w:val="00B47330"/>
    <w:rsid w:val="00B52D16"/>
    <w:rsid w:val="00B53520"/>
    <w:rsid w:val="00B628F0"/>
    <w:rsid w:val="00B666C5"/>
    <w:rsid w:val="00B80B67"/>
    <w:rsid w:val="00B820A4"/>
    <w:rsid w:val="00B852BD"/>
    <w:rsid w:val="00B872D7"/>
    <w:rsid w:val="00B87CEB"/>
    <w:rsid w:val="00B91592"/>
    <w:rsid w:val="00B91BFE"/>
    <w:rsid w:val="00B96A74"/>
    <w:rsid w:val="00BA0596"/>
    <w:rsid w:val="00BA29A4"/>
    <w:rsid w:val="00BA56E2"/>
    <w:rsid w:val="00BA69D8"/>
    <w:rsid w:val="00BB35D3"/>
    <w:rsid w:val="00BB4D3E"/>
    <w:rsid w:val="00BB5D37"/>
    <w:rsid w:val="00BD2330"/>
    <w:rsid w:val="00BD25C8"/>
    <w:rsid w:val="00BE0758"/>
    <w:rsid w:val="00BE22FE"/>
    <w:rsid w:val="00BE427F"/>
    <w:rsid w:val="00BE79C0"/>
    <w:rsid w:val="00BF7022"/>
    <w:rsid w:val="00BF716D"/>
    <w:rsid w:val="00C0608C"/>
    <w:rsid w:val="00C102EE"/>
    <w:rsid w:val="00C12D6B"/>
    <w:rsid w:val="00C14953"/>
    <w:rsid w:val="00C1582A"/>
    <w:rsid w:val="00C22B59"/>
    <w:rsid w:val="00C2454D"/>
    <w:rsid w:val="00C302AB"/>
    <w:rsid w:val="00C34438"/>
    <w:rsid w:val="00C4043A"/>
    <w:rsid w:val="00C44B08"/>
    <w:rsid w:val="00C45454"/>
    <w:rsid w:val="00C46B44"/>
    <w:rsid w:val="00C46BAC"/>
    <w:rsid w:val="00C500B6"/>
    <w:rsid w:val="00C5016F"/>
    <w:rsid w:val="00C54BAB"/>
    <w:rsid w:val="00C54DCA"/>
    <w:rsid w:val="00C61433"/>
    <w:rsid w:val="00C61FF9"/>
    <w:rsid w:val="00C63F95"/>
    <w:rsid w:val="00C65DA8"/>
    <w:rsid w:val="00C7103B"/>
    <w:rsid w:val="00C72A6F"/>
    <w:rsid w:val="00C7395D"/>
    <w:rsid w:val="00C76007"/>
    <w:rsid w:val="00C77868"/>
    <w:rsid w:val="00C77F77"/>
    <w:rsid w:val="00C83177"/>
    <w:rsid w:val="00C92015"/>
    <w:rsid w:val="00C965A2"/>
    <w:rsid w:val="00CA0FF8"/>
    <w:rsid w:val="00CB1677"/>
    <w:rsid w:val="00CB66CF"/>
    <w:rsid w:val="00CB6B9A"/>
    <w:rsid w:val="00CB7304"/>
    <w:rsid w:val="00CC6025"/>
    <w:rsid w:val="00CC66BA"/>
    <w:rsid w:val="00CD2437"/>
    <w:rsid w:val="00CD2721"/>
    <w:rsid w:val="00CE239F"/>
    <w:rsid w:val="00CE2753"/>
    <w:rsid w:val="00CE3684"/>
    <w:rsid w:val="00CF02B5"/>
    <w:rsid w:val="00CF3BFE"/>
    <w:rsid w:val="00CF47D0"/>
    <w:rsid w:val="00CF7738"/>
    <w:rsid w:val="00D22717"/>
    <w:rsid w:val="00D25053"/>
    <w:rsid w:val="00D31273"/>
    <w:rsid w:val="00D33042"/>
    <w:rsid w:val="00D33503"/>
    <w:rsid w:val="00D360E9"/>
    <w:rsid w:val="00D368FB"/>
    <w:rsid w:val="00D37995"/>
    <w:rsid w:val="00D40353"/>
    <w:rsid w:val="00D46C6F"/>
    <w:rsid w:val="00D50AD9"/>
    <w:rsid w:val="00D579DF"/>
    <w:rsid w:val="00D666A6"/>
    <w:rsid w:val="00D73069"/>
    <w:rsid w:val="00D80BE0"/>
    <w:rsid w:val="00D827BB"/>
    <w:rsid w:val="00D84990"/>
    <w:rsid w:val="00D924F9"/>
    <w:rsid w:val="00D94801"/>
    <w:rsid w:val="00D96238"/>
    <w:rsid w:val="00DA2A06"/>
    <w:rsid w:val="00DA2DAE"/>
    <w:rsid w:val="00DA61A7"/>
    <w:rsid w:val="00DA74A8"/>
    <w:rsid w:val="00DB082D"/>
    <w:rsid w:val="00DB3139"/>
    <w:rsid w:val="00DB3AEA"/>
    <w:rsid w:val="00DB5BF0"/>
    <w:rsid w:val="00DB6476"/>
    <w:rsid w:val="00DB6D35"/>
    <w:rsid w:val="00DC099A"/>
    <w:rsid w:val="00DC3CF2"/>
    <w:rsid w:val="00DD612A"/>
    <w:rsid w:val="00DE05ED"/>
    <w:rsid w:val="00DE1EA9"/>
    <w:rsid w:val="00DE2642"/>
    <w:rsid w:val="00DE5197"/>
    <w:rsid w:val="00DE7684"/>
    <w:rsid w:val="00DF0C16"/>
    <w:rsid w:val="00E00BB9"/>
    <w:rsid w:val="00E012D7"/>
    <w:rsid w:val="00E118CB"/>
    <w:rsid w:val="00E1322F"/>
    <w:rsid w:val="00E14FDD"/>
    <w:rsid w:val="00E32CA2"/>
    <w:rsid w:val="00E33DD3"/>
    <w:rsid w:val="00E350C2"/>
    <w:rsid w:val="00E36E32"/>
    <w:rsid w:val="00E427BF"/>
    <w:rsid w:val="00E437BB"/>
    <w:rsid w:val="00E4782D"/>
    <w:rsid w:val="00E64D5B"/>
    <w:rsid w:val="00E65EAE"/>
    <w:rsid w:val="00E66327"/>
    <w:rsid w:val="00E74D75"/>
    <w:rsid w:val="00E75739"/>
    <w:rsid w:val="00E76530"/>
    <w:rsid w:val="00E90640"/>
    <w:rsid w:val="00E94079"/>
    <w:rsid w:val="00EA0D62"/>
    <w:rsid w:val="00EA135E"/>
    <w:rsid w:val="00EA1C5A"/>
    <w:rsid w:val="00EA2AF3"/>
    <w:rsid w:val="00EA3E65"/>
    <w:rsid w:val="00EA45B3"/>
    <w:rsid w:val="00EB4458"/>
    <w:rsid w:val="00EB74CA"/>
    <w:rsid w:val="00EC257D"/>
    <w:rsid w:val="00EC2963"/>
    <w:rsid w:val="00EC2B96"/>
    <w:rsid w:val="00EC60BC"/>
    <w:rsid w:val="00EC69A4"/>
    <w:rsid w:val="00ED1B5E"/>
    <w:rsid w:val="00EE09FB"/>
    <w:rsid w:val="00EE1C21"/>
    <w:rsid w:val="00EE1FEF"/>
    <w:rsid w:val="00EE387E"/>
    <w:rsid w:val="00EE4644"/>
    <w:rsid w:val="00EE7469"/>
    <w:rsid w:val="00EE75F9"/>
    <w:rsid w:val="00EE778C"/>
    <w:rsid w:val="00EF1B09"/>
    <w:rsid w:val="00EF4E7D"/>
    <w:rsid w:val="00EF63FA"/>
    <w:rsid w:val="00EF7CFC"/>
    <w:rsid w:val="00F009C9"/>
    <w:rsid w:val="00F0124C"/>
    <w:rsid w:val="00F024A1"/>
    <w:rsid w:val="00F050E9"/>
    <w:rsid w:val="00F13291"/>
    <w:rsid w:val="00F1669C"/>
    <w:rsid w:val="00F24AD3"/>
    <w:rsid w:val="00F24D27"/>
    <w:rsid w:val="00F27040"/>
    <w:rsid w:val="00F30DC6"/>
    <w:rsid w:val="00F34E03"/>
    <w:rsid w:val="00F36B9A"/>
    <w:rsid w:val="00F41917"/>
    <w:rsid w:val="00F44B30"/>
    <w:rsid w:val="00F46210"/>
    <w:rsid w:val="00F470E4"/>
    <w:rsid w:val="00F50EA8"/>
    <w:rsid w:val="00F51118"/>
    <w:rsid w:val="00F53EAB"/>
    <w:rsid w:val="00F64666"/>
    <w:rsid w:val="00F705CB"/>
    <w:rsid w:val="00F7340D"/>
    <w:rsid w:val="00F744AD"/>
    <w:rsid w:val="00F755D8"/>
    <w:rsid w:val="00F7661E"/>
    <w:rsid w:val="00F82643"/>
    <w:rsid w:val="00F83CB3"/>
    <w:rsid w:val="00F86574"/>
    <w:rsid w:val="00F86D30"/>
    <w:rsid w:val="00F87305"/>
    <w:rsid w:val="00FA18C2"/>
    <w:rsid w:val="00FA1C4B"/>
    <w:rsid w:val="00FA214E"/>
    <w:rsid w:val="00FA5B29"/>
    <w:rsid w:val="00FA7868"/>
    <w:rsid w:val="00FB1B61"/>
    <w:rsid w:val="00FB2324"/>
    <w:rsid w:val="00FB2420"/>
    <w:rsid w:val="00FB6A18"/>
    <w:rsid w:val="00FB6C9D"/>
    <w:rsid w:val="00FB740B"/>
    <w:rsid w:val="00FC1356"/>
    <w:rsid w:val="00FC1974"/>
    <w:rsid w:val="00FC2DF1"/>
    <w:rsid w:val="00FD05C7"/>
    <w:rsid w:val="00FD18A3"/>
    <w:rsid w:val="00FD3E1B"/>
    <w:rsid w:val="00FD76CB"/>
    <w:rsid w:val="00FE2E99"/>
    <w:rsid w:val="00FF343D"/>
    <w:rsid w:val="00FF363B"/>
    <w:rsid w:val="00FF36FB"/>
    <w:rsid w:val="00FF7E7C"/>
    <w:rsid w:val="00FF7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96BE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2330"/>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atterepredefinitoparagrafo"/>
    <w:uiPriority w:val="99"/>
    <w:semiHidden/>
    <w:unhideWhenUsed/>
    <w:rsid w:val="00B0345F"/>
    <w:rPr>
      <w:sz w:val="16"/>
      <w:szCs w:val="16"/>
    </w:rPr>
  </w:style>
  <w:style w:type="paragraph" w:styleId="Testocommento">
    <w:name w:val="annotation text"/>
    <w:basedOn w:val="Normale"/>
    <w:link w:val="TestocommentoCarattere"/>
    <w:uiPriority w:val="99"/>
    <w:unhideWhenUsed/>
    <w:rsid w:val="00B0345F"/>
    <w:rPr>
      <w:rFonts w:asciiTheme="minorHAnsi" w:eastAsiaTheme="minorHAnsi" w:hAnsiTheme="minorHAnsi" w:cstheme="minorBidi"/>
      <w:sz w:val="20"/>
      <w:szCs w:val="20"/>
    </w:rPr>
  </w:style>
  <w:style w:type="character" w:customStyle="1" w:styleId="TestocommentoCarattere">
    <w:name w:val="Testo commento Carattere"/>
    <w:basedOn w:val="Caratterepredefinitoparagrafo"/>
    <w:link w:val="Testocommento"/>
    <w:uiPriority w:val="99"/>
    <w:rsid w:val="00B0345F"/>
    <w:rPr>
      <w:sz w:val="20"/>
      <w:szCs w:val="20"/>
    </w:rPr>
  </w:style>
  <w:style w:type="character" w:styleId="Collegamentoipertestuale">
    <w:name w:val="Hyperlink"/>
    <w:basedOn w:val="Caratterepredefinitoparagrafo"/>
    <w:uiPriority w:val="99"/>
    <w:unhideWhenUsed/>
    <w:rsid w:val="00B0345F"/>
    <w:rPr>
      <w:color w:val="0000FF"/>
      <w:u w:val="single"/>
    </w:rPr>
  </w:style>
  <w:style w:type="character" w:customStyle="1" w:styleId="ref-journal">
    <w:name w:val="ref-journal"/>
    <w:basedOn w:val="Caratterepredefinitoparagrafo"/>
    <w:rsid w:val="00B0345F"/>
  </w:style>
  <w:style w:type="character" w:customStyle="1" w:styleId="ref-vol">
    <w:name w:val="ref-vol"/>
    <w:basedOn w:val="Caratterepredefinitoparagrafo"/>
    <w:rsid w:val="00B0345F"/>
  </w:style>
  <w:style w:type="paragraph" w:styleId="Paragrafoelenco">
    <w:name w:val="List Paragraph"/>
    <w:basedOn w:val="Normale"/>
    <w:uiPriority w:val="34"/>
    <w:qFormat/>
    <w:rsid w:val="00B0345F"/>
    <w:pPr>
      <w:ind w:left="720"/>
      <w:contextualSpacing/>
    </w:pPr>
  </w:style>
  <w:style w:type="paragraph" w:styleId="Testofumetto">
    <w:name w:val="Balloon Text"/>
    <w:basedOn w:val="Normale"/>
    <w:link w:val="TestofumettoCarattere"/>
    <w:uiPriority w:val="99"/>
    <w:semiHidden/>
    <w:unhideWhenUsed/>
    <w:rsid w:val="00B0345F"/>
    <w:rPr>
      <w:sz w:val="18"/>
      <w:szCs w:val="18"/>
    </w:rPr>
  </w:style>
  <w:style w:type="character" w:customStyle="1" w:styleId="TestofumettoCarattere">
    <w:name w:val="Testo fumetto Carattere"/>
    <w:basedOn w:val="Caratterepredefinitoparagrafo"/>
    <w:link w:val="Testofumetto"/>
    <w:uiPriority w:val="99"/>
    <w:semiHidden/>
    <w:rsid w:val="00B0345F"/>
    <w:rPr>
      <w:rFonts w:ascii="Times New Roman" w:eastAsia="Times New Roman" w:hAnsi="Times New Roman" w:cs="Times New Roman"/>
      <w:sz w:val="18"/>
      <w:szCs w:val="18"/>
    </w:rPr>
  </w:style>
  <w:style w:type="table" w:styleId="Grigliatabella">
    <w:name w:val="Table Grid"/>
    <w:basedOn w:val="Tabellanormale"/>
    <w:uiPriority w:val="59"/>
    <w:rsid w:val="00B03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e"/>
    <w:link w:val="EndNoteBibliographyZchn"/>
    <w:rsid w:val="00B0345F"/>
    <w:rPr>
      <w:noProof/>
    </w:rPr>
  </w:style>
  <w:style w:type="character" w:customStyle="1" w:styleId="EndNoteBibliographyZchn">
    <w:name w:val="EndNote Bibliography Zchn"/>
    <w:basedOn w:val="Caratterepredefinitoparagrafo"/>
    <w:link w:val="EndNoteBibliography"/>
    <w:rsid w:val="00B0345F"/>
    <w:rPr>
      <w:rFonts w:ascii="Times New Roman" w:eastAsia="Times New Roman" w:hAnsi="Times New Roman" w:cs="Times New Roman"/>
      <w:noProof/>
    </w:rPr>
  </w:style>
  <w:style w:type="paragraph" w:styleId="NormaleWeb">
    <w:name w:val="Normal (Web)"/>
    <w:basedOn w:val="Normale"/>
    <w:uiPriority w:val="99"/>
    <w:unhideWhenUsed/>
    <w:rsid w:val="00B0345F"/>
    <w:pPr>
      <w:spacing w:before="100" w:beforeAutospacing="1" w:after="100" w:afterAutospacing="1"/>
    </w:pPr>
    <w:rPr>
      <w:rFonts w:ascii="Times" w:eastAsiaTheme="minorEastAsia" w:hAnsi="Times"/>
      <w:sz w:val="20"/>
      <w:szCs w:val="20"/>
      <w:lang w:val="it-IT" w:eastAsia="it-IT"/>
    </w:rPr>
  </w:style>
  <w:style w:type="paragraph" w:styleId="Pidipagina">
    <w:name w:val="footer"/>
    <w:basedOn w:val="Normale"/>
    <w:link w:val="PidipaginaCarattere"/>
    <w:uiPriority w:val="99"/>
    <w:unhideWhenUsed/>
    <w:rsid w:val="00805E6A"/>
    <w:pPr>
      <w:tabs>
        <w:tab w:val="center" w:pos="4680"/>
        <w:tab w:val="right" w:pos="9360"/>
      </w:tabs>
    </w:pPr>
  </w:style>
  <w:style w:type="character" w:customStyle="1" w:styleId="PidipaginaCarattere">
    <w:name w:val="Piè di pagina Carattere"/>
    <w:basedOn w:val="Caratterepredefinitoparagrafo"/>
    <w:link w:val="Pidipagina"/>
    <w:uiPriority w:val="99"/>
    <w:rsid w:val="00805E6A"/>
    <w:rPr>
      <w:rFonts w:ascii="Times New Roman" w:eastAsia="Times New Roman" w:hAnsi="Times New Roman" w:cs="Times New Roman"/>
    </w:rPr>
  </w:style>
  <w:style w:type="character" w:styleId="Numeropagina">
    <w:name w:val="page number"/>
    <w:basedOn w:val="Caratterepredefinitoparagrafo"/>
    <w:uiPriority w:val="99"/>
    <w:semiHidden/>
    <w:unhideWhenUsed/>
    <w:rsid w:val="00805E6A"/>
  </w:style>
  <w:style w:type="paragraph" w:styleId="Soggettocommento">
    <w:name w:val="annotation subject"/>
    <w:basedOn w:val="Testocommento"/>
    <w:next w:val="Testocommento"/>
    <w:link w:val="SoggettocommentoCarattere"/>
    <w:uiPriority w:val="99"/>
    <w:semiHidden/>
    <w:unhideWhenUsed/>
    <w:rsid w:val="005D0E76"/>
    <w:rPr>
      <w:rFonts w:ascii="Times New Roman" w:eastAsia="Times New Roman" w:hAnsi="Times New Roman" w:cs="Times New Roman"/>
      <w:b/>
      <w:bCs/>
    </w:rPr>
  </w:style>
  <w:style w:type="character" w:customStyle="1" w:styleId="SoggettocommentoCarattere">
    <w:name w:val="Soggetto commento Carattere"/>
    <w:basedOn w:val="TestocommentoCarattere"/>
    <w:link w:val="Soggettocommento"/>
    <w:uiPriority w:val="99"/>
    <w:semiHidden/>
    <w:rsid w:val="005D0E76"/>
    <w:rPr>
      <w:rFonts w:ascii="Times New Roman" w:eastAsia="Times New Roman" w:hAnsi="Times New Roman" w:cs="Times New Roman"/>
      <w:b/>
      <w:bCs/>
      <w:sz w:val="20"/>
      <w:szCs w:val="20"/>
    </w:rPr>
  </w:style>
  <w:style w:type="paragraph" w:styleId="Testonotaapidipagina">
    <w:name w:val="footnote text"/>
    <w:basedOn w:val="Normale"/>
    <w:link w:val="TestonotaapidipaginaCarattere"/>
    <w:uiPriority w:val="99"/>
    <w:unhideWhenUsed/>
    <w:rsid w:val="00055849"/>
    <w:rPr>
      <w:sz w:val="20"/>
      <w:szCs w:val="20"/>
    </w:rPr>
  </w:style>
  <w:style w:type="character" w:customStyle="1" w:styleId="TestonotaapidipaginaCarattere">
    <w:name w:val="Testo nota a piè di pagina Carattere"/>
    <w:basedOn w:val="Caratterepredefinitoparagrafo"/>
    <w:link w:val="Testonotaapidipagina"/>
    <w:uiPriority w:val="99"/>
    <w:rsid w:val="00055849"/>
    <w:rPr>
      <w:rFonts w:ascii="Times New Roman" w:eastAsia="Times New Roman" w:hAnsi="Times New Roman" w:cs="Times New Roman"/>
      <w:sz w:val="20"/>
      <w:szCs w:val="20"/>
    </w:rPr>
  </w:style>
  <w:style w:type="character" w:styleId="Rimandonotaapidipagina">
    <w:name w:val="footnote reference"/>
    <w:basedOn w:val="Caratterepredefinitoparagrafo"/>
    <w:uiPriority w:val="99"/>
    <w:unhideWhenUsed/>
    <w:rsid w:val="00055849"/>
    <w:rPr>
      <w:vertAlign w:val="superscript"/>
    </w:rPr>
  </w:style>
  <w:style w:type="character" w:customStyle="1" w:styleId="apple-converted-space">
    <w:name w:val="apple-converted-space"/>
    <w:basedOn w:val="Caratterepredefinitoparagrafo"/>
    <w:rsid w:val="004E6828"/>
  </w:style>
  <w:style w:type="character" w:styleId="Collegamentovisitato">
    <w:name w:val="FollowedHyperlink"/>
    <w:basedOn w:val="Caratterepredefinitoparagrafo"/>
    <w:uiPriority w:val="99"/>
    <w:semiHidden/>
    <w:unhideWhenUsed/>
    <w:rsid w:val="006F2A37"/>
    <w:rPr>
      <w:color w:val="954F72" w:themeColor="followedHyperlink"/>
      <w:u w:val="single"/>
    </w:rPr>
  </w:style>
  <w:style w:type="paragraph" w:styleId="Revisione">
    <w:name w:val="Revision"/>
    <w:hidden/>
    <w:uiPriority w:val="99"/>
    <w:semiHidden/>
    <w:rsid w:val="006570F0"/>
    <w:rPr>
      <w:rFonts w:ascii="Times New Roman" w:eastAsia="Times New Roman" w:hAnsi="Times New Roman" w:cs="Times New Roman"/>
    </w:rPr>
  </w:style>
  <w:style w:type="character" w:styleId="Testosegnaposto">
    <w:name w:val="Placeholder Text"/>
    <w:basedOn w:val="Caratterepredefinitoparagrafo"/>
    <w:uiPriority w:val="99"/>
    <w:semiHidden/>
    <w:rsid w:val="00957E6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2330"/>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atterepredefinitoparagrafo"/>
    <w:uiPriority w:val="99"/>
    <w:semiHidden/>
    <w:unhideWhenUsed/>
    <w:rsid w:val="00B0345F"/>
    <w:rPr>
      <w:sz w:val="16"/>
      <w:szCs w:val="16"/>
    </w:rPr>
  </w:style>
  <w:style w:type="paragraph" w:styleId="Testocommento">
    <w:name w:val="annotation text"/>
    <w:basedOn w:val="Normale"/>
    <w:link w:val="TestocommentoCarattere"/>
    <w:uiPriority w:val="99"/>
    <w:unhideWhenUsed/>
    <w:rsid w:val="00B0345F"/>
    <w:rPr>
      <w:rFonts w:asciiTheme="minorHAnsi" w:eastAsiaTheme="minorHAnsi" w:hAnsiTheme="minorHAnsi" w:cstheme="minorBidi"/>
      <w:sz w:val="20"/>
      <w:szCs w:val="20"/>
    </w:rPr>
  </w:style>
  <w:style w:type="character" w:customStyle="1" w:styleId="TestocommentoCarattere">
    <w:name w:val="Testo commento Carattere"/>
    <w:basedOn w:val="Caratterepredefinitoparagrafo"/>
    <w:link w:val="Testocommento"/>
    <w:uiPriority w:val="99"/>
    <w:rsid w:val="00B0345F"/>
    <w:rPr>
      <w:sz w:val="20"/>
      <w:szCs w:val="20"/>
    </w:rPr>
  </w:style>
  <w:style w:type="character" w:styleId="Collegamentoipertestuale">
    <w:name w:val="Hyperlink"/>
    <w:basedOn w:val="Caratterepredefinitoparagrafo"/>
    <w:uiPriority w:val="99"/>
    <w:unhideWhenUsed/>
    <w:rsid w:val="00B0345F"/>
    <w:rPr>
      <w:color w:val="0000FF"/>
      <w:u w:val="single"/>
    </w:rPr>
  </w:style>
  <w:style w:type="character" w:customStyle="1" w:styleId="ref-journal">
    <w:name w:val="ref-journal"/>
    <w:basedOn w:val="Caratterepredefinitoparagrafo"/>
    <w:rsid w:val="00B0345F"/>
  </w:style>
  <w:style w:type="character" w:customStyle="1" w:styleId="ref-vol">
    <w:name w:val="ref-vol"/>
    <w:basedOn w:val="Caratterepredefinitoparagrafo"/>
    <w:rsid w:val="00B0345F"/>
  </w:style>
  <w:style w:type="paragraph" w:styleId="Paragrafoelenco">
    <w:name w:val="List Paragraph"/>
    <w:basedOn w:val="Normale"/>
    <w:uiPriority w:val="34"/>
    <w:qFormat/>
    <w:rsid w:val="00B0345F"/>
    <w:pPr>
      <w:ind w:left="720"/>
      <w:contextualSpacing/>
    </w:pPr>
  </w:style>
  <w:style w:type="paragraph" w:styleId="Testofumetto">
    <w:name w:val="Balloon Text"/>
    <w:basedOn w:val="Normale"/>
    <w:link w:val="TestofumettoCarattere"/>
    <w:uiPriority w:val="99"/>
    <w:semiHidden/>
    <w:unhideWhenUsed/>
    <w:rsid w:val="00B0345F"/>
    <w:rPr>
      <w:sz w:val="18"/>
      <w:szCs w:val="18"/>
    </w:rPr>
  </w:style>
  <w:style w:type="character" w:customStyle="1" w:styleId="TestofumettoCarattere">
    <w:name w:val="Testo fumetto Carattere"/>
    <w:basedOn w:val="Caratterepredefinitoparagrafo"/>
    <w:link w:val="Testofumetto"/>
    <w:uiPriority w:val="99"/>
    <w:semiHidden/>
    <w:rsid w:val="00B0345F"/>
    <w:rPr>
      <w:rFonts w:ascii="Times New Roman" w:eastAsia="Times New Roman" w:hAnsi="Times New Roman" w:cs="Times New Roman"/>
      <w:sz w:val="18"/>
      <w:szCs w:val="18"/>
    </w:rPr>
  </w:style>
  <w:style w:type="table" w:styleId="Grigliatabella">
    <w:name w:val="Table Grid"/>
    <w:basedOn w:val="Tabellanormale"/>
    <w:uiPriority w:val="59"/>
    <w:rsid w:val="00B03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e"/>
    <w:link w:val="EndNoteBibliographyZchn"/>
    <w:rsid w:val="00B0345F"/>
    <w:rPr>
      <w:noProof/>
    </w:rPr>
  </w:style>
  <w:style w:type="character" w:customStyle="1" w:styleId="EndNoteBibliographyZchn">
    <w:name w:val="EndNote Bibliography Zchn"/>
    <w:basedOn w:val="Caratterepredefinitoparagrafo"/>
    <w:link w:val="EndNoteBibliography"/>
    <w:rsid w:val="00B0345F"/>
    <w:rPr>
      <w:rFonts w:ascii="Times New Roman" w:eastAsia="Times New Roman" w:hAnsi="Times New Roman" w:cs="Times New Roman"/>
      <w:noProof/>
    </w:rPr>
  </w:style>
  <w:style w:type="paragraph" w:styleId="NormaleWeb">
    <w:name w:val="Normal (Web)"/>
    <w:basedOn w:val="Normale"/>
    <w:uiPriority w:val="99"/>
    <w:unhideWhenUsed/>
    <w:rsid w:val="00B0345F"/>
    <w:pPr>
      <w:spacing w:before="100" w:beforeAutospacing="1" w:after="100" w:afterAutospacing="1"/>
    </w:pPr>
    <w:rPr>
      <w:rFonts w:ascii="Times" w:eastAsiaTheme="minorEastAsia" w:hAnsi="Times"/>
      <w:sz w:val="20"/>
      <w:szCs w:val="20"/>
      <w:lang w:val="it-IT" w:eastAsia="it-IT"/>
    </w:rPr>
  </w:style>
  <w:style w:type="paragraph" w:styleId="Pidipagina">
    <w:name w:val="footer"/>
    <w:basedOn w:val="Normale"/>
    <w:link w:val="PidipaginaCarattere"/>
    <w:uiPriority w:val="99"/>
    <w:unhideWhenUsed/>
    <w:rsid w:val="00805E6A"/>
    <w:pPr>
      <w:tabs>
        <w:tab w:val="center" w:pos="4680"/>
        <w:tab w:val="right" w:pos="9360"/>
      </w:tabs>
    </w:pPr>
  </w:style>
  <w:style w:type="character" w:customStyle="1" w:styleId="PidipaginaCarattere">
    <w:name w:val="Piè di pagina Carattere"/>
    <w:basedOn w:val="Caratterepredefinitoparagrafo"/>
    <w:link w:val="Pidipagina"/>
    <w:uiPriority w:val="99"/>
    <w:rsid w:val="00805E6A"/>
    <w:rPr>
      <w:rFonts w:ascii="Times New Roman" w:eastAsia="Times New Roman" w:hAnsi="Times New Roman" w:cs="Times New Roman"/>
    </w:rPr>
  </w:style>
  <w:style w:type="character" w:styleId="Numeropagina">
    <w:name w:val="page number"/>
    <w:basedOn w:val="Caratterepredefinitoparagrafo"/>
    <w:uiPriority w:val="99"/>
    <w:semiHidden/>
    <w:unhideWhenUsed/>
    <w:rsid w:val="00805E6A"/>
  </w:style>
  <w:style w:type="paragraph" w:styleId="Soggettocommento">
    <w:name w:val="annotation subject"/>
    <w:basedOn w:val="Testocommento"/>
    <w:next w:val="Testocommento"/>
    <w:link w:val="SoggettocommentoCarattere"/>
    <w:uiPriority w:val="99"/>
    <w:semiHidden/>
    <w:unhideWhenUsed/>
    <w:rsid w:val="005D0E76"/>
    <w:rPr>
      <w:rFonts w:ascii="Times New Roman" w:eastAsia="Times New Roman" w:hAnsi="Times New Roman" w:cs="Times New Roman"/>
      <w:b/>
      <w:bCs/>
    </w:rPr>
  </w:style>
  <w:style w:type="character" w:customStyle="1" w:styleId="SoggettocommentoCarattere">
    <w:name w:val="Soggetto commento Carattere"/>
    <w:basedOn w:val="TestocommentoCarattere"/>
    <w:link w:val="Soggettocommento"/>
    <w:uiPriority w:val="99"/>
    <w:semiHidden/>
    <w:rsid w:val="005D0E76"/>
    <w:rPr>
      <w:rFonts w:ascii="Times New Roman" w:eastAsia="Times New Roman" w:hAnsi="Times New Roman" w:cs="Times New Roman"/>
      <w:b/>
      <w:bCs/>
      <w:sz w:val="20"/>
      <w:szCs w:val="20"/>
    </w:rPr>
  </w:style>
  <w:style w:type="paragraph" w:styleId="Testonotaapidipagina">
    <w:name w:val="footnote text"/>
    <w:basedOn w:val="Normale"/>
    <w:link w:val="TestonotaapidipaginaCarattere"/>
    <w:uiPriority w:val="99"/>
    <w:unhideWhenUsed/>
    <w:rsid w:val="00055849"/>
    <w:rPr>
      <w:sz w:val="20"/>
      <w:szCs w:val="20"/>
    </w:rPr>
  </w:style>
  <w:style w:type="character" w:customStyle="1" w:styleId="TestonotaapidipaginaCarattere">
    <w:name w:val="Testo nota a piè di pagina Carattere"/>
    <w:basedOn w:val="Caratterepredefinitoparagrafo"/>
    <w:link w:val="Testonotaapidipagina"/>
    <w:uiPriority w:val="99"/>
    <w:rsid w:val="00055849"/>
    <w:rPr>
      <w:rFonts w:ascii="Times New Roman" w:eastAsia="Times New Roman" w:hAnsi="Times New Roman" w:cs="Times New Roman"/>
      <w:sz w:val="20"/>
      <w:szCs w:val="20"/>
    </w:rPr>
  </w:style>
  <w:style w:type="character" w:styleId="Rimandonotaapidipagina">
    <w:name w:val="footnote reference"/>
    <w:basedOn w:val="Caratterepredefinitoparagrafo"/>
    <w:uiPriority w:val="99"/>
    <w:unhideWhenUsed/>
    <w:rsid w:val="00055849"/>
    <w:rPr>
      <w:vertAlign w:val="superscript"/>
    </w:rPr>
  </w:style>
  <w:style w:type="character" w:customStyle="1" w:styleId="apple-converted-space">
    <w:name w:val="apple-converted-space"/>
    <w:basedOn w:val="Caratterepredefinitoparagrafo"/>
    <w:rsid w:val="004E6828"/>
  </w:style>
  <w:style w:type="character" w:styleId="Collegamentovisitato">
    <w:name w:val="FollowedHyperlink"/>
    <w:basedOn w:val="Caratterepredefinitoparagrafo"/>
    <w:uiPriority w:val="99"/>
    <w:semiHidden/>
    <w:unhideWhenUsed/>
    <w:rsid w:val="006F2A37"/>
    <w:rPr>
      <w:color w:val="954F72" w:themeColor="followedHyperlink"/>
      <w:u w:val="single"/>
    </w:rPr>
  </w:style>
  <w:style w:type="paragraph" w:styleId="Revisione">
    <w:name w:val="Revision"/>
    <w:hidden/>
    <w:uiPriority w:val="99"/>
    <w:semiHidden/>
    <w:rsid w:val="006570F0"/>
    <w:rPr>
      <w:rFonts w:ascii="Times New Roman" w:eastAsia="Times New Roman" w:hAnsi="Times New Roman" w:cs="Times New Roman"/>
    </w:rPr>
  </w:style>
  <w:style w:type="character" w:styleId="Testosegnaposto">
    <w:name w:val="Placeholder Text"/>
    <w:basedOn w:val="Caratterepredefinitoparagrafo"/>
    <w:uiPriority w:val="99"/>
    <w:semiHidden/>
    <w:rsid w:val="00957E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8781">
      <w:bodyDiv w:val="1"/>
      <w:marLeft w:val="0"/>
      <w:marRight w:val="0"/>
      <w:marTop w:val="0"/>
      <w:marBottom w:val="0"/>
      <w:divBdr>
        <w:top w:val="none" w:sz="0" w:space="0" w:color="auto"/>
        <w:left w:val="none" w:sz="0" w:space="0" w:color="auto"/>
        <w:bottom w:val="none" w:sz="0" w:space="0" w:color="auto"/>
        <w:right w:val="none" w:sz="0" w:space="0" w:color="auto"/>
      </w:divBdr>
    </w:div>
    <w:div w:id="229998460">
      <w:bodyDiv w:val="1"/>
      <w:marLeft w:val="0"/>
      <w:marRight w:val="0"/>
      <w:marTop w:val="0"/>
      <w:marBottom w:val="0"/>
      <w:divBdr>
        <w:top w:val="none" w:sz="0" w:space="0" w:color="auto"/>
        <w:left w:val="none" w:sz="0" w:space="0" w:color="auto"/>
        <w:bottom w:val="none" w:sz="0" w:space="0" w:color="auto"/>
        <w:right w:val="none" w:sz="0" w:space="0" w:color="auto"/>
      </w:divBdr>
    </w:div>
    <w:div w:id="341785571">
      <w:bodyDiv w:val="1"/>
      <w:marLeft w:val="0"/>
      <w:marRight w:val="0"/>
      <w:marTop w:val="0"/>
      <w:marBottom w:val="0"/>
      <w:divBdr>
        <w:top w:val="none" w:sz="0" w:space="0" w:color="auto"/>
        <w:left w:val="none" w:sz="0" w:space="0" w:color="auto"/>
        <w:bottom w:val="none" w:sz="0" w:space="0" w:color="auto"/>
        <w:right w:val="none" w:sz="0" w:space="0" w:color="auto"/>
      </w:divBdr>
    </w:div>
    <w:div w:id="396787704">
      <w:bodyDiv w:val="1"/>
      <w:marLeft w:val="0"/>
      <w:marRight w:val="0"/>
      <w:marTop w:val="0"/>
      <w:marBottom w:val="0"/>
      <w:divBdr>
        <w:top w:val="none" w:sz="0" w:space="0" w:color="auto"/>
        <w:left w:val="none" w:sz="0" w:space="0" w:color="auto"/>
        <w:bottom w:val="none" w:sz="0" w:space="0" w:color="auto"/>
        <w:right w:val="none" w:sz="0" w:space="0" w:color="auto"/>
      </w:divBdr>
    </w:div>
    <w:div w:id="469398844">
      <w:bodyDiv w:val="1"/>
      <w:marLeft w:val="0"/>
      <w:marRight w:val="0"/>
      <w:marTop w:val="0"/>
      <w:marBottom w:val="0"/>
      <w:divBdr>
        <w:top w:val="none" w:sz="0" w:space="0" w:color="auto"/>
        <w:left w:val="none" w:sz="0" w:space="0" w:color="auto"/>
        <w:bottom w:val="none" w:sz="0" w:space="0" w:color="auto"/>
        <w:right w:val="none" w:sz="0" w:space="0" w:color="auto"/>
      </w:divBdr>
    </w:div>
    <w:div w:id="588317956">
      <w:bodyDiv w:val="1"/>
      <w:marLeft w:val="0"/>
      <w:marRight w:val="0"/>
      <w:marTop w:val="0"/>
      <w:marBottom w:val="0"/>
      <w:divBdr>
        <w:top w:val="none" w:sz="0" w:space="0" w:color="auto"/>
        <w:left w:val="none" w:sz="0" w:space="0" w:color="auto"/>
        <w:bottom w:val="none" w:sz="0" w:space="0" w:color="auto"/>
        <w:right w:val="none" w:sz="0" w:space="0" w:color="auto"/>
      </w:divBdr>
    </w:div>
    <w:div w:id="763960208">
      <w:bodyDiv w:val="1"/>
      <w:marLeft w:val="0"/>
      <w:marRight w:val="0"/>
      <w:marTop w:val="0"/>
      <w:marBottom w:val="0"/>
      <w:divBdr>
        <w:top w:val="none" w:sz="0" w:space="0" w:color="auto"/>
        <w:left w:val="none" w:sz="0" w:space="0" w:color="auto"/>
        <w:bottom w:val="none" w:sz="0" w:space="0" w:color="auto"/>
        <w:right w:val="none" w:sz="0" w:space="0" w:color="auto"/>
      </w:divBdr>
    </w:div>
    <w:div w:id="772633636">
      <w:bodyDiv w:val="1"/>
      <w:marLeft w:val="0"/>
      <w:marRight w:val="0"/>
      <w:marTop w:val="0"/>
      <w:marBottom w:val="0"/>
      <w:divBdr>
        <w:top w:val="none" w:sz="0" w:space="0" w:color="auto"/>
        <w:left w:val="none" w:sz="0" w:space="0" w:color="auto"/>
        <w:bottom w:val="none" w:sz="0" w:space="0" w:color="auto"/>
        <w:right w:val="none" w:sz="0" w:space="0" w:color="auto"/>
      </w:divBdr>
    </w:div>
    <w:div w:id="795368460">
      <w:bodyDiv w:val="1"/>
      <w:marLeft w:val="0"/>
      <w:marRight w:val="0"/>
      <w:marTop w:val="0"/>
      <w:marBottom w:val="0"/>
      <w:divBdr>
        <w:top w:val="none" w:sz="0" w:space="0" w:color="auto"/>
        <w:left w:val="none" w:sz="0" w:space="0" w:color="auto"/>
        <w:bottom w:val="none" w:sz="0" w:space="0" w:color="auto"/>
        <w:right w:val="none" w:sz="0" w:space="0" w:color="auto"/>
      </w:divBdr>
    </w:div>
    <w:div w:id="937372686">
      <w:bodyDiv w:val="1"/>
      <w:marLeft w:val="0"/>
      <w:marRight w:val="0"/>
      <w:marTop w:val="0"/>
      <w:marBottom w:val="0"/>
      <w:divBdr>
        <w:top w:val="none" w:sz="0" w:space="0" w:color="auto"/>
        <w:left w:val="none" w:sz="0" w:space="0" w:color="auto"/>
        <w:bottom w:val="none" w:sz="0" w:space="0" w:color="auto"/>
        <w:right w:val="none" w:sz="0" w:space="0" w:color="auto"/>
      </w:divBdr>
    </w:div>
    <w:div w:id="954360832">
      <w:bodyDiv w:val="1"/>
      <w:marLeft w:val="0"/>
      <w:marRight w:val="0"/>
      <w:marTop w:val="0"/>
      <w:marBottom w:val="0"/>
      <w:divBdr>
        <w:top w:val="none" w:sz="0" w:space="0" w:color="auto"/>
        <w:left w:val="none" w:sz="0" w:space="0" w:color="auto"/>
        <w:bottom w:val="none" w:sz="0" w:space="0" w:color="auto"/>
        <w:right w:val="none" w:sz="0" w:space="0" w:color="auto"/>
      </w:divBdr>
    </w:div>
    <w:div w:id="1154183780">
      <w:bodyDiv w:val="1"/>
      <w:marLeft w:val="0"/>
      <w:marRight w:val="0"/>
      <w:marTop w:val="0"/>
      <w:marBottom w:val="0"/>
      <w:divBdr>
        <w:top w:val="none" w:sz="0" w:space="0" w:color="auto"/>
        <w:left w:val="none" w:sz="0" w:space="0" w:color="auto"/>
        <w:bottom w:val="none" w:sz="0" w:space="0" w:color="auto"/>
        <w:right w:val="none" w:sz="0" w:space="0" w:color="auto"/>
      </w:divBdr>
    </w:div>
    <w:div w:id="1327245386">
      <w:bodyDiv w:val="1"/>
      <w:marLeft w:val="0"/>
      <w:marRight w:val="0"/>
      <w:marTop w:val="0"/>
      <w:marBottom w:val="0"/>
      <w:divBdr>
        <w:top w:val="none" w:sz="0" w:space="0" w:color="auto"/>
        <w:left w:val="none" w:sz="0" w:space="0" w:color="auto"/>
        <w:bottom w:val="none" w:sz="0" w:space="0" w:color="auto"/>
        <w:right w:val="none" w:sz="0" w:space="0" w:color="auto"/>
      </w:divBdr>
    </w:div>
    <w:div w:id="1488861616">
      <w:bodyDiv w:val="1"/>
      <w:marLeft w:val="0"/>
      <w:marRight w:val="0"/>
      <w:marTop w:val="0"/>
      <w:marBottom w:val="0"/>
      <w:divBdr>
        <w:top w:val="none" w:sz="0" w:space="0" w:color="auto"/>
        <w:left w:val="none" w:sz="0" w:space="0" w:color="auto"/>
        <w:bottom w:val="none" w:sz="0" w:space="0" w:color="auto"/>
        <w:right w:val="none" w:sz="0" w:space="0" w:color="auto"/>
      </w:divBdr>
    </w:div>
    <w:div w:id="1490557018">
      <w:bodyDiv w:val="1"/>
      <w:marLeft w:val="0"/>
      <w:marRight w:val="0"/>
      <w:marTop w:val="0"/>
      <w:marBottom w:val="0"/>
      <w:divBdr>
        <w:top w:val="none" w:sz="0" w:space="0" w:color="auto"/>
        <w:left w:val="none" w:sz="0" w:space="0" w:color="auto"/>
        <w:bottom w:val="none" w:sz="0" w:space="0" w:color="auto"/>
        <w:right w:val="none" w:sz="0" w:space="0" w:color="auto"/>
      </w:divBdr>
    </w:div>
    <w:div w:id="1693262153">
      <w:bodyDiv w:val="1"/>
      <w:marLeft w:val="0"/>
      <w:marRight w:val="0"/>
      <w:marTop w:val="0"/>
      <w:marBottom w:val="0"/>
      <w:divBdr>
        <w:top w:val="none" w:sz="0" w:space="0" w:color="auto"/>
        <w:left w:val="none" w:sz="0" w:space="0" w:color="auto"/>
        <w:bottom w:val="none" w:sz="0" w:space="0" w:color="auto"/>
        <w:right w:val="none" w:sz="0" w:space="0" w:color="auto"/>
      </w:divBdr>
    </w:div>
    <w:div w:id="1849563403">
      <w:bodyDiv w:val="1"/>
      <w:marLeft w:val="0"/>
      <w:marRight w:val="0"/>
      <w:marTop w:val="0"/>
      <w:marBottom w:val="0"/>
      <w:divBdr>
        <w:top w:val="none" w:sz="0" w:space="0" w:color="auto"/>
        <w:left w:val="none" w:sz="0" w:space="0" w:color="auto"/>
        <w:bottom w:val="none" w:sz="0" w:space="0" w:color="auto"/>
        <w:right w:val="none" w:sz="0" w:space="0" w:color="auto"/>
      </w:divBdr>
    </w:div>
    <w:div w:id="1866208409">
      <w:bodyDiv w:val="1"/>
      <w:marLeft w:val="0"/>
      <w:marRight w:val="0"/>
      <w:marTop w:val="0"/>
      <w:marBottom w:val="0"/>
      <w:divBdr>
        <w:top w:val="none" w:sz="0" w:space="0" w:color="auto"/>
        <w:left w:val="none" w:sz="0" w:space="0" w:color="auto"/>
        <w:bottom w:val="none" w:sz="0" w:space="0" w:color="auto"/>
        <w:right w:val="none" w:sz="0" w:space="0" w:color="auto"/>
      </w:divBdr>
    </w:div>
    <w:div w:id="2067870210">
      <w:bodyDiv w:val="1"/>
      <w:marLeft w:val="0"/>
      <w:marRight w:val="0"/>
      <w:marTop w:val="0"/>
      <w:marBottom w:val="0"/>
      <w:divBdr>
        <w:top w:val="none" w:sz="0" w:space="0" w:color="auto"/>
        <w:left w:val="none" w:sz="0" w:space="0" w:color="auto"/>
        <w:bottom w:val="none" w:sz="0" w:space="0" w:color="auto"/>
        <w:right w:val="none" w:sz="0" w:space="0" w:color="auto"/>
      </w:divBdr>
    </w:div>
    <w:div w:id="2096127662">
      <w:bodyDiv w:val="1"/>
      <w:marLeft w:val="0"/>
      <w:marRight w:val="0"/>
      <w:marTop w:val="0"/>
      <w:marBottom w:val="0"/>
      <w:divBdr>
        <w:top w:val="none" w:sz="0" w:space="0" w:color="auto"/>
        <w:left w:val="none" w:sz="0" w:space="0" w:color="auto"/>
        <w:bottom w:val="none" w:sz="0" w:space="0" w:color="auto"/>
        <w:right w:val="none" w:sz="0" w:space="0" w:color="auto"/>
      </w:divBdr>
    </w:div>
    <w:div w:id="21401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6" Type="http://schemas.microsoft.com/office/2018/08/relationships/commentsExtensible" Target="commentsExtensible.xml"/><Relationship Id="rId18" Type="http://schemas.microsoft.com/office/2011/relationships/people" Target="people.xml"/><Relationship Id="rId19" Type="http://schemas.microsoft.com/office/2011/relationships/commentsExtended" Target="commentsExtended.xml"/><Relationship Id="rId20"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BBA47-1B75-F542-910C-853188C0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4755</Words>
  <Characters>27108</Characters>
  <Application>Microsoft Macintosh Word</Application>
  <DocSecurity>0</DocSecurity>
  <Lines>225</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Ojeda</dc:creator>
  <cp:keywords/>
  <dc:description/>
  <cp:lastModifiedBy>Luca Bernardi</cp:lastModifiedBy>
  <cp:revision>2</cp:revision>
  <dcterms:created xsi:type="dcterms:W3CDTF">2023-02-11T17:24:00Z</dcterms:created>
  <dcterms:modified xsi:type="dcterms:W3CDTF">2023-02-11T17:24:00Z</dcterms:modified>
</cp:coreProperties>
</file>