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8CEAC5" w14:textId="57178E8F" w:rsidR="00FF5C59" w:rsidRDefault="00760285" w:rsidP="00E26551">
      <w:pPr>
        <w:spacing w:after="0" w:line="480" w:lineRule="auto"/>
        <w:jc w:val="both"/>
        <w:rPr>
          <w:rFonts w:ascii="Times New Roman" w:eastAsia="Arial" w:hAnsi="Times New Roman" w:cs="Times New Roman"/>
          <w:b/>
          <w:sz w:val="36"/>
          <w:szCs w:val="36"/>
        </w:rPr>
      </w:pPr>
      <w:r w:rsidRPr="00465B3E">
        <w:rPr>
          <w:rFonts w:ascii="Times New Roman" w:eastAsia="Arial" w:hAnsi="Times New Roman" w:cs="Times New Roman"/>
          <w:b/>
          <w:sz w:val="36"/>
          <w:szCs w:val="36"/>
        </w:rPr>
        <w:t xml:space="preserve">Inclination </w:t>
      </w:r>
      <w:r w:rsidR="002B63E6" w:rsidRPr="00465B3E">
        <w:rPr>
          <w:rFonts w:ascii="Times New Roman" w:eastAsia="Arial" w:hAnsi="Times New Roman" w:cs="Times New Roman"/>
          <w:b/>
          <w:sz w:val="36"/>
          <w:szCs w:val="36"/>
        </w:rPr>
        <w:t xml:space="preserve">and heterogeneity </w:t>
      </w:r>
      <w:r w:rsidRPr="00465B3E">
        <w:rPr>
          <w:rFonts w:ascii="Times New Roman" w:eastAsia="Arial" w:hAnsi="Times New Roman" w:cs="Times New Roman"/>
          <w:b/>
          <w:sz w:val="36"/>
          <w:szCs w:val="36"/>
        </w:rPr>
        <w:t>of</w:t>
      </w:r>
      <w:r w:rsidR="008E761B" w:rsidRPr="00465B3E">
        <w:rPr>
          <w:rFonts w:ascii="Times New Roman" w:eastAsia="Arial" w:hAnsi="Times New Roman" w:cs="Times New Roman"/>
          <w:b/>
          <w:sz w:val="36"/>
          <w:szCs w:val="36"/>
        </w:rPr>
        <w:t xml:space="preserve"> l</w:t>
      </w:r>
      <w:r w:rsidRPr="00465B3E">
        <w:rPr>
          <w:rFonts w:ascii="Times New Roman" w:eastAsia="Arial" w:hAnsi="Times New Roman" w:cs="Times New Roman"/>
          <w:b/>
          <w:sz w:val="36"/>
          <w:szCs w:val="36"/>
        </w:rPr>
        <w:t>ayered</w:t>
      </w:r>
      <w:r w:rsidR="008E761B" w:rsidRPr="00465B3E">
        <w:rPr>
          <w:rFonts w:ascii="Times New Roman" w:eastAsia="Arial" w:hAnsi="Times New Roman" w:cs="Times New Roman"/>
          <w:b/>
          <w:sz w:val="36"/>
          <w:szCs w:val="36"/>
        </w:rPr>
        <w:t xml:space="preserve"> </w:t>
      </w:r>
      <w:r w:rsidRPr="00465B3E">
        <w:rPr>
          <w:rFonts w:ascii="Times New Roman" w:eastAsia="Arial" w:hAnsi="Times New Roman" w:cs="Times New Roman"/>
          <w:b/>
          <w:sz w:val="36"/>
          <w:szCs w:val="36"/>
        </w:rPr>
        <w:t xml:space="preserve">geological sequences influence dike-induced ground </w:t>
      </w:r>
      <w:r w:rsidR="00532761" w:rsidRPr="00465B3E">
        <w:rPr>
          <w:rFonts w:ascii="Times New Roman" w:eastAsia="Arial" w:hAnsi="Times New Roman" w:cs="Times New Roman"/>
          <w:b/>
          <w:sz w:val="36"/>
          <w:szCs w:val="36"/>
        </w:rPr>
        <w:t>deformation.</w:t>
      </w:r>
    </w:p>
    <w:p w14:paraId="6DC3F0DE" w14:textId="77777777" w:rsidR="00532761" w:rsidRPr="00465B3E" w:rsidRDefault="00532761" w:rsidP="00E26551">
      <w:pPr>
        <w:spacing w:after="0" w:line="480" w:lineRule="auto"/>
        <w:jc w:val="both"/>
        <w:rPr>
          <w:rFonts w:ascii="Times New Roman" w:eastAsia="Arial" w:hAnsi="Times New Roman" w:cs="Times New Roman"/>
          <w:b/>
          <w:sz w:val="36"/>
          <w:szCs w:val="36"/>
        </w:rPr>
      </w:pPr>
    </w:p>
    <w:p w14:paraId="3569A40F" w14:textId="10C168CA" w:rsidR="00DB479F" w:rsidRDefault="00DB479F" w:rsidP="00DB479F">
      <w:pPr>
        <w:spacing w:after="0" w:line="480" w:lineRule="auto"/>
        <w:jc w:val="both"/>
        <w:rPr>
          <w:rFonts w:ascii="Times New Roman" w:eastAsia="Arial" w:hAnsi="Times New Roman" w:cs="Times New Roman"/>
          <w:b/>
          <w:bCs/>
          <w:sz w:val="24"/>
          <w:szCs w:val="24"/>
          <w:vertAlign w:val="superscript"/>
        </w:rPr>
      </w:pPr>
      <w:r w:rsidRPr="00DB479F">
        <w:rPr>
          <w:rFonts w:ascii="Times New Roman" w:eastAsia="Arial" w:hAnsi="Times New Roman" w:cs="Times New Roman"/>
          <w:b/>
          <w:bCs/>
          <w:sz w:val="24"/>
          <w:szCs w:val="24"/>
        </w:rPr>
        <w:t>Matías Clunes</w:t>
      </w:r>
      <w:r w:rsidRPr="00DB479F">
        <w:rPr>
          <w:rFonts w:ascii="Times New Roman" w:eastAsia="Arial" w:hAnsi="Times New Roman" w:cs="Times New Roman"/>
          <w:b/>
          <w:bCs/>
          <w:sz w:val="24"/>
          <w:szCs w:val="24"/>
          <w:vertAlign w:val="superscript"/>
        </w:rPr>
        <w:t>1</w:t>
      </w:r>
      <w:r w:rsidRPr="00DB479F">
        <w:rPr>
          <w:rFonts w:ascii="Times New Roman" w:eastAsia="Arial" w:hAnsi="Times New Roman" w:cs="Times New Roman"/>
          <w:b/>
          <w:bCs/>
          <w:sz w:val="24"/>
          <w:szCs w:val="24"/>
        </w:rPr>
        <w:t>, John Browning</w:t>
      </w:r>
      <w:r w:rsidRPr="00DB479F">
        <w:rPr>
          <w:rFonts w:ascii="Times New Roman" w:eastAsia="Arial" w:hAnsi="Times New Roman" w:cs="Times New Roman"/>
          <w:b/>
          <w:bCs/>
          <w:sz w:val="24"/>
          <w:szCs w:val="24"/>
          <w:vertAlign w:val="superscript"/>
        </w:rPr>
        <w:t>1</w:t>
      </w:r>
      <w:r w:rsidRPr="00DB479F">
        <w:rPr>
          <w:rFonts w:ascii="Times New Roman" w:eastAsia="Arial" w:hAnsi="Times New Roman" w:cs="Times New Roman"/>
          <w:b/>
          <w:bCs/>
          <w:sz w:val="24"/>
          <w:szCs w:val="24"/>
        </w:rPr>
        <w:t>, Carlos Marquardt</w:t>
      </w:r>
      <w:r w:rsidRPr="00DB479F">
        <w:rPr>
          <w:rFonts w:ascii="Times New Roman" w:eastAsia="Arial" w:hAnsi="Times New Roman" w:cs="Times New Roman"/>
          <w:b/>
          <w:bCs/>
          <w:sz w:val="24"/>
          <w:szCs w:val="24"/>
          <w:vertAlign w:val="superscript"/>
        </w:rPr>
        <w:t>1</w:t>
      </w:r>
      <w:r w:rsidRPr="00DB479F">
        <w:rPr>
          <w:rFonts w:ascii="Times New Roman" w:eastAsia="Arial" w:hAnsi="Times New Roman" w:cs="Times New Roman"/>
          <w:b/>
          <w:bCs/>
          <w:sz w:val="24"/>
          <w:szCs w:val="24"/>
        </w:rPr>
        <w:t>, Jorge Cortez</w:t>
      </w:r>
      <w:r w:rsidRPr="00DB479F">
        <w:rPr>
          <w:rFonts w:ascii="Times New Roman" w:eastAsia="Arial" w:hAnsi="Times New Roman" w:cs="Times New Roman"/>
          <w:b/>
          <w:bCs/>
          <w:sz w:val="24"/>
          <w:szCs w:val="24"/>
          <w:vertAlign w:val="superscript"/>
        </w:rPr>
        <w:t>1</w:t>
      </w:r>
      <w:r w:rsidRPr="00DB479F">
        <w:rPr>
          <w:rFonts w:ascii="Times New Roman" w:eastAsia="Arial" w:hAnsi="Times New Roman" w:cs="Times New Roman"/>
          <w:b/>
          <w:bCs/>
          <w:sz w:val="24"/>
          <w:szCs w:val="24"/>
        </w:rPr>
        <w:t>, Kyriaki Drymoni</w:t>
      </w:r>
      <w:r w:rsidRPr="00DB479F">
        <w:rPr>
          <w:rFonts w:ascii="Times New Roman" w:eastAsia="Arial" w:hAnsi="Times New Roman" w:cs="Times New Roman"/>
          <w:b/>
          <w:bCs/>
          <w:sz w:val="24"/>
          <w:szCs w:val="24"/>
          <w:vertAlign w:val="superscript"/>
        </w:rPr>
        <w:t>2</w:t>
      </w:r>
      <w:r w:rsidRPr="00DB479F">
        <w:rPr>
          <w:rFonts w:ascii="Times New Roman" w:eastAsia="Arial" w:hAnsi="Times New Roman" w:cs="Times New Roman"/>
          <w:b/>
          <w:bCs/>
          <w:sz w:val="24"/>
          <w:szCs w:val="24"/>
        </w:rPr>
        <w:t xml:space="preserve"> and Janine Kavanagh</w:t>
      </w:r>
      <w:r w:rsidRPr="00DB479F">
        <w:rPr>
          <w:rFonts w:ascii="Times New Roman" w:eastAsia="Arial" w:hAnsi="Times New Roman" w:cs="Times New Roman"/>
          <w:b/>
          <w:bCs/>
          <w:sz w:val="24"/>
          <w:szCs w:val="24"/>
          <w:vertAlign w:val="superscript"/>
        </w:rPr>
        <w:t>3</w:t>
      </w:r>
    </w:p>
    <w:p w14:paraId="66DDC08F" w14:textId="77777777" w:rsidR="00532761" w:rsidRPr="00DB479F" w:rsidRDefault="00532761" w:rsidP="00DB479F">
      <w:pPr>
        <w:spacing w:after="0" w:line="480" w:lineRule="auto"/>
        <w:jc w:val="both"/>
        <w:rPr>
          <w:rFonts w:ascii="Times New Roman" w:eastAsia="Arial" w:hAnsi="Times New Roman" w:cs="Times New Roman"/>
          <w:b/>
          <w:bCs/>
          <w:sz w:val="24"/>
          <w:szCs w:val="24"/>
        </w:rPr>
      </w:pPr>
    </w:p>
    <w:p w14:paraId="30C79277" w14:textId="2461BFE2" w:rsidR="00DB479F" w:rsidRDefault="00DB479F" w:rsidP="00DB479F">
      <w:pPr>
        <w:spacing w:after="0" w:line="480" w:lineRule="auto"/>
        <w:jc w:val="both"/>
        <w:rPr>
          <w:rFonts w:ascii="Times New Roman" w:eastAsia="Arial" w:hAnsi="Times New Roman" w:cs="Times New Roman"/>
          <w:sz w:val="24"/>
          <w:szCs w:val="24"/>
        </w:rPr>
      </w:pPr>
      <w:r w:rsidRPr="00DB479F">
        <w:rPr>
          <w:rFonts w:ascii="Times New Roman" w:eastAsia="Arial" w:hAnsi="Times New Roman" w:cs="Times New Roman"/>
          <w:sz w:val="24"/>
          <w:szCs w:val="24"/>
          <w:vertAlign w:val="superscript"/>
        </w:rPr>
        <w:t>1</w:t>
      </w:r>
      <w:r w:rsidRPr="00DB479F">
        <w:rPr>
          <w:rFonts w:ascii="Times New Roman" w:eastAsia="Arial" w:hAnsi="Times New Roman" w:cs="Times New Roman"/>
          <w:sz w:val="24"/>
          <w:szCs w:val="24"/>
        </w:rPr>
        <w:t>School of Engineering, Pontificia Universidad Católica de Chile, Santiago, Chile</w:t>
      </w:r>
    </w:p>
    <w:p w14:paraId="550B0C07" w14:textId="77777777" w:rsidR="00532761" w:rsidRPr="00DB479F" w:rsidRDefault="00532761" w:rsidP="00DB479F">
      <w:pPr>
        <w:spacing w:after="0" w:line="480" w:lineRule="auto"/>
        <w:jc w:val="both"/>
        <w:rPr>
          <w:rFonts w:ascii="Times New Roman" w:eastAsia="Arial" w:hAnsi="Times New Roman" w:cs="Times New Roman"/>
          <w:sz w:val="24"/>
          <w:szCs w:val="24"/>
        </w:rPr>
      </w:pPr>
    </w:p>
    <w:p w14:paraId="734AAFDA" w14:textId="65CE0EFB" w:rsidR="00DB479F" w:rsidRDefault="00DB479F" w:rsidP="00DB479F">
      <w:pPr>
        <w:spacing w:after="0" w:line="480" w:lineRule="auto"/>
        <w:jc w:val="both"/>
        <w:rPr>
          <w:rFonts w:ascii="Times New Roman" w:eastAsia="Arial" w:hAnsi="Times New Roman" w:cs="Times New Roman"/>
          <w:sz w:val="24"/>
          <w:szCs w:val="24"/>
        </w:rPr>
      </w:pPr>
      <w:r w:rsidRPr="00DB479F">
        <w:rPr>
          <w:rFonts w:ascii="Times New Roman" w:eastAsia="Arial" w:hAnsi="Times New Roman" w:cs="Times New Roman"/>
          <w:sz w:val="24"/>
          <w:szCs w:val="24"/>
          <w:vertAlign w:val="superscript"/>
        </w:rPr>
        <w:t>2</w:t>
      </w:r>
      <w:r w:rsidRPr="00DB479F">
        <w:rPr>
          <w:rFonts w:ascii="Times New Roman" w:eastAsia="Arial" w:hAnsi="Times New Roman" w:cs="Times New Roman"/>
          <w:sz w:val="24"/>
          <w:szCs w:val="24"/>
        </w:rPr>
        <w:t>Department of Earth and Environmental Sciences, Università degli Studi di Milano-Bicocca, 20126 Milan, Italy</w:t>
      </w:r>
    </w:p>
    <w:p w14:paraId="2D219125" w14:textId="77777777" w:rsidR="00532761" w:rsidRPr="00DB479F" w:rsidRDefault="00532761" w:rsidP="00DB479F">
      <w:pPr>
        <w:spacing w:after="0" w:line="480" w:lineRule="auto"/>
        <w:jc w:val="both"/>
        <w:rPr>
          <w:rFonts w:ascii="Times New Roman" w:eastAsia="Arial" w:hAnsi="Times New Roman" w:cs="Times New Roman"/>
          <w:sz w:val="24"/>
          <w:szCs w:val="24"/>
        </w:rPr>
      </w:pPr>
    </w:p>
    <w:p w14:paraId="11554827" w14:textId="6B7E6FCD" w:rsidR="00DB479F" w:rsidRDefault="00DB479F" w:rsidP="00DB479F">
      <w:pPr>
        <w:spacing w:after="0" w:line="480" w:lineRule="auto"/>
        <w:jc w:val="both"/>
        <w:rPr>
          <w:rFonts w:ascii="Times New Roman" w:eastAsia="Arial" w:hAnsi="Times New Roman" w:cs="Times New Roman"/>
          <w:sz w:val="24"/>
          <w:szCs w:val="24"/>
        </w:rPr>
      </w:pPr>
      <w:r w:rsidRPr="00DB479F">
        <w:rPr>
          <w:rFonts w:ascii="Times New Roman" w:eastAsia="Arial" w:hAnsi="Times New Roman" w:cs="Times New Roman"/>
          <w:sz w:val="24"/>
          <w:szCs w:val="24"/>
          <w:vertAlign w:val="superscript"/>
        </w:rPr>
        <w:t>3</w:t>
      </w:r>
      <w:r w:rsidRPr="00DB479F">
        <w:rPr>
          <w:rFonts w:ascii="Times New Roman" w:eastAsia="Arial" w:hAnsi="Times New Roman" w:cs="Times New Roman"/>
          <w:sz w:val="24"/>
          <w:szCs w:val="24"/>
        </w:rPr>
        <w:t>School of Environmental Sciences, University of Liverpool, Liverpool L3 5DA,</w:t>
      </w:r>
      <w:r>
        <w:rPr>
          <w:rFonts w:ascii="Times New Roman" w:eastAsia="Arial" w:hAnsi="Times New Roman" w:cs="Times New Roman"/>
          <w:sz w:val="24"/>
          <w:szCs w:val="24"/>
        </w:rPr>
        <w:t xml:space="preserve"> </w:t>
      </w:r>
      <w:r w:rsidRPr="00DB479F">
        <w:rPr>
          <w:rFonts w:ascii="Times New Roman" w:eastAsia="Arial" w:hAnsi="Times New Roman" w:cs="Times New Roman"/>
          <w:sz w:val="24"/>
          <w:szCs w:val="24"/>
        </w:rPr>
        <w:t>UK</w:t>
      </w:r>
    </w:p>
    <w:p w14:paraId="6C940395" w14:textId="77777777" w:rsidR="00DB479F" w:rsidRDefault="00DB479F" w:rsidP="00DB479F">
      <w:pPr>
        <w:spacing w:after="0" w:line="480" w:lineRule="auto"/>
        <w:jc w:val="both"/>
        <w:rPr>
          <w:rFonts w:ascii="Times New Roman" w:eastAsia="Arial" w:hAnsi="Times New Roman" w:cs="Times New Roman"/>
          <w:sz w:val="24"/>
          <w:szCs w:val="24"/>
        </w:rPr>
      </w:pPr>
    </w:p>
    <w:p w14:paraId="3F73248D" w14:textId="6EB95F17" w:rsidR="00D24F6D" w:rsidRDefault="00F81832" w:rsidP="00DB479F">
      <w:pPr>
        <w:spacing w:after="0" w:line="480" w:lineRule="auto"/>
        <w:jc w:val="both"/>
        <w:rPr>
          <w:rFonts w:ascii="Times New Roman" w:eastAsia="Arial" w:hAnsi="Times New Roman" w:cs="Times New Roman"/>
          <w:b/>
          <w:sz w:val="24"/>
          <w:szCs w:val="24"/>
        </w:rPr>
      </w:pPr>
      <w:r w:rsidRPr="00465B3E">
        <w:rPr>
          <w:rFonts w:ascii="Times New Roman" w:eastAsia="Arial" w:hAnsi="Times New Roman" w:cs="Times New Roman"/>
          <w:b/>
          <w:sz w:val="24"/>
          <w:szCs w:val="24"/>
        </w:rPr>
        <w:t>ABSTRACT</w:t>
      </w:r>
    </w:p>
    <w:p w14:paraId="6DDB4FAB" w14:textId="77777777" w:rsidR="00DB479F" w:rsidRDefault="00DB479F" w:rsidP="00DB479F">
      <w:pPr>
        <w:spacing w:after="0" w:line="480" w:lineRule="auto"/>
        <w:jc w:val="both"/>
        <w:rPr>
          <w:rFonts w:ascii="Times New Roman" w:hAnsi="Times New Roman" w:cs="Times New Roman"/>
        </w:rPr>
      </w:pPr>
    </w:p>
    <w:p w14:paraId="5881E0E0" w14:textId="1ED9EBBE" w:rsidR="00DB479F" w:rsidRPr="00DB479F" w:rsidRDefault="00DB479F" w:rsidP="00DB479F">
      <w:pPr>
        <w:spacing w:after="0" w:line="480" w:lineRule="auto"/>
        <w:jc w:val="both"/>
        <w:rPr>
          <w:rFonts w:ascii="Times New Roman" w:hAnsi="Times New Roman" w:cs="Times New Roman"/>
          <w:sz w:val="24"/>
          <w:szCs w:val="24"/>
        </w:rPr>
      </w:pPr>
      <w:r w:rsidRPr="00DB479F">
        <w:rPr>
          <w:rFonts w:ascii="Times New Roman" w:hAnsi="Times New Roman" w:cs="Times New Roman"/>
          <w:sz w:val="24"/>
          <w:szCs w:val="24"/>
        </w:rPr>
        <w:t>Constraints on the amount and pattern of ground deformation induced by dike emplace</w:t>
      </w:r>
      <w:r w:rsidRPr="00DB479F">
        <w:rPr>
          <w:rFonts w:ascii="Times New Roman" w:hAnsi="Times New Roman" w:cs="Times New Roman"/>
          <w:sz w:val="24"/>
          <w:szCs w:val="24"/>
        </w:rPr>
        <w:softHyphen/>
        <w:t>ment are important for assessing potential eruptions. The vast majority of ground deforma</w:t>
      </w:r>
      <w:r w:rsidRPr="00DB479F">
        <w:rPr>
          <w:rFonts w:ascii="Times New Roman" w:hAnsi="Times New Roman" w:cs="Times New Roman"/>
          <w:sz w:val="24"/>
          <w:szCs w:val="24"/>
        </w:rPr>
        <w:softHyphen/>
        <w:t xml:space="preserve">tion inversions made for volcano monitoring during volcanic unrest assume that dikes </w:t>
      </w:r>
      <w:proofErr w:type="gramStart"/>
      <w:r w:rsidRPr="00DB479F">
        <w:rPr>
          <w:rFonts w:ascii="Times New Roman" w:hAnsi="Times New Roman" w:cs="Times New Roman"/>
          <w:sz w:val="24"/>
          <w:szCs w:val="24"/>
        </w:rPr>
        <w:t>are emplaced</w:t>
      </w:r>
      <w:proofErr w:type="gramEnd"/>
      <w:r w:rsidRPr="00DB479F">
        <w:rPr>
          <w:rFonts w:ascii="Times New Roman" w:hAnsi="Times New Roman" w:cs="Times New Roman"/>
          <w:sz w:val="24"/>
          <w:szCs w:val="24"/>
        </w:rPr>
        <w:t xml:space="preserve"> in either an elastic half-space (a homogeneous crust) or a crust made of horizontal layers with different mechanical properties. We extend these models by designing a novel set of two-dimensional finite-element method numerical simulations that consider dike-induced surface deformation related to a mechanically heterogeneous crust with inclined </w:t>
      </w:r>
      <w:r w:rsidRPr="00DB479F">
        <w:rPr>
          <w:rFonts w:ascii="Times New Roman" w:hAnsi="Times New Roman" w:cs="Times New Roman"/>
          <w:sz w:val="24"/>
          <w:szCs w:val="24"/>
        </w:rPr>
        <w:lastRenderedPageBreak/>
        <w:t>layers, thus modeling a common geometry in stratovolcanoes and crustal segments that have been folded by tectonic forces. Our results confirm that layer inclination can produce localized ground deformation that may be as much as 40× higher in terms of deformation magnitude than would be expected in a non-layered model, depending on the angle of inclination and the stiffness of the rock units that host and are adjacent to the dike. Generated asymmetrical deformation patterns produce deformation peaks located as much as 1.4 km away from those expected in non-layered models. These results highlight the necessity of accurately quantify</w:t>
      </w:r>
      <w:r w:rsidRPr="00DB479F">
        <w:rPr>
          <w:rFonts w:ascii="Times New Roman" w:hAnsi="Times New Roman" w:cs="Times New Roman"/>
          <w:sz w:val="24"/>
          <w:szCs w:val="24"/>
        </w:rPr>
        <w:softHyphen/>
        <w:t>ing both the mechanical properties and attitude of the geology underlying active volcanoes.</w:t>
      </w:r>
    </w:p>
    <w:p w14:paraId="29358A3A" w14:textId="0F7D6501" w:rsidR="00DB479F" w:rsidRDefault="00DB479F" w:rsidP="00DB479F">
      <w:pPr>
        <w:spacing w:after="0" w:line="480" w:lineRule="auto"/>
        <w:jc w:val="both"/>
        <w:rPr>
          <w:rFonts w:ascii="Times New Roman" w:hAnsi="Times New Roman" w:cs="Times New Roman"/>
        </w:rPr>
      </w:pPr>
    </w:p>
    <w:p w14:paraId="589888F7" w14:textId="33F28DB5" w:rsidR="00DB479F" w:rsidRDefault="00DB479F" w:rsidP="00DB479F">
      <w:pPr>
        <w:spacing w:after="0" w:line="480" w:lineRule="auto"/>
        <w:jc w:val="both"/>
        <w:rPr>
          <w:rFonts w:ascii="Times New Roman" w:hAnsi="Times New Roman" w:cs="Times New Roman"/>
          <w:b/>
          <w:bCs/>
          <w:sz w:val="24"/>
          <w:szCs w:val="24"/>
        </w:rPr>
      </w:pPr>
      <w:r w:rsidRPr="00DB479F">
        <w:rPr>
          <w:rFonts w:ascii="Times New Roman" w:hAnsi="Times New Roman" w:cs="Times New Roman"/>
          <w:b/>
          <w:bCs/>
          <w:sz w:val="24"/>
          <w:szCs w:val="24"/>
        </w:rPr>
        <w:t>INTRODUCTION</w:t>
      </w:r>
    </w:p>
    <w:p w14:paraId="77239410" w14:textId="77777777" w:rsidR="00DB479F" w:rsidRDefault="00DB479F" w:rsidP="00DB479F">
      <w:pPr>
        <w:spacing w:after="0" w:line="480" w:lineRule="auto"/>
        <w:jc w:val="both"/>
        <w:rPr>
          <w:rFonts w:ascii="Times New Roman" w:hAnsi="Times New Roman" w:cs="Times New Roman"/>
          <w:b/>
          <w:bCs/>
          <w:sz w:val="24"/>
          <w:szCs w:val="24"/>
        </w:rPr>
      </w:pPr>
    </w:p>
    <w:p w14:paraId="26C224E0" w14:textId="1ACF0F51" w:rsidR="00DB479F" w:rsidRDefault="00DB479F" w:rsidP="00DB479F">
      <w:pPr>
        <w:spacing w:after="0" w:line="480" w:lineRule="auto"/>
        <w:jc w:val="both"/>
        <w:rPr>
          <w:rFonts w:ascii="Times New Roman" w:hAnsi="Times New Roman" w:cs="Times New Roman"/>
          <w:sz w:val="24"/>
          <w:szCs w:val="24"/>
        </w:rPr>
      </w:pPr>
      <w:r w:rsidRPr="00DB479F">
        <w:rPr>
          <w:rFonts w:ascii="Times New Roman" w:hAnsi="Times New Roman" w:cs="Times New Roman"/>
          <w:sz w:val="24"/>
          <w:szCs w:val="24"/>
        </w:rPr>
        <w:t xml:space="preserve">Volcanic eruptions can occur when a magma-filled fracture (a dike, sill, or inclined sheet) propagates from a magma source through the crust to the surface (Rivalta et al., 2015, Acocella, 2021). Magma emplacement deforms the crust, resulting in surface uplift or subsidence signals that can </w:t>
      </w:r>
      <w:proofErr w:type="gramStart"/>
      <w:r w:rsidRPr="00DB479F">
        <w:rPr>
          <w:rFonts w:ascii="Times New Roman" w:hAnsi="Times New Roman" w:cs="Times New Roman"/>
          <w:sz w:val="24"/>
          <w:szCs w:val="24"/>
        </w:rPr>
        <w:t>be measured</w:t>
      </w:r>
      <w:proofErr w:type="gramEnd"/>
      <w:r w:rsidRPr="00DB479F">
        <w:rPr>
          <w:rFonts w:ascii="Times New Roman" w:hAnsi="Times New Roman" w:cs="Times New Roman"/>
          <w:sz w:val="24"/>
          <w:szCs w:val="24"/>
        </w:rPr>
        <w:t xml:space="preserve"> and used to infer information about intrusion depth, volume, shape, and orientation and which may be useful for determining potential eruption characteristics (Geshi et al., 2020). However, the vast majority of models used in volcano monitoring to infer the deformation associated with magmatic emplacement assume that the crust is either isotropic (an elastic half-space) (e.g., Okada, 1985; Mantiloni et al., 2020) or mechanically stratified with horizontal layers (Masterlark, 2007; Bazargan and Gudmundsson, 2019, 2020). Both assumptions are likely sim</w:t>
      </w:r>
      <w:r w:rsidRPr="00DB479F">
        <w:rPr>
          <w:rFonts w:ascii="Times New Roman" w:hAnsi="Times New Roman" w:cs="Times New Roman"/>
          <w:sz w:val="24"/>
          <w:szCs w:val="24"/>
        </w:rPr>
        <w:softHyphen/>
        <w:t xml:space="preserve">plifications, especially in areas where volcanoes are built atop highly folded and deformed rocks, such as in cordillera </w:t>
      </w:r>
      <w:r w:rsidRPr="00DB479F">
        <w:rPr>
          <w:rFonts w:ascii="Times New Roman" w:hAnsi="Times New Roman" w:cs="Times New Roman"/>
          <w:sz w:val="24"/>
          <w:szCs w:val="24"/>
        </w:rPr>
        <w:lastRenderedPageBreak/>
        <w:t>settings (Clunes et al., 2021). In addition to inclined layers underlying a volcano that may dip either outward or inward toward the volcano center, the slopes of the upper parts of many stratovolcanoes are inclined by as much as 42° (Gudmundsson, 2012; Grosse et al., 2014). In both of these situations, it is not reasonable to always assume that dikes propa</w:t>
      </w:r>
      <w:r w:rsidRPr="00DB479F">
        <w:rPr>
          <w:rFonts w:ascii="Times New Roman" w:hAnsi="Times New Roman" w:cs="Times New Roman"/>
          <w:sz w:val="24"/>
          <w:szCs w:val="24"/>
        </w:rPr>
        <w:softHyphen/>
        <w:t xml:space="preserve">gate through solely horizontal layers. It is also now well known that rock layers that constitute a volcano may vary </w:t>
      </w:r>
      <w:proofErr w:type="gramStart"/>
      <w:r w:rsidRPr="00DB479F">
        <w:rPr>
          <w:rFonts w:ascii="Times New Roman" w:hAnsi="Times New Roman" w:cs="Times New Roman"/>
          <w:sz w:val="24"/>
          <w:szCs w:val="24"/>
        </w:rPr>
        <w:t>considerably in</w:t>
      </w:r>
      <w:proofErr w:type="gramEnd"/>
      <w:r w:rsidRPr="00DB479F">
        <w:rPr>
          <w:rFonts w:ascii="Times New Roman" w:hAnsi="Times New Roman" w:cs="Times New Roman"/>
          <w:sz w:val="24"/>
          <w:szCs w:val="24"/>
        </w:rPr>
        <w:t xml:space="preserve"> terms of their mechanical properties (Maccaferri et al., 2010; Drymoni et al., 2020; Heap et al., 2020; Gudmundsson, 2020). Given these observations, it is perhaps likely that most dikes are emplaced in heterogeneous crustal segments with layers that are somewhat inclined, even in extensional settings albeit the layer inclination may be minor or close to horizontal near the surface (e.g., Gud</w:t>
      </w:r>
      <w:r w:rsidRPr="00DB479F">
        <w:rPr>
          <w:rFonts w:ascii="Times New Roman" w:hAnsi="Times New Roman" w:cs="Times New Roman"/>
          <w:sz w:val="24"/>
          <w:szCs w:val="24"/>
        </w:rPr>
        <w:softHyphen/>
        <w:t>mundsson, 1983). Therefore, it is necessary to constrain the deformation signals associated with both heterogeneous and inclined layered sequences and compare the differences asso</w:t>
      </w:r>
      <w:r w:rsidRPr="00DB479F">
        <w:rPr>
          <w:rFonts w:ascii="Times New Roman" w:hAnsi="Times New Roman" w:cs="Times New Roman"/>
          <w:sz w:val="24"/>
          <w:szCs w:val="24"/>
        </w:rPr>
        <w:softHyphen/>
        <w:t>ciated with commonly used simplified crustal assumptions. There have been attempts to con</w:t>
      </w:r>
      <w:r w:rsidRPr="00DB479F">
        <w:rPr>
          <w:rFonts w:ascii="Times New Roman" w:hAnsi="Times New Roman" w:cs="Times New Roman"/>
          <w:sz w:val="24"/>
          <w:szCs w:val="24"/>
        </w:rPr>
        <w:softHyphen/>
        <w:t>strain the crustal stress field (e.g., Gudmunds</w:t>
      </w:r>
      <w:r w:rsidRPr="00DB479F">
        <w:rPr>
          <w:rFonts w:ascii="Times New Roman" w:hAnsi="Times New Roman" w:cs="Times New Roman"/>
          <w:sz w:val="24"/>
          <w:szCs w:val="24"/>
        </w:rPr>
        <w:softHyphen/>
        <w:t>son, 2006) and deformation (e.g., Manconi et al., 2007; Masterlark, 2007) associated with magma chamber inflation using either a simple dipping sequence in Iceland (Gudmundsson, 2006) or horizontal heterogeneous layered sequences (Masterlark, 2007). Masterlark (2007) demon</w:t>
      </w:r>
      <w:r w:rsidRPr="00DB479F">
        <w:rPr>
          <w:rFonts w:ascii="Times New Roman" w:hAnsi="Times New Roman" w:cs="Times New Roman"/>
          <w:sz w:val="24"/>
          <w:szCs w:val="24"/>
        </w:rPr>
        <w:softHyphen/>
        <w:t xml:space="preserve">strated using a combination of analytical and finite-element models that the widely used Mogi (1958) model, which considers a point-pressure source embedded in a homogeneous, isotropic segment, can generate substantial displacement prediction errors and significantly inaccurate deformation source parameters if the crustal unit is heterogeneous. In that work, the presence of weak layers in a caldera resulted in a deformation source located &gt;1 km deeper compared to the source depth obtained using the elastic half-space assumption. Bazargan and Gudmundsson (2019, 2020) analyzed both the </w:t>
      </w:r>
      <w:r w:rsidRPr="00DB479F">
        <w:rPr>
          <w:rFonts w:ascii="Times New Roman" w:hAnsi="Times New Roman" w:cs="Times New Roman"/>
          <w:sz w:val="24"/>
          <w:szCs w:val="24"/>
        </w:rPr>
        <w:lastRenderedPageBreak/>
        <w:t>stresses and dis</w:t>
      </w:r>
      <w:r w:rsidRPr="00DB479F">
        <w:rPr>
          <w:rFonts w:ascii="Times New Roman" w:hAnsi="Times New Roman" w:cs="Times New Roman"/>
          <w:sz w:val="24"/>
          <w:szCs w:val="24"/>
        </w:rPr>
        <w:softHyphen/>
        <w:t>placements generated at the surface by dikes and inclined sheets intruding horizontally layered rocks. They showed that the presence of compli</w:t>
      </w:r>
      <w:r w:rsidRPr="00DB479F">
        <w:rPr>
          <w:rFonts w:ascii="Times New Roman" w:hAnsi="Times New Roman" w:cs="Times New Roman"/>
          <w:sz w:val="24"/>
          <w:szCs w:val="24"/>
        </w:rPr>
        <w:softHyphen/>
        <w:t>ant layers (with low Young’s modulus) increases the surface deformation expressed during dike or inclined-sheet emplacement and that intrusions meeting layered sequences at lower angle gen</w:t>
      </w:r>
      <w:r w:rsidRPr="00DB479F">
        <w:rPr>
          <w:rFonts w:ascii="Times New Roman" w:hAnsi="Times New Roman" w:cs="Times New Roman"/>
          <w:sz w:val="24"/>
          <w:szCs w:val="24"/>
        </w:rPr>
        <w:softHyphen/>
        <w:t>erates larger surface displacements. Although significant progress has been made in volcano monitoring in the past decades (Gudmundsson et al., 2022), we still cannot yet forecast with any certainty when and where a magmatic dike will emplace or erupt. This becomes further complicated in highly deformed crustal settings such as the Andes where the host rock is com</w:t>
      </w:r>
      <w:r w:rsidRPr="00DB479F">
        <w:rPr>
          <w:rFonts w:ascii="Times New Roman" w:hAnsi="Times New Roman" w:cs="Times New Roman"/>
          <w:sz w:val="24"/>
          <w:szCs w:val="24"/>
        </w:rPr>
        <w:softHyphen/>
        <w:t>monly formed by rock layers inclined at differ</w:t>
      </w:r>
      <w:r w:rsidRPr="00DB479F">
        <w:rPr>
          <w:rFonts w:ascii="Times New Roman" w:hAnsi="Times New Roman" w:cs="Times New Roman"/>
          <w:sz w:val="24"/>
          <w:szCs w:val="24"/>
        </w:rPr>
        <w:softHyphen/>
        <w:t>ent angles, in part because understanding of the role of crustal properties and geometry through which the dikes propagate is lacking. We pres</w:t>
      </w:r>
      <w:r w:rsidRPr="00DB479F">
        <w:rPr>
          <w:rFonts w:ascii="Times New Roman" w:hAnsi="Times New Roman" w:cs="Times New Roman"/>
          <w:sz w:val="24"/>
          <w:szCs w:val="24"/>
        </w:rPr>
        <w:softHyphen/>
        <w:t>ent a series of novel two-dimensional numerical models using the finite-element method (FEM) that consider dike-induced ground deformation resulting from a crustal segment hosting contrasting mechanical properties and with variably dipping layers.</w:t>
      </w:r>
    </w:p>
    <w:p w14:paraId="148B6447" w14:textId="664FB72C" w:rsidR="00DB479F" w:rsidRDefault="00DB479F" w:rsidP="00DB479F">
      <w:pPr>
        <w:spacing w:after="0" w:line="480" w:lineRule="auto"/>
        <w:jc w:val="both"/>
        <w:rPr>
          <w:rFonts w:ascii="Times New Roman" w:hAnsi="Times New Roman" w:cs="Times New Roman"/>
          <w:sz w:val="24"/>
          <w:szCs w:val="24"/>
        </w:rPr>
      </w:pPr>
    </w:p>
    <w:p w14:paraId="1B3302EE" w14:textId="3B5A7462" w:rsidR="00DB479F" w:rsidRDefault="00DB479F" w:rsidP="00DB479F">
      <w:pPr>
        <w:spacing w:after="0" w:line="480" w:lineRule="auto"/>
        <w:jc w:val="both"/>
        <w:rPr>
          <w:rFonts w:ascii="Times New Roman" w:hAnsi="Times New Roman" w:cs="Times New Roman"/>
          <w:b/>
          <w:bCs/>
          <w:sz w:val="24"/>
          <w:szCs w:val="24"/>
        </w:rPr>
      </w:pPr>
      <w:r w:rsidRPr="00DB479F">
        <w:rPr>
          <w:rFonts w:ascii="Times New Roman" w:hAnsi="Times New Roman" w:cs="Times New Roman"/>
          <w:b/>
          <w:bCs/>
          <w:sz w:val="24"/>
          <w:szCs w:val="24"/>
        </w:rPr>
        <w:t>NUMERICAL MODEL SETUP</w:t>
      </w:r>
    </w:p>
    <w:p w14:paraId="16BB8578" w14:textId="48DB12CA" w:rsidR="00DB479F" w:rsidRDefault="00DB479F" w:rsidP="00DB479F">
      <w:pPr>
        <w:pStyle w:val="Pa4"/>
        <w:spacing w:line="480" w:lineRule="auto"/>
        <w:jc w:val="both"/>
        <w:rPr>
          <w:rFonts w:ascii="Times New Roman" w:hAnsi="Times New Roman" w:cs="Times New Roman"/>
          <w:color w:val="000000"/>
          <w:lang w:val="en-US"/>
        </w:rPr>
      </w:pPr>
      <w:r w:rsidRPr="00DB479F">
        <w:rPr>
          <w:rFonts w:ascii="Times New Roman" w:hAnsi="Times New Roman" w:cs="Times New Roman"/>
          <w:color w:val="000000"/>
          <w:lang w:val="en-US"/>
        </w:rPr>
        <w:t>The FEM software COMSOL Multiphysics 5.4 (https://www.comsol.com/release/5.4) was</w:t>
      </w:r>
      <w:r>
        <w:rPr>
          <w:rFonts w:ascii="Times New Roman" w:hAnsi="Times New Roman" w:cs="Times New Roman"/>
          <w:color w:val="000000"/>
          <w:lang w:val="en-US"/>
        </w:rPr>
        <w:t xml:space="preserve"> </w:t>
      </w:r>
      <w:r w:rsidRPr="00DB479F">
        <w:rPr>
          <w:rFonts w:ascii="Times New Roman" w:hAnsi="Times New Roman" w:cs="Times New Roman"/>
          <w:color w:val="000000"/>
          <w:lang w:val="en-US"/>
        </w:rPr>
        <w:t>used to analyze dike-induced surface displace</w:t>
      </w:r>
      <w:r w:rsidRPr="00DB479F">
        <w:rPr>
          <w:rFonts w:ascii="Times New Roman" w:hAnsi="Times New Roman" w:cs="Times New Roman"/>
          <w:color w:val="000000"/>
          <w:lang w:val="en-US"/>
        </w:rPr>
        <w:softHyphen/>
        <w:t>ments in a layered crustal segment comprising either horizontal or inclined layers (Figs. 1A and 1B). The dimensions of the layered crustal segment hosting the dike were 20 km wide × 20 km deep, tested as being sufficient to avoid boundary effects (Figs. S1 and S2 in the Supplemental Material</w:t>
      </w:r>
      <w:r w:rsidRPr="00DB479F">
        <w:rPr>
          <w:rStyle w:val="A3"/>
          <w:rFonts w:ascii="Times New Roman" w:hAnsi="Times New Roman" w:cs="Times New Roman"/>
          <w:sz w:val="24"/>
          <w:szCs w:val="24"/>
          <w:lang w:val="en-US"/>
        </w:rPr>
        <w:t>1</w:t>
      </w:r>
      <w:r w:rsidRPr="00DB479F">
        <w:rPr>
          <w:rFonts w:ascii="Times New Roman" w:hAnsi="Times New Roman" w:cs="Times New Roman"/>
          <w:color w:val="000000"/>
          <w:lang w:val="en-US"/>
        </w:rPr>
        <w:t>). The dike was mod</w:t>
      </w:r>
      <w:r w:rsidRPr="00DB479F">
        <w:rPr>
          <w:rFonts w:ascii="Times New Roman" w:hAnsi="Times New Roman" w:cs="Times New Roman"/>
          <w:color w:val="000000"/>
          <w:lang w:val="en-US"/>
        </w:rPr>
        <w:softHyphen/>
        <w:t xml:space="preserve">eled as an elliptical cavity of 1 m thickness, and its geometry and location in the model domain was varied by changing both the dike length and emplacement depth between 1, 2, and 4 km. The crustal segment hosting the dike was modeled as a linear-elastic solid because the primary </w:t>
      </w:r>
      <w:r w:rsidRPr="00DB479F">
        <w:rPr>
          <w:rFonts w:ascii="Times New Roman" w:hAnsi="Times New Roman" w:cs="Times New Roman"/>
          <w:color w:val="000000"/>
          <w:lang w:val="en-US"/>
        </w:rPr>
        <w:lastRenderedPageBreak/>
        <w:t>inter</w:t>
      </w:r>
      <w:r w:rsidRPr="00DB479F">
        <w:rPr>
          <w:rFonts w:ascii="Times New Roman" w:hAnsi="Times New Roman" w:cs="Times New Roman"/>
          <w:color w:val="000000"/>
          <w:lang w:val="en-US"/>
        </w:rPr>
        <w:softHyphen/>
        <w:t>est was the influence of elastic properties on ground deformation. The inclined layers, with contrasting elastic properties (Young’s modulus ratios), were made to dip by 10°, 25°, and 45°. Both the upper and lower layers were assigned alternating Young’s modulus of either 1, 10, or 100 GPa such that four stiffness ratios were examined between the different models, 100:1, 10:1, 1:10, 1:100, where the first number relates to the layer hosting the dike (Young’s modu</w:t>
      </w:r>
      <w:r w:rsidRPr="00DB479F">
        <w:rPr>
          <w:rFonts w:ascii="Times New Roman" w:hAnsi="Times New Roman" w:cs="Times New Roman"/>
          <w:color w:val="000000"/>
          <w:lang w:val="en-US"/>
        </w:rPr>
        <w:softHyphen/>
        <w:t xml:space="preserve">lus </w:t>
      </w:r>
      <w:r w:rsidRPr="00DB479F">
        <w:rPr>
          <w:rFonts w:ascii="Times New Roman" w:hAnsi="Times New Roman" w:cs="Times New Roman"/>
          <w:i/>
          <w:iCs/>
          <w:color w:val="000000"/>
          <w:lang w:val="en-US"/>
        </w:rPr>
        <w:t>E</w:t>
      </w:r>
      <w:r w:rsidRPr="005329E0">
        <w:rPr>
          <w:rStyle w:val="A5"/>
          <w:rFonts w:ascii="Times New Roman" w:hAnsi="Times New Roman" w:cs="Times New Roman"/>
          <w:sz w:val="24"/>
          <w:szCs w:val="24"/>
          <w:vertAlign w:val="subscript"/>
          <w:lang w:val="en-US"/>
        </w:rPr>
        <w:t>1</w:t>
      </w:r>
      <w:r w:rsidRPr="00DB479F">
        <w:rPr>
          <w:rFonts w:ascii="Times New Roman" w:hAnsi="Times New Roman" w:cs="Times New Roman"/>
          <w:color w:val="000000"/>
          <w:lang w:val="en-US"/>
        </w:rPr>
        <w:t>) and the second to the layer above the dike (</w:t>
      </w:r>
      <w:r w:rsidRPr="00DB479F">
        <w:rPr>
          <w:rFonts w:ascii="Times New Roman" w:hAnsi="Times New Roman" w:cs="Times New Roman"/>
          <w:i/>
          <w:iCs/>
          <w:color w:val="000000"/>
          <w:lang w:val="en-US"/>
        </w:rPr>
        <w:t>E</w:t>
      </w:r>
      <w:r w:rsidRPr="005329E0">
        <w:rPr>
          <w:rStyle w:val="A5"/>
          <w:rFonts w:ascii="Times New Roman" w:hAnsi="Times New Roman" w:cs="Times New Roman"/>
          <w:sz w:val="24"/>
          <w:szCs w:val="24"/>
          <w:vertAlign w:val="subscript"/>
          <w:lang w:val="en-US"/>
        </w:rPr>
        <w:t>2</w:t>
      </w:r>
      <w:r w:rsidRPr="00DB479F">
        <w:rPr>
          <w:rFonts w:ascii="Times New Roman" w:hAnsi="Times New Roman" w:cs="Times New Roman"/>
          <w:color w:val="000000"/>
          <w:lang w:val="en-US"/>
        </w:rPr>
        <w:t xml:space="preserve">). These stiffness values </w:t>
      </w:r>
      <w:proofErr w:type="gramStart"/>
      <w:r w:rsidRPr="00DB479F">
        <w:rPr>
          <w:rFonts w:ascii="Times New Roman" w:hAnsi="Times New Roman" w:cs="Times New Roman"/>
          <w:color w:val="000000"/>
          <w:lang w:val="en-US"/>
        </w:rPr>
        <w:t>were chosen</w:t>
      </w:r>
      <w:proofErr w:type="gramEnd"/>
      <w:r w:rsidRPr="00DB479F">
        <w:rPr>
          <w:rFonts w:ascii="Times New Roman" w:hAnsi="Times New Roman" w:cs="Times New Roman"/>
          <w:color w:val="000000"/>
          <w:lang w:val="en-US"/>
        </w:rPr>
        <w:t xml:space="preserve"> to encompass a wide range of rocks, such as compliant pyroclastic rocks and stiff lava flows (Gudmundsson, 2011). To compare our results with the more common modeling protocol, we also tested a horizontally layered sequence using the aforementioned contrasting elastic proper</w:t>
      </w:r>
      <w:r w:rsidRPr="00DB479F">
        <w:rPr>
          <w:rFonts w:ascii="Times New Roman" w:hAnsi="Times New Roman" w:cs="Times New Roman"/>
          <w:color w:val="000000"/>
          <w:lang w:val="en-US"/>
        </w:rPr>
        <w:softHyphen/>
        <w:t>ties and a non-layered crustal segment with only one Young’s modulus of 50 GPa. The only boundary load in the model comes from an inter</w:t>
      </w:r>
      <w:r w:rsidRPr="00DB479F">
        <w:rPr>
          <w:rFonts w:ascii="Times New Roman" w:hAnsi="Times New Roman" w:cs="Times New Roman"/>
          <w:color w:val="000000"/>
          <w:lang w:val="en-US"/>
        </w:rPr>
        <w:softHyphen/>
        <w:t>nal magmatic overpressure (</w:t>
      </w:r>
      <w:r w:rsidRPr="00DB479F">
        <w:rPr>
          <w:rFonts w:ascii="Times New Roman" w:hAnsi="Times New Roman" w:cs="Times New Roman"/>
          <w:i/>
          <w:iCs/>
          <w:color w:val="000000"/>
          <w:lang w:val="en-US"/>
        </w:rPr>
        <w:t>P</w:t>
      </w:r>
      <w:r w:rsidRPr="00DB479F">
        <w:rPr>
          <w:rStyle w:val="A5"/>
          <w:rFonts w:ascii="Times New Roman" w:hAnsi="Times New Roman" w:cs="Times New Roman"/>
          <w:sz w:val="24"/>
          <w:szCs w:val="24"/>
          <w:lang w:val="en-US"/>
        </w:rPr>
        <w:t>o</w:t>
      </w:r>
      <w:r w:rsidRPr="00DB479F">
        <w:rPr>
          <w:rFonts w:ascii="Times New Roman" w:hAnsi="Times New Roman" w:cs="Times New Roman"/>
          <w:color w:val="000000"/>
          <w:lang w:val="en-US"/>
        </w:rPr>
        <w:t>) of 5 MPa. The upper boundary of the model is a free surface, and it is along this surface that the horizontal and vertical displacements were measured. The other boundaries of the model are fixed, indi</w:t>
      </w:r>
      <w:r w:rsidRPr="00DB479F">
        <w:rPr>
          <w:rFonts w:ascii="Times New Roman" w:hAnsi="Times New Roman" w:cs="Times New Roman"/>
          <w:color w:val="000000"/>
          <w:lang w:val="en-US"/>
        </w:rPr>
        <w:softHyphen/>
        <w:t>cated by crosses in Figures 1A and 1B, so as to avoid rigid-body translation and rotation. The dipping layers are always located in the right-side of the crustal segment starting at the center of the domain, above the dike tip. More informa</w:t>
      </w:r>
      <w:r w:rsidRPr="00DB479F">
        <w:rPr>
          <w:rFonts w:ascii="Times New Roman" w:hAnsi="Times New Roman" w:cs="Times New Roman"/>
          <w:color w:val="000000"/>
          <w:lang w:val="en-US"/>
        </w:rPr>
        <w:softHyphen/>
        <w:t>tion about the modeling setup is provided in the Supplemental Material.</w:t>
      </w:r>
    </w:p>
    <w:p w14:paraId="2041B3A7" w14:textId="77777777" w:rsidR="00DB479F" w:rsidRPr="00DB479F" w:rsidRDefault="00DB479F" w:rsidP="00DB479F">
      <w:pPr>
        <w:pStyle w:val="Default"/>
        <w:rPr>
          <w:lang w:val="en-US"/>
        </w:rPr>
      </w:pPr>
    </w:p>
    <w:p w14:paraId="3006EED9" w14:textId="3E7E4258" w:rsidR="00DB479F" w:rsidRDefault="00DB479F" w:rsidP="00DB479F">
      <w:pPr>
        <w:pStyle w:val="Pa5"/>
        <w:spacing w:before="220" w:line="480" w:lineRule="auto"/>
        <w:rPr>
          <w:rFonts w:ascii="Times New Roman" w:hAnsi="Times New Roman" w:cs="Times New Roman"/>
          <w:b/>
          <w:bCs/>
          <w:color w:val="000000"/>
          <w:lang w:val="en-US"/>
        </w:rPr>
      </w:pPr>
      <w:r w:rsidRPr="00DB479F">
        <w:rPr>
          <w:rFonts w:ascii="Times New Roman" w:hAnsi="Times New Roman" w:cs="Times New Roman"/>
          <w:b/>
          <w:bCs/>
          <w:color w:val="000000"/>
          <w:lang w:val="en-US"/>
        </w:rPr>
        <w:t>VERTICAL GROUND DISPLACEMENT</w:t>
      </w:r>
      <w:r>
        <w:rPr>
          <w:rFonts w:ascii="Times New Roman" w:hAnsi="Times New Roman" w:cs="Times New Roman"/>
          <w:b/>
          <w:bCs/>
          <w:color w:val="000000"/>
          <w:lang w:val="en-US"/>
        </w:rPr>
        <w:t>S</w:t>
      </w:r>
    </w:p>
    <w:p w14:paraId="7D6F5DE6" w14:textId="77777777" w:rsidR="00DB479F" w:rsidRPr="00DB479F" w:rsidRDefault="00DB479F" w:rsidP="00DB479F">
      <w:pPr>
        <w:pStyle w:val="Default"/>
        <w:spacing w:line="480" w:lineRule="auto"/>
        <w:rPr>
          <w:lang w:val="en-US"/>
        </w:rPr>
      </w:pPr>
    </w:p>
    <w:p w14:paraId="1DF002DE" w14:textId="77777777" w:rsidR="00DB479F" w:rsidRDefault="00DB479F" w:rsidP="00DB479F">
      <w:pPr>
        <w:pStyle w:val="Pa4"/>
        <w:spacing w:line="480" w:lineRule="auto"/>
        <w:jc w:val="both"/>
        <w:rPr>
          <w:rFonts w:ascii="Times New Roman" w:hAnsi="Times New Roman" w:cs="Times New Roman"/>
          <w:color w:val="000000"/>
          <w:lang w:val="en-US"/>
        </w:rPr>
      </w:pPr>
      <w:r w:rsidRPr="00DB479F">
        <w:rPr>
          <w:rFonts w:ascii="Times New Roman" w:hAnsi="Times New Roman" w:cs="Times New Roman"/>
          <w:color w:val="000000"/>
          <w:lang w:val="en-US"/>
        </w:rPr>
        <w:t>Figure 2 presents profiles of vertical ground displacement (</w:t>
      </w:r>
      <w:r w:rsidRPr="00DB479F">
        <w:rPr>
          <w:rFonts w:ascii="Times New Roman" w:hAnsi="Times New Roman" w:cs="Times New Roman"/>
          <w:i/>
          <w:iCs/>
          <w:color w:val="000000"/>
          <w:lang w:val="en-US"/>
        </w:rPr>
        <w:t>u</w:t>
      </w:r>
      <w:r w:rsidRPr="00DB479F">
        <w:rPr>
          <w:rStyle w:val="A5"/>
          <w:rFonts w:ascii="Times New Roman" w:hAnsi="Times New Roman" w:cs="Times New Roman"/>
          <w:sz w:val="24"/>
          <w:szCs w:val="24"/>
          <w:vertAlign w:val="subscript"/>
          <w:lang w:val="en-US"/>
        </w:rPr>
        <w:t>z</w:t>
      </w:r>
      <w:r w:rsidRPr="00DB479F">
        <w:rPr>
          <w:rFonts w:ascii="Times New Roman" w:hAnsi="Times New Roman" w:cs="Times New Roman"/>
          <w:color w:val="000000"/>
          <w:lang w:val="en-US"/>
        </w:rPr>
        <w:t xml:space="preserve">) induced by a 2-km-long dike with its upper tip emplaced at 2 km depth. Results from other models are provided in Figures S4–S19. In both the non-layered and horizontally layered models, </w:t>
      </w:r>
      <w:r w:rsidRPr="00DB479F">
        <w:rPr>
          <w:rFonts w:ascii="Times New Roman" w:hAnsi="Times New Roman" w:cs="Times New Roman"/>
          <w:i/>
          <w:iCs/>
          <w:color w:val="000000"/>
          <w:lang w:val="en-US"/>
        </w:rPr>
        <w:t>u</w:t>
      </w:r>
      <w:r w:rsidRPr="00DB479F">
        <w:rPr>
          <w:rStyle w:val="A5"/>
          <w:rFonts w:ascii="Times New Roman" w:hAnsi="Times New Roman" w:cs="Times New Roman"/>
          <w:sz w:val="24"/>
          <w:szCs w:val="24"/>
          <w:vertAlign w:val="subscript"/>
          <w:lang w:val="en-US"/>
        </w:rPr>
        <w:t>z</w:t>
      </w:r>
      <w:r w:rsidRPr="00DB479F">
        <w:rPr>
          <w:rStyle w:val="A5"/>
          <w:rFonts w:ascii="Times New Roman" w:hAnsi="Times New Roman" w:cs="Times New Roman"/>
          <w:sz w:val="24"/>
          <w:szCs w:val="24"/>
          <w:lang w:val="en-US"/>
        </w:rPr>
        <w:t xml:space="preserve"> </w:t>
      </w:r>
      <w:r w:rsidRPr="00DB479F">
        <w:rPr>
          <w:rFonts w:ascii="Times New Roman" w:hAnsi="Times New Roman" w:cs="Times New Roman"/>
          <w:color w:val="000000"/>
          <w:lang w:val="en-US"/>
        </w:rPr>
        <w:t>is symmetri</w:t>
      </w:r>
      <w:r w:rsidRPr="00DB479F">
        <w:rPr>
          <w:rFonts w:ascii="Times New Roman" w:hAnsi="Times New Roman" w:cs="Times New Roman"/>
          <w:color w:val="000000"/>
          <w:lang w:val="en-US"/>
        </w:rPr>
        <w:softHyphen/>
        <w:t xml:space="preserve">cally </w:t>
      </w:r>
      <w:r w:rsidRPr="00DB479F">
        <w:rPr>
          <w:rFonts w:ascii="Times New Roman" w:hAnsi="Times New Roman" w:cs="Times New Roman"/>
          <w:color w:val="000000"/>
          <w:lang w:val="en-US"/>
        </w:rPr>
        <w:lastRenderedPageBreak/>
        <w:t xml:space="preserve">distributed and peaks between </w:t>
      </w:r>
      <w:r w:rsidRPr="00DB479F">
        <w:rPr>
          <w:rFonts w:ascii="Cambria Math" w:hAnsi="Cambria Math" w:cs="Cambria Math"/>
          <w:color w:val="000000"/>
          <w:lang w:val="en-US"/>
        </w:rPr>
        <w:t>∼</w:t>
      </w:r>
      <w:r w:rsidRPr="00DB479F">
        <w:rPr>
          <w:rFonts w:ascii="Times New Roman" w:hAnsi="Times New Roman" w:cs="Times New Roman"/>
          <w:color w:val="000000"/>
          <w:lang w:val="en-US"/>
        </w:rPr>
        <w:t xml:space="preserve">2.4 km and </w:t>
      </w:r>
      <w:r w:rsidRPr="00DB479F">
        <w:rPr>
          <w:rFonts w:ascii="Cambria Math" w:hAnsi="Cambria Math" w:cs="Cambria Math"/>
          <w:color w:val="000000"/>
          <w:lang w:val="en-US"/>
        </w:rPr>
        <w:t>∼</w:t>
      </w:r>
      <w:r w:rsidRPr="00DB479F">
        <w:rPr>
          <w:rFonts w:ascii="Times New Roman" w:hAnsi="Times New Roman" w:cs="Times New Roman"/>
          <w:color w:val="000000"/>
          <w:lang w:val="en-US"/>
        </w:rPr>
        <w:t xml:space="preserve">4.8 km on either side of the dike (Fig. 2). The vertical ground displacement becomes asymmetrically distributed when the inclined layers </w:t>
      </w:r>
      <w:proofErr w:type="gramStart"/>
      <w:r w:rsidRPr="00DB479F">
        <w:rPr>
          <w:rFonts w:ascii="Times New Roman" w:hAnsi="Times New Roman" w:cs="Times New Roman"/>
          <w:color w:val="000000"/>
          <w:lang w:val="en-US"/>
        </w:rPr>
        <w:t>are modeled</w:t>
      </w:r>
      <w:proofErr w:type="gramEnd"/>
      <w:r w:rsidRPr="00DB479F">
        <w:rPr>
          <w:rFonts w:ascii="Times New Roman" w:hAnsi="Times New Roman" w:cs="Times New Roman"/>
          <w:color w:val="000000"/>
          <w:lang w:val="en-US"/>
        </w:rPr>
        <w:t>, and the magnitude of ver</w:t>
      </w:r>
      <w:r w:rsidRPr="00DB479F">
        <w:rPr>
          <w:rFonts w:ascii="Times New Roman" w:hAnsi="Times New Roman" w:cs="Times New Roman"/>
          <w:color w:val="000000"/>
          <w:lang w:val="en-US"/>
        </w:rPr>
        <w:softHyphen/>
        <w:t>tical deformation becomes greater with lower Young’s modulus ratios (Figs. 2B and 2D).</w:t>
      </w:r>
    </w:p>
    <w:p w14:paraId="54F305A4" w14:textId="77777777" w:rsidR="00DB479F" w:rsidRDefault="00DB479F" w:rsidP="00DB479F">
      <w:pPr>
        <w:pStyle w:val="Pa4"/>
        <w:spacing w:line="480" w:lineRule="auto"/>
        <w:jc w:val="both"/>
        <w:rPr>
          <w:rFonts w:ascii="Times New Roman" w:hAnsi="Times New Roman" w:cs="Times New Roman"/>
          <w:color w:val="000000"/>
          <w:lang w:val="en-US"/>
        </w:rPr>
      </w:pPr>
    </w:p>
    <w:p w14:paraId="638BDA0F" w14:textId="1553D6B4" w:rsidR="00DB479F" w:rsidRDefault="00DB479F" w:rsidP="00DB479F">
      <w:pPr>
        <w:pStyle w:val="Pa4"/>
        <w:spacing w:line="480" w:lineRule="auto"/>
        <w:jc w:val="both"/>
        <w:rPr>
          <w:rFonts w:ascii="Times New Roman" w:hAnsi="Times New Roman" w:cs="Times New Roman"/>
          <w:color w:val="000000"/>
          <w:lang w:val="en-US"/>
        </w:rPr>
      </w:pPr>
      <w:r w:rsidRPr="00DB479F">
        <w:rPr>
          <w:rFonts w:ascii="Times New Roman" w:hAnsi="Times New Roman" w:cs="Times New Roman"/>
          <w:color w:val="000000"/>
          <w:lang w:val="en-US"/>
        </w:rPr>
        <w:t xml:space="preserve">When the layer hosting the dike is stiffer than the inclined layer, the vertical displacements are greatest in the layer above the dike (Figs. 2A and 2C). </w:t>
      </w:r>
      <w:proofErr w:type="spellStart"/>
      <w:r w:rsidRPr="00DB479F">
        <w:rPr>
          <w:rFonts w:ascii="Times New Roman" w:hAnsi="Times New Roman" w:cs="Times New Roman"/>
          <w:color w:val="000000"/>
        </w:rPr>
        <w:t>Conversely</w:t>
      </w:r>
      <w:proofErr w:type="spellEnd"/>
      <w:r w:rsidRPr="00DB479F">
        <w:rPr>
          <w:rFonts w:ascii="Times New Roman" w:hAnsi="Times New Roman" w:cs="Times New Roman"/>
          <w:color w:val="000000"/>
        </w:rPr>
        <w:t xml:space="preserve">, </w:t>
      </w:r>
      <w:proofErr w:type="spellStart"/>
      <w:r w:rsidRPr="00DB479F">
        <w:rPr>
          <w:rFonts w:ascii="Times New Roman" w:hAnsi="Times New Roman" w:cs="Times New Roman"/>
          <w:color w:val="000000"/>
        </w:rPr>
        <w:t>when</w:t>
      </w:r>
      <w:proofErr w:type="spellEnd"/>
      <w:r w:rsidRPr="00DB479F">
        <w:rPr>
          <w:rFonts w:ascii="Times New Roman" w:hAnsi="Times New Roman" w:cs="Times New Roman"/>
          <w:color w:val="000000"/>
        </w:rPr>
        <w:t xml:space="preserve"> the </w:t>
      </w:r>
      <w:proofErr w:type="spellStart"/>
      <w:r w:rsidRPr="00DB479F">
        <w:rPr>
          <w:rFonts w:ascii="Times New Roman" w:hAnsi="Times New Roman" w:cs="Times New Roman"/>
          <w:color w:val="000000"/>
        </w:rPr>
        <w:t>layer</w:t>
      </w:r>
      <w:proofErr w:type="spellEnd"/>
      <w:r w:rsidRPr="00DB479F">
        <w:rPr>
          <w:rFonts w:ascii="Times New Roman" w:hAnsi="Times New Roman" w:cs="Times New Roman"/>
          <w:color w:val="000000"/>
        </w:rPr>
        <w:t xml:space="preserve"> hosting the dike is more compliant than the upper layer, </w:t>
      </w:r>
      <w:r w:rsidRPr="00DB479F">
        <w:rPr>
          <w:rFonts w:ascii="Times New Roman" w:hAnsi="Times New Roman" w:cs="Times New Roman"/>
          <w:i/>
          <w:iCs/>
          <w:color w:val="000000"/>
        </w:rPr>
        <w:t>u</w:t>
      </w:r>
      <w:r w:rsidRPr="00DB479F">
        <w:rPr>
          <w:rStyle w:val="A5"/>
          <w:rFonts w:ascii="Times New Roman" w:hAnsi="Times New Roman" w:cs="Times New Roman"/>
          <w:sz w:val="24"/>
          <w:szCs w:val="24"/>
          <w:vertAlign w:val="subscript"/>
        </w:rPr>
        <w:t>z</w:t>
      </w:r>
      <w:r w:rsidRPr="00DB479F">
        <w:rPr>
          <w:rStyle w:val="A5"/>
          <w:rFonts w:ascii="Times New Roman" w:hAnsi="Times New Roman" w:cs="Times New Roman"/>
          <w:sz w:val="24"/>
          <w:szCs w:val="24"/>
        </w:rPr>
        <w:t xml:space="preserve"> </w:t>
      </w:r>
      <w:r w:rsidRPr="00DB479F">
        <w:rPr>
          <w:rFonts w:ascii="Times New Roman" w:hAnsi="Times New Roman" w:cs="Times New Roman"/>
          <w:color w:val="000000"/>
        </w:rPr>
        <w:t>is greatest in the layer hosting the dike (Figs. 2B and 2D). In this case when the inclined layer is stiff, the asymmetric deformation is more pro</w:t>
      </w:r>
      <w:r w:rsidRPr="00DB479F">
        <w:rPr>
          <w:rFonts w:ascii="Times New Roman" w:hAnsi="Times New Roman" w:cs="Times New Roman"/>
          <w:color w:val="000000"/>
        </w:rPr>
        <w:softHyphen/>
        <w:t>nounced when the stiffness contrast is great</w:t>
      </w:r>
      <w:r w:rsidRPr="00DB479F">
        <w:rPr>
          <w:rFonts w:ascii="Times New Roman" w:hAnsi="Times New Roman" w:cs="Times New Roman"/>
          <w:color w:val="000000"/>
        </w:rPr>
        <w:softHyphen/>
        <w:t xml:space="preserve">est (i.e., 1:100 rather than 1:10). Under these conditions, the maximum peak of </w:t>
      </w:r>
      <w:r w:rsidRPr="00DB479F">
        <w:rPr>
          <w:rFonts w:ascii="Times New Roman" w:hAnsi="Times New Roman" w:cs="Times New Roman"/>
          <w:i/>
          <w:iCs/>
          <w:color w:val="000000"/>
        </w:rPr>
        <w:t>u</w:t>
      </w:r>
      <w:r w:rsidRPr="00DB479F">
        <w:rPr>
          <w:rStyle w:val="A5"/>
          <w:rFonts w:ascii="Times New Roman" w:hAnsi="Times New Roman" w:cs="Times New Roman"/>
          <w:sz w:val="24"/>
          <w:szCs w:val="24"/>
          <w:vertAlign w:val="subscript"/>
        </w:rPr>
        <w:t>z</w:t>
      </w:r>
      <w:r w:rsidRPr="00DB479F">
        <w:rPr>
          <w:rStyle w:val="A5"/>
          <w:rFonts w:ascii="Times New Roman" w:hAnsi="Times New Roman" w:cs="Times New Roman"/>
          <w:sz w:val="24"/>
          <w:szCs w:val="24"/>
        </w:rPr>
        <w:t xml:space="preserve"> </w:t>
      </w:r>
      <w:r w:rsidRPr="00DB479F">
        <w:rPr>
          <w:rFonts w:ascii="Times New Roman" w:hAnsi="Times New Roman" w:cs="Times New Roman"/>
          <w:color w:val="000000"/>
        </w:rPr>
        <w:t>is located as much as 1.4 km (in the 45° model) farther away from the dike than compared with the non-layered model. However, the opposite is found when the inclined layer is compliant such that the larger stiffness contrast (100:1) demon</w:t>
      </w:r>
      <w:r w:rsidRPr="00DB479F">
        <w:rPr>
          <w:rFonts w:ascii="Times New Roman" w:hAnsi="Times New Roman" w:cs="Times New Roman"/>
          <w:color w:val="000000"/>
        </w:rPr>
        <w:softHyphen/>
        <w:t xml:space="preserve">strates a more symmetrical deformation pattern than the lower stiffness contrast (10:1). When the upper layer is compliant, the amount of </w:t>
      </w:r>
      <w:r w:rsidRPr="00DB479F">
        <w:rPr>
          <w:rFonts w:ascii="Times New Roman" w:hAnsi="Times New Roman" w:cs="Times New Roman"/>
          <w:i/>
          <w:iCs/>
          <w:color w:val="000000"/>
        </w:rPr>
        <w:t>u</w:t>
      </w:r>
      <w:r w:rsidRPr="00DB479F">
        <w:rPr>
          <w:rStyle w:val="A5"/>
          <w:rFonts w:ascii="Times New Roman" w:hAnsi="Times New Roman" w:cs="Times New Roman"/>
          <w:sz w:val="24"/>
          <w:szCs w:val="24"/>
          <w:vertAlign w:val="subscript"/>
        </w:rPr>
        <w:t>z</w:t>
      </w:r>
      <w:r w:rsidRPr="00DB479F">
        <w:rPr>
          <w:rStyle w:val="A5"/>
          <w:rFonts w:ascii="Times New Roman" w:hAnsi="Times New Roman" w:cs="Times New Roman"/>
          <w:sz w:val="24"/>
          <w:szCs w:val="24"/>
        </w:rPr>
        <w:t xml:space="preserve"> </w:t>
      </w:r>
      <w:r w:rsidRPr="00DB479F">
        <w:rPr>
          <w:rFonts w:ascii="Times New Roman" w:hAnsi="Times New Roman" w:cs="Times New Roman"/>
          <w:color w:val="000000"/>
        </w:rPr>
        <w:t xml:space="preserve">increases with layer inclination. For example, in the 10:1 case (Fig. 2C), for the upper layer dipping at 45° the maximum </w:t>
      </w:r>
      <w:r w:rsidRPr="00DB479F">
        <w:rPr>
          <w:rFonts w:ascii="Times New Roman" w:hAnsi="Times New Roman" w:cs="Times New Roman"/>
          <w:i/>
          <w:iCs/>
          <w:color w:val="000000"/>
        </w:rPr>
        <w:t>u</w:t>
      </w:r>
      <w:r w:rsidRPr="00DB479F">
        <w:rPr>
          <w:rStyle w:val="A5"/>
          <w:rFonts w:ascii="Times New Roman" w:hAnsi="Times New Roman" w:cs="Times New Roman"/>
          <w:sz w:val="24"/>
          <w:szCs w:val="24"/>
          <w:vertAlign w:val="subscript"/>
        </w:rPr>
        <w:t>z</w:t>
      </w:r>
      <w:r w:rsidRPr="00DB479F">
        <w:rPr>
          <w:rStyle w:val="A5"/>
          <w:rFonts w:ascii="Times New Roman" w:hAnsi="Times New Roman" w:cs="Times New Roman"/>
          <w:sz w:val="24"/>
          <w:szCs w:val="24"/>
        </w:rPr>
        <w:t xml:space="preserve"> </w:t>
      </w:r>
      <w:r w:rsidRPr="00DB479F">
        <w:rPr>
          <w:rFonts w:ascii="Times New Roman" w:hAnsi="Times New Roman" w:cs="Times New Roman"/>
          <w:color w:val="000000"/>
        </w:rPr>
        <w:t xml:space="preserve">is 19 cm, at 25° is 16.3 cm, and at 10° is 13.5 cm. The opposite pattern is observed when the upper layer is stiff, such that the amount of </w:t>
      </w:r>
      <w:r w:rsidRPr="00DB479F">
        <w:rPr>
          <w:rFonts w:ascii="Times New Roman" w:hAnsi="Times New Roman" w:cs="Times New Roman"/>
          <w:i/>
          <w:iCs/>
          <w:color w:val="000000"/>
        </w:rPr>
        <w:t>u</w:t>
      </w:r>
      <w:r w:rsidRPr="00DB479F">
        <w:rPr>
          <w:rStyle w:val="A5"/>
          <w:rFonts w:ascii="Times New Roman" w:hAnsi="Times New Roman" w:cs="Times New Roman"/>
          <w:sz w:val="24"/>
          <w:szCs w:val="24"/>
        </w:rPr>
        <w:t xml:space="preserve">z </w:t>
      </w:r>
      <w:r w:rsidRPr="00DB479F">
        <w:rPr>
          <w:rFonts w:ascii="Times New Roman" w:hAnsi="Times New Roman" w:cs="Times New Roman"/>
          <w:color w:val="000000"/>
        </w:rPr>
        <w:t xml:space="preserve">decreases with layer inclination. </w:t>
      </w:r>
      <w:r w:rsidRPr="00DB479F">
        <w:rPr>
          <w:rFonts w:ascii="Times New Roman" w:hAnsi="Times New Roman" w:cs="Times New Roman"/>
          <w:color w:val="000000"/>
          <w:lang w:val="en-US"/>
        </w:rPr>
        <w:t>For example, in the 1:10 case with the layer dipping at 10° the maximum vertical</w:t>
      </w:r>
      <w:r w:rsidRPr="00DB479F">
        <w:rPr>
          <w:rFonts w:ascii="Times New Roman" w:hAnsi="Times New Roman" w:cs="Times New Roman"/>
          <w:color w:val="000000"/>
          <w:lang w:val="en-US"/>
        </w:rPr>
        <w:t xml:space="preserve"> </w:t>
      </w:r>
      <w:r w:rsidRPr="00DB479F">
        <w:rPr>
          <w:rFonts w:ascii="Times New Roman" w:hAnsi="Times New Roman" w:cs="Times New Roman"/>
          <w:color w:val="000000"/>
          <w:lang w:val="en-US"/>
        </w:rPr>
        <w:t>displacement is 83 cm, at 25° is 51 cm, and at 45° is 29 cm (Fig. 2D).</w:t>
      </w:r>
    </w:p>
    <w:p w14:paraId="4C607462" w14:textId="2A95B7CE" w:rsidR="00DB479F" w:rsidRDefault="00DB479F" w:rsidP="00DB479F">
      <w:pPr>
        <w:pStyle w:val="Default"/>
        <w:rPr>
          <w:lang w:val="en-US"/>
        </w:rPr>
      </w:pPr>
    </w:p>
    <w:p w14:paraId="4CB91DA5" w14:textId="49829C27" w:rsidR="00DB479F" w:rsidRDefault="00DB479F" w:rsidP="00DB479F">
      <w:pPr>
        <w:pStyle w:val="Default"/>
        <w:spacing w:line="480" w:lineRule="auto"/>
        <w:rPr>
          <w:b/>
          <w:bCs/>
          <w:lang w:val="en-US"/>
        </w:rPr>
      </w:pPr>
      <w:r w:rsidRPr="00DB479F">
        <w:rPr>
          <w:b/>
          <w:bCs/>
          <w:lang w:val="en-US"/>
        </w:rPr>
        <w:t>HORIZONTAL GROUND DISPLACEMENTS</w:t>
      </w:r>
    </w:p>
    <w:p w14:paraId="32AD60DB" w14:textId="2DD0D45B" w:rsidR="00DB479F" w:rsidRDefault="00DB479F" w:rsidP="00DB479F">
      <w:pPr>
        <w:pStyle w:val="Default"/>
        <w:spacing w:line="480" w:lineRule="auto"/>
        <w:rPr>
          <w:b/>
          <w:bCs/>
          <w:lang w:val="en-US"/>
        </w:rPr>
      </w:pPr>
    </w:p>
    <w:p w14:paraId="3F6F634D" w14:textId="1456114F" w:rsidR="00DB479F" w:rsidRDefault="00DB479F" w:rsidP="00DB479F">
      <w:pPr>
        <w:pStyle w:val="Default"/>
        <w:spacing w:line="480" w:lineRule="auto"/>
        <w:jc w:val="both"/>
        <w:rPr>
          <w:rFonts w:ascii="Times New Roman" w:hAnsi="Times New Roman" w:cs="Times New Roman"/>
          <w:lang w:val="en-US"/>
        </w:rPr>
      </w:pPr>
      <w:r w:rsidRPr="00DB479F">
        <w:rPr>
          <w:rFonts w:ascii="Times New Roman" w:hAnsi="Times New Roman" w:cs="Times New Roman"/>
          <w:lang w:val="en-US"/>
        </w:rPr>
        <w:lastRenderedPageBreak/>
        <w:t>Figure 3 reports horizontal ground displace</w:t>
      </w:r>
      <w:r w:rsidRPr="00DB479F">
        <w:rPr>
          <w:rFonts w:ascii="Times New Roman" w:hAnsi="Times New Roman" w:cs="Times New Roman"/>
          <w:lang w:val="en-US"/>
        </w:rPr>
        <w:softHyphen/>
        <w:t>ments (</w:t>
      </w:r>
      <w:r w:rsidRPr="00DB479F">
        <w:rPr>
          <w:rFonts w:ascii="Times New Roman" w:hAnsi="Times New Roman" w:cs="Times New Roman"/>
          <w:i/>
          <w:iCs/>
          <w:lang w:val="en-US"/>
        </w:rPr>
        <w:t>u</w:t>
      </w:r>
      <w:r w:rsidRPr="00DB479F">
        <w:rPr>
          <w:rStyle w:val="A5"/>
          <w:rFonts w:ascii="Times New Roman" w:hAnsi="Times New Roman" w:cs="Times New Roman"/>
          <w:sz w:val="24"/>
          <w:szCs w:val="24"/>
          <w:vertAlign w:val="subscript"/>
          <w:lang w:val="en-US"/>
        </w:rPr>
        <w:t>x</w:t>
      </w:r>
      <w:r w:rsidRPr="00DB479F">
        <w:rPr>
          <w:rFonts w:ascii="Times New Roman" w:hAnsi="Times New Roman" w:cs="Times New Roman"/>
          <w:lang w:val="en-US"/>
        </w:rPr>
        <w:t xml:space="preserve">) of the model domain for the Young’s modulus ratios </w:t>
      </w:r>
      <w:proofErr w:type="gramStart"/>
      <w:r w:rsidRPr="00DB479F">
        <w:rPr>
          <w:rFonts w:ascii="Times New Roman" w:hAnsi="Times New Roman" w:cs="Times New Roman"/>
          <w:lang w:val="en-US"/>
        </w:rPr>
        <w:t>tested</w:t>
      </w:r>
      <w:proofErr w:type="gramEnd"/>
      <w:r w:rsidRPr="00DB479F">
        <w:rPr>
          <w:rFonts w:ascii="Times New Roman" w:hAnsi="Times New Roman" w:cs="Times New Roman"/>
          <w:lang w:val="en-US"/>
        </w:rPr>
        <w:t xml:space="preserve"> where the position of the center of the dike is again marked at zero. In both the non-layered and horizontally layered models, the </w:t>
      </w:r>
      <w:r w:rsidRPr="00DB479F">
        <w:rPr>
          <w:rFonts w:ascii="Times New Roman" w:hAnsi="Times New Roman" w:cs="Times New Roman"/>
          <w:i/>
          <w:iCs/>
          <w:lang w:val="en-US"/>
        </w:rPr>
        <w:t>u</w:t>
      </w:r>
      <w:r w:rsidRPr="00DB479F">
        <w:rPr>
          <w:rStyle w:val="A5"/>
          <w:rFonts w:ascii="Times New Roman" w:hAnsi="Times New Roman" w:cs="Times New Roman"/>
          <w:sz w:val="24"/>
          <w:szCs w:val="24"/>
          <w:vertAlign w:val="subscript"/>
          <w:lang w:val="en-US"/>
        </w:rPr>
        <w:t>x</w:t>
      </w:r>
      <w:r w:rsidRPr="00DB479F">
        <w:rPr>
          <w:rStyle w:val="A5"/>
          <w:rFonts w:ascii="Times New Roman" w:hAnsi="Times New Roman" w:cs="Times New Roman"/>
          <w:sz w:val="24"/>
          <w:szCs w:val="24"/>
          <w:lang w:val="en-US"/>
        </w:rPr>
        <w:t xml:space="preserve"> </w:t>
      </w:r>
      <w:r w:rsidRPr="00DB479F">
        <w:rPr>
          <w:rFonts w:ascii="Times New Roman" w:hAnsi="Times New Roman" w:cs="Times New Roman"/>
          <w:lang w:val="en-US"/>
        </w:rPr>
        <w:t xml:space="preserve">is symmetrically distributed and peaks between 4.4 km and 7 km on either side of the dike. In these results, the component of horizontal displacement </w:t>
      </w:r>
      <w:proofErr w:type="gramStart"/>
      <w:r w:rsidRPr="00DB479F">
        <w:rPr>
          <w:rFonts w:ascii="Times New Roman" w:hAnsi="Times New Roman" w:cs="Times New Roman"/>
          <w:lang w:val="en-US"/>
        </w:rPr>
        <w:t>is oriented</w:t>
      </w:r>
      <w:proofErr w:type="gramEnd"/>
      <w:r w:rsidRPr="00DB479F">
        <w:rPr>
          <w:rFonts w:ascii="Times New Roman" w:hAnsi="Times New Roman" w:cs="Times New Roman"/>
          <w:lang w:val="en-US"/>
        </w:rPr>
        <w:t xml:space="preserve"> with respect to the center of displacement above the dike, such that negative horizontal displacement sim</w:t>
      </w:r>
      <w:r w:rsidRPr="00DB479F">
        <w:rPr>
          <w:rFonts w:ascii="Times New Roman" w:hAnsi="Times New Roman" w:cs="Times New Roman"/>
          <w:lang w:val="en-US"/>
        </w:rPr>
        <w:softHyphen/>
        <w:t xml:space="preserve">ply represents ground movement in the opposite direction with respect to the positive values. In all cases, the overall deformation signal is extensional, such that each side of the model domain above the dike moves away from the other, as expected during dike emplacement. However, when the modeled layers are inclined, the amount of </w:t>
      </w:r>
      <w:r w:rsidRPr="00DB479F">
        <w:rPr>
          <w:rFonts w:ascii="Times New Roman" w:hAnsi="Times New Roman" w:cs="Times New Roman"/>
          <w:i/>
          <w:iCs/>
          <w:lang w:val="en-US"/>
        </w:rPr>
        <w:t>u</w:t>
      </w:r>
      <w:r w:rsidRPr="00DB479F">
        <w:rPr>
          <w:rStyle w:val="A5"/>
          <w:rFonts w:ascii="Times New Roman" w:hAnsi="Times New Roman" w:cs="Times New Roman"/>
          <w:sz w:val="24"/>
          <w:szCs w:val="24"/>
          <w:vertAlign w:val="subscript"/>
          <w:lang w:val="en-US"/>
        </w:rPr>
        <w:t>x</w:t>
      </w:r>
      <w:r w:rsidRPr="00DB479F">
        <w:rPr>
          <w:rStyle w:val="A5"/>
          <w:rFonts w:ascii="Times New Roman" w:hAnsi="Times New Roman" w:cs="Times New Roman"/>
          <w:sz w:val="24"/>
          <w:szCs w:val="24"/>
          <w:lang w:val="en-US"/>
        </w:rPr>
        <w:t xml:space="preserve"> </w:t>
      </w:r>
      <w:r w:rsidRPr="00DB479F">
        <w:rPr>
          <w:rFonts w:ascii="Times New Roman" w:hAnsi="Times New Roman" w:cs="Times New Roman"/>
          <w:lang w:val="en-US"/>
        </w:rPr>
        <w:t>is different above the area with the inclined layer than the area without the layer and so the extension is asymmetric. This effect is most pronounced when the inclined layer is stiffer than the layer hosting the dike (Figs. 3B and 3D). In this case, the maximum peak offset is located 2.4 km farther away compared to the horizontally layered model for an inclination of 10° and 1.1 km farther away from the non-lay</w:t>
      </w:r>
      <w:r w:rsidRPr="00DB479F">
        <w:rPr>
          <w:rFonts w:ascii="Times New Roman" w:hAnsi="Times New Roman" w:cs="Times New Roman"/>
          <w:lang w:val="en-US"/>
        </w:rPr>
        <w:softHyphen/>
        <w:t xml:space="preserve">ered model for an inclination of 45°. When the inclined layer is compliant (Figs. 3A and 3C), the amount of </w:t>
      </w:r>
      <w:r w:rsidRPr="00DB479F">
        <w:rPr>
          <w:rFonts w:ascii="Times New Roman" w:hAnsi="Times New Roman" w:cs="Times New Roman"/>
          <w:i/>
          <w:iCs/>
          <w:lang w:val="en-US"/>
        </w:rPr>
        <w:t>u</w:t>
      </w:r>
      <w:r w:rsidRPr="00DB479F">
        <w:rPr>
          <w:rStyle w:val="A5"/>
          <w:rFonts w:ascii="Times New Roman" w:hAnsi="Times New Roman" w:cs="Times New Roman"/>
          <w:sz w:val="24"/>
          <w:szCs w:val="24"/>
          <w:vertAlign w:val="subscript"/>
          <w:lang w:val="en-US"/>
        </w:rPr>
        <w:t>x</w:t>
      </w:r>
      <w:r w:rsidRPr="00DB479F">
        <w:rPr>
          <w:rStyle w:val="A5"/>
          <w:rFonts w:ascii="Times New Roman" w:hAnsi="Times New Roman" w:cs="Times New Roman"/>
          <w:sz w:val="24"/>
          <w:szCs w:val="24"/>
          <w:lang w:val="en-US"/>
        </w:rPr>
        <w:t xml:space="preserve"> </w:t>
      </w:r>
      <w:r w:rsidRPr="00DB479F">
        <w:rPr>
          <w:rFonts w:ascii="Times New Roman" w:hAnsi="Times New Roman" w:cs="Times New Roman"/>
          <w:lang w:val="en-US"/>
        </w:rPr>
        <w:t>recorded over the inclined layer increases with layer inclination. For example, in the 10:1 case (Fig. 3C), with the layer dip</w:t>
      </w:r>
      <w:r w:rsidRPr="00DB479F">
        <w:rPr>
          <w:rFonts w:ascii="Times New Roman" w:hAnsi="Times New Roman" w:cs="Times New Roman"/>
          <w:lang w:val="en-US"/>
        </w:rPr>
        <w:softHyphen/>
        <w:t xml:space="preserve">ping at 45° the maximum </w:t>
      </w:r>
      <w:r w:rsidRPr="00DB479F">
        <w:rPr>
          <w:rFonts w:ascii="Times New Roman" w:hAnsi="Times New Roman" w:cs="Times New Roman"/>
          <w:i/>
          <w:iCs/>
          <w:lang w:val="en-US"/>
        </w:rPr>
        <w:t>u</w:t>
      </w:r>
      <w:r w:rsidRPr="00DB479F">
        <w:rPr>
          <w:rStyle w:val="A5"/>
          <w:rFonts w:ascii="Times New Roman" w:hAnsi="Times New Roman" w:cs="Times New Roman"/>
          <w:sz w:val="24"/>
          <w:szCs w:val="24"/>
          <w:vertAlign w:val="subscript"/>
          <w:lang w:val="en-US"/>
        </w:rPr>
        <w:t>x</w:t>
      </w:r>
      <w:r w:rsidRPr="00DB479F">
        <w:rPr>
          <w:rStyle w:val="A5"/>
          <w:rFonts w:ascii="Times New Roman" w:hAnsi="Times New Roman" w:cs="Times New Roman"/>
          <w:sz w:val="24"/>
          <w:szCs w:val="24"/>
          <w:lang w:val="en-US"/>
        </w:rPr>
        <w:t xml:space="preserve"> </w:t>
      </w:r>
      <w:r w:rsidRPr="00DB479F">
        <w:rPr>
          <w:rFonts w:ascii="Times New Roman" w:hAnsi="Times New Roman" w:cs="Times New Roman"/>
          <w:lang w:val="en-US"/>
        </w:rPr>
        <w:t>is 29.1 cm, at 25° is 25.1 cm, and at 10° is 19.9 cm. As observed for vertical ground deformation, the amount of horizontal surface deformation recorded over the inclined layer decreases with layer inclination when the layer above the dike is stiff. This effect is more pronounced when the stiffness ratio is 1:10 as observed in Figure 3D. In this case, the maximum horizontal deformation with the layer dipping at 10° is 42.2 cm, at 25° is 34.6 cm, and at 45° is 25.6 cm.</w:t>
      </w:r>
    </w:p>
    <w:p w14:paraId="2F5DBDD9" w14:textId="5C801C74" w:rsidR="00DB479F" w:rsidRDefault="00DB479F" w:rsidP="00DB479F">
      <w:pPr>
        <w:pStyle w:val="Default"/>
        <w:spacing w:line="480" w:lineRule="auto"/>
        <w:jc w:val="both"/>
        <w:rPr>
          <w:rFonts w:ascii="Times New Roman" w:hAnsi="Times New Roman" w:cs="Times New Roman"/>
          <w:lang w:val="en-US"/>
        </w:rPr>
      </w:pPr>
    </w:p>
    <w:p w14:paraId="11184B3E" w14:textId="0E675956" w:rsidR="00DB479F" w:rsidRDefault="00DB479F" w:rsidP="00DB479F">
      <w:pPr>
        <w:pStyle w:val="Default"/>
        <w:spacing w:line="480" w:lineRule="auto"/>
        <w:jc w:val="both"/>
        <w:rPr>
          <w:rFonts w:ascii="Times New Roman" w:hAnsi="Times New Roman" w:cs="Times New Roman"/>
          <w:b/>
          <w:bCs/>
          <w:lang w:val="en-US"/>
        </w:rPr>
      </w:pPr>
      <w:r w:rsidRPr="00DB479F">
        <w:rPr>
          <w:rFonts w:ascii="Times New Roman" w:hAnsi="Times New Roman" w:cs="Times New Roman"/>
          <w:b/>
          <w:bCs/>
          <w:lang w:val="en-US"/>
        </w:rPr>
        <w:lastRenderedPageBreak/>
        <w:t>DISCUSSION AND CONCLUSION</w:t>
      </w:r>
    </w:p>
    <w:p w14:paraId="2DDAE3A1" w14:textId="6C0AEC10" w:rsidR="00DB479F" w:rsidRDefault="00DB479F" w:rsidP="00DB479F">
      <w:pPr>
        <w:pStyle w:val="Default"/>
        <w:spacing w:line="480" w:lineRule="auto"/>
        <w:jc w:val="both"/>
        <w:rPr>
          <w:rFonts w:ascii="Times New Roman" w:hAnsi="Times New Roman" w:cs="Times New Roman"/>
          <w:b/>
          <w:bCs/>
          <w:lang w:val="en-US"/>
        </w:rPr>
      </w:pPr>
    </w:p>
    <w:p w14:paraId="7A0F1473" w14:textId="5A168C1D" w:rsidR="00DB479F" w:rsidRDefault="00DB479F" w:rsidP="00DB479F">
      <w:pPr>
        <w:pStyle w:val="Default"/>
        <w:spacing w:line="480" w:lineRule="auto"/>
        <w:jc w:val="both"/>
        <w:rPr>
          <w:rFonts w:ascii="Times New Roman" w:hAnsi="Times New Roman" w:cs="Times New Roman"/>
          <w:sz w:val="22"/>
          <w:szCs w:val="22"/>
          <w:lang w:val="en-US"/>
        </w:rPr>
      </w:pPr>
      <w:r w:rsidRPr="00DB479F">
        <w:rPr>
          <w:rFonts w:ascii="Times New Roman" w:hAnsi="Times New Roman" w:cs="Times New Roman"/>
          <w:lang w:val="en-US"/>
        </w:rPr>
        <w:t>Our results indicate that for any study attempting to invert ground deformation mea</w:t>
      </w:r>
      <w:r w:rsidRPr="00DB479F">
        <w:rPr>
          <w:rFonts w:ascii="Times New Roman" w:hAnsi="Times New Roman" w:cs="Times New Roman"/>
          <w:lang w:val="en-US"/>
        </w:rPr>
        <w:softHyphen/>
        <w:t>surements to determine dike emplacement pro</w:t>
      </w:r>
      <w:r w:rsidRPr="00DB479F">
        <w:rPr>
          <w:rFonts w:ascii="Times New Roman" w:hAnsi="Times New Roman" w:cs="Times New Roman"/>
          <w:lang w:val="en-US"/>
        </w:rPr>
        <w:softHyphen/>
        <w:t xml:space="preserve">cesses, it is necessary to constrain, as best as possible, both the mechanical properties of the geological units and their attitudes, especially the amount by which the layers dip. Figure 4 shows the change in vertical and horizontal ground deformation with respect to the non-layered cases recorded for each tested stiffness ratio and layer inclination. The comparison highlights that layer inclination in the stiff-to-compliant setup (high </w:t>
      </w:r>
      <w:r w:rsidRPr="00DB479F">
        <w:rPr>
          <w:rFonts w:ascii="Times New Roman" w:hAnsi="Times New Roman" w:cs="Times New Roman"/>
          <w:i/>
          <w:iCs/>
          <w:lang w:val="en-US"/>
        </w:rPr>
        <w:t>E</w:t>
      </w:r>
      <w:r w:rsidRPr="005329E0">
        <w:rPr>
          <w:rStyle w:val="A5"/>
          <w:rFonts w:ascii="Times New Roman" w:hAnsi="Times New Roman" w:cs="Times New Roman"/>
          <w:sz w:val="24"/>
          <w:szCs w:val="24"/>
          <w:vertAlign w:val="subscript"/>
          <w:lang w:val="en-US"/>
        </w:rPr>
        <w:t>1</w:t>
      </w:r>
      <w:r w:rsidRPr="00DB479F">
        <w:rPr>
          <w:rFonts w:ascii="Times New Roman" w:hAnsi="Times New Roman" w:cs="Times New Roman"/>
          <w:lang w:val="en-US"/>
        </w:rPr>
        <w:t xml:space="preserve">, low </w:t>
      </w:r>
      <w:r w:rsidRPr="00DB479F">
        <w:rPr>
          <w:rFonts w:ascii="Times New Roman" w:hAnsi="Times New Roman" w:cs="Times New Roman"/>
          <w:i/>
          <w:iCs/>
          <w:lang w:val="en-US"/>
        </w:rPr>
        <w:t>E</w:t>
      </w:r>
      <w:r w:rsidRPr="005329E0">
        <w:rPr>
          <w:rStyle w:val="A5"/>
          <w:rFonts w:ascii="Times New Roman" w:hAnsi="Times New Roman" w:cs="Times New Roman"/>
          <w:sz w:val="24"/>
          <w:szCs w:val="24"/>
          <w:vertAlign w:val="subscript"/>
          <w:lang w:val="en-US"/>
        </w:rPr>
        <w:t>2</w:t>
      </w:r>
      <w:r w:rsidRPr="00DB479F">
        <w:rPr>
          <w:rFonts w:ascii="Times New Roman" w:hAnsi="Times New Roman" w:cs="Times New Roman"/>
          <w:lang w:val="en-US"/>
        </w:rPr>
        <w:t xml:space="preserve">) </w:t>
      </w:r>
      <w:r w:rsidRPr="005329E0">
        <w:rPr>
          <w:rFonts w:ascii="Times New Roman" w:hAnsi="Times New Roman" w:cs="Times New Roman"/>
          <w:lang w:val="en-US"/>
        </w:rPr>
        <w:t>is a principal</w:t>
      </w:r>
      <w:r w:rsidRPr="005329E0">
        <w:rPr>
          <w:rFonts w:ascii="Times New Roman" w:hAnsi="Times New Roman" w:cs="Times New Roman"/>
          <w:lang w:val="en-US"/>
        </w:rPr>
        <w:t xml:space="preserve"> </w:t>
      </w:r>
      <w:r w:rsidRPr="005329E0">
        <w:rPr>
          <w:rFonts w:ascii="Times New Roman" w:hAnsi="Times New Roman" w:cs="Times New Roman"/>
          <w:lang w:val="en-US"/>
        </w:rPr>
        <w:t xml:space="preserve">contributor to increasing surface deformation, while in the compliant-to-stiff setup (low </w:t>
      </w:r>
      <w:r w:rsidRPr="005329E0">
        <w:rPr>
          <w:rFonts w:ascii="Times New Roman" w:hAnsi="Times New Roman" w:cs="Times New Roman"/>
          <w:i/>
          <w:iCs/>
          <w:lang w:val="en-US"/>
        </w:rPr>
        <w:t>E</w:t>
      </w:r>
      <w:r w:rsidRPr="005329E0">
        <w:rPr>
          <w:rStyle w:val="A5"/>
          <w:rFonts w:ascii="Times New Roman" w:hAnsi="Times New Roman" w:cs="Times New Roman"/>
          <w:sz w:val="24"/>
          <w:szCs w:val="24"/>
          <w:vertAlign w:val="subscript"/>
          <w:lang w:val="en-US"/>
        </w:rPr>
        <w:t>1</w:t>
      </w:r>
      <w:r w:rsidRPr="005329E0">
        <w:rPr>
          <w:rFonts w:ascii="Times New Roman" w:hAnsi="Times New Roman" w:cs="Times New Roman"/>
          <w:lang w:val="en-US"/>
        </w:rPr>
        <w:t xml:space="preserve">, high </w:t>
      </w:r>
      <w:r w:rsidRPr="005329E0">
        <w:rPr>
          <w:rFonts w:ascii="Times New Roman" w:hAnsi="Times New Roman" w:cs="Times New Roman"/>
          <w:i/>
          <w:iCs/>
          <w:lang w:val="en-US"/>
        </w:rPr>
        <w:t>E</w:t>
      </w:r>
      <w:r w:rsidRPr="005329E0">
        <w:rPr>
          <w:rStyle w:val="A5"/>
          <w:rFonts w:ascii="Times New Roman" w:hAnsi="Times New Roman" w:cs="Times New Roman"/>
          <w:sz w:val="24"/>
          <w:szCs w:val="24"/>
          <w:vertAlign w:val="subscript"/>
          <w:lang w:val="en-US"/>
        </w:rPr>
        <w:t>2</w:t>
      </w:r>
      <w:r w:rsidRPr="005329E0">
        <w:rPr>
          <w:rFonts w:ascii="Times New Roman" w:hAnsi="Times New Roman" w:cs="Times New Roman"/>
          <w:lang w:val="en-US"/>
        </w:rPr>
        <w:t>) is a principal contributor to decreas</w:t>
      </w:r>
      <w:r w:rsidRPr="005329E0">
        <w:rPr>
          <w:rFonts w:ascii="Times New Roman" w:hAnsi="Times New Roman" w:cs="Times New Roman"/>
          <w:lang w:val="en-US"/>
        </w:rPr>
        <w:softHyphen/>
        <w:t>ing surface displacement. A series of model fits describe the relationship between changes in ground displacement, layer inclination, and stiff</w:t>
      </w:r>
      <w:r w:rsidRPr="005329E0">
        <w:rPr>
          <w:rFonts w:ascii="Times New Roman" w:hAnsi="Times New Roman" w:cs="Times New Roman"/>
          <w:lang w:val="en-US"/>
        </w:rPr>
        <w:softHyphen/>
        <w:t>ness ratios. We suggest that when the geology of a volcanic zone is well characterized in terms of the rock mechanical properties and attitudes, it should be possible to derive a similar series of curves so as to be able to estimate the contribu</w:t>
      </w:r>
      <w:r w:rsidRPr="005329E0">
        <w:rPr>
          <w:rFonts w:ascii="Times New Roman" w:hAnsi="Times New Roman" w:cs="Times New Roman"/>
          <w:lang w:val="en-US"/>
        </w:rPr>
        <w:softHyphen/>
        <w:t>tion of the component of ground deformation associated specifically with the layered sequence amplification effect reported.</w:t>
      </w:r>
    </w:p>
    <w:p w14:paraId="2E0A22AE" w14:textId="4296A812" w:rsidR="00DB479F" w:rsidRDefault="00DB479F" w:rsidP="00DB479F">
      <w:pPr>
        <w:pStyle w:val="Default"/>
        <w:spacing w:line="480" w:lineRule="auto"/>
        <w:jc w:val="both"/>
        <w:rPr>
          <w:rFonts w:ascii="Times New Roman" w:hAnsi="Times New Roman" w:cs="Times New Roman"/>
          <w:sz w:val="22"/>
          <w:szCs w:val="22"/>
          <w:lang w:val="en-US"/>
        </w:rPr>
      </w:pPr>
    </w:p>
    <w:p w14:paraId="28BA97AD" w14:textId="49793CA5" w:rsidR="00DB479F" w:rsidRDefault="00DB479F" w:rsidP="00DB479F">
      <w:pPr>
        <w:pStyle w:val="Default"/>
        <w:spacing w:line="480" w:lineRule="auto"/>
        <w:jc w:val="both"/>
        <w:rPr>
          <w:rFonts w:ascii="Times New Roman" w:hAnsi="Times New Roman" w:cs="Times New Roman"/>
          <w:lang w:val="en-US"/>
        </w:rPr>
      </w:pPr>
      <w:r w:rsidRPr="00DB479F">
        <w:rPr>
          <w:rFonts w:ascii="Times New Roman" w:hAnsi="Times New Roman" w:cs="Times New Roman"/>
          <w:lang w:val="en-US"/>
        </w:rPr>
        <w:t>Our numerical results can be explained by considering the area of the different modeled rock layers which in nature are represented as rock volumes. The angle at which each individ</w:t>
      </w:r>
      <w:r w:rsidRPr="00DB479F">
        <w:rPr>
          <w:rFonts w:ascii="Times New Roman" w:hAnsi="Times New Roman" w:cs="Times New Roman"/>
          <w:lang w:val="en-US"/>
        </w:rPr>
        <w:softHyphen/>
        <w:t>ual unit dips would alter the amount of deform</w:t>
      </w:r>
      <w:r w:rsidRPr="00DB479F">
        <w:rPr>
          <w:rFonts w:ascii="Times New Roman" w:hAnsi="Times New Roman" w:cs="Times New Roman"/>
          <w:lang w:val="en-US"/>
        </w:rPr>
        <w:softHyphen/>
        <w:t xml:space="preserve">able available material because the area of the upper layer changes depending on the angle of inclination (Fig. 4C). The displacement amount increases or decreases because the area of the stiff layer reduces or increases with respect to the area of the compliant layer. As we show in our results, the larger the area of </w:t>
      </w:r>
      <w:r w:rsidRPr="00DB479F">
        <w:rPr>
          <w:rFonts w:ascii="Times New Roman" w:hAnsi="Times New Roman" w:cs="Times New Roman"/>
          <w:lang w:val="en-US"/>
        </w:rPr>
        <w:lastRenderedPageBreak/>
        <w:t>the stiff unit, the less the deformation and vice versa, and in these simplistic models it is the angle of inclination of the contact between the units that controls the area. It is then expected, and quantifiable, that the area over which compli</w:t>
      </w:r>
      <w:r w:rsidRPr="00DB479F">
        <w:rPr>
          <w:rFonts w:ascii="Times New Roman" w:hAnsi="Times New Roman" w:cs="Times New Roman"/>
          <w:lang w:val="en-US"/>
        </w:rPr>
        <w:softHyphen/>
        <w:t>ant or stiff rocks are located would deform more or less as a function of both the rocks’ Young’s modulus and area. In nature, the calculation of layer areas would likely be more complex and involve multiple layers, but the physical processes described here remain. Fur</w:t>
      </w:r>
      <w:r w:rsidRPr="00DB479F">
        <w:rPr>
          <w:rFonts w:ascii="Times New Roman" w:hAnsi="Times New Roman" w:cs="Times New Roman"/>
          <w:lang w:val="en-US"/>
        </w:rPr>
        <w:softHyphen/>
        <w:t>ther work should aim to fully characterize both the mechanical properties and layer geometries of crustal zones hosting volcanoes in order to delineate their relative influence on recorded surface displacements.</w:t>
      </w:r>
    </w:p>
    <w:p w14:paraId="4B186E77" w14:textId="6DE8F44D" w:rsidR="00DB479F" w:rsidRDefault="00DB479F" w:rsidP="00DB479F">
      <w:pPr>
        <w:pStyle w:val="Default"/>
        <w:spacing w:line="480" w:lineRule="auto"/>
        <w:jc w:val="both"/>
        <w:rPr>
          <w:rFonts w:ascii="Times New Roman" w:hAnsi="Times New Roman" w:cs="Times New Roman"/>
          <w:lang w:val="en-US"/>
        </w:rPr>
      </w:pPr>
    </w:p>
    <w:p w14:paraId="250E332A" w14:textId="30E27329" w:rsidR="00CC237C" w:rsidRDefault="00DB479F" w:rsidP="00CC237C">
      <w:pPr>
        <w:pStyle w:val="Default"/>
        <w:spacing w:line="480" w:lineRule="auto"/>
        <w:jc w:val="both"/>
        <w:rPr>
          <w:rFonts w:ascii="Times New Roman" w:hAnsi="Times New Roman" w:cs="Times New Roman"/>
          <w:lang w:val="en-US"/>
        </w:rPr>
      </w:pPr>
      <w:r w:rsidRPr="00DB479F">
        <w:rPr>
          <w:rFonts w:ascii="Times New Roman" w:hAnsi="Times New Roman" w:cs="Times New Roman"/>
          <w:lang w:val="en-US"/>
        </w:rPr>
        <w:t>Our models have shown that the combination of mechanical heterogeneity (e.g., Masterlark, 2007) and layer inclination can substantially alter dike-induced ground deformation signals, which can become highly asymmetric and as much as 40× different than if assuming a homogeneous elastic half-space model. The asymmet</w:t>
      </w:r>
      <w:r w:rsidRPr="00DB479F">
        <w:rPr>
          <w:rFonts w:ascii="Times New Roman" w:hAnsi="Times New Roman" w:cs="Times New Roman"/>
          <w:lang w:val="en-US"/>
        </w:rPr>
        <w:softHyphen/>
        <w:t>ric ground deformation profiles demonstrated are similar to those generated in other numerical and analogue models of inclined-sheet emplace</w:t>
      </w:r>
      <w:r w:rsidRPr="00DB479F">
        <w:rPr>
          <w:rFonts w:ascii="Times New Roman" w:hAnsi="Times New Roman" w:cs="Times New Roman"/>
          <w:lang w:val="en-US"/>
        </w:rPr>
        <w:softHyphen/>
        <w:t>ment (e.g., Kavanagh et al., 2018; Bazargan and Gudmundsson, 2020). This suggests that it is equally important to consider the geometry of the rock units into which a magmatic intru</w:t>
      </w:r>
      <w:r w:rsidRPr="00DB479F">
        <w:rPr>
          <w:rFonts w:ascii="Times New Roman" w:hAnsi="Times New Roman" w:cs="Times New Roman"/>
          <w:lang w:val="en-US"/>
        </w:rPr>
        <w:softHyphen/>
        <w:t>sion emplaces as well as the intrusion geom</w:t>
      </w:r>
      <w:r w:rsidRPr="00DB479F">
        <w:rPr>
          <w:rFonts w:ascii="Times New Roman" w:hAnsi="Times New Roman" w:cs="Times New Roman"/>
          <w:lang w:val="en-US"/>
        </w:rPr>
        <w:softHyphen/>
        <w:t>etry because similar deformation signals could be generated by vertical or inclined intrusions depending on the presence of an inclined and stratified layered sequence. While in our models the ground surface is flat, further complexities may arise when introducing both topography</w:t>
      </w:r>
      <w:r w:rsidR="00CC237C">
        <w:rPr>
          <w:rFonts w:ascii="Times New Roman" w:hAnsi="Times New Roman" w:cs="Times New Roman"/>
          <w:lang w:val="en-US"/>
        </w:rPr>
        <w:t xml:space="preserve"> </w:t>
      </w:r>
      <w:r w:rsidR="00CC237C" w:rsidRPr="00CC237C">
        <w:rPr>
          <w:rFonts w:ascii="Times New Roman" w:hAnsi="Times New Roman" w:cs="Times New Roman"/>
          <w:lang w:val="en-US"/>
        </w:rPr>
        <w:t xml:space="preserve">(e.g., Trasatti et al., 2003; Johnson et al., 2019) with layer inclination, and so this should be further investigated. Other studies (e.g., Magee et al., 2017; Poppe et al., 2019) have shown that deformation can </w:t>
      </w:r>
      <w:proofErr w:type="gramStart"/>
      <w:r w:rsidR="00CC237C" w:rsidRPr="00CC237C">
        <w:rPr>
          <w:rFonts w:ascii="Times New Roman" w:hAnsi="Times New Roman" w:cs="Times New Roman"/>
          <w:lang w:val="en-US"/>
        </w:rPr>
        <w:t>be partly accommodated</w:t>
      </w:r>
      <w:proofErr w:type="gramEnd"/>
      <w:r w:rsidR="00CC237C" w:rsidRPr="00CC237C">
        <w:rPr>
          <w:rFonts w:ascii="Times New Roman" w:hAnsi="Times New Roman" w:cs="Times New Roman"/>
          <w:lang w:val="en-US"/>
        </w:rPr>
        <w:t xml:space="preserve"> by fractures surrounding magmatic intrusions, </w:t>
      </w:r>
      <w:r w:rsidR="00CC237C" w:rsidRPr="00CC237C">
        <w:rPr>
          <w:rFonts w:ascii="Times New Roman" w:hAnsi="Times New Roman" w:cs="Times New Roman"/>
          <w:lang w:val="en-US"/>
        </w:rPr>
        <w:lastRenderedPageBreak/>
        <w:t>which also influence surface deformation sig</w:t>
      </w:r>
      <w:r w:rsidR="00CC237C" w:rsidRPr="00CC237C">
        <w:rPr>
          <w:rFonts w:ascii="Times New Roman" w:hAnsi="Times New Roman" w:cs="Times New Roman"/>
          <w:lang w:val="en-US"/>
        </w:rPr>
        <w:softHyphen/>
        <w:t>nals. We do not consider such dislocations or inelastic deformations, but combined with the data presented here, they further highlight the need to accurately characterize crustal structure to correctly determine intrusive processes. Fur</w:t>
      </w:r>
      <w:r w:rsidR="00CC237C" w:rsidRPr="00CC237C">
        <w:rPr>
          <w:rFonts w:ascii="Times New Roman" w:hAnsi="Times New Roman" w:cs="Times New Roman"/>
          <w:lang w:val="en-US"/>
        </w:rPr>
        <w:softHyphen/>
        <w:t>thermore, Masterlark (2007) suggested that dif</w:t>
      </w:r>
      <w:r w:rsidR="00CC237C" w:rsidRPr="00CC237C">
        <w:rPr>
          <w:rFonts w:ascii="Times New Roman" w:hAnsi="Times New Roman" w:cs="Times New Roman"/>
          <w:lang w:val="en-US"/>
        </w:rPr>
        <w:softHyphen/>
        <w:t>ferences in Poisson’s ratio between layers can alter deformation signals by as much as 40%, and so combining such properties into inclined layer models may also be of value. Ultimately, to test such models, more must be known about the stratigraphy underlying volcanoes and the varia</w:t>
      </w:r>
      <w:r w:rsidR="00CC237C" w:rsidRPr="00CC237C">
        <w:rPr>
          <w:rFonts w:ascii="Times New Roman" w:hAnsi="Times New Roman" w:cs="Times New Roman"/>
          <w:lang w:val="en-US"/>
        </w:rPr>
        <w:softHyphen/>
        <w:t>tion in mechanical properties of the geological units (e.g., Kendrick et al., 2021). Our mod</w:t>
      </w:r>
      <w:r w:rsidR="00CC237C" w:rsidRPr="00CC237C">
        <w:rPr>
          <w:rFonts w:ascii="Times New Roman" w:hAnsi="Times New Roman" w:cs="Times New Roman"/>
          <w:lang w:val="en-US"/>
        </w:rPr>
        <w:softHyphen/>
        <w:t>els could be tested using analogue techniques (e.g., Kavanagh et al., 2018), and a dedicated volcano deformation study combining these data with ground displacement measurements is paramount</w:t>
      </w:r>
      <w:r w:rsidR="00CC237C">
        <w:rPr>
          <w:rFonts w:ascii="Times New Roman" w:hAnsi="Times New Roman" w:cs="Times New Roman"/>
          <w:lang w:val="en-US"/>
        </w:rPr>
        <w:t>.</w:t>
      </w:r>
    </w:p>
    <w:p w14:paraId="7A68B758" w14:textId="50D7AE1E" w:rsidR="00CC237C" w:rsidRDefault="00CC237C" w:rsidP="00CC237C">
      <w:pPr>
        <w:pStyle w:val="Default"/>
        <w:spacing w:line="480" w:lineRule="auto"/>
        <w:jc w:val="both"/>
        <w:rPr>
          <w:rFonts w:ascii="Times New Roman" w:hAnsi="Times New Roman" w:cs="Times New Roman"/>
          <w:lang w:val="en-US"/>
        </w:rPr>
      </w:pPr>
    </w:p>
    <w:p w14:paraId="7D3F866B" w14:textId="729738FB" w:rsidR="00CC237C" w:rsidRDefault="00CC237C" w:rsidP="00CC237C">
      <w:pPr>
        <w:pStyle w:val="Default"/>
        <w:spacing w:line="480" w:lineRule="auto"/>
        <w:jc w:val="both"/>
        <w:rPr>
          <w:rFonts w:ascii="Times New Roman" w:hAnsi="Times New Roman" w:cs="Times New Roman"/>
          <w:b/>
          <w:bCs/>
          <w:lang w:val="en-US"/>
        </w:rPr>
      </w:pPr>
      <w:r w:rsidRPr="00CC237C">
        <w:rPr>
          <w:rFonts w:ascii="Times New Roman" w:hAnsi="Times New Roman" w:cs="Times New Roman"/>
          <w:b/>
          <w:bCs/>
          <w:lang w:val="en-US"/>
        </w:rPr>
        <w:t>ACKNOWLEDGEMENTS</w:t>
      </w:r>
    </w:p>
    <w:p w14:paraId="2E71DD09" w14:textId="77777777" w:rsidR="00CC237C" w:rsidRPr="00CC237C" w:rsidRDefault="00CC237C" w:rsidP="00CC237C">
      <w:pPr>
        <w:pStyle w:val="Default"/>
        <w:spacing w:line="480" w:lineRule="auto"/>
        <w:jc w:val="both"/>
        <w:rPr>
          <w:rFonts w:ascii="Times New Roman" w:hAnsi="Times New Roman" w:cs="Times New Roman"/>
          <w:b/>
          <w:bCs/>
          <w:lang w:val="en-US"/>
        </w:rPr>
      </w:pPr>
    </w:p>
    <w:p w14:paraId="6945BFB2" w14:textId="49C099DB"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We thank the editor William Clyde as well as Agust Gudmundsson, Craig Magee, and an anonymous reviewer for comments that helped improve the man</w:t>
      </w:r>
      <w:r w:rsidRPr="00CC237C">
        <w:rPr>
          <w:rFonts w:ascii="Times New Roman" w:hAnsi="Times New Roman" w:cs="Times New Roman"/>
          <w:lang w:val="en-US"/>
        </w:rPr>
        <w:softHyphen/>
        <w:t xml:space="preserve">uscript. This research was supported by La </w:t>
      </w:r>
      <w:proofErr w:type="spellStart"/>
      <w:r w:rsidRPr="00CC237C">
        <w:rPr>
          <w:rFonts w:ascii="Times New Roman" w:hAnsi="Times New Roman" w:cs="Times New Roman"/>
          <w:lang w:val="en-US"/>
        </w:rPr>
        <w:t>Agencia</w:t>
      </w:r>
      <w:proofErr w:type="spellEnd"/>
      <w:r w:rsidRPr="00CC237C">
        <w:rPr>
          <w:rFonts w:ascii="Times New Roman" w:hAnsi="Times New Roman" w:cs="Times New Roman"/>
          <w:lang w:val="en-US"/>
        </w:rPr>
        <w:t xml:space="preserve"> Nacional de </w:t>
      </w:r>
      <w:proofErr w:type="spellStart"/>
      <w:r w:rsidRPr="00CC237C">
        <w:rPr>
          <w:rFonts w:ascii="Times New Roman" w:hAnsi="Times New Roman" w:cs="Times New Roman"/>
          <w:lang w:val="en-US"/>
        </w:rPr>
        <w:t>Investigación</w:t>
      </w:r>
      <w:proofErr w:type="spellEnd"/>
      <w:r w:rsidRPr="00CC237C">
        <w:rPr>
          <w:rFonts w:ascii="Times New Roman" w:hAnsi="Times New Roman" w:cs="Times New Roman"/>
          <w:lang w:val="en-US"/>
        </w:rPr>
        <w:t xml:space="preserve"> y Desarrollo (ANID) through Chilean National Fund for Scientific and Technological Development (FONDECYT) projects 11190143 and 1210591 and by the Clover 2030 Open-Seed Fund. Clunes acknowledges support from ANID 21202065. Kavanagh acknowledges a UK Research and Innovation (UKRI) Future Leaders Fellowship MR/S035141/1.</w:t>
      </w:r>
    </w:p>
    <w:p w14:paraId="7CDB32FB" w14:textId="08E8EA8F" w:rsidR="00CC237C" w:rsidRDefault="00CC237C" w:rsidP="00CC237C">
      <w:pPr>
        <w:pStyle w:val="Default"/>
        <w:spacing w:line="480" w:lineRule="auto"/>
        <w:jc w:val="both"/>
        <w:rPr>
          <w:rFonts w:ascii="Times New Roman" w:hAnsi="Times New Roman" w:cs="Times New Roman"/>
          <w:lang w:val="en-US"/>
        </w:rPr>
      </w:pPr>
    </w:p>
    <w:p w14:paraId="6A7B18EF" w14:textId="5E3B983F" w:rsidR="00CC237C" w:rsidRPr="00CC237C" w:rsidRDefault="00CC237C" w:rsidP="00CC237C">
      <w:pPr>
        <w:pStyle w:val="Default"/>
        <w:spacing w:line="480" w:lineRule="auto"/>
        <w:jc w:val="both"/>
        <w:rPr>
          <w:rFonts w:ascii="Times New Roman" w:hAnsi="Times New Roman" w:cs="Times New Roman"/>
          <w:b/>
          <w:bCs/>
          <w:sz w:val="40"/>
          <w:szCs w:val="40"/>
          <w:lang w:val="en-US"/>
        </w:rPr>
      </w:pPr>
      <w:r w:rsidRPr="00CC237C">
        <w:rPr>
          <w:rFonts w:ascii="Times New Roman" w:hAnsi="Times New Roman" w:cs="Times New Roman"/>
          <w:b/>
          <w:bCs/>
          <w:lang w:val="en-US"/>
        </w:rPr>
        <w:t>REFERENCES CITED</w:t>
      </w:r>
    </w:p>
    <w:p w14:paraId="6ABDBA49" w14:textId="7B4ACCAA" w:rsidR="00CC237C" w:rsidRDefault="00CC237C" w:rsidP="00CC237C">
      <w:pPr>
        <w:pStyle w:val="Default"/>
        <w:spacing w:line="480" w:lineRule="auto"/>
        <w:jc w:val="both"/>
        <w:rPr>
          <w:rFonts w:ascii="Times New Roman" w:hAnsi="Times New Roman" w:cs="Times New Roman"/>
          <w:lang w:val="en-US"/>
        </w:rPr>
      </w:pPr>
    </w:p>
    <w:p w14:paraId="508EC6E0" w14:textId="553A2C04"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lastRenderedPageBreak/>
        <w:t>Acocella, V., 2021, Volcano-Tectonic Processes: Heidelberg, Springer-Nature, Advances in Volcanology, 537 p., https://doi.org/10.1007/978-3-030-65968-4.</w:t>
      </w:r>
    </w:p>
    <w:p w14:paraId="26C74165" w14:textId="77777777" w:rsidR="00CC237C" w:rsidRPr="00CC237C" w:rsidRDefault="00CC237C" w:rsidP="00CC237C">
      <w:pPr>
        <w:pStyle w:val="Default"/>
        <w:spacing w:line="480" w:lineRule="auto"/>
        <w:jc w:val="both"/>
        <w:rPr>
          <w:rFonts w:ascii="Times New Roman" w:hAnsi="Times New Roman" w:cs="Times New Roman"/>
          <w:lang w:val="en-US"/>
        </w:rPr>
      </w:pPr>
    </w:p>
    <w:p w14:paraId="107066EE" w14:textId="76D3F0B6" w:rsidR="00CC237C" w:rsidRP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Bazargan, M., and Gudmundsson, A., 2019, Dike-induced stresses and displacements in layered volcanic zones: Journal of Volcanology and Geothermal Research, v. 384, p. 189–205, https://doi.org/10.1016/j.jvolgeores.2019.07.010.</w:t>
      </w:r>
    </w:p>
    <w:p w14:paraId="43296CFC" w14:textId="305520F8"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Bazargan, M., and Gudmundsson, A., 2020, Stresses and displacements in layered rocks induced by inclined (cone) sheets: Journal of Volcanology and Geothermal Research, v. 401, 106965, https://doi.org/10.1016 /j.jvolgeores.2020.106965.</w:t>
      </w:r>
    </w:p>
    <w:p w14:paraId="2695F373" w14:textId="77777777" w:rsidR="00CC237C" w:rsidRPr="00CC237C" w:rsidRDefault="00CC237C" w:rsidP="00CC237C">
      <w:pPr>
        <w:pStyle w:val="Default"/>
        <w:spacing w:line="480" w:lineRule="auto"/>
        <w:jc w:val="both"/>
        <w:rPr>
          <w:rFonts w:ascii="Times New Roman" w:hAnsi="Times New Roman" w:cs="Times New Roman"/>
          <w:lang w:val="en-US"/>
        </w:rPr>
      </w:pPr>
    </w:p>
    <w:p w14:paraId="2746E60D" w14:textId="5CE558EC"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Clunes, M., Browning, J., Cembrano, J., Marquardt, C., and Gudmundsson, A., 2021, Crustal folds alter local stress fields as demonstrated by magma sheet—Fold interactions in the Central Andes: Earth and Planetary Science Letters, v. 570, 117080, https://doi.org/10 .1016/</w:t>
      </w:r>
      <w:proofErr w:type="spellStart"/>
      <w:r w:rsidRPr="00CC237C">
        <w:rPr>
          <w:rFonts w:ascii="Times New Roman" w:hAnsi="Times New Roman" w:cs="Times New Roman"/>
          <w:lang w:val="en-US"/>
        </w:rPr>
        <w:t>j.epsl</w:t>
      </w:r>
      <w:proofErr w:type="spellEnd"/>
      <w:r w:rsidRPr="00CC237C">
        <w:rPr>
          <w:rFonts w:ascii="Times New Roman" w:hAnsi="Times New Roman" w:cs="Times New Roman"/>
          <w:lang w:val="en-US"/>
        </w:rPr>
        <w:t xml:space="preserve"> .2021 .117080.</w:t>
      </w:r>
    </w:p>
    <w:p w14:paraId="38AFA116" w14:textId="77777777" w:rsidR="00CC237C" w:rsidRPr="00CC237C" w:rsidRDefault="00CC237C" w:rsidP="00CC237C">
      <w:pPr>
        <w:pStyle w:val="Default"/>
        <w:spacing w:line="480" w:lineRule="auto"/>
        <w:jc w:val="both"/>
        <w:rPr>
          <w:rFonts w:ascii="Times New Roman" w:hAnsi="Times New Roman" w:cs="Times New Roman"/>
          <w:lang w:val="en-US"/>
        </w:rPr>
      </w:pPr>
    </w:p>
    <w:p w14:paraId="65F446C7" w14:textId="0FA978E7"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Drymoni, K., Browning, J., and Gudmundsson, A., 2020, Dyke-arrest scenarios in extensional regimes: Insights from field observations and numerical models, Santorini, Greece: Journal of Volcanology and Geothermal Research, v. 396, 106854, https://doi .org/10.1016/j.jvolgeores.2020.106854.</w:t>
      </w:r>
    </w:p>
    <w:p w14:paraId="481D581C" w14:textId="77777777" w:rsidR="00CC237C" w:rsidRPr="00CC237C" w:rsidRDefault="00CC237C" w:rsidP="00CC237C">
      <w:pPr>
        <w:pStyle w:val="Default"/>
        <w:spacing w:line="480" w:lineRule="auto"/>
        <w:jc w:val="both"/>
        <w:rPr>
          <w:rFonts w:ascii="Times New Roman" w:hAnsi="Times New Roman" w:cs="Times New Roman"/>
          <w:lang w:val="en-US"/>
        </w:rPr>
      </w:pPr>
    </w:p>
    <w:p w14:paraId="674C3A20" w14:textId="28B1EA94"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Geshi, N., Browning, J., and </w:t>
      </w:r>
      <w:proofErr w:type="spellStart"/>
      <w:r w:rsidRPr="00CC237C">
        <w:rPr>
          <w:rFonts w:ascii="Times New Roman" w:hAnsi="Times New Roman" w:cs="Times New Roman"/>
          <w:lang w:val="en-US"/>
        </w:rPr>
        <w:t>Kusumoto</w:t>
      </w:r>
      <w:proofErr w:type="spellEnd"/>
      <w:r w:rsidRPr="00CC237C">
        <w:rPr>
          <w:rFonts w:ascii="Times New Roman" w:hAnsi="Times New Roman" w:cs="Times New Roman"/>
          <w:lang w:val="en-US"/>
        </w:rPr>
        <w:t>, S., 2020, Magmatic overpressures, volatile exsolution and potential explosivity of fissure eruptions inferred via dike aspect ratios: Scientific Reports, v. 10, 9406, https://doi.org/10.1038/s41598-020-66226-z.</w:t>
      </w:r>
    </w:p>
    <w:p w14:paraId="31BC6A34" w14:textId="77777777" w:rsidR="00CC237C" w:rsidRPr="00CC237C" w:rsidRDefault="00CC237C" w:rsidP="00CC237C">
      <w:pPr>
        <w:pStyle w:val="Default"/>
        <w:spacing w:line="480" w:lineRule="auto"/>
        <w:jc w:val="both"/>
        <w:rPr>
          <w:rFonts w:ascii="Times New Roman" w:hAnsi="Times New Roman" w:cs="Times New Roman"/>
          <w:lang w:val="en-US"/>
        </w:rPr>
      </w:pPr>
    </w:p>
    <w:p w14:paraId="725EC4CC" w14:textId="730835E6"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Grosse, P., </w:t>
      </w:r>
      <w:proofErr w:type="spellStart"/>
      <w:r w:rsidRPr="00CC237C">
        <w:rPr>
          <w:rFonts w:ascii="Times New Roman" w:hAnsi="Times New Roman" w:cs="Times New Roman"/>
          <w:lang w:val="en-US"/>
        </w:rPr>
        <w:t>Euillades</w:t>
      </w:r>
      <w:proofErr w:type="spellEnd"/>
      <w:r w:rsidRPr="00CC237C">
        <w:rPr>
          <w:rFonts w:ascii="Times New Roman" w:hAnsi="Times New Roman" w:cs="Times New Roman"/>
          <w:lang w:val="en-US"/>
        </w:rPr>
        <w:t xml:space="preserve">, P.A., </w:t>
      </w:r>
      <w:proofErr w:type="spellStart"/>
      <w:r w:rsidRPr="00CC237C">
        <w:rPr>
          <w:rFonts w:ascii="Times New Roman" w:hAnsi="Times New Roman" w:cs="Times New Roman"/>
          <w:lang w:val="en-US"/>
        </w:rPr>
        <w:t>Euillades</w:t>
      </w:r>
      <w:proofErr w:type="spellEnd"/>
      <w:r w:rsidRPr="00CC237C">
        <w:rPr>
          <w:rFonts w:ascii="Times New Roman" w:hAnsi="Times New Roman" w:cs="Times New Roman"/>
          <w:lang w:val="en-US"/>
        </w:rPr>
        <w:t xml:space="preserve">, L.D., and van </w:t>
      </w:r>
      <w:proofErr w:type="spellStart"/>
      <w:r w:rsidRPr="00CC237C">
        <w:rPr>
          <w:rFonts w:ascii="Times New Roman" w:hAnsi="Times New Roman" w:cs="Times New Roman"/>
          <w:lang w:val="en-US"/>
        </w:rPr>
        <w:t>Wyk</w:t>
      </w:r>
      <w:proofErr w:type="spellEnd"/>
      <w:r w:rsidRPr="00CC237C">
        <w:rPr>
          <w:rFonts w:ascii="Times New Roman" w:hAnsi="Times New Roman" w:cs="Times New Roman"/>
          <w:lang w:val="en-US"/>
        </w:rPr>
        <w:t xml:space="preserve"> de Vries, B., 2014, A global database of composite volcano morphometry: Bulletin of Volcanology, v. 76, 784, https://doi .org/10.1007/s00445-013-0784-4.</w:t>
      </w:r>
    </w:p>
    <w:p w14:paraId="6A6DDD03" w14:textId="77777777" w:rsidR="00CC237C" w:rsidRPr="00CC237C" w:rsidRDefault="00CC237C" w:rsidP="00CC237C">
      <w:pPr>
        <w:pStyle w:val="Default"/>
        <w:spacing w:line="480" w:lineRule="auto"/>
        <w:jc w:val="both"/>
        <w:rPr>
          <w:rFonts w:ascii="Times New Roman" w:hAnsi="Times New Roman" w:cs="Times New Roman"/>
          <w:lang w:val="en-US"/>
        </w:rPr>
      </w:pPr>
    </w:p>
    <w:p w14:paraId="38B0CAE2" w14:textId="7AD81755"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Gudmundsson, A., 1983, Form and dimensions of dykes in eastern Iceland: Tectonophysics, v. 95, p. 295–307, https://doi.org/10.1016/0040-1951(83)90074-4.</w:t>
      </w:r>
    </w:p>
    <w:p w14:paraId="221CA124" w14:textId="77777777" w:rsidR="00CC237C" w:rsidRPr="00CC237C" w:rsidRDefault="00CC237C" w:rsidP="00CC237C">
      <w:pPr>
        <w:pStyle w:val="Default"/>
        <w:spacing w:line="480" w:lineRule="auto"/>
        <w:jc w:val="both"/>
        <w:rPr>
          <w:rFonts w:ascii="Times New Roman" w:hAnsi="Times New Roman" w:cs="Times New Roman"/>
          <w:lang w:val="en-US"/>
        </w:rPr>
      </w:pPr>
    </w:p>
    <w:p w14:paraId="7F9AA158" w14:textId="5C03136C"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Gudmundsson, A., 2006, How local stresses control magma-chamber ruptures, dyke injections, and eruptions in composite volcanoes: Earth-Science Reviews, v. 79, p. 1–31, https://doi.org/10.1016/j.earscirev.2006.06.006.</w:t>
      </w:r>
    </w:p>
    <w:p w14:paraId="761A5438" w14:textId="24C25C3F" w:rsidR="00CC237C" w:rsidRDefault="00CC237C" w:rsidP="00CC237C">
      <w:pPr>
        <w:pStyle w:val="Default"/>
        <w:spacing w:line="480" w:lineRule="auto"/>
        <w:jc w:val="both"/>
        <w:rPr>
          <w:rFonts w:ascii="Times New Roman" w:hAnsi="Times New Roman" w:cs="Times New Roman"/>
          <w:lang w:val="en-US"/>
        </w:rPr>
      </w:pPr>
    </w:p>
    <w:p w14:paraId="495563E9" w14:textId="79E6C63C"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Gudmundsson, A., 2011, Rock Fractures in Geological Processes: Cambridge, UK, Cambridge University Press, 578 p., https://doi.org/10.1017/CBO9780511975684.</w:t>
      </w:r>
    </w:p>
    <w:p w14:paraId="06CE6161" w14:textId="77777777" w:rsidR="00CC237C" w:rsidRPr="00CC237C" w:rsidRDefault="00CC237C" w:rsidP="00CC237C">
      <w:pPr>
        <w:pStyle w:val="Default"/>
        <w:spacing w:line="480" w:lineRule="auto"/>
        <w:jc w:val="both"/>
        <w:rPr>
          <w:rFonts w:ascii="Times New Roman" w:hAnsi="Times New Roman" w:cs="Times New Roman"/>
          <w:lang w:val="en-US"/>
        </w:rPr>
      </w:pPr>
    </w:p>
    <w:p w14:paraId="6BE6BAE2" w14:textId="0905ED49"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Gudmundsson, A., 2012, Strengths and strain energies of volcanic edifices: Implications for eruptions, collapse calderas, and landslides: Natural Hazards and Earth System Sciences, v. 12, p. 2241–2258, https://doi.org/10.5194 /nhess-12-2241-2012.</w:t>
      </w:r>
    </w:p>
    <w:p w14:paraId="685AEAF6" w14:textId="77777777" w:rsidR="00CC237C" w:rsidRPr="00CC237C" w:rsidRDefault="00CC237C" w:rsidP="00CC237C">
      <w:pPr>
        <w:pStyle w:val="Default"/>
        <w:spacing w:line="480" w:lineRule="auto"/>
        <w:jc w:val="both"/>
        <w:rPr>
          <w:rFonts w:ascii="Times New Roman" w:hAnsi="Times New Roman" w:cs="Times New Roman"/>
          <w:lang w:val="en-US"/>
        </w:rPr>
      </w:pPr>
    </w:p>
    <w:p w14:paraId="0D9C56C2" w14:textId="1AEBC410"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Gudmundsson, A., 2020, Volcanotectonics: Understanding the Structure, Deformation and Dynamics of Volcanoes: Cambridge, UK, Cambridge University Press, 586 p., https://doi .org/10.1017/9781139176217.</w:t>
      </w:r>
    </w:p>
    <w:p w14:paraId="61CD6005" w14:textId="77777777" w:rsidR="00CC237C" w:rsidRPr="00CC237C" w:rsidRDefault="00CC237C" w:rsidP="00CC237C">
      <w:pPr>
        <w:pStyle w:val="Default"/>
        <w:spacing w:line="480" w:lineRule="auto"/>
        <w:jc w:val="both"/>
        <w:rPr>
          <w:rFonts w:ascii="Times New Roman" w:hAnsi="Times New Roman" w:cs="Times New Roman"/>
          <w:lang w:val="en-US"/>
        </w:rPr>
      </w:pPr>
    </w:p>
    <w:p w14:paraId="41B8FE42" w14:textId="6F255531"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lastRenderedPageBreak/>
        <w:t>Gudmundsson, A., et al., 2022, Volcanotectonics: The tectonics and physics of volcanoes and their eruption mechanics: Bulletin of Volcanology, v. 84, p. 1–8.</w:t>
      </w:r>
    </w:p>
    <w:p w14:paraId="064238A2" w14:textId="77777777" w:rsidR="00CC237C" w:rsidRPr="00CC237C" w:rsidRDefault="00CC237C" w:rsidP="00CC237C">
      <w:pPr>
        <w:pStyle w:val="Default"/>
        <w:spacing w:line="480" w:lineRule="auto"/>
        <w:jc w:val="both"/>
        <w:rPr>
          <w:rFonts w:ascii="Times New Roman" w:hAnsi="Times New Roman" w:cs="Times New Roman"/>
          <w:lang w:val="en-US"/>
        </w:rPr>
      </w:pPr>
    </w:p>
    <w:p w14:paraId="70FF0323" w14:textId="0734243D"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Heap, M.J., Villeneuve, M., Albino, F., Farquharson, J.I., </w:t>
      </w:r>
      <w:proofErr w:type="spellStart"/>
      <w:r w:rsidRPr="00CC237C">
        <w:rPr>
          <w:rFonts w:ascii="Times New Roman" w:hAnsi="Times New Roman" w:cs="Times New Roman"/>
          <w:lang w:val="en-US"/>
        </w:rPr>
        <w:t>Brothelande</w:t>
      </w:r>
      <w:proofErr w:type="spellEnd"/>
      <w:r w:rsidRPr="00CC237C">
        <w:rPr>
          <w:rFonts w:ascii="Times New Roman" w:hAnsi="Times New Roman" w:cs="Times New Roman"/>
          <w:lang w:val="en-US"/>
        </w:rPr>
        <w:t xml:space="preserve">, E., </w:t>
      </w:r>
      <w:proofErr w:type="spellStart"/>
      <w:r w:rsidRPr="00CC237C">
        <w:rPr>
          <w:rFonts w:ascii="Times New Roman" w:hAnsi="Times New Roman" w:cs="Times New Roman"/>
          <w:lang w:val="en-US"/>
        </w:rPr>
        <w:t>Amelung</w:t>
      </w:r>
      <w:proofErr w:type="spellEnd"/>
      <w:r w:rsidRPr="00CC237C">
        <w:rPr>
          <w:rFonts w:ascii="Times New Roman" w:hAnsi="Times New Roman" w:cs="Times New Roman"/>
          <w:lang w:val="en-US"/>
        </w:rPr>
        <w:t>, F., Got, J.L., and Baud, P., 2020, Towards more realistic values of elastic moduli for volcano modelling: Journal of volcanology and Geothermal Research, v. 390, p. 106684.</w:t>
      </w:r>
    </w:p>
    <w:p w14:paraId="765EDC46" w14:textId="77777777" w:rsidR="00CC237C" w:rsidRPr="00CC237C" w:rsidRDefault="00CC237C" w:rsidP="00CC237C">
      <w:pPr>
        <w:pStyle w:val="Default"/>
        <w:spacing w:line="480" w:lineRule="auto"/>
        <w:jc w:val="both"/>
        <w:rPr>
          <w:rFonts w:ascii="Times New Roman" w:hAnsi="Times New Roman" w:cs="Times New Roman"/>
          <w:lang w:val="en-US"/>
        </w:rPr>
      </w:pPr>
    </w:p>
    <w:p w14:paraId="02285BC4" w14:textId="7B7FE466"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Johnson, J.H., Poland, M.P., Anderson, K.R., and Biggs, J., 2019, A cautionary tale of topography and tilt from Kilauea Caldera: Geophysical Research Letters, v. 46, p. 4221–4229, https://doi.org/10.1029 /2018GL081757.</w:t>
      </w:r>
    </w:p>
    <w:p w14:paraId="5944636D" w14:textId="77777777" w:rsidR="00CC237C" w:rsidRPr="00CC237C" w:rsidRDefault="00CC237C" w:rsidP="00CC237C">
      <w:pPr>
        <w:pStyle w:val="Default"/>
        <w:spacing w:line="480" w:lineRule="auto"/>
        <w:jc w:val="both"/>
        <w:rPr>
          <w:rFonts w:ascii="Times New Roman" w:hAnsi="Times New Roman" w:cs="Times New Roman"/>
          <w:lang w:val="en-US"/>
        </w:rPr>
      </w:pPr>
    </w:p>
    <w:p w14:paraId="61552007" w14:textId="44FB6971"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Kavanagh, J.L., Burns, A.J., </w:t>
      </w:r>
      <w:proofErr w:type="spellStart"/>
      <w:r w:rsidRPr="00CC237C">
        <w:rPr>
          <w:rFonts w:ascii="Times New Roman" w:hAnsi="Times New Roman" w:cs="Times New Roman"/>
          <w:lang w:val="en-US"/>
        </w:rPr>
        <w:t>Hazim</w:t>
      </w:r>
      <w:proofErr w:type="spellEnd"/>
      <w:r w:rsidRPr="00CC237C">
        <w:rPr>
          <w:rFonts w:ascii="Times New Roman" w:hAnsi="Times New Roman" w:cs="Times New Roman"/>
          <w:lang w:val="en-US"/>
        </w:rPr>
        <w:t>, S.H., Wood, E.P., Martin, S.A., Hignett, S., and Dennis, D.J., 2018, Challenging dyke ascent models using novel laboratory experiments: Implications for reinterpreting evidence of magma ascent and volcanism: Journal of Volcanology and Geothermal Research, v. 354, p. 87–101, https://doi.org/10.1016/j .jvolgeores.2018.01.002.</w:t>
      </w:r>
    </w:p>
    <w:p w14:paraId="3EB06945" w14:textId="77777777" w:rsidR="00CC237C" w:rsidRPr="00CC237C" w:rsidRDefault="00CC237C" w:rsidP="00CC237C">
      <w:pPr>
        <w:pStyle w:val="Default"/>
        <w:spacing w:line="480" w:lineRule="auto"/>
        <w:jc w:val="both"/>
        <w:rPr>
          <w:rFonts w:ascii="Times New Roman" w:hAnsi="Times New Roman" w:cs="Times New Roman"/>
          <w:lang w:val="en-US"/>
        </w:rPr>
      </w:pPr>
    </w:p>
    <w:p w14:paraId="19BAA4BC" w14:textId="044F50FD"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Kendrick, J.E., Schaefer, L.N., </w:t>
      </w:r>
      <w:proofErr w:type="spellStart"/>
      <w:r w:rsidRPr="00CC237C">
        <w:rPr>
          <w:rFonts w:ascii="Times New Roman" w:hAnsi="Times New Roman" w:cs="Times New Roman"/>
          <w:lang w:val="en-US"/>
        </w:rPr>
        <w:t>Schauroth</w:t>
      </w:r>
      <w:proofErr w:type="spellEnd"/>
      <w:r w:rsidRPr="00CC237C">
        <w:rPr>
          <w:rFonts w:ascii="Times New Roman" w:hAnsi="Times New Roman" w:cs="Times New Roman"/>
          <w:lang w:val="en-US"/>
        </w:rPr>
        <w:t xml:space="preserve">, J., Bell, A.F., Lamb, O.D., </w:t>
      </w:r>
      <w:proofErr w:type="spellStart"/>
      <w:r w:rsidRPr="00CC237C">
        <w:rPr>
          <w:rFonts w:ascii="Times New Roman" w:hAnsi="Times New Roman" w:cs="Times New Roman"/>
          <w:lang w:val="en-US"/>
        </w:rPr>
        <w:t>Lamur</w:t>
      </w:r>
      <w:proofErr w:type="spellEnd"/>
      <w:r w:rsidRPr="00CC237C">
        <w:rPr>
          <w:rFonts w:ascii="Times New Roman" w:hAnsi="Times New Roman" w:cs="Times New Roman"/>
          <w:lang w:val="en-US"/>
        </w:rPr>
        <w:t xml:space="preserve">, A., Miwa, T., Coats, R., </w:t>
      </w:r>
      <w:proofErr w:type="spellStart"/>
      <w:r w:rsidRPr="00CC237C">
        <w:rPr>
          <w:rFonts w:ascii="Times New Roman" w:hAnsi="Times New Roman" w:cs="Times New Roman"/>
          <w:lang w:val="en-US"/>
        </w:rPr>
        <w:t>Lavallée</w:t>
      </w:r>
      <w:proofErr w:type="spellEnd"/>
      <w:r w:rsidRPr="00CC237C">
        <w:rPr>
          <w:rFonts w:ascii="Times New Roman" w:hAnsi="Times New Roman" w:cs="Times New Roman"/>
          <w:lang w:val="en-US"/>
        </w:rPr>
        <w:t xml:space="preserve">, Y., and Kennedy, B.M., 2021, Physical and mechanical rock properties of a heterogeneous volcano: The case of Mount </w:t>
      </w:r>
      <w:proofErr w:type="spellStart"/>
      <w:r w:rsidRPr="00CC237C">
        <w:rPr>
          <w:rFonts w:ascii="Times New Roman" w:hAnsi="Times New Roman" w:cs="Times New Roman"/>
          <w:lang w:val="en-US"/>
        </w:rPr>
        <w:t>Unzen</w:t>
      </w:r>
      <w:proofErr w:type="spellEnd"/>
      <w:r w:rsidRPr="00CC237C">
        <w:rPr>
          <w:rFonts w:ascii="Times New Roman" w:hAnsi="Times New Roman" w:cs="Times New Roman"/>
          <w:lang w:val="en-US"/>
        </w:rPr>
        <w:t>, Japan: Solid Earth, v. 12, p. 633–664, https://doi.org/10.5194/se-12-633-2021.</w:t>
      </w:r>
    </w:p>
    <w:p w14:paraId="44910453" w14:textId="77777777" w:rsidR="00CC237C" w:rsidRPr="00CC237C" w:rsidRDefault="00CC237C" w:rsidP="00CC237C">
      <w:pPr>
        <w:pStyle w:val="Default"/>
        <w:spacing w:line="480" w:lineRule="auto"/>
        <w:jc w:val="both"/>
        <w:rPr>
          <w:rFonts w:ascii="Times New Roman" w:hAnsi="Times New Roman" w:cs="Times New Roman"/>
          <w:lang w:val="en-US"/>
        </w:rPr>
      </w:pPr>
    </w:p>
    <w:p w14:paraId="284E71E7" w14:textId="46FFC26E" w:rsidR="00CC237C" w:rsidRP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lastRenderedPageBreak/>
        <w:t>Maccaferri, F., Bonafede, M., and Rivalta, E., 2010, A numerical model of dyke propagation in layered elastic media: Geophysical Journal International, v. 180, p. 1107–1123, https://doi.org/10.1111/j.1365-246X.2009.04495.x.</w:t>
      </w:r>
    </w:p>
    <w:p w14:paraId="647467D5" w14:textId="6DF293AC"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Magee, C., </w:t>
      </w:r>
      <w:proofErr w:type="spellStart"/>
      <w:r w:rsidRPr="00CC237C">
        <w:rPr>
          <w:rFonts w:ascii="Times New Roman" w:hAnsi="Times New Roman" w:cs="Times New Roman"/>
          <w:lang w:val="en-US"/>
        </w:rPr>
        <w:t>Bastow</w:t>
      </w:r>
      <w:proofErr w:type="spellEnd"/>
      <w:r w:rsidRPr="00CC237C">
        <w:rPr>
          <w:rFonts w:ascii="Times New Roman" w:hAnsi="Times New Roman" w:cs="Times New Roman"/>
          <w:lang w:val="en-US"/>
        </w:rPr>
        <w:t xml:space="preserve">, I.D., van </w:t>
      </w:r>
      <w:proofErr w:type="spellStart"/>
      <w:r w:rsidRPr="00CC237C">
        <w:rPr>
          <w:rFonts w:ascii="Times New Roman" w:hAnsi="Times New Roman" w:cs="Times New Roman"/>
          <w:lang w:val="en-US"/>
        </w:rPr>
        <w:t>Wyk</w:t>
      </w:r>
      <w:proofErr w:type="spellEnd"/>
      <w:r w:rsidRPr="00CC237C">
        <w:rPr>
          <w:rFonts w:ascii="Times New Roman" w:hAnsi="Times New Roman" w:cs="Times New Roman"/>
          <w:lang w:val="en-US"/>
        </w:rPr>
        <w:t xml:space="preserve"> de Vries, B., Jackson, C.A.-L., Hetherington, R., Hagos, M., and </w:t>
      </w:r>
      <w:proofErr w:type="spellStart"/>
      <w:r w:rsidRPr="00CC237C">
        <w:rPr>
          <w:rFonts w:ascii="Times New Roman" w:hAnsi="Times New Roman" w:cs="Times New Roman"/>
          <w:lang w:val="en-US"/>
        </w:rPr>
        <w:t>Hoggett</w:t>
      </w:r>
      <w:proofErr w:type="spellEnd"/>
      <w:r w:rsidRPr="00CC237C">
        <w:rPr>
          <w:rFonts w:ascii="Times New Roman" w:hAnsi="Times New Roman" w:cs="Times New Roman"/>
          <w:lang w:val="en-US"/>
        </w:rPr>
        <w:t>, M., 2017, Structure and dynamics of surface uplift induced by incremental sill emplacement: Geology, v. 45, p. 431–434, https://doi.org/10.1130/G38839.1.</w:t>
      </w:r>
    </w:p>
    <w:p w14:paraId="69702F9F" w14:textId="77777777" w:rsidR="00CC237C" w:rsidRPr="00CC237C" w:rsidRDefault="00CC237C" w:rsidP="00CC237C">
      <w:pPr>
        <w:pStyle w:val="Default"/>
        <w:spacing w:line="480" w:lineRule="auto"/>
        <w:jc w:val="both"/>
        <w:rPr>
          <w:rFonts w:ascii="Times New Roman" w:hAnsi="Times New Roman" w:cs="Times New Roman"/>
          <w:lang w:val="en-US"/>
        </w:rPr>
      </w:pPr>
    </w:p>
    <w:p w14:paraId="60C04A11" w14:textId="7B9B680E"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Manconi, A., Walter, T.R., and </w:t>
      </w:r>
      <w:proofErr w:type="spellStart"/>
      <w:r w:rsidRPr="00CC237C">
        <w:rPr>
          <w:rFonts w:ascii="Times New Roman" w:hAnsi="Times New Roman" w:cs="Times New Roman"/>
          <w:lang w:val="en-US"/>
        </w:rPr>
        <w:t>Amelung</w:t>
      </w:r>
      <w:proofErr w:type="spellEnd"/>
      <w:r w:rsidRPr="00CC237C">
        <w:rPr>
          <w:rFonts w:ascii="Times New Roman" w:hAnsi="Times New Roman" w:cs="Times New Roman"/>
          <w:lang w:val="en-US"/>
        </w:rPr>
        <w:t>, F., 2007, Effects of mechanical layering on volcano deformation: Geophysical Journal International, v. 170, p. 952–958, https://doi.org/10.1111/j.1365-246X.2007.03449.x.</w:t>
      </w:r>
    </w:p>
    <w:p w14:paraId="4E1A112A" w14:textId="77777777" w:rsidR="00CC237C" w:rsidRPr="00CC237C" w:rsidRDefault="00CC237C" w:rsidP="00CC237C">
      <w:pPr>
        <w:pStyle w:val="Default"/>
        <w:spacing w:line="480" w:lineRule="auto"/>
        <w:jc w:val="both"/>
        <w:rPr>
          <w:rFonts w:ascii="Times New Roman" w:hAnsi="Times New Roman" w:cs="Times New Roman"/>
          <w:lang w:val="en-US"/>
        </w:rPr>
      </w:pPr>
    </w:p>
    <w:p w14:paraId="4BE65966" w14:textId="77E5A715"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Mantiloni, L., Nespoli, M., </w:t>
      </w:r>
      <w:proofErr w:type="spellStart"/>
      <w:r w:rsidRPr="00CC237C">
        <w:rPr>
          <w:rFonts w:ascii="Times New Roman" w:hAnsi="Times New Roman" w:cs="Times New Roman"/>
          <w:lang w:val="en-US"/>
        </w:rPr>
        <w:t>Belardinelli</w:t>
      </w:r>
      <w:proofErr w:type="spellEnd"/>
      <w:r w:rsidRPr="00CC237C">
        <w:rPr>
          <w:rFonts w:ascii="Times New Roman" w:hAnsi="Times New Roman" w:cs="Times New Roman"/>
          <w:lang w:val="en-US"/>
        </w:rPr>
        <w:t>, M.E., and Bonafede, M., 2020, Deformation and stress in hydrothermal regions: The case of a disk-shaped inclusion in a half-space: Journal of Volcanology and Geothermal Research, v. 403, 107011, https://doi.org/10.1016/j .jvolgeores.2020.107011.</w:t>
      </w:r>
    </w:p>
    <w:p w14:paraId="4047B868" w14:textId="77777777" w:rsidR="00CC237C" w:rsidRPr="00CC237C" w:rsidRDefault="00CC237C" w:rsidP="00CC237C">
      <w:pPr>
        <w:pStyle w:val="Default"/>
        <w:spacing w:line="480" w:lineRule="auto"/>
        <w:jc w:val="both"/>
        <w:rPr>
          <w:rFonts w:ascii="Times New Roman" w:hAnsi="Times New Roman" w:cs="Times New Roman"/>
          <w:lang w:val="en-US"/>
        </w:rPr>
      </w:pPr>
    </w:p>
    <w:p w14:paraId="5F00751F" w14:textId="74A515C3"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Masterlark, T., 2007, Magma intrusion and deformation predictions: Sensitivities to the Mogi assumptions: Journal of Geophysical Research, v. 112, B06419, https://doi.org/10 .1029/2006JB004860.</w:t>
      </w:r>
    </w:p>
    <w:p w14:paraId="7C40DC5D" w14:textId="77777777" w:rsidR="00CC237C" w:rsidRPr="00CC237C" w:rsidRDefault="00CC237C" w:rsidP="00CC237C">
      <w:pPr>
        <w:pStyle w:val="Default"/>
        <w:spacing w:line="480" w:lineRule="auto"/>
        <w:jc w:val="both"/>
        <w:rPr>
          <w:rFonts w:ascii="Times New Roman" w:hAnsi="Times New Roman" w:cs="Times New Roman"/>
          <w:lang w:val="en-US"/>
        </w:rPr>
      </w:pPr>
    </w:p>
    <w:p w14:paraId="2F9A02A6" w14:textId="784B2F24"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Mogi, K., 1958, Relations between the eruptions of various volcanoes and the deformations of the ground surface around them: Bulletin of the Earthquake Research Institute, v. 36, p. 99–134.</w:t>
      </w:r>
    </w:p>
    <w:p w14:paraId="775C6240" w14:textId="77777777" w:rsidR="00CC237C" w:rsidRPr="00CC237C" w:rsidRDefault="00CC237C" w:rsidP="00CC237C">
      <w:pPr>
        <w:pStyle w:val="Default"/>
        <w:spacing w:line="480" w:lineRule="auto"/>
        <w:jc w:val="both"/>
        <w:rPr>
          <w:rFonts w:ascii="Times New Roman" w:hAnsi="Times New Roman" w:cs="Times New Roman"/>
          <w:lang w:val="en-US"/>
        </w:rPr>
      </w:pPr>
    </w:p>
    <w:p w14:paraId="426472B8" w14:textId="44615554"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Okada, Y., 1985, Surface deformation due to shear and tensile faults in a half-space: Bulletin of the Seismological Society of America, v. 75, p. 1135–1154, https://doi.org/10.1785/BSSA0750041135.</w:t>
      </w:r>
    </w:p>
    <w:p w14:paraId="14005717" w14:textId="77777777" w:rsidR="00CC237C" w:rsidRPr="00CC237C" w:rsidRDefault="00CC237C" w:rsidP="00CC237C">
      <w:pPr>
        <w:pStyle w:val="Default"/>
        <w:spacing w:line="480" w:lineRule="auto"/>
        <w:jc w:val="both"/>
        <w:rPr>
          <w:rFonts w:ascii="Times New Roman" w:hAnsi="Times New Roman" w:cs="Times New Roman"/>
          <w:lang w:val="en-US"/>
        </w:rPr>
      </w:pPr>
    </w:p>
    <w:p w14:paraId="2291E393" w14:textId="4AC9A2BB"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Poppe, S., et al., 2019, An inside perspective on magma intrusion: Quantifying 3D displacement and strain in laboratory experiments by dynamic X-ray computed tomography: Frontiers of Earth Science, v. 7, 62, https://doi.org/10.3389/feart.2019.00062.</w:t>
      </w:r>
    </w:p>
    <w:p w14:paraId="4549261C" w14:textId="77777777" w:rsidR="00CC237C" w:rsidRPr="00CC237C" w:rsidRDefault="00CC237C" w:rsidP="00CC237C">
      <w:pPr>
        <w:pStyle w:val="Default"/>
        <w:spacing w:line="480" w:lineRule="auto"/>
        <w:jc w:val="both"/>
        <w:rPr>
          <w:rFonts w:ascii="Times New Roman" w:hAnsi="Times New Roman" w:cs="Times New Roman"/>
          <w:lang w:val="en-US"/>
        </w:rPr>
      </w:pPr>
    </w:p>
    <w:p w14:paraId="51D43300" w14:textId="70C6E62F"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Rivalta, E., Taisne, B., Bunger, A.P., and Katz, R.F., 2015, A review of mechanical models of dike propagation: Schools of thought, results and future directions: Tectonophysics, v. 638, p. 1–42, https://doi.org/10.1016/j.tecto.2014.10.003.</w:t>
      </w:r>
    </w:p>
    <w:p w14:paraId="1DC6D4DC" w14:textId="77777777" w:rsidR="00CC237C" w:rsidRPr="00CC237C" w:rsidRDefault="00CC237C" w:rsidP="00CC237C">
      <w:pPr>
        <w:pStyle w:val="Default"/>
        <w:spacing w:line="480" w:lineRule="auto"/>
        <w:jc w:val="both"/>
        <w:rPr>
          <w:rFonts w:ascii="Times New Roman" w:hAnsi="Times New Roman" w:cs="Times New Roman"/>
          <w:lang w:val="en-US"/>
        </w:rPr>
      </w:pPr>
    </w:p>
    <w:p w14:paraId="4F59A498" w14:textId="46C44B5F" w:rsidR="00CC237C" w:rsidRDefault="00CC237C" w:rsidP="00CC237C">
      <w:pPr>
        <w:pStyle w:val="Default"/>
        <w:spacing w:line="480" w:lineRule="auto"/>
        <w:jc w:val="both"/>
        <w:rPr>
          <w:rFonts w:ascii="Times New Roman" w:hAnsi="Times New Roman" w:cs="Times New Roman"/>
          <w:lang w:val="en-US"/>
        </w:rPr>
      </w:pPr>
      <w:r w:rsidRPr="00CC237C">
        <w:rPr>
          <w:rFonts w:ascii="Times New Roman" w:hAnsi="Times New Roman" w:cs="Times New Roman"/>
          <w:lang w:val="en-US"/>
        </w:rPr>
        <w:t xml:space="preserve">Trasatti, E., </w:t>
      </w:r>
      <w:proofErr w:type="spellStart"/>
      <w:r w:rsidRPr="00CC237C">
        <w:rPr>
          <w:rFonts w:ascii="Times New Roman" w:hAnsi="Times New Roman" w:cs="Times New Roman"/>
          <w:lang w:val="en-US"/>
        </w:rPr>
        <w:t>Giunchi</w:t>
      </w:r>
      <w:proofErr w:type="spellEnd"/>
      <w:r w:rsidRPr="00CC237C">
        <w:rPr>
          <w:rFonts w:ascii="Times New Roman" w:hAnsi="Times New Roman" w:cs="Times New Roman"/>
          <w:lang w:val="en-US"/>
        </w:rPr>
        <w:t xml:space="preserve">, C., and Bonafede, M., 2003, Effects of topography and rheological layering on ground deformation in volcanic regions: Journal of Volcanology and Geothermal Research, v. 122, p. 89–110, </w:t>
      </w:r>
      <w:r w:rsidR="005B0DEC" w:rsidRPr="005B0DEC">
        <w:rPr>
          <w:rFonts w:ascii="Times New Roman" w:hAnsi="Times New Roman" w:cs="Times New Roman"/>
          <w:lang w:val="en-US"/>
        </w:rPr>
        <w:t>https://doi.org/10.1016/S0377-0273(02)00473-0</w:t>
      </w:r>
      <w:r w:rsidRPr="00CC237C">
        <w:rPr>
          <w:rFonts w:ascii="Times New Roman" w:hAnsi="Times New Roman" w:cs="Times New Roman"/>
          <w:lang w:val="en-US"/>
        </w:rPr>
        <w:t>.</w:t>
      </w:r>
    </w:p>
    <w:p w14:paraId="5AF305E1" w14:textId="3E57CF78" w:rsidR="005B0DEC" w:rsidRDefault="005B0DEC" w:rsidP="00CC237C">
      <w:pPr>
        <w:pStyle w:val="Default"/>
        <w:spacing w:line="480" w:lineRule="auto"/>
        <w:jc w:val="both"/>
        <w:rPr>
          <w:rFonts w:ascii="Times New Roman" w:hAnsi="Times New Roman" w:cs="Times New Roman"/>
          <w:lang w:val="en-US"/>
        </w:rPr>
      </w:pPr>
    </w:p>
    <w:p w14:paraId="49BEF699" w14:textId="07F32A74" w:rsidR="005B0DEC" w:rsidRDefault="005B0DEC" w:rsidP="00CC237C">
      <w:pPr>
        <w:pStyle w:val="Default"/>
        <w:spacing w:line="480" w:lineRule="auto"/>
        <w:jc w:val="both"/>
        <w:rPr>
          <w:rFonts w:ascii="Times New Roman" w:hAnsi="Times New Roman" w:cs="Times New Roman"/>
          <w:lang w:val="en-US"/>
        </w:rPr>
      </w:pPr>
    </w:p>
    <w:p w14:paraId="16B05B84" w14:textId="672E759E" w:rsidR="005B0DEC" w:rsidRDefault="005B0DEC" w:rsidP="00CC237C">
      <w:pPr>
        <w:pStyle w:val="Default"/>
        <w:spacing w:line="480" w:lineRule="auto"/>
        <w:jc w:val="both"/>
        <w:rPr>
          <w:rFonts w:ascii="Times New Roman" w:hAnsi="Times New Roman" w:cs="Times New Roman"/>
          <w:lang w:val="en-US"/>
        </w:rPr>
      </w:pPr>
    </w:p>
    <w:p w14:paraId="7C6328D4" w14:textId="60EAEE77" w:rsidR="005B0DEC" w:rsidRDefault="005B0DEC" w:rsidP="00CC237C">
      <w:pPr>
        <w:pStyle w:val="Default"/>
        <w:spacing w:line="480" w:lineRule="auto"/>
        <w:jc w:val="both"/>
        <w:rPr>
          <w:rFonts w:ascii="Times New Roman" w:hAnsi="Times New Roman" w:cs="Times New Roman"/>
          <w:lang w:val="en-US"/>
        </w:rPr>
      </w:pPr>
    </w:p>
    <w:p w14:paraId="2FCB25BF" w14:textId="4F9E9EF2" w:rsidR="005B0DEC" w:rsidRDefault="005B0DEC" w:rsidP="00CC237C">
      <w:pPr>
        <w:pStyle w:val="Default"/>
        <w:spacing w:line="480" w:lineRule="auto"/>
        <w:jc w:val="both"/>
        <w:rPr>
          <w:rFonts w:ascii="Times New Roman" w:hAnsi="Times New Roman" w:cs="Times New Roman"/>
          <w:lang w:val="en-US"/>
        </w:rPr>
      </w:pPr>
    </w:p>
    <w:p w14:paraId="13448DA6" w14:textId="352DB0AB" w:rsidR="005B0DEC" w:rsidRDefault="005B0DEC" w:rsidP="00CC237C">
      <w:pPr>
        <w:pStyle w:val="Default"/>
        <w:spacing w:line="480" w:lineRule="auto"/>
        <w:jc w:val="both"/>
        <w:rPr>
          <w:rFonts w:ascii="Times New Roman" w:hAnsi="Times New Roman" w:cs="Times New Roman"/>
          <w:lang w:val="en-US"/>
        </w:rPr>
      </w:pPr>
    </w:p>
    <w:p w14:paraId="34DF6CCF" w14:textId="43328C37" w:rsidR="005B0DEC" w:rsidRDefault="005B0DEC" w:rsidP="00CC237C">
      <w:pPr>
        <w:pStyle w:val="Default"/>
        <w:spacing w:line="480" w:lineRule="auto"/>
        <w:jc w:val="both"/>
        <w:rPr>
          <w:rFonts w:ascii="Times New Roman" w:hAnsi="Times New Roman" w:cs="Times New Roman"/>
          <w:lang w:val="en-US"/>
        </w:rPr>
      </w:pPr>
    </w:p>
    <w:p w14:paraId="0539FD44" w14:textId="4CF445E4" w:rsidR="005B0DEC" w:rsidRDefault="005B0DEC" w:rsidP="00CC237C">
      <w:pPr>
        <w:pStyle w:val="Default"/>
        <w:spacing w:line="480" w:lineRule="auto"/>
        <w:jc w:val="both"/>
        <w:rPr>
          <w:rFonts w:ascii="Times New Roman" w:hAnsi="Times New Roman" w:cs="Times New Roman"/>
          <w:lang w:val="en-US"/>
        </w:rPr>
      </w:pPr>
    </w:p>
    <w:p w14:paraId="0FC03A41" w14:textId="433AED5A" w:rsidR="005B0DEC" w:rsidRDefault="005B0DEC" w:rsidP="00CC237C">
      <w:pPr>
        <w:pStyle w:val="Default"/>
        <w:spacing w:line="480" w:lineRule="auto"/>
        <w:jc w:val="both"/>
        <w:rPr>
          <w:rFonts w:ascii="Times New Roman" w:hAnsi="Times New Roman" w:cs="Times New Roman"/>
          <w:lang w:val="en-US"/>
        </w:rPr>
      </w:pPr>
      <w:r>
        <w:rPr>
          <w:noProof/>
        </w:rPr>
        <w:drawing>
          <wp:inline distT="0" distB="0" distL="0" distR="0" wp14:anchorId="3EEAE3FB" wp14:editId="2A1F1C37">
            <wp:extent cx="5534108" cy="2641746"/>
            <wp:effectExtent l="0" t="0" r="0" b="6350"/>
            <wp:docPr id="1"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126" t="4712" r="10316" b="13544"/>
                    <a:stretch/>
                  </pic:blipFill>
                  <pic:spPr bwMode="auto">
                    <a:xfrm>
                      <a:off x="0" y="0"/>
                      <a:ext cx="5553156" cy="2650839"/>
                    </a:xfrm>
                    <a:prstGeom prst="rect">
                      <a:avLst/>
                    </a:prstGeom>
                    <a:noFill/>
                    <a:ln>
                      <a:noFill/>
                    </a:ln>
                    <a:extLst>
                      <a:ext uri="{53640926-AAD7-44D8-BBD7-CCE9431645EC}">
                        <a14:shadowObscured xmlns:a14="http://schemas.microsoft.com/office/drawing/2010/main"/>
                      </a:ext>
                    </a:extLst>
                  </pic:spPr>
                </pic:pic>
              </a:graphicData>
            </a:graphic>
          </wp:inline>
        </w:drawing>
      </w:r>
    </w:p>
    <w:p w14:paraId="7EB56652" w14:textId="2F12DF9B" w:rsidR="005B0DEC" w:rsidRPr="00C6379E" w:rsidRDefault="005B0DEC" w:rsidP="00CC237C">
      <w:pPr>
        <w:pStyle w:val="Default"/>
        <w:spacing w:line="480" w:lineRule="auto"/>
        <w:jc w:val="both"/>
        <w:rPr>
          <w:rFonts w:ascii="Times New Roman" w:hAnsi="Times New Roman" w:cs="Times New Roman"/>
          <w:b/>
          <w:bCs/>
          <w:sz w:val="20"/>
          <w:szCs w:val="20"/>
          <w:lang w:val="en-US"/>
        </w:rPr>
      </w:pPr>
      <w:r w:rsidRPr="00C6379E">
        <w:rPr>
          <w:rFonts w:ascii="Times New Roman" w:hAnsi="Times New Roman" w:cs="Times New Roman"/>
          <w:b/>
          <w:bCs/>
          <w:sz w:val="20"/>
          <w:szCs w:val="20"/>
          <w:lang w:val="en-US"/>
        </w:rPr>
        <w:t>Figure 1. (A) Finite-element method model setup for various layer inclinations tested (</w:t>
      </w:r>
      <w:r w:rsidRPr="00C6379E">
        <w:rPr>
          <w:rFonts w:ascii="Times New Roman" w:hAnsi="Times New Roman" w:cs="Times New Roman"/>
          <w:b/>
          <w:bCs/>
          <w:i/>
          <w:iCs/>
          <w:sz w:val="20"/>
          <w:szCs w:val="20"/>
          <w:lang w:val="en-US"/>
        </w:rPr>
        <w:t>L</w:t>
      </w:r>
      <w:r w:rsidRPr="00C6379E">
        <w:rPr>
          <w:rFonts w:ascii="Times New Roman" w:hAnsi="Times New Roman" w:cs="Times New Roman"/>
          <w:b/>
          <w:bCs/>
          <w:sz w:val="20"/>
          <w:szCs w:val="20"/>
          <w:lang w:val="en-US"/>
        </w:rPr>
        <w:t xml:space="preserve">—dike length; </w:t>
      </w:r>
      <w:r w:rsidRPr="00C6379E">
        <w:rPr>
          <w:rFonts w:ascii="Times New Roman" w:hAnsi="Times New Roman" w:cs="Times New Roman"/>
          <w:b/>
          <w:bCs/>
          <w:i/>
          <w:iCs/>
          <w:sz w:val="20"/>
          <w:szCs w:val="20"/>
          <w:lang w:val="en-US"/>
        </w:rPr>
        <w:t>T</w:t>
      </w:r>
      <w:r w:rsidRPr="00C6379E">
        <w:rPr>
          <w:rStyle w:val="A8"/>
          <w:rFonts w:ascii="Times New Roman" w:hAnsi="Times New Roman" w:cs="Times New Roman"/>
          <w:sz w:val="20"/>
          <w:szCs w:val="20"/>
          <w:lang w:val="en-US"/>
        </w:rPr>
        <w:t>D</w:t>
      </w:r>
      <w:r w:rsidRPr="00C6379E">
        <w:rPr>
          <w:rFonts w:ascii="Times New Roman" w:hAnsi="Times New Roman" w:cs="Times New Roman"/>
          <w:b/>
          <w:bCs/>
          <w:sz w:val="20"/>
          <w:szCs w:val="20"/>
          <w:lang w:val="en-US"/>
        </w:rPr>
        <w:t xml:space="preserve">—dike thickness; </w:t>
      </w:r>
      <w:r w:rsidRPr="00C6379E">
        <w:rPr>
          <w:rFonts w:ascii="Times New Roman" w:hAnsi="Times New Roman" w:cs="Times New Roman"/>
          <w:b/>
          <w:bCs/>
          <w:i/>
          <w:iCs/>
          <w:sz w:val="20"/>
          <w:szCs w:val="20"/>
          <w:lang w:val="en-US"/>
        </w:rPr>
        <w:t>D</w:t>
      </w:r>
      <w:r w:rsidRPr="00C6379E">
        <w:rPr>
          <w:rFonts w:ascii="Times New Roman" w:hAnsi="Times New Roman" w:cs="Times New Roman"/>
          <w:b/>
          <w:bCs/>
          <w:sz w:val="20"/>
          <w:szCs w:val="20"/>
          <w:lang w:val="en-US"/>
        </w:rPr>
        <w:t xml:space="preserve">—upper dike tip depth; </w:t>
      </w:r>
      <w:r w:rsidRPr="00C6379E">
        <w:rPr>
          <w:rFonts w:ascii="Times New Roman" w:hAnsi="Times New Roman" w:cs="Times New Roman"/>
          <w:b/>
          <w:bCs/>
          <w:i/>
          <w:iCs/>
          <w:sz w:val="20"/>
          <w:szCs w:val="20"/>
          <w:lang w:val="en-US"/>
        </w:rPr>
        <w:t>P</w:t>
      </w:r>
      <w:r w:rsidRPr="00C6379E">
        <w:rPr>
          <w:rStyle w:val="A8"/>
          <w:rFonts w:ascii="Times New Roman" w:hAnsi="Times New Roman" w:cs="Times New Roman"/>
          <w:sz w:val="20"/>
          <w:szCs w:val="20"/>
          <w:lang w:val="en-US"/>
        </w:rPr>
        <w:t>o</w:t>
      </w:r>
      <w:r w:rsidRPr="00C6379E">
        <w:rPr>
          <w:rFonts w:ascii="Times New Roman" w:hAnsi="Times New Roman" w:cs="Times New Roman"/>
          <w:b/>
          <w:bCs/>
          <w:sz w:val="20"/>
          <w:szCs w:val="20"/>
          <w:lang w:val="en-US"/>
        </w:rPr>
        <w:t xml:space="preserve">—magmatic overpressure; </w:t>
      </w:r>
      <w:r w:rsidRPr="00C6379E">
        <w:rPr>
          <w:rFonts w:ascii="Times New Roman" w:hAnsi="Times New Roman" w:cs="Times New Roman"/>
          <w:b/>
          <w:bCs/>
          <w:sz w:val="20"/>
          <w:szCs w:val="20"/>
        </w:rPr>
        <w:t>θ</w:t>
      </w:r>
      <w:r w:rsidRPr="00C6379E">
        <w:rPr>
          <w:rFonts w:ascii="Times New Roman" w:hAnsi="Times New Roman" w:cs="Times New Roman"/>
          <w:b/>
          <w:bCs/>
          <w:sz w:val="20"/>
          <w:szCs w:val="20"/>
          <w:lang w:val="en-US"/>
        </w:rPr>
        <w:t xml:space="preserve">—layer inclination; </w:t>
      </w:r>
      <w:r w:rsidRPr="00C6379E">
        <w:rPr>
          <w:rFonts w:ascii="Times New Roman" w:hAnsi="Times New Roman" w:cs="Times New Roman"/>
          <w:b/>
          <w:bCs/>
          <w:i/>
          <w:iCs/>
          <w:sz w:val="20"/>
          <w:szCs w:val="20"/>
          <w:lang w:val="en-US"/>
        </w:rPr>
        <w:t>E</w:t>
      </w:r>
      <w:r w:rsidRPr="00C6379E">
        <w:rPr>
          <w:rStyle w:val="A8"/>
          <w:rFonts w:ascii="Times New Roman" w:hAnsi="Times New Roman" w:cs="Times New Roman"/>
          <w:sz w:val="20"/>
          <w:szCs w:val="20"/>
          <w:vertAlign w:val="subscript"/>
          <w:lang w:val="en-US"/>
        </w:rPr>
        <w:t>1</w:t>
      </w:r>
      <w:r w:rsidRPr="00C6379E">
        <w:rPr>
          <w:rFonts w:ascii="Times New Roman" w:hAnsi="Times New Roman" w:cs="Times New Roman"/>
          <w:b/>
          <w:bCs/>
          <w:sz w:val="20"/>
          <w:szCs w:val="20"/>
          <w:lang w:val="en-US"/>
        </w:rPr>
        <w:t xml:space="preserve">, </w:t>
      </w:r>
      <w:r w:rsidRPr="00C6379E">
        <w:rPr>
          <w:rFonts w:ascii="Times New Roman" w:hAnsi="Times New Roman" w:cs="Times New Roman"/>
          <w:b/>
          <w:bCs/>
          <w:i/>
          <w:iCs/>
          <w:sz w:val="20"/>
          <w:szCs w:val="20"/>
          <w:lang w:val="en-US"/>
        </w:rPr>
        <w:t>E</w:t>
      </w:r>
      <w:r w:rsidRPr="00C6379E">
        <w:rPr>
          <w:rStyle w:val="A8"/>
          <w:rFonts w:ascii="Times New Roman" w:hAnsi="Times New Roman" w:cs="Times New Roman"/>
          <w:sz w:val="20"/>
          <w:szCs w:val="20"/>
          <w:vertAlign w:val="subscript"/>
          <w:lang w:val="en-US"/>
        </w:rPr>
        <w:t>2</w:t>
      </w:r>
      <w:r w:rsidRPr="00C6379E">
        <w:rPr>
          <w:rFonts w:ascii="Times New Roman" w:hAnsi="Times New Roman" w:cs="Times New Roman"/>
          <w:b/>
          <w:bCs/>
          <w:sz w:val="20"/>
          <w:szCs w:val="20"/>
          <w:lang w:val="en-US"/>
        </w:rPr>
        <w:t>—layer Young’s modulus). Crosses mark fixed boundaries. (B) Horizontally mechanical layered model setup. (C) Example of model mesh with layers inclined at 25°. (D,</w:t>
      </w:r>
      <w:r w:rsidR="00C6379E">
        <w:rPr>
          <w:rFonts w:ascii="Times New Roman" w:hAnsi="Times New Roman" w:cs="Times New Roman"/>
          <w:b/>
          <w:bCs/>
          <w:sz w:val="20"/>
          <w:szCs w:val="20"/>
          <w:lang w:val="en-US"/>
        </w:rPr>
        <w:t xml:space="preserve"> </w:t>
      </w:r>
      <w:r w:rsidRPr="00C6379E">
        <w:rPr>
          <w:rFonts w:ascii="Times New Roman" w:hAnsi="Times New Roman" w:cs="Times New Roman"/>
          <w:b/>
          <w:bCs/>
          <w:sz w:val="20"/>
          <w:szCs w:val="20"/>
          <w:lang w:val="en-US"/>
        </w:rPr>
        <w:t>E) Field photographs of dikes emplaced in dipping rock units from Santorini volcano (Greece) and the Andes (Chile), respectively. B and C are not to scale.</w:t>
      </w:r>
    </w:p>
    <w:p w14:paraId="42AB2ECF" w14:textId="4ACB16DB" w:rsidR="005B0DEC" w:rsidRPr="00C6379E" w:rsidRDefault="005B0DEC" w:rsidP="00CC237C">
      <w:pPr>
        <w:pStyle w:val="Default"/>
        <w:spacing w:line="480" w:lineRule="auto"/>
        <w:jc w:val="both"/>
        <w:rPr>
          <w:rFonts w:cs="Helvetica LT Std"/>
          <w:b/>
          <w:bCs/>
          <w:sz w:val="16"/>
          <w:szCs w:val="16"/>
          <w:lang w:val="en-US"/>
        </w:rPr>
      </w:pPr>
    </w:p>
    <w:p w14:paraId="6C38A7E6" w14:textId="423C81BE" w:rsidR="005B0DEC" w:rsidRDefault="005B0DEC" w:rsidP="005B0DEC">
      <w:pPr>
        <w:pStyle w:val="Default"/>
        <w:spacing w:line="480" w:lineRule="auto"/>
        <w:jc w:val="center"/>
        <w:rPr>
          <w:rFonts w:ascii="Times New Roman" w:hAnsi="Times New Roman" w:cs="Times New Roman"/>
          <w:lang w:val="en-US"/>
        </w:rPr>
      </w:pPr>
      <w:r>
        <w:rPr>
          <w:noProof/>
        </w:rPr>
        <w:lastRenderedPageBreak/>
        <w:drawing>
          <wp:inline distT="0" distB="0" distL="0" distR="0" wp14:anchorId="14305633" wp14:editId="7588210E">
            <wp:extent cx="5482987" cy="4349364"/>
            <wp:effectExtent l="0" t="0" r="3810" b="0"/>
            <wp:docPr id="2" name="Imagen 2"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Gráfico, Gráfico de líneas&#10;&#10;Descripción generada automáticamente"/>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5074"/>
                    <a:stretch/>
                  </pic:blipFill>
                  <pic:spPr bwMode="auto">
                    <a:xfrm>
                      <a:off x="0" y="0"/>
                      <a:ext cx="5487653" cy="4353066"/>
                    </a:xfrm>
                    <a:prstGeom prst="rect">
                      <a:avLst/>
                    </a:prstGeom>
                    <a:noFill/>
                    <a:ln>
                      <a:noFill/>
                    </a:ln>
                    <a:extLst>
                      <a:ext uri="{53640926-AAD7-44D8-BBD7-CCE9431645EC}">
                        <a14:shadowObscured xmlns:a14="http://schemas.microsoft.com/office/drawing/2010/main"/>
                      </a:ext>
                    </a:extLst>
                  </pic:spPr>
                </pic:pic>
              </a:graphicData>
            </a:graphic>
          </wp:inline>
        </w:drawing>
      </w:r>
    </w:p>
    <w:p w14:paraId="08F7F620" w14:textId="548B21D3" w:rsidR="005B0DEC" w:rsidRPr="00C6379E" w:rsidRDefault="005B0DEC" w:rsidP="00CC237C">
      <w:pPr>
        <w:pStyle w:val="Default"/>
        <w:spacing w:line="480" w:lineRule="auto"/>
        <w:jc w:val="both"/>
        <w:rPr>
          <w:rFonts w:ascii="Times New Roman" w:hAnsi="Times New Roman" w:cs="Times New Roman"/>
          <w:sz w:val="20"/>
          <w:szCs w:val="20"/>
          <w:lang w:val="en-US"/>
        </w:rPr>
      </w:pPr>
      <w:r w:rsidRPr="00C6379E">
        <w:rPr>
          <w:rFonts w:ascii="Times New Roman" w:hAnsi="Times New Roman" w:cs="Times New Roman"/>
          <w:b/>
          <w:bCs/>
          <w:sz w:val="20"/>
          <w:szCs w:val="20"/>
          <w:lang w:val="en-US"/>
        </w:rPr>
        <w:t>Figure 2. Vertical ground displacement (</w:t>
      </w:r>
      <w:r w:rsidRPr="00C6379E">
        <w:rPr>
          <w:rFonts w:ascii="Times New Roman" w:hAnsi="Times New Roman" w:cs="Times New Roman"/>
          <w:b/>
          <w:bCs/>
          <w:i/>
          <w:iCs/>
          <w:sz w:val="20"/>
          <w:szCs w:val="20"/>
          <w:lang w:val="en-US"/>
        </w:rPr>
        <w:t>u</w:t>
      </w:r>
      <w:r w:rsidRPr="00C6379E">
        <w:rPr>
          <w:rStyle w:val="A8"/>
          <w:rFonts w:ascii="Times New Roman" w:hAnsi="Times New Roman" w:cs="Times New Roman"/>
          <w:sz w:val="20"/>
          <w:szCs w:val="20"/>
          <w:lang w:val="en-US"/>
        </w:rPr>
        <w:t>z</w:t>
      </w:r>
      <w:r w:rsidRPr="00C6379E">
        <w:rPr>
          <w:rFonts w:ascii="Times New Roman" w:hAnsi="Times New Roman" w:cs="Times New Roman"/>
          <w:b/>
          <w:bCs/>
          <w:sz w:val="20"/>
          <w:szCs w:val="20"/>
          <w:lang w:val="en-US"/>
        </w:rPr>
        <w:t>) variations relative to lateral distance from the dike tip for each layer inclination (</w:t>
      </w:r>
      <w:r w:rsidRPr="00C6379E">
        <w:rPr>
          <w:rFonts w:ascii="Times New Roman" w:hAnsi="Times New Roman" w:cs="Times New Roman"/>
          <w:b/>
          <w:bCs/>
          <w:sz w:val="20"/>
          <w:szCs w:val="20"/>
        </w:rPr>
        <w:t>θ</w:t>
      </w:r>
      <w:r w:rsidRPr="00C6379E">
        <w:rPr>
          <w:rFonts w:ascii="Times New Roman" w:hAnsi="Times New Roman" w:cs="Times New Roman"/>
          <w:b/>
          <w:bCs/>
          <w:sz w:val="20"/>
          <w:szCs w:val="20"/>
          <w:lang w:val="en-US"/>
        </w:rPr>
        <w:t>) and stiffness ratio (</w:t>
      </w:r>
      <w:r w:rsidRPr="00C6379E">
        <w:rPr>
          <w:rFonts w:ascii="Times New Roman" w:hAnsi="Times New Roman" w:cs="Times New Roman"/>
          <w:b/>
          <w:bCs/>
          <w:i/>
          <w:iCs/>
          <w:sz w:val="20"/>
          <w:szCs w:val="20"/>
          <w:lang w:val="en-US"/>
        </w:rPr>
        <w:t>E</w:t>
      </w:r>
      <w:r w:rsidRPr="00C6379E">
        <w:rPr>
          <w:rStyle w:val="A8"/>
          <w:rFonts w:ascii="Times New Roman" w:hAnsi="Times New Roman" w:cs="Times New Roman"/>
          <w:sz w:val="20"/>
          <w:szCs w:val="20"/>
          <w:vertAlign w:val="subscript"/>
          <w:lang w:val="en-US"/>
        </w:rPr>
        <w:t>1</w:t>
      </w:r>
      <w:r w:rsidRPr="00C6379E">
        <w:rPr>
          <w:rFonts w:ascii="Times New Roman" w:hAnsi="Times New Roman" w:cs="Times New Roman"/>
          <w:b/>
          <w:bCs/>
          <w:sz w:val="20"/>
          <w:szCs w:val="20"/>
          <w:lang w:val="en-US"/>
        </w:rPr>
        <w:t>:</w:t>
      </w:r>
      <w:r w:rsidRPr="00C6379E">
        <w:rPr>
          <w:rFonts w:ascii="Times New Roman" w:hAnsi="Times New Roman" w:cs="Times New Roman"/>
          <w:b/>
          <w:bCs/>
          <w:i/>
          <w:iCs/>
          <w:sz w:val="20"/>
          <w:szCs w:val="20"/>
          <w:lang w:val="en-US"/>
        </w:rPr>
        <w:t>E</w:t>
      </w:r>
      <w:r w:rsidRPr="00C6379E">
        <w:rPr>
          <w:rStyle w:val="A8"/>
          <w:rFonts w:ascii="Times New Roman" w:hAnsi="Times New Roman" w:cs="Times New Roman"/>
          <w:sz w:val="20"/>
          <w:szCs w:val="20"/>
          <w:vertAlign w:val="subscript"/>
          <w:lang w:val="en-US"/>
        </w:rPr>
        <w:t>2</w:t>
      </w:r>
      <w:r w:rsidRPr="00C6379E">
        <w:rPr>
          <w:rFonts w:ascii="Times New Roman" w:hAnsi="Times New Roman" w:cs="Times New Roman"/>
          <w:b/>
          <w:bCs/>
          <w:sz w:val="20"/>
          <w:szCs w:val="20"/>
          <w:lang w:val="en-US"/>
        </w:rPr>
        <w:t xml:space="preserve">, where </w:t>
      </w:r>
      <w:r w:rsidRPr="00C6379E">
        <w:rPr>
          <w:rFonts w:ascii="Times New Roman" w:hAnsi="Times New Roman" w:cs="Times New Roman"/>
          <w:b/>
          <w:bCs/>
          <w:i/>
          <w:iCs/>
          <w:sz w:val="20"/>
          <w:szCs w:val="20"/>
          <w:lang w:val="en-US"/>
        </w:rPr>
        <w:t>E</w:t>
      </w:r>
      <w:r w:rsidRPr="00C6379E">
        <w:rPr>
          <w:rStyle w:val="A8"/>
          <w:rFonts w:ascii="Times New Roman" w:hAnsi="Times New Roman" w:cs="Times New Roman"/>
          <w:sz w:val="20"/>
          <w:szCs w:val="20"/>
          <w:vertAlign w:val="subscript"/>
          <w:lang w:val="en-US"/>
        </w:rPr>
        <w:t>1</w:t>
      </w:r>
      <w:r w:rsidRPr="00C6379E">
        <w:rPr>
          <w:rStyle w:val="A8"/>
          <w:rFonts w:ascii="Times New Roman" w:hAnsi="Times New Roman" w:cs="Times New Roman"/>
          <w:sz w:val="20"/>
          <w:szCs w:val="20"/>
          <w:lang w:val="en-US"/>
        </w:rPr>
        <w:t xml:space="preserve"> </w:t>
      </w:r>
      <w:r w:rsidRPr="00C6379E">
        <w:rPr>
          <w:rFonts w:ascii="Times New Roman" w:hAnsi="Times New Roman" w:cs="Times New Roman"/>
          <w:b/>
          <w:bCs/>
          <w:sz w:val="20"/>
          <w:szCs w:val="20"/>
          <w:lang w:val="en-US"/>
        </w:rPr>
        <w:t xml:space="preserve">is Young’s modulus of the layer hosting the dike and </w:t>
      </w:r>
      <w:r w:rsidRPr="00C6379E">
        <w:rPr>
          <w:rFonts w:ascii="Times New Roman" w:hAnsi="Times New Roman" w:cs="Times New Roman"/>
          <w:b/>
          <w:bCs/>
          <w:i/>
          <w:iCs/>
          <w:sz w:val="20"/>
          <w:szCs w:val="20"/>
          <w:lang w:val="en-US"/>
        </w:rPr>
        <w:t>E</w:t>
      </w:r>
      <w:r w:rsidRPr="00C6379E">
        <w:rPr>
          <w:rStyle w:val="A8"/>
          <w:rFonts w:ascii="Times New Roman" w:hAnsi="Times New Roman" w:cs="Times New Roman"/>
          <w:sz w:val="20"/>
          <w:szCs w:val="20"/>
          <w:vertAlign w:val="subscript"/>
          <w:lang w:val="en-US"/>
        </w:rPr>
        <w:t>2</w:t>
      </w:r>
      <w:r w:rsidRPr="00C6379E">
        <w:rPr>
          <w:rStyle w:val="A8"/>
          <w:rFonts w:ascii="Times New Roman" w:hAnsi="Times New Roman" w:cs="Times New Roman"/>
          <w:sz w:val="20"/>
          <w:szCs w:val="20"/>
          <w:lang w:val="en-US"/>
        </w:rPr>
        <w:t xml:space="preserve"> </w:t>
      </w:r>
      <w:r w:rsidRPr="00C6379E">
        <w:rPr>
          <w:rFonts w:ascii="Times New Roman" w:hAnsi="Times New Roman" w:cs="Times New Roman"/>
          <w:b/>
          <w:bCs/>
          <w:sz w:val="20"/>
          <w:szCs w:val="20"/>
          <w:lang w:val="en-US"/>
        </w:rPr>
        <w:t>is that of the layer above the dike) tested.</w:t>
      </w:r>
    </w:p>
    <w:p w14:paraId="6FC52A41" w14:textId="73B6D392" w:rsidR="005B0DEC" w:rsidRDefault="005B0DEC" w:rsidP="00CC237C">
      <w:pPr>
        <w:pStyle w:val="Default"/>
        <w:spacing w:line="480" w:lineRule="auto"/>
        <w:jc w:val="both"/>
        <w:rPr>
          <w:rFonts w:ascii="Times New Roman" w:hAnsi="Times New Roman" w:cs="Times New Roman"/>
          <w:lang w:val="en-US"/>
        </w:rPr>
      </w:pPr>
    </w:p>
    <w:p w14:paraId="47DF8C70" w14:textId="576B051F" w:rsidR="005B0DEC" w:rsidRDefault="005B0DEC" w:rsidP="00CC237C">
      <w:pPr>
        <w:pStyle w:val="Default"/>
        <w:spacing w:line="480" w:lineRule="auto"/>
        <w:jc w:val="both"/>
        <w:rPr>
          <w:noProof/>
        </w:rPr>
      </w:pPr>
      <w:r>
        <w:rPr>
          <w:noProof/>
        </w:rPr>
        <w:lastRenderedPageBreak/>
        <w:drawing>
          <wp:inline distT="0" distB="0" distL="0" distR="0" wp14:anchorId="4DE34EC8" wp14:editId="06FBEEC3">
            <wp:extent cx="5621573" cy="4415103"/>
            <wp:effectExtent l="0" t="0" r="0" b="5080"/>
            <wp:docPr id="3" name="Imagen 3"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10;&#10;Descripción generada automáticamente"/>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133" b="2395"/>
                    <a:stretch/>
                  </pic:blipFill>
                  <pic:spPr bwMode="auto">
                    <a:xfrm>
                      <a:off x="0" y="0"/>
                      <a:ext cx="5625016" cy="4417807"/>
                    </a:xfrm>
                    <a:prstGeom prst="rect">
                      <a:avLst/>
                    </a:prstGeom>
                    <a:noFill/>
                    <a:ln>
                      <a:noFill/>
                    </a:ln>
                    <a:extLst>
                      <a:ext uri="{53640926-AAD7-44D8-BBD7-CCE9431645EC}">
                        <a14:shadowObscured xmlns:a14="http://schemas.microsoft.com/office/drawing/2010/main"/>
                      </a:ext>
                    </a:extLst>
                  </pic:spPr>
                </pic:pic>
              </a:graphicData>
            </a:graphic>
          </wp:inline>
        </w:drawing>
      </w:r>
    </w:p>
    <w:p w14:paraId="3FB0569F" w14:textId="5FBA0C5E" w:rsidR="005B0DEC" w:rsidRPr="00C6379E" w:rsidRDefault="005B0DEC" w:rsidP="005B0DEC">
      <w:pPr>
        <w:spacing w:line="480" w:lineRule="auto"/>
        <w:jc w:val="both"/>
        <w:rPr>
          <w:rFonts w:ascii="Times New Roman" w:hAnsi="Times New Roman" w:cs="Times New Roman"/>
          <w:b/>
          <w:bCs/>
          <w:color w:val="000000"/>
          <w:sz w:val="20"/>
          <w:szCs w:val="20"/>
        </w:rPr>
      </w:pPr>
      <w:r w:rsidRPr="00C6379E">
        <w:rPr>
          <w:rFonts w:ascii="Times New Roman" w:hAnsi="Times New Roman" w:cs="Times New Roman"/>
          <w:b/>
          <w:bCs/>
          <w:color w:val="000000"/>
          <w:sz w:val="20"/>
          <w:szCs w:val="20"/>
        </w:rPr>
        <w:t>Figure 3. Horizontal ground displacement (</w:t>
      </w:r>
      <w:r w:rsidRPr="00C6379E">
        <w:rPr>
          <w:rFonts w:ascii="Times New Roman" w:hAnsi="Times New Roman" w:cs="Times New Roman"/>
          <w:b/>
          <w:bCs/>
          <w:i/>
          <w:iCs/>
          <w:color w:val="000000"/>
          <w:sz w:val="20"/>
          <w:szCs w:val="20"/>
        </w:rPr>
        <w:t>u</w:t>
      </w:r>
      <w:r w:rsidRPr="00C6379E">
        <w:rPr>
          <w:rStyle w:val="A8"/>
          <w:rFonts w:ascii="Times New Roman" w:hAnsi="Times New Roman" w:cs="Times New Roman"/>
          <w:sz w:val="20"/>
          <w:szCs w:val="20"/>
        </w:rPr>
        <w:t>x</w:t>
      </w:r>
      <w:r w:rsidRPr="00C6379E">
        <w:rPr>
          <w:rFonts w:ascii="Times New Roman" w:hAnsi="Times New Roman" w:cs="Times New Roman"/>
          <w:b/>
          <w:bCs/>
          <w:color w:val="000000"/>
          <w:sz w:val="20"/>
          <w:szCs w:val="20"/>
        </w:rPr>
        <w:t>) variations relative to lateral distance from the dike tip for each layer inclination (θ) and stiffness ratio (</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1</w:t>
      </w:r>
      <w:r w:rsidRPr="00C6379E">
        <w:rPr>
          <w:rFonts w:ascii="Times New Roman" w:hAnsi="Times New Roman" w:cs="Times New Roman"/>
          <w:b/>
          <w:bCs/>
          <w:color w:val="000000"/>
          <w:sz w:val="20"/>
          <w:szCs w:val="20"/>
        </w:rPr>
        <w:t>:</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2</w:t>
      </w:r>
      <w:r w:rsidRPr="00C6379E">
        <w:rPr>
          <w:rFonts w:ascii="Times New Roman" w:hAnsi="Times New Roman" w:cs="Times New Roman"/>
          <w:b/>
          <w:bCs/>
          <w:color w:val="000000"/>
          <w:sz w:val="20"/>
          <w:szCs w:val="20"/>
        </w:rPr>
        <w:t xml:space="preserve">, where </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1</w:t>
      </w:r>
      <w:r w:rsidRPr="00C6379E">
        <w:rPr>
          <w:rStyle w:val="A8"/>
          <w:rFonts w:ascii="Times New Roman" w:hAnsi="Times New Roman" w:cs="Times New Roman"/>
          <w:sz w:val="20"/>
          <w:szCs w:val="20"/>
        </w:rPr>
        <w:t xml:space="preserve"> </w:t>
      </w:r>
      <w:r w:rsidRPr="00C6379E">
        <w:rPr>
          <w:rFonts w:ascii="Times New Roman" w:hAnsi="Times New Roman" w:cs="Times New Roman"/>
          <w:b/>
          <w:bCs/>
          <w:color w:val="000000"/>
          <w:sz w:val="20"/>
          <w:szCs w:val="20"/>
        </w:rPr>
        <w:t xml:space="preserve">is Young’s modulus of the layer hosting the dike and </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2</w:t>
      </w:r>
      <w:r w:rsidRPr="00C6379E">
        <w:rPr>
          <w:rStyle w:val="A8"/>
          <w:rFonts w:ascii="Times New Roman" w:hAnsi="Times New Roman" w:cs="Times New Roman"/>
          <w:sz w:val="20"/>
          <w:szCs w:val="20"/>
        </w:rPr>
        <w:t xml:space="preserve"> </w:t>
      </w:r>
      <w:r w:rsidRPr="00C6379E">
        <w:rPr>
          <w:rFonts w:ascii="Times New Roman" w:hAnsi="Times New Roman" w:cs="Times New Roman"/>
          <w:b/>
          <w:bCs/>
          <w:color w:val="000000"/>
          <w:sz w:val="20"/>
          <w:szCs w:val="20"/>
        </w:rPr>
        <w:t>is that of the layer above the dike) tested.</w:t>
      </w:r>
    </w:p>
    <w:p w14:paraId="7F795C48" w14:textId="527C685C" w:rsidR="00F9262F" w:rsidRDefault="00F9262F" w:rsidP="005B0DEC">
      <w:pPr>
        <w:spacing w:line="480" w:lineRule="auto"/>
        <w:jc w:val="both"/>
        <w:rPr>
          <w:rFonts w:ascii="Times New Roman" w:hAnsi="Times New Roman" w:cs="Times New Roman"/>
          <w:b/>
          <w:bCs/>
          <w:color w:val="000000"/>
          <w:sz w:val="16"/>
          <w:szCs w:val="16"/>
        </w:rPr>
      </w:pPr>
    </w:p>
    <w:p w14:paraId="09BC6605" w14:textId="2C8266FA" w:rsidR="00F9262F" w:rsidRDefault="00F9262F" w:rsidP="005B0DEC">
      <w:pPr>
        <w:spacing w:line="480" w:lineRule="auto"/>
        <w:jc w:val="both"/>
        <w:rPr>
          <w:rFonts w:ascii="Times New Roman" w:hAnsi="Times New Roman" w:cs="Times New Roman"/>
          <w:b/>
          <w:bCs/>
          <w:color w:val="000000"/>
          <w:sz w:val="16"/>
          <w:szCs w:val="16"/>
        </w:rPr>
      </w:pPr>
    </w:p>
    <w:p w14:paraId="21B55E49" w14:textId="341E4005" w:rsidR="00F9262F" w:rsidRDefault="00F9262F" w:rsidP="005B0DEC">
      <w:pPr>
        <w:spacing w:line="480" w:lineRule="auto"/>
        <w:jc w:val="both"/>
        <w:rPr>
          <w:rFonts w:ascii="Times New Roman" w:hAnsi="Times New Roman" w:cs="Times New Roman"/>
          <w:b/>
          <w:bCs/>
          <w:color w:val="000000"/>
          <w:sz w:val="16"/>
          <w:szCs w:val="16"/>
        </w:rPr>
      </w:pPr>
    </w:p>
    <w:p w14:paraId="078AC79A" w14:textId="4EF9E46D" w:rsidR="00F9262F" w:rsidRDefault="00F9262F" w:rsidP="005B0DEC">
      <w:pPr>
        <w:spacing w:line="480" w:lineRule="auto"/>
        <w:jc w:val="both"/>
        <w:rPr>
          <w:rFonts w:ascii="Times New Roman" w:hAnsi="Times New Roman" w:cs="Times New Roman"/>
          <w:b/>
          <w:bCs/>
          <w:color w:val="000000"/>
          <w:sz w:val="16"/>
          <w:szCs w:val="16"/>
        </w:rPr>
      </w:pPr>
    </w:p>
    <w:p w14:paraId="63BD15B8" w14:textId="550A83DF" w:rsidR="00F9262F" w:rsidRDefault="00F9262F" w:rsidP="005B0DEC">
      <w:pPr>
        <w:spacing w:line="480" w:lineRule="auto"/>
        <w:jc w:val="both"/>
        <w:rPr>
          <w:rFonts w:ascii="Times New Roman" w:hAnsi="Times New Roman" w:cs="Times New Roman"/>
          <w:b/>
          <w:bCs/>
          <w:color w:val="000000"/>
          <w:sz w:val="16"/>
          <w:szCs w:val="16"/>
        </w:rPr>
      </w:pPr>
    </w:p>
    <w:p w14:paraId="0F71D6D5" w14:textId="58ACC013" w:rsidR="00F9262F" w:rsidRDefault="00F9262F" w:rsidP="005B0DEC">
      <w:pPr>
        <w:spacing w:line="480" w:lineRule="auto"/>
        <w:jc w:val="both"/>
        <w:rPr>
          <w:rFonts w:ascii="Times New Roman" w:hAnsi="Times New Roman" w:cs="Times New Roman"/>
          <w:b/>
          <w:bCs/>
          <w:color w:val="000000"/>
          <w:sz w:val="16"/>
          <w:szCs w:val="16"/>
        </w:rPr>
      </w:pPr>
    </w:p>
    <w:p w14:paraId="76518AA4" w14:textId="5133E571" w:rsidR="00F9262F" w:rsidRDefault="00F9262F" w:rsidP="005B0DEC">
      <w:pPr>
        <w:spacing w:line="480" w:lineRule="auto"/>
        <w:jc w:val="both"/>
        <w:rPr>
          <w:rFonts w:ascii="Times New Roman" w:hAnsi="Times New Roman" w:cs="Times New Roman"/>
          <w:b/>
          <w:bCs/>
          <w:color w:val="000000"/>
          <w:sz w:val="16"/>
          <w:szCs w:val="16"/>
        </w:rPr>
      </w:pPr>
    </w:p>
    <w:p w14:paraId="4EF5F65E" w14:textId="27866841" w:rsidR="00F9262F" w:rsidRDefault="00F9262F" w:rsidP="005B0DEC">
      <w:pPr>
        <w:spacing w:line="480" w:lineRule="auto"/>
        <w:jc w:val="both"/>
        <w:rPr>
          <w:rFonts w:ascii="Times New Roman" w:hAnsi="Times New Roman" w:cs="Times New Roman"/>
          <w:b/>
          <w:bCs/>
          <w:color w:val="000000"/>
          <w:sz w:val="16"/>
          <w:szCs w:val="16"/>
        </w:rPr>
      </w:pPr>
    </w:p>
    <w:p w14:paraId="6A5A49B9" w14:textId="15F6EDC9" w:rsidR="00F9262F" w:rsidRDefault="00F9262F" w:rsidP="005B0DEC">
      <w:pPr>
        <w:spacing w:line="480" w:lineRule="auto"/>
        <w:jc w:val="both"/>
        <w:rPr>
          <w:rFonts w:ascii="Times New Roman" w:hAnsi="Times New Roman" w:cs="Times New Roman"/>
          <w:b/>
          <w:bCs/>
          <w:color w:val="000000"/>
          <w:sz w:val="16"/>
          <w:szCs w:val="16"/>
        </w:rPr>
      </w:pPr>
    </w:p>
    <w:p w14:paraId="5C8E3667" w14:textId="3EF7586D" w:rsidR="00F9262F" w:rsidRDefault="00F9262F" w:rsidP="00F9262F">
      <w:pPr>
        <w:spacing w:line="480" w:lineRule="auto"/>
        <w:jc w:val="both"/>
        <w:rPr>
          <w:noProof/>
        </w:rPr>
      </w:pPr>
      <w:r>
        <w:rPr>
          <w:noProof/>
        </w:rPr>
        <w:drawing>
          <wp:inline distT="0" distB="0" distL="0" distR="0" wp14:anchorId="2D0EBBC6" wp14:editId="07873A00">
            <wp:extent cx="5621567" cy="3708400"/>
            <wp:effectExtent l="0" t="0" r="0" b="6350"/>
            <wp:docPr id="4" name="Imagen 4" descr="Interfaz de usuario gráfica, Gráfic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Gráfico, Aplicación&#10;&#10;Descripción generada automáticamente"/>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413" r="2919"/>
                    <a:stretch/>
                  </pic:blipFill>
                  <pic:spPr bwMode="auto">
                    <a:xfrm>
                      <a:off x="0" y="0"/>
                      <a:ext cx="5622785" cy="3709204"/>
                    </a:xfrm>
                    <a:prstGeom prst="rect">
                      <a:avLst/>
                    </a:prstGeom>
                    <a:noFill/>
                    <a:ln>
                      <a:noFill/>
                    </a:ln>
                    <a:extLst>
                      <a:ext uri="{53640926-AAD7-44D8-BBD7-CCE9431645EC}">
                        <a14:shadowObscured xmlns:a14="http://schemas.microsoft.com/office/drawing/2010/main"/>
                      </a:ext>
                    </a:extLst>
                  </pic:spPr>
                </pic:pic>
              </a:graphicData>
            </a:graphic>
          </wp:inline>
        </w:drawing>
      </w:r>
    </w:p>
    <w:p w14:paraId="32081B26" w14:textId="2D8EF967" w:rsidR="00F9262F" w:rsidRPr="00C6379E" w:rsidRDefault="00F9262F" w:rsidP="005329E0">
      <w:pPr>
        <w:spacing w:line="480" w:lineRule="auto"/>
        <w:ind w:hanging="11"/>
        <w:jc w:val="both"/>
        <w:rPr>
          <w:rFonts w:ascii="Times New Roman" w:hAnsi="Times New Roman" w:cs="Times New Roman"/>
          <w:sz w:val="20"/>
          <w:szCs w:val="20"/>
        </w:rPr>
      </w:pPr>
      <w:r w:rsidRPr="00C6379E">
        <w:rPr>
          <w:rFonts w:ascii="Times New Roman" w:hAnsi="Times New Roman" w:cs="Times New Roman"/>
          <w:b/>
          <w:bCs/>
          <w:color w:val="000000"/>
          <w:sz w:val="20"/>
          <w:szCs w:val="20"/>
        </w:rPr>
        <w:t>Figure 4. (A,</w:t>
      </w:r>
      <w:r w:rsidR="00C6379E">
        <w:rPr>
          <w:rFonts w:ascii="Times New Roman" w:hAnsi="Times New Roman" w:cs="Times New Roman"/>
          <w:b/>
          <w:bCs/>
          <w:color w:val="000000"/>
          <w:sz w:val="20"/>
          <w:szCs w:val="20"/>
        </w:rPr>
        <w:t xml:space="preserve"> </w:t>
      </w:r>
      <w:r w:rsidRPr="00C6379E">
        <w:rPr>
          <w:rFonts w:ascii="Times New Roman" w:hAnsi="Times New Roman" w:cs="Times New Roman"/>
          <w:b/>
          <w:bCs/>
          <w:color w:val="000000"/>
          <w:sz w:val="20"/>
          <w:szCs w:val="20"/>
        </w:rPr>
        <w:t>B) Changes in vertical (</w:t>
      </w:r>
      <w:proofErr w:type="spellStart"/>
      <w:r w:rsidRPr="00C6379E">
        <w:rPr>
          <w:rFonts w:ascii="Times New Roman" w:hAnsi="Times New Roman" w:cs="Times New Roman"/>
          <w:b/>
          <w:bCs/>
          <w:color w:val="000000"/>
          <w:sz w:val="20"/>
          <w:szCs w:val="20"/>
        </w:rPr>
        <w:t>Δ</w:t>
      </w:r>
      <w:r w:rsidRPr="00C6379E">
        <w:rPr>
          <w:rFonts w:ascii="Times New Roman" w:hAnsi="Times New Roman" w:cs="Times New Roman"/>
          <w:b/>
          <w:bCs/>
          <w:i/>
          <w:iCs/>
          <w:color w:val="000000"/>
          <w:sz w:val="20"/>
          <w:szCs w:val="20"/>
        </w:rPr>
        <w:t>u</w:t>
      </w:r>
      <w:r w:rsidRPr="00C6379E">
        <w:rPr>
          <w:rStyle w:val="A8"/>
          <w:rFonts w:ascii="Times New Roman" w:hAnsi="Times New Roman" w:cs="Times New Roman"/>
          <w:sz w:val="20"/>
          <w:szCs w:val="20"/>
          <w:vertAlign w:val="subscript"/>
        </w:rPr>
        <w:t>z</w:t>
      </w:r>
      <w:proofErr w:type="spellEnd"/>
      <w:r w:rsidRPr="00C6379E">
        <w:rPr>
          <w:rFonts w:ascii="Times New Roman" w:hAnsi="Times New Roman" w:cs="Times New Roman"/>
          <w:b/>
          <w:bCs/>
          <w:color w:val="000000"/>
          <w:sz w:val="20"/>
          <w:szCs w:val="20"/>
        </w:rPr>
        <w:t>) and horizontal (</w:t>
      </w:r>
      <w:proofErr w:type="spellStart"/>
      <w:r w:rsidRPr="00C6379E">
        <w:rPr>
          <w:rFonts w:ascii="Times New Roman" w:hAnsi="Times New Roman" w:cs="Times New Roman"/>
          <w:b/>
          <w:bCs/>
          <w:color w:val="000000"/>
          <w:sz w:val="20"/>
          <w:szCs w:val="20"/>
        </w:rPr>
        <w:t>Δ</w:t>
      </w:r>
      <w:r w:rsidRPr="00C6379E">
        <w:rPr>
          <w:rFonts w:ascii="Times New Roman" w:hAnsi="Times New Roman" w:cs="Times New Roman"/>
          <w:b/>
          <w:bCs/>
          <w:i/>
          <w:iCs/>
          <w:color w:val="000000"/>
          <w:sz w:val="20"/>
          <w:szCs w:val="20"/>
        </w:rPr>
        <w:t>u</w:t>
      </w:r>
      <w:r w:rsidRPr="00C6379E">
        <w:rPr>
          <w:rStyle w:val="A8"/>
          <w:rFonts w:ascii="Times New Roman" w:hAnsi="Times New Roman" w:cs="Times New Roman"/>
          <w:sz w:val="20"/>
          <w:szCs w:val="20"/>
          <w:vertAlign w:val="subscript"/>
        </w:rPr>
        <w:t>x</w:t>
      </w:r>
      <w:proofErr w:type="spellEnd"/>
      <w:r w:rsidRPr="00C6379E">
        <w:rPr>
          <w:rFonts w:ascii="Times New Roman" w:hAnsi="Times New Roman" w:cs="Times New Roman"/>
          <w:b/>
          <w:bCs/>
          <w:color w:val="000000"/>
          <w:sz w:val="20"/>
          <w:szCs w:val="20"/>
        </w:rPr>
        <w:t>) displacement in percentages with respect to the non-layered model for each layer inclination (θ) and stiffness ratio (</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1</w:t>
      </w:r>
      <w:r w:rsidRPr="00C6379E">
        <w:rPr>
          <w:rFonts w:ascii="Times New Roman" w:hAnsi="Times New Roman" w:cs="Times New Roman"/>
          <w:b/>
          <w:bCs/>
          <w:color w:val="000000"/>
          <w:sz w:val="20"/>
          <w:szCs w:val="20"/>
        </w:rPr>
        <w:t>:</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2</w:t>
      </w:r>
      <w:r w:rsidRPr="00C6379E">
        <w:rPr>
          <w:rFonts w:ascii="Times New Roman" w:hAnsi="Times New Roman" w:cs="Times New Roman"/>
          <w:b/>
          <w:bCs/>
          <w:color w:val="000000"/>
          <w:sz w:val="20"/>
          <w:szCs w:val="20"/>
        </w:rPr>
        <w:t xml:space="preserve">, where </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1</w:t>
      </w:r>
      <w:r w:rsidRPr="00C6379E">
        <w:rPr>
          <w:rStyle w:val="A8"/>
          <w:rFonts w:ascii="Times New Roman" w:hAnsi="Times New Roman" w:cs="Times New Roman"/>
          <w:sz w:val="20"/>
          <w:szCs w:val="20"/>
        </w:rPr>
        <w:t xml:space="preserve"> </w:t>
      </w:r>
      <w:r w:rsidRPr="00C6379E">
        <w:rPr>
          <w:rFonts w:ascii="Times New Roman" w:hAnsi="Times New Roman" w:cs="Times New Roman"/>
          <w:b/>
          <w:bCs/>
          <w:color w:val="000000"/>
          <w:sz w:val="20"/>
          <w:szCs w:val="20"/>
        </w:rPr>
        <w:t xml:space="preserve">is Young’s modulus of the layer hosting the dike and </w:t>
      </w:r>
      <w:r w:rsidRPr="00C6379E">
        <w:rPr>
          <w:rFonts w:ascii="Times New Roman" w:hAnsi="Times New Roman" w:cs="Times New Roman"/>
          <w:b/>
          <w:bCs/>
          <w:i/>
          <w:iCs/>
          <w:color w:val="000000"/>
          <w:sz w:val="20"/>
          <w:szCs w:val="20"/>
        </w:rPr>
        <w:t>E</w:t>
      </w:r>
      <w:r w:rsidRPr="00C6379E">
        <w:rPr>
          <w:rStyle w:val="A8"/>
          <w:rFonts w:ascii="Times New Roman" w:hAnsi="Times New Roman" w:cs="Times New Roman"/>
          <w:sz w:val="20"/>
          <w:szCs w:val="20"/>
          <w:vertAlign w:val="subscript"/>
        </w:rPr>
        <w:t>2</w:t>
      </w:r>
      <w:r w:rsidRPr="00C6379E">
        <w:rPr>
          <w:rStyle w:val="A8"/>
          <w:rFonts w:ascii="Times New Roman" w:hAnsi="Times New Roman" w:cs="Times New Roman"/>
          <w:sz w:val="20"/>
          <w:szCs w:val="20"/>
        </w:rPr>
        <w:t xml:space="preserve"> </w:t>
      </w:r>
      <w:r w:rsidRPr="00C6379E">
        <w:rPr>
          <w:rFonts w:ascii="Times New Roman" w:hAnsi="Times New Roman" w:cs="Times New Roman"/>
          <w:b/>
          <w:bCs/>
          <w:color w:val="000000"/>
          <w:sz w:val="20"/>
          <w:szCs w:val="20"/>
        </w:rPr>
        <w:t xml:space="preserve">is that of the layer above the dike) tested. Model fits for each data set are shown allowing comparison between θ and </w:t>
      </w:r>
      <w:proofErr w:type="spellStart"/>
      <w:r w:rsidRPr="00C6379E">
        <w:rPr>
          <w:rFonts w:ascii="Times New Roman" w:hAnsi="Times New Roman" w:cs="Times New Roman"/>
          <w:b/>
          <w:bCs/>
          <w:color w:val="000000"/>
          <w:sz w:val="20"/>
          <w:szCs w:val="20"/>
        </w:rPr>
        <w:t>Δ</w:t>
      </w:r>
      <w:r w:rsidRPr="00C6379E">
        <w:rPr>
          <w:rFonts w:ascii="Times New Roman" w:hAnsi="Times New Roman" w:cs="Times New Roman"/>
          <w:b/>
          <w:bCs/>
          <w:i/>
          <w:iCs/>
          <w:color w:val="000000"/>
          <w:sz w:val="20"/>
          <w:szCs w:val="20"/>
        </w:rPr>
        <w:t>u</w:t>
      </w:r>
      <w:r w:rsidRPr="00C6379E">
        <w:rPr>
          <w:rStyle w:val="A8"/>
          <w:rFonts w:ascii="Times New Roman" w:hAnsi="Times New Roman" w:cs="Times New Roman"/>
          <w:sz w:val="20"/>
          <w:szCs w:val="20"/>
          <w:vertAlign w:val="subscript"/>
        </w:rPr>
        <w:t>z</w:t>
      </w:r>
      <w:proofErr w:type="spellEnd"/>
      <w:r w:rsidRPr="00C6379E">
        <w:rPr>
          <w:rStyle w:val="A8"/>
          <w:rFonts w:ascii="Times New Roman" w:hAnsi="Times New Roman" w:cs="Times New Roman"/>
          <w:sz w:val="20"/>
          <w:szCs w:val="20"/>
        </w:rPr>
        <w:t xml:space="preserve"> </w:t>
      </w:r>
      <w:r w:rsidRPr="00C6379E">
        <w:rPr>
          <w:rFonts w:ascii="Times New Roman" w:hAnsi="Times New Roman" w:cs="Times New Roman"/>
          <w:b/>
          <w:bCs/>
          <w:color w:val="000000"/>
          <w:sz w:val="20"/>
          <w:szCs w:val="20"/>
        </w:rPr>
        <w:t xml:space="preserve">or </w:t>
      </w:r>
      <w:proofErr w:type="spellStart"/>
      <w:r w:rsidRPr="00C6379E">
        <w:rPr>
          <w:rFonts w:ascii="Times New Roman" w:hAnsi="Times New Roman" w:cs="Times New Roman"/>
          <w:b/>
          <w:bCs/>
          <w:color w:val="000000"/>
          <w:sz w:val="20"/>
          <w:szCs w:val="20"/>
        </w:rPr>
        <w:t>Δ</w:t>
      </w:r>
      <w:r w:rsidRPr="00C6379E">
        <w:rPr>
          <w:rFonts w:ascii="Times New Roman" w:hAnsi="Times New Roman" w:cs="Times New Roman"/>
          <w:b/>
          <w:bCs/>
          <w:i/>
          <w:iCs/>
          <w:color w:val="000000"/>
          <w:sz w:val="20"/>
          <w:szCs w:val="20"/>
        </w:rPr>
        <w:t>u</w:t>
      </w:r>
      <w:r w:rsidRPr="00C6379E">
        <w:rPr>
          <w:rStyle w:val="A8"/>
          <w:rFonts w:ascii="Times New Roman" w:hAnsi="Times New Roman" w:cs="Times New Roman"/>
          <w:sz w:val="20"/>
          <w:szCs w:val="20"/>
          <w:vertAlign w:val="subscript"/>
        </w:rPr>
        <w:t>x</w:t>
      </w:r>
      <w:proofErr w:type="spellEnd"/>
      <w:r w:rsidRPr="00C6379E">
        <w:rPr>
          <w:rFonts w:ascii="Times New Roman" w:hAnsi="Times New Roman" w:cs="Times New Roman"/>
          <w:b/>
          <w:bCs/>
          <w:color w:val="000000"/>
          <w:sz w:val="20"/>
          <w:szCs w:val="20"/>
        </w:rPr>
        <w:t xml:space="preserve">. Each individual model fit presents </w:t>
      </w:r>
      <w:r w:rsidRPr="00C6379E">
        <w:rPr>
          <w:rFonts w:ascii="Times New Roman" w:hAnsi="Times New Roman" w:cs="Times New Roman"/>
          <w:b/>
          <w:bCs/>
          <w:i/>
          <w:iCs/>
          <w:color w:val="000000"/>
          <w:sz w:val="20"/>
          <w:szCs w:val="20"/>
        </w:rPr>
        <w:t>R</w:t>
      </w:r>
      <w:r w:rsidRPr="00C6379E">
        <w:rPr>
          <w:rStyle w:val="A6"/>
          <w:rFonts w:ascii="Times New Roman" w:hAnsi="Times New Roman" w:cs="Times New Roman"/>
          <w:sz w:val="20"/>
          <w:szCs w:val="20"/>
          <w:vertAlign w:val="superscript"/>
        </w:rPr>
        <w:t>2</w:t>
      </w:r>
      <w:r w:rsidRPr="00C6379E">
        <w:rPr>
          <w:rStyle w:val="A6"/>
          <w:rFonts w:ascii="Times New Roman" w:hAnsi="Times New Roman" w:cs="Times New Roman"/>
          <w:sz w:val="20"/>
          <w:szCs w:val="20"/>
        </w:rPr>
        <w:t xml:space="preserve"> </w:t>
      </w:r>
      <w:r w:rsidRPr="00C6379E">
        <w:rPr>
          <w:rFonts w:ascii="Times New Roman" w:hAnsi="Times New Roman" w:cs="Times New Roman"/>
          <w:b/>
          <w:bCs/>
          <w:color w:val="000000"/>
          <w:sz w:val="20"/>
          <w:szCs w:val="20"/>
        </w:rPr>
        <w:t>&gt; 0.95. (C) Diagrams showing the area ratio in percentages between the modeled crustal segments for different angles of inclination.</w:t>
      </w:r>
    </w:p>
    <w:sectPr w:rsidR="00F9262F" w:rsidRPr="00C6379E" w:rsidSect="00E413E7">
      <w:footerReference w:type="default" r:id="rId13"/>
      <w:pgSz w:w="12240" w:h="15840"/>
      <w:pgMar w:top="1418" w:right="1701" w:bottom="1418" w:left="1701" w:header="709" w:footer="709" w:gutter="0"/>
      <w:lnNumType w:countBy="1" w:restart="continuou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3DF0A7" w14:textId="77777777" w:rsidR="00091D13" w:rsidRDefault="00091D13" w:rsidP="001E71C6">
      <w:pPr>
        <w:spacing w:after="0" w:line="240" w:lineRule="auto"/>
      </w:pPr>
      <w:r>
        <w:separator/>
      </w:r>
    </w:p>
  </w:endnote>
  <w:endnote w:type="continuationSeparator" w:id="0">
    <w:p w14:paraId="3D3280A7" w14:textId="77777777" w:rsidR="00091D13" w:rsidRDefault="00091D13" w:rsidP="001E71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 LT Std">
    <w:altName w:val="Times LT Std"/>
    <w:panose1 w:val="00000000000000000000"/>
    <w:charset w:val="00"/>
    <w:family w:val="roman"/>
    <w:notTrueType/>
    <w:pitch w:val="default"/>
    <w:sig w:usb0="00000003" w:usb1="00000000" w:usb2="00000000" w:usb3="00000000" w:csb0="00000001" w:csb1="00000000"/>
  </w:font>
  <w:font w:name="Helvetica LT Std">
    <w:altName w:val="Helvetica LT Std"/>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6657"/>
      <w:docPartObj>
        <w:docPartGallery w:val="Page Numbers (Bottom of Page)"/>
        <w:docPartUnique/>
      </w:docPartObj>
    </w:sdtPr>
    <w:sdtEndPr>
      <w:rPr>
        <w:rFonts w:ascii="Times New Roman" w:hAnsi="Times New Roman" w:cs="Times New Roman"/>
      </w:rPr>
    </w:sdtEndPr>
    <w:sdtContent>
      <w:p w14:paraId="06223E9E" w14:textId="22BC11A4" w:rsidR="00473FD1" w:rsidRPr="00473FD1" w:rsidRDefault="00473FD1">
        <w:pPr>
          <w:pStyle w:val="Piedepgina"/>
          <w:jc w:val="right"/>
          <w:rPr>
            <w:rFonts w:ascii="Times New Roman" w:hAnsi="Times New Roman" w:cs="Times New Roman"/>
          </w:rPr>
        </w:pPr>
        <w:r w:rsidRPr="00473FD1">
          <w:rPr>
            <w:rFonts w:ascii="Times New Roman" w:hAnsi="Times New Roman" w:cs="Times New Roman"/>
          </w:rPr>
          <w:fldChar w:fldCharType="begin"/>
        </w:r>
        <w:r w:rsidRPr="00473FD1">
          <w:rPr>
            <w:rFonts w:ascii="Times New Roman" w:hAnsi="Times New Roman" w:cs="Times New Roman"/>
          </w:rPr>
          <w:instrText>PAGE   \* MERGEFORMAT</w:instrText>
        </w:r>
        <w:r w:rsidRPr="00473FD1">
          <w:rPr>
            <w:rFonts w:ascii="Times New Roman" w:hAnsi="Times New Roman" w:cs="Times New Roman"/>
          </w:rPr>
          <w:fldChar w:fldCharType="separate"/>
        </w:r>
        <w:r w:rsidR="000F0235" w:rsidRPr="000F0235">
          <w:rPr>
            <w:rFonts w:ascii="Times New Roman" w:hAnsi="Times New Roman" w:cs="Times New Roman"/>
            <w:noProof/>
            <w:lang w:val="es-ES"/>
          </w:rPr>
          <w:t>4</w:t>
        </w:r>
        <w:r w:rsidRPr="00473FD1">
          <w:rPr>
            <w:rFonts w:ascii="Times New Roman" w:hAnsi="Times New Roman" w:cs="Times New Roman"/>
          </w:rPr>
          <w:fldChar w:fldCharType="end"/>
        </w:r>
      </w:p>
    </w:sdtContent>
  </w:sdt>
  <w:p w14:paraId="2DBCDD4D" w14:textId="0279C0CC" w:rsidR="002B0775" w:rsidRPr="002B0775" w:rsidRDefault="002B0775" w:rsidP="002B0775">
    <w:pPr>
      <w:pStyle w:val="Piedepgina"/>
      <w:jc w:val="both"/>
    </w:pPr>
  </w:p>
  <w:p w14:paraId="7A3ADF97" w14:textId="77777777" w:rsidR="00000000" w:rsidRDefault="000000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2E4C37" w14:textId="77777777" w:rsidR="00091D13" w:rsidRDefault="00091D13" w:rsidP="001E71C6">
      <w:pPr>
        <w:spacing w:after="0" w:line="240" w:lineRule="auto"/>
      </w:pPr>
      <w:r>
        <w:separator/>
      </w:r>
    </w:p>
  </w:footnote>
  <w:footnote w:type="continuationSeparator" w:id="0">
    <w:p w14:paraId="6BB96166" w14:textId="77777777" w:rsidR="00091D13" w:rsidRDefault="00091D13" w:rsidP="001E71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41902"/>
    <w:multiLevelType w:val="hybridMultilevel"/>
    <w:tmpl w:val="642A034A"/>
    <w:lvl w:ilvl="0" w:tplc="6486C6F6">
      <w:start w:val="4"/>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15:restartNumberingAfterBreak="0">
    <w:nsid w:val="01583D32"/>
    <w:multiLevelType w:val="multilevel"/>
    <w:tmpl w:val="B5F651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A3012F4"/>
    <w:multiLevelType w:val="hybridMultilevel"/>
    <w:tmpl w:val="206C45E0"/>
    <w:lvl w:ilvl="0" w:tplc="330476B2">
      <w:start w:val="5"/>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 w15:restartNumberingAfterBreak="0">
    <w:nsid w:val="16986B21"/>
    <w:multiLevelType w:val="hybridMultilevel"/>
    <w:tmpl w:val="3F88CBEE"/>
    <w:lvl w:ilvl="0" w:tplc="C10C8C14">
      <w:start w:val="1"/>
      <w:numFmt w:val="bullet"/>
      <w:lvlText w:val="-"/>
      <w:lvlJc w:val="left"/>
      <w:pPr>
        <w:ind w:left="720" w:hanging="360"/>
      </w:pPr>
      <w:rPr>
        <w:rFonts w:ascii="Arial" w:eastAsia="Arial" w:hAnsi="Arial" w:cs="Aria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15:restartNumberingAfterBreak="0">
    <w:nsid w:val="1ED21C5E"/>
    <w:multiLevelType w:val="hybridMultilevel"/>
    <w:tmpl w:val="9FD65CBE"/>
    <w:lvl w:ilvl="0" w:tplc="3A649CA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1AA7B3C"/>
    <w:multiLevelType w:val="multilevel"/>
    <w:tmpl w:val="FD24E5C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2D40AF5"/>
    <w:multiLevelType w:val="multilevel"/>
    <w:tmpl w:val="1116B9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440D32"/>
    <w:multiLevelType w:val="hybridMultilevel"/>
    <w:tmpl w:val="08B68AB0"/>
    <w:lvl w:ilvl="0" w:tplc="2C0AC714">
      <w:start w:val="1"/>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46185BDB"/>
    <w:multiLevelType w:val="multilevel"/>
    <w:tmpl w:val="470A9E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83D12BA"/>
    <w:multiLevelType w:val="hybridMultilevel"/>
    <w:tmpl w:val="741602EC"/>
    <w:lvl w:ilvl="0" w:tplc="A330E902">
      <w:start w:val="5"/>
      <w:numFmt w:val="bullet"/>
      <w:lvlText w:val="-"/>
      <w:lvlJc w:val="left"/>
      <w:pPr>
        <w:ind w:left="1080" w:hanging="360"/>
      </w:pPr>
      <w:rPr>
        <w:rFonts w:ascii="Arial" w:eastAsia="Arial" w:hAnsi="Arial" w:cs="Arial" w:hint="default"/>
      </w:rPr>
    </w:lvl>
    <w:lvl w:ilvl="1" w:tplc="340A0003" w:tentative="1">
      <w:start w:val="1"/>
      <w:numFmt w:val="bullet"/>
      <w:lvlText w:val="o"/>
      <w:lvlJc w:val="left"/>
      <w:pPr>
        <w:ind w:left="1800" w:hanging="360"/>
      </w:pPr>
      <w:rPr>
        <w:rFonts w:ascii="Courier New" w:hAnsi="Courier New" w:cs="Courier New" w:hint="default"/>
      </w:rPr>
    </w:lvl>
    <w:lvl w:ilvl="2" w:tplc="340A0005" w:tentative="1">
      <w:start w:val="1"/>
      <w:numFmt w:val="bullet"/>
      <w:lvlText w:val=""/>
      <w:lvlJc w:val="left"/>
      <w:pPr>
        <w:ind w:left="2520" w:hanging="360"/>
      </w:pPr>
      <w:rPr>
        <w:rFonts w:ascii="Wingdings" w:hAnsi="Wingdings" w:hint="default"/>
      </w:rPr>
    </w:lvl>
    <w:lvl w:ilvl="3" w:tplc="340A0001" w:tentative="1">
      <w:start w:val="1"/>
      <w:numFmt w:val="bullet"/>
      <w:lvlText w:val=""/>
      <w:lvlJc w:val="left"/>
      <w:pPr>
        <w:ind w:left="3240" w:hanging="360"/>
      </w:pPr>
      <w:rPr>
        <w:rFonts w:ascii="Symbol" w:hAnsi="Symbol" w:hint="default"/>
      </w:rPr>
    </w:lvl>
    <w:lvl w:ilvl="4" w:tplc="340A0003" w:tentative="1">
      <w:start w:val="1"/>
      <w:numFmt w:val="bullet"/>
      <w:lvlText w:val="o"/>
      <w:lvlJc w:val="left"/>
      <w:pPr>
        <w:ind w:left="3960" w:hanging="360"/>
      </w:pPr>
      <w:rPr>
        <w:rFonts w:ascii="Courier New" w:hAnsi="Courier New" w:cs="Courier New" w:hint="default"/>
      </w:rPr>
    </w:lvl>
    <w:lvl w:ilvl="5" w:tplc="340A0005" w:tentative="1">
      <w:start w:val="1"/>
      <w:numFmt w:val="bullet"/>
      <w:lvlText w:val=""/>
      <w:lvlJc w:val="left"/>
      <w:pPr>
        <w:ind w:left="4680" w:hanging="360"/>
      </w:pPr>
      <w:rPr>
        <w:rFonts w:ascii="Wingdings" w:hAnsi="Wingdings" w:hint="default"/>
      </w:rPr>
    </w:lvl>
    <w:lvl w:ilvl="6" w:tplc="340A0001" w:tentative="1">
      <w:start w:val="1"/>
      <w:numFmt w:val="bullet"/>
      <w:lvlText w:val=""/>
      <w:lvlJc w:val="left"/>
      <w:pPr>
        <w:ind w:left="5400" w:hanging="360"/>
      </w:pPr>
      <w:rPr>
        <w:rFonts w:ascii="Symbol" w:hAnsi="Symbol" w:hint="default"/>
      </w:rPr>
    </w:lvl>
    <w:lvl w:ilvl="7" w:tplc="340A0003" w:tentative="1">
      <w:start w:val="1"/>
      <w:numFmt w:val="bullet"/>
      <w:lvlText w:val="o"/>
      <w:lvlJc w:val="left"/>
      <w:pPr>
        <w:ind w:left="6120" w:hanging="360"/>
      </w:pPr>
      <w:rPr>
        <w:rFonts w:ascii="Courier New" w:hAnsi="Courier New" w:cs="Courier New" w:hint="default"/>
      </w:rPr>
    </w:lvl>
    <w:lvl w:ilvl="8" w:tplc="340A0005" w:tentative="1">
      <w:start w:val="1"/>
      <w:numFmt w:val="bullet"/>
      <w:lvlText w:val=""/>
      <w:lvlJc w:val="left"/>
      <w:pPr>
        <w:ind w:left="6840" w:hanging="360"/>
      </w:pPr>
      <w:rPr>
        <w:rFonts w:ascii="Wingdings" w:hAnsi="Wingdings" w:hint="default"/>
      </w:rPr>
    </w:lvl>
  </w:abstractNum>
  <w:abstractNum w:abstractNumId="10" w15:restartNumberingAfterBreak="0">
    <w:nsid w:val="48692800"/>
    <w:multiLevelType w:val="hybridMultilevel"/>
    <w:tmpl w:val="572471FC"/>
    <w:lvl w:ilvl="0" w:tplc="3A649CAA">
      <w:start w:val="5"/>
      <w:numFmt w:val="bullet"/>
      <w:lvlText w:val="-"/>
      <w:lvlJc w:val="left"/>
      <w:pPr>
        <w:ind w:left="720" w:hanging="360"/>
      </w:pPr>
      <w:rPr>
        <w:rFonts w:ascii="Arial" w:eastAsia="Arial"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B6647DA"/>
    <w:multiLevelType w:val="hybridMultilevel"/>
    <w:tmpl w:val="7FB608EE"/>
    <w:lvl w:ilvl="0" w:tplc="0C347C5E">
      <w:start w:val="3"/>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2" w15:restartNumberingAfterBreak="0">
    <w:nsid w:val="4C453F21"/>
    <w:multiLevelType w:val="multilevel"/>
    <w:tmpl w:val="31BA2C8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560133B0"/>
    <w:multiLevelType w:val="multilevel"/>
    <w:tmpl w:val="315ABE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5E094225"/>
    <w:multiLevelType w:val="hybridMultilevel"/>
    <w:tmpl w:val="9FC8639C"/>
    <w:lvl w:ilvl="0" w:tplc="D3A8945C">
      <w:start w:val="1"/>
      <w:numFmt w:val="bullet"/>
      <w:lvlText w:val="−"/>
      <w:lvlJc w:val="left"/>
      <w:pPr>
        <w:ind w:left="720" w:hanging="360"/>
      </w:pPr>
      <w:rPr>
        <w:rFonts w:ascii="Arial" w:hAnsi="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15:restartNumberingAfterBreak="0">
    <w:nsid w:val="6D367E2A"/>
    <w:multiLevelType w:val="hybridMultilevel"/>
    <w:tmpl w:val="BC4C5AAC"/>
    <w:lvl w:ilvl="0" w:tplc="DE1A04B4">
      <w:start w:val="6"/>
      <w:numFmt w:val="bullet"/>
      <w:lvlText w:val="-"/>
      <w:lvlJc w:val="left"/>
      <w:pPr>
        <w:ind w:left="720" w:hanging="360"/>
      </w:pPr>
      <w:rPr>
        <w:rFonts w:ascii="Arial" w:eastAsia="Arial"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6" w15:restartNumberingAfterBreak="0">
    <w:nsid w:val="6F317F94"/>
    <w:multiLevelType w:val="multilevel"/>
    <w:tmpl w:val="33E65D3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7A184CD0"/>
    <w:multiLevelType w:val="multilevel"/>
    <w:tmpl w:val="2DC8DAE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72390008">
    <w:abstractNumId w:val="16"/>
  </w:num>
  <w:num w:numId="2" w16cid:durableId="676545403">
    <w:abstractNumId w:val="13"/>
  </w:num>
  <w:num w:numId="3" w16cid:durableId="645664833">
    <w:abstractNumId w:val="6"/>
  </w:num>
  <w:num w:numId="4" w16cid:durableId="544100978">
    <w:abstractNumId w:val="17"/>
  </w:num>
  <w:num w:numId="5" w16cid:durableId="1299144312">
    <w:abstractNumId w:val="12"/>
  </w:num>
  <w:num w:numId="6" w16cid:durableId="1181240162">
    <w:abstractNumId w:val="1"/>
  </w:num>
  <w:num w:numId="7" w16cid:durableId="628899915">
    <w:abstractNumId w:val="8"/>
  </w:num>
  <w:num w:numId="8" w16cid:durableId="343553134">
    <w:abstractNumId w:val="5"/>
  </w:num>
  <w:num w:numId="9" w16cid:durableId="1899052844">
    <w:abstractNumId w:val="11"/>
  </w:num>
  <w:num w:numId="10" w16cid:durableId="717820010">
    <w:abstractNumId w:val="15"/>
  </w:num>
  <w:num w:numId="11" w16cid:durableId="1272326107">
    <w:abstractNumId w:val="0"/>
  </w:num>
  <w:num w:numId="12" w16cid:durableId="5596255">
    <w:abstractNumId w:val="4"/>
  </w:num>
  <w:num w:numId="13" w16cid:durableId="1395742859">
    <w:abstractNumId w:val="10"/>
  </w:num>
  <w:num w:numId="14" w16cid:durableId="1207567404">
    <w:abstractNumId w:val="3"/>
  </w:num>
  <w:num w:numId="15" w16cid:durableId="1246189081">
    <w:abstractNumId w:val="7"/>
  </w:num>
  <w:num w:numId="16" w16cid:durableId="1613592213">
    <w:abstractNumId w:val="14"/>
  </w:num>
  <w:num w:numId="17" w16cid:durableId="1236816707">
    <w:abstractNumId w:val="9"/>
  </w:num>
  <w:num w:numId="18" w16cid:durableId="112920797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484A"/>
    <w:rsid w:val="000008C7"/>
    <w:rsid w:val="00000F90"/>
    <w:rsid w:val="00001E18"/>
    <w:rsid w:val="00003A31"/>
    <w:rsid w:val="000042E1"/>
    <w:rsid w:val="000065CA"/>
    <w:rsid w:val="00006774"/>
    <w:rsid w:val="0001179B"/>
    <w:rsid w:val="00013E5F"/>
    <w:rsid w:val="00014329"/>
    <w:rsid w:val="00014537"/>
    <w:rsid w:val="00015A13"/>
    <w:rsid w:val="00015D91"/>
    <w:rsid w:val="000172D4"/>
    <w:rsid w:val="00017E18"/>
    <w:rsid w:val="00020589"/>
    <w:rsid w:val="000205A6"/>
    <w:rsid w:val="00021986"/>
    <w:rsid w:val="0002294C"/>
    <w:rsid w:val="000240C6"/>
    <w:rsid w:val="0002460B"/>
    <w:rsid w:val="00024FF4"/>
    <w:rsid w:val="00026736"/>
    <w:rsid w:val="00026CDC"/>
    <w:rsid w:val="000278F8"/>
    <w:rsid w:val="00027ABD"/>
    <w:rsid w:val="00027D30"/>
    <w:rsid w:val="00030D79"/>
    <w:rsid w:val="00031E13"/>
    <w:rsid w:val="000323F7"/>
    <w:rsid w:val="00032D6F"/>
    <w:rsid w:val="000378C7"/>
    <w:rsid w:val="00037B7E"/>
    <w:rsid w:val="0004039C"/>
    <w:rsid w:val="000410F7"/>
    <w:rsid w:val="000429E5"/>
    <w:rsid w:val="00042AC6"/>
    <w:rsid w:val="000431AC"/>
    <w:rsid w:val="000435D6"/>
    <w:rsid w:val="0004558A"/>
    <w:rsid w:val="00045A05"/>
    <w:rsid w:val="00047F77"/>
    <w:rsid w:val="00051619"/>
    <w:rsid w:val="0005162C"/>
    <w:rsid w:val="00051D39"/>
    <w:rsid w:val="00052284"/>
    <w:rsid w:val="00053892"/>
    <w:rsid w:val="00055026"/>
    <w:rsid w:val="00056591"/>
    <w:rsid w:val="00056F3F"/>
    <w:rsid w:val="00062540"/>
    <w:rsid w:val="000631DF"/>
    <w:rsid w:val="000636CB"/>
    <w:rsid w:val="00063B19"/>
    <w:rsid w:val="00063D34"/>
    <w:rsid w:val="00064944"/>
    <w:rsid w:val="000702C7"/>
    <w:rsid w:val="00071041"/>
    <w:rsid w:val="000712E3"/>
    <w:rsid w:val="0007431D"/>
    <w:rsid w:val="000765FC"/>
    <w:rsid w:val="0007662C"/>
    <w:rsid w:val="00076630"/>
    <w:rsid w:val="00077229"/>
    <w:rsid w:val="000778CB"/>
    <w:rsid w:val="000821BF"/>
    <w:rsid w:val="0008395C"/>
    <w:rsid w:val="00084013"/>
    <w:rsid w:val="00086804"/>
    <w:rsid w:val="000875AA"/>
    <w:rsid w:val="00090D4E"/>
    <w:rsid w:val="00090D5C"/>
    <w:rsid w:val="00091D13"/>
    <w:rsid w:val="000936C5"/>
    <w:rsid w:val="00094257"/>
    <w:rsid w:val="00095724"/>
    <w:rsid w:val="000A1B4F"/>
    <w:rsid w:val="000A3ED9"/>
    <w:rsid w:val="000A4642"/>
    <w:rsid w:val="000A4843"/>
    <w:rsid w:val="000A49AC"/>
    <w:rsid w:val="000A4A81"/>
    <w:rsid w:val="000A609C"/>
    <w:rsid w:val="000A7717"/>
    <w:rsid w:val="000A792B"/>
    <w:rsid w:val="000B29CA"/>
    <w:rsid w:val="000B2E91"/>
    <w:rsid w:val="000B5F06"/>
    <w:rsid w:val="000B6993"/>
    <w:rsid w:val="000B74C1"/>
    <w:rsid w:val="000B7A74"/>
    <w:rsid w:val="000C19F4"/>
    <w:rsid w:val="000C1D38"/>
    <w:rsid w:val="000C26BC"/>
    <w:rsid w:val="000C55DA"/>
    <w:rsid w:val="000C743D"/>
    <w:rsid w:val="000C7848"/>
    <w:rsid w:val="000D1658"/>
    <w:rsid w:val="000D24CE"/>
    <w:rsid w:val="000D2AF5"/>
    <w:rsid w:val="000D2CE9"/>
    <w:rsid w:val="000D3F99"/>
    <w:rsid w:val="000D432C"/>
    <w:rsid w:val="000D4F0B"/>
    <w:rsid w:val="000D550C"/>
    <w:rsid w:val="000D76FE"/>
    <w:rsid w:val="000E044B"/>
    <w:rsid w:val="000E1F9A"/>
    <w:rsid w:val="000E2276"/>
    <w:rsid w:val="000E3049"/>
    <w:rsid w:val="000E3635"/>
    <w:rsid w:val="000E41E4"/>
    <w:rsid w:val="000E4CC2"/>
    <w:rsid w:val="000E563E"/>
    <w:rsid w:val="000E6490"/>
    <w:rsid w:val="000E64D5"/>
    <w:rsid w:val="000E6ABE"/>
    <w:rsid w:val="000F0235"/>
    <w:rsid w:val="000F10F1"/>
    <w:rsid w:val="000F3228"/>
    <w:rsid w:val="000F3A67"/>
    <w:rsid w:val="000F667D"/>
    <w:rsid w:val="000F6EF9"/>
    <w:rsid w:val="001066E3"/>
    <w:rsid w:val="00107D98"/>
    <w:rsid w:val="00110B76"/>
    <w:rsid w:val="001123E9"/>
    <w:rsid w:val="001127E1"/>
    <w:rsid w:val="00112FFC"/>
    <w:rsid w:val="001149C3"/>
    <w:rsid w:val="00116F04"/>
    <w:rsid w:val="00117178"/>
    <w:rsid w:val="00117C2D"/>
    <w:rsid w:val="001200D1"/>
    <w:rsid w:val="001209F4"/>
    <w:rsid w:val="00123E66"/>
    <w:rsid w:val="00123F9F"/>
    <w:rsid w:val="00124853"/>
    <w:rsid w:val="00124DBE"/>
    <w:rsid w:val="00126905"/>
    <w:rsid w:val="0012780A"/>
    <w:rsid w:val="00131F85"/>
    <w:rsid w:val="001338E8"/>
    <w:rsid w:val="00136624"/>
    <w:rsid w:val="001408EB"/>
    <w:rsid w:val="001416ED"/>
    <w:rsid w:val="00144A6A"/>
    <w:rsid w:val="00145377"/>
    <w:rsid w:val="001507AC"/>
    <w:rsid w:val="001513D9"/>
    <w:rsid w:val="001525FE"/>
    <w:rsid w:val="001530D4"/>
    <w:rsid w:val="001542A3"/>
    <w:rsid w:val="00154949"/>
    <w:rsid w:val="00157D23"/>
    <w:rsid w:val="00163B59"/>
    <w:rsid w:val="00165196"/>
    <w:rsid w:val="00166DE3"/>
    <w:rsid w:val="00170A8E"/>
    <w:rsid w:val="00170DA4"/>
    <w:rsid w:val="0017164A"/>
    <w:rsid w:val="001716D9"/>
    <w:rsid w:val="00171ACF"/>
    <w:rsid w:val="00171EA5"/>
    <w:rsid w:val="00173396"/>
    <w:rsid w:val="00174D1E"/>
    <w:rsid w:val="00176145"/>
    <w:rsid w:val="00176FCF"/>
    <w:rsid w:val="00177A26"/>
    <w:rsid w:val="0018032C"/>
    <w:rsid w:val="00180C98"/>
    <w:rsid w:val="001823DB"/>
    <w:rsid w:val="00182D0D"/>
    <w:rsid w:val="0018325E"/>
    <w:rsid w:val="00184307"/>
    <w:rsid w:val="00185CE8"/>
    <w:rsid w:val="00185F1F"/>
    <w:rsid w:val="00186921"/>
    <w:rsid w:val="00192C17"/>
    <w:rsid w:val="00194B22"/>
    <w:rsid w:val="00194ED6"/>
    <w:rsid w:val="00195080"/>
    <w:rsid w:val="00195099"/>
    <w:rsid w:val="001952D4"/>
    <w:rsid w:val="00195EB9"/>
    <w:rsid w:val="0019613F"/>
    <w:rsid w:val="00196200"/>
    <w:rsid w:val="00196E97"/>
    <w:rsid w:val="001A16B4"/>
    <w:rsid w:val="001A2D70"/>
    <w:rsid w:val="001A301E"/>
    <w:rsid w:val="001A311A"/>
    <w:rsid w:val="001A4315"/>
    <w:rsid w:val="001A55B4"/>
    <w:rsid w:val="001A5C0C"/>
    <w:rsid w:val="001A62E0"/>
    <w:rsid w:val="001A67A2"/>
    <w:rsid w:val="001A72C6"/>
    <w:rsid w:val="001B09C2"/>
    <w:rsid w:val="001B1673"/>
    <w:rsid w:val="001B1C9F"/>
    <w:rsid w:val="001B1FEE"/>
    <w:rsid w:val="001B3755"/>
    <w:rsid w:val="001B508B"/>
    <w:rsid w:val="001B5461"/>
    <w:rsid w:val="001B6363"/>
    <w:rsid w:val="001B7236"/>
    <w:rsid w:val="001B7727"/>
    <w:rsid w:val="001B77BD"/>
    <w:rsid w:val="001B7A87"/>
    <w:rsid w:val="001B7B57"/>
    <w:rsid w:val="001C1C0F"/>
    <w:rsid w:val="001C3B45"/>
    <w:rsid w:val="001C62C8"/>
    <w:rsid w:val="001C71C6"/>
    <w:rsid w:val="001C7442"/>
    <w:rsid w:val="001C7DEA"/>
    <w:rsid w:val="001D39AC"/>
    <w:rsid w:val="001D3CD5"/>
    <w:rsid w:val="001D3D1D"/>
    <w:rsid w:val="001D6C0B"/>
    <w:rsid w:val="001E24AF"/>
    <w:rsid w:val="001E2D32"/>
    <w:rsid w:val="001E59ED"/>
    <w:rsid w:val="001E71C6"/>
    <w:rsid w:val="001F1568"/>
    <w:rsid w:val="001F2ACC"/>
    <w:rsid w:val="001F3916"/>
    <w:rsid w:val="001F3DE9"/>
    <w:rsid w:val="001F671C"/>
    <w:rsid w:val="001F760E"/>
    <w:rsid w:val="001F7692"/>
    <w:rsid w:val="001F7E11"/>
    <w:rsid w:val="00201519"/>
    <w:rsid w:val="00203A69"/>
    <w:rsid w:val="00204D22"/>
    <w:rsid w:val="00205281"/>
    <w:rsid w:val="002053CA"/>
    <w:rsid w:val="002054B3"/>
    <w:rsid w:val="0020583F"/>
    <w:rsid w:val="002072FE"/>
    <w:rsid w:val="00207A69"/>
    <w:rsid w:val="00212DBB"/>
    <w:rsid w:val="002136FD"/>
    <w:rsid w:val="00213727"/>
    <w:rsid w:val="00213947"/>
    <w:rsid w:val="002140B0"/>
    <w:rsid w:val="002156FD"/>
    <w:rsid w:val="002159A6"/>
    <w:rsid w:val="002170B7"/>
    <w:rsid w:val="00220B79"/>
    <w:rsid w:val="00221322"/>
    <w:rsid w:val="00221E94"/>
    <w:rsid w:val="0022231B"/>
    <w:rsid w:val="0022270B"/>
    <w:rsid w:val="00222A52"/>
    <w:rsid w:val="0022392D"/>
    <w:rsid w:val="002252AB"/>
    <w:rsid w:val="00225CF5"/>
    <w:rsid w:val="00227081"/>
    <w:rsid w:val="00231EC7"/>
    <w:rsid w:val="00233C78"/>
    <w:rsid w:val="002347F4"/>
    <w:rsid w:val="00237C01"/>
    <w:rsid w:val="00237EBE"/>
    <w:rsid w:val="00240611"/>
    <w:rsid w:val="00241306"/>
    <w:rsid w:val="00242F8B"/>
    <w:rsid w:val="0024391F"/>
    <w:rsid w:val="00243966"/>
    <w:rsid w:val="002460A0"/>
    <w:rsid w:val="0025001B"/>
    <w:rsid w:val="0025007D"/>
    <w:rsid w:val="002507D9"/>
    <w:rsid w:val="00252DC7"/>
    <w:rsid w:val="00253B6B"/>
    <w:rsid w:val="002543C8"/>
    <w:rsid w:val="00254A5E"/>
    <w:rsid w:val="00257183"/>
    <w:rsid w:val="00257C41"/>
    <w:rsid w:val="0026036F"/>
    <w:rsid w:val="00263278"/>
    <w:rsid w:val="0026363B"/>
    <w:rsid w:val="0026569E"/>
    <w:rsid w:val="00266393"/>
    <w:rsid w:val="0026645E"/>
    <w:rsid w:val="00267C58"/>
    <w:rsid w:val="0027016E"/>
    <w:rsid w:val="002702B9"/>
    <w:rsid w:val="002734FF"/>
    <w:rsid w:val="002736D9"/>
    <w:rsid w:val="00275135"/>
    <w:rsid w:val="00275DEE"/>
    <w:rsid w:val="00276036"/>
    <w:rsid w:val="00277253"/>
    <w:rsid w:val="0028286A"/>
    <w:rsid w:val="00287871"/>
    <w:rsid w:val="0028799F"/>
    <w:rsid w:val="00290541"/>
    <w:rsid w:val="002905A4"/>
    <w:rsid w:val="002911BE"/>
    <w:rsid w:val="002918C4"/>
    <w:rsid w:val="002919C0"/>
    <w:rsid w:val="00291D1C"/>
    <w:rsid w:val="00293455"/>
    <w:rsid w:val="00293704"/>
    <w:rsid w:val="0029397F"/>
    <w:rsid w:val="002946AE"/>
    <w:rsid w:val="00294BC7"/>
    <w:rsid w:val="0029546F"/>
    <w:rsid w:val="0029556D"/>
    <w:rsid w:val="002A0A55"/>
    <w:rsid w:val="002A0B4A"/>
    <w:rsid w:val="002A11B2"/>
    <w:rsid w:val="002A2325"/>
    <w:rsid w:val="002A29BC"/>
    <w:rsid w:val="002A2FBA"/>
    <w:rsid w:val="002A3F3D"/>
    <w:rsid w:val="002A6996"/>
    <w:rsid w:val="002B0775"/>
    <w:rsid w:val="002B0CDC"/>
    <w:rsid w:val="002B19AC"/>
    <w:rsid w:val="002B5D12"/>
    <w:rsid w:val="002B63E6"/>
    <w:rsid w:val="002B69C6"/>
    <w:rsid w:val="002B74C4"/>
    <w:rsid w:val="002C3433"/>
    <w:rsid w:val="002C4407"/>
    <w:rsid w:val="002C7F99"/>
    <w:rsid w:val="002D1141"/>
    <w:rsid w:val="002D1F0D"/>
    <w:rsid w:val="002D4D4B"/>
    <w:rsid w:val="002D5CA7"/>
    <w:rsid w:val="002E12AB"/>
    <w:rsid w:val="002E1BD4"/>
    <w:rsid w:val="002E2750"/>
    <w:rsid w:val="002E2875"/>
    <w:rsid w:val="002E2FE9"/>
    <w:rsid w:val="002E3162"/>
    <w:rsid w:val="002E37FA"/>
    <w:rsid w:val="002E4FAC"/>
    <w:rsid w:val="002E5EB5"/>
    <w:rsid w:val="002E62BE"/>
    <w:rsid w:val="002E7141"/>
    <w:rsid w:val="002E728C"/>
    <w:rsid w:val="002E7827"/>
    <w:rsid w:val="002E7866"/>
    <w:rsid w:val="002F01C2"/>
    <w:rsid w:val="002F13AE"/>
    <w:rsid w:val="002F1ADB"/>
    <w:rsid w:val="002F41EA"/>
    <w:rsid w:val="002F480A"/>
    <w:rsid w:val="002F575D"/>
    <w:rsid w:val="002F5D1A"/>
    <w:rsid w:val="002F6F53"/>
    <w:rsid w:val="00300046"/>
    <w:rsid w:val="0030077C"/>
    <w:rsid w:val="00302099"/>
    <w:rsid w:val="0030334A"/>
    <w:rsid w:val="00304CF1"/>
    <w:rsid w:val="0031287E"/>
    <w:rsid w:val="00312BFB"/>
    <w:rsid w:val="00312DB6"/>
    <w:rsid w:val="00313E4F"/>
    <w:rsid w:val="00317E8C"/>
    <w:rsid w:val="003200B1"/>
    <w:rsid w:val="00321641"/>
    <w:rsid w:val="00322D06"/>
    <w:rsid w:val="00324A43"/>
    <w:rsid w:val="00326890"/>
    <w:rsid w:val="00326A71"/>
    <w:rsid w:val="00326C7C"/>
    <w:rsid w:val="003271E9"/>
    <w:rsid w:val="00327862"/>
    <w:rsid w:val="0033036B"/>
    <w:rsid w:val="0033304B"/>
    <w:rsid w:val="00333698"/>
    <w:rsid w:val="00337455"/>
    <w:rsid w:val="00337F20"/>
    <w:rsid w:val="00337FE7"/>
    <w:rsid w:val="00343889"/>
    <w:rsid w:val="00344266"/>
    <w:rsid w:val="00346F96"/>
    <w:rsid w:val="00347A99"/>
    <w:rsid w:val="003501B7"/>
    <w:rsid w:val="003547C0"/>
    <w:rsid w:val="00355E05"/>
    <w:rsid w:val="003561D2"/>
    <w:rsid w:val="00360857"/>
    <w:rsid w:val="00361BA1"/>
    <w:rsid w:val="0036223D"/>
    <w:rsid w:val="0036603D"/>
    <w:rsid w:val="00371776"/>
    <w:rsid w:val="00373847"/>
    <w:rsid w:val="00374199"/>
    <w:rsid w:val="00380DD4"/>
    <w:rsid w:val="00382929"/>
    <w:rsid w:val="003834F5"/>
    <w:rsid w:val="00384BCF"/>
    <w:rsid w:val="003878BD"/>
    <w:rsid w:val="00390AA8"/>
    <w:rsid w:val="00391149"/>
    <w:rsid w:val="00391631"/>
    <w:rsid w:val="00391C87"/>
    <w:rsid w:val="00393F4C"/>
    <w:rsid w:val="00396F47"/>
    <w:rsid w:val="0039738D"/>
    <w:rsid w:val="003A0706"/>
    <w:rsid w:val="003A0E7D"/>
    <w:rsid w:val="003A2697"/>
    <w:rsid w:val="003A2FB3"/>
    <w:rsid w:val="003A3024"/>
    <w:rsid w:val="003A386A"/>
    <w:rsid w:val="003A5095"/>
    <w:rsid w:val="003A57F6"/>
    <w:rsid w:val="003A586B"/>
    <w:rsid w:val="003B112A"/>
    <w:rsid w:val="003B2A52"/>
    <w:rsid w:val="003B4938"/>
    <w:rsid w:val="003B6A95"/>
    <w:rsid w:val="003B725A"/>
    <w:rsid w:val="003C206C"/>
    <w:rsid w:val="003C2AAE"/>
    <w:rsid w:val="003C3332"/>
    <w:rsid w:val="003C62FD"/>
    <w:rsid w:val="003C771E"/>
    <w:rsid w:val="003C7827"/>
    <w:rsid w:val="003D128D"/>
    <w:rsid w:val="003D2F10"/>
    <w:rsid w:val="003D386E"/>
    <w:rsid w:val="003D4277"/>
    <w:rsid w:val="003D4328"/>
    <w:rsid w:val="003D5CBB"/>
    <w:rsid w:val="003D726B"/>
    <w:rsid w:val="003E2E46"/>
    <w:rsid w:val="003E2F92"/>
    <w:rsid w:val="003E4E6B"/>
    <w:rsid w:val="003E5980"/>
    <w:rsid w:val="003E59E8"/>
    <w:rsid w:val="003E652D"/>
    <w:rsid w:val="003E709B"/>
    <w:rsid w:val="003E739D"/>
    <w:rsid w:val="003E7675"/>
    <w:rsid w:val="003E781E"/>
    <w:rsid w:val="003F17D1"/>
    <w:rsid w:val="003F2C79"/>
    <w:rsid w:val="003F36A7"/>
    <w:rsid w:val="003F3BDB"/>
    <w:rsid w:val="003F4668"/>
    <w:rsid w:val="003F4E56"/>
    <w:rsid w:val="003F7225"/>
    <w:rsid w:val="003F7ADF"/>
    <w:rsid w:val="00400781"/>
    <w:rsid w:val="00401D2A"/>
    <w:rsid w:val="00403560"/>
    <w:rsid w:val="00403DF0"/>
    <w:rsid w:val="004050A3"/>
    <w:rsid w:val="0041005A"/>
    <w:rsid w:val="004101EF"/>
    <w:rsid w:val="00411101"/>
    <w:rsid w:val="00411584"/>
    <w:rsid w:val="00411793"/>
    <w:rsid w:val="00411814"/>
    <w:rsid w:val="0041203E"/>
    <w:rsid w:val="00412557"/>
    <w:rsid w:val="00412FB1"/>
    <w:rsid w:val="00414166"/>
    <w:rsid w:val="0041574F"/>
    <w:rsid w:val="00417339"/>
    <w:rsid w:val="00417BCC"/>
    <w:rsid w:val="00420AAE"/>
    <w:rsid w:val="00421A5B"/>
    <w:rsid w:val="0042214A"/>
    <w:rsid w:val="00423F38"/>
    <w:rsid w:val="0042455D"/>
    <w:rsid w:val="00424FB2"/>
    <w:rsid w:val="00425757"/>
    <w:rsid w:val="00425C47"/>
    <w:rsid w:val="00427610"/>
    <w:rsid w:val="004279AE"/>
    <w:rsid w:val="004329A8"/>
    <w:rsid w:val="00435733"/>
    <w:rsid w:val="00436969"/>
    <w:rsid w:val="00436EF0"/>
    <w:rsid w:val="00437599"/>
    <w:rsid w:val="00437A8A"/>
    <w:rsid w:val="0044078A"/>
    <w:rsid w:val="0044083D"/>
    <w:rsid w:val="00441A89"/>
    <w:rsid w:val="004428B8"/>
    <w:rsid w:val="00443A1D"/>
    <w:rsid w:val="00443C19"/>
    <w:rsid w:val="004453DC"/>
    <w:rsid w:val="0044634B"/>
    <w:rsid w:val="004479B2"/>
    <w:rsid w:val="00450A76"/>
    <w:rsid w:val="00450B43"/>
    <w:rsid w:val="00451C64"/>
    <w:rsid w:val="00453BFA"/>
    <w:rsid w:val="00454137"/>
    <w:rsid w:val="0045430B"/>
    <w:rsid w:val="00454FBA"/>
    <w:rsid w:val="00456CB0"/>
    <w:rsid w:val="00460191"/>
    <w:rsid w:val="004614E7"/>
    <w:rsid w:val="00461696"/>
    <w:rsid w:val="0046225B"/>
    <w:rsid w:val="00463158"/>
    <w:rsid w:val="00463F86"/>
    <w:rsid w:val="004642E2"/>
    <w:rsid w:val="00464521"/>
    <w:rsid w:val="00465B3E"/>
    <w:rsid w:val="00466866"/>
    <w:rsid w:val="00467132"/>
    <w:rsid w:val="00470C03"/>
    <w:rsid w:val="004721BF"/>
    <w:rsid w:val="00473FD1"/>
    <w:rsid w:val="00475A38"/>
    <w:rsid w:val="00475AE4"/>
    <w:rsid w:val="00476C2D"/>
    <w:rsid w:val="00480276"/>
    <w:rsid w:val="0048171C"/>
    <w:rsid w:val="004823A7"/>
    <w:rsid w:val="00483E4F"/>
    <w:rsid w:val="00485275"/>
    <w:rsid w:val="00485BB3"/>
    <w:rsid w:val="00486A23"/>
    <w:rsid w:val="00495123"/>
    <w:rsid w:val="004956E5"/>
    <w:rsid w:val="00496219"/>
    <w:rsid w:val="0049659A"/>
    <w:rsid w:val="004A1CAD"/>
    <w:rsid w:val="004A2228"/>
    <w:rsid w:val="004A2483"/>
    <w:rsid w:val="004A4C59"/>
    <w:rsid w:val="004A52EB"/>
    <w:rsid w:val="004A5548"/>
    <w:rsid w:val="004A7A70"/>
    <w:rsid w:val="004B227D"/>
    <w:rsid w:val="004B329A"/>
    <w:rsid w:val="004B3A2A"/>
    <w:rsid w:val="004B51F5"/>
    <w:rsid w:val="004B52D7"/>
    <w:rsid w:val="004B71DB"/>
    <w:rsid w:val="004C04AB"/>
    <w:rsid w:val="004C196F"/>
    <w:rsid w:val="004C1C5B"/>
    <w:rsid w:val="004C1FED"/>
    <w:rsid w:val="004C34F8"/>
    <w:rsid w:val="004C4C9E"/>
    <w:rsid w:val="004C5326"/>
    <w:rsid w:val="004C7E09"/>
    <w:rsid w:val="004D139E"/>
    <w:rsid w:val="004D3F6F"/>
    <w:rsid w:val="004D47C8"/>
    <w:rsid w:val="004D60EA"/>
    <w:rsid w:val="004D6258"/>
    <w:rsid w:val="004E06FF"/>
    <w:rsid w:val="004E1A9C"/>
    <w:rsid w:val="004E40A4"/>
    <w:rsid w:val="004E4175"/>
    <w:rsid w:val="004E56FA"/>
    <w:rsid w:val="004E647E"/>
    <w:rsid w:val="004F01AE"/>
    <w:rsid w:val="004F0A01"/>
    <w:rsid w:val="004F0BA9"/>
    <w:rsid w:val="004F1682"/>
    <w:rsid w:val="004F1C61"/>
    <w:rsid w:val="004F2326"/>
    <w:rsid w:val="004F31BA"/>
    <w:rsid w:val="004F459D"/>
    <w:rsid w:val="004F4A48"/>
    <w:rsid w:val="004F65CF"/>
    <w:rsid w:val="004F664E"/>
    <w:rsid w:val="00500455"/>
    <w:rsid w:val="00500C52"/>
    <w:rsid w:val="005019B5"/>
    <w:rsid w:val="00503869"/>
    <w:rsid w:val="00504886"/>
    <w:rsid w:val="00505060"/>
    <w:rsid w:val="0050785A"/>
    <w:rsid w:val="00507AE3"/>
    <w:rsid w:val="00510088"/>
    <w:rsid w:val="00510E0D"/>
    <w:rsid w:val="005137D7"/>
    <w:rsid w:val="00516C08"/>
    <w:rsid w:val="00517EC1"/>
    <w:rsid w:val="00520465"/>
    <w:rsid w:val="00520754"/>
    <w:rsid w:val="00520AD4"/>
    <w:rsid w:val="00524427"/>
    <w:rsid w:val="0052570F"/>
    <w:rsid w:val="00525DD5"/>
    <w:rsid w:val="00525F1A"/>
    <w:rsid w:val="00526203"/>
    <w:rsid w:val="0052673F"/>
    <w:rsid w:val="00530A4F"/>
    <w:rsid w:val="00531F8E"/>
    <w:rsid w:val="005322AF"/>
    <w:rsid w:val="005324F2"/>
    <w:rsid w:val="00532761"/>
    <w:rsid w:val="005329E0"/>
    <w:rsid w:val="00533371"/>
    <w:rsid w:val="00535D6A"/>
    <w:rsid w:val="00535EB0"/>
    <w:rsid w:val="005372C4"/>
    <w:rsid w:val="00540CBA"/>
    <w:rsid w:val="00541513"/>
    <w:rsid w:val="00542E45"/>
    <w:rsid w:val="00546A1D"/>
    <w:rsid w:val="00551600"/>
    <w:rsid w:val="00551E11"/>
    <w:rsid w:val="00553742"/>
    <w:rsid w:val="00553A33"/>
    <w:rsid w:val="005542B7"/>
    <w:rsid w:val="005546A9"/>
    <w:rsid w:val="0055479B"/>
    <w:rsid w:val="005572C3"/>
    <w:rsid w:val="0055770E"/>
    <w:rsid w:val="0056028E"/>
    <w:rsid w:val="00560C0F"/>
    <w:rsid w:val="00563D96"/>
    <w:rsid w:val="005643A3"/>
    <w:rsid w:val="005646EA"/>
    <w:rsid w:val="00564897"/>
    <w:rsid w:val="005655C0"/>
    <w:rsid w:val="005659C6"/>
    <w:rsid w:val="005664B6"/>
    <w:rsid w:val="00570BD8"/>
    <w:rsid w:val="00571538"/>
    <w:rsid w:val="005722B5"/>
    <w:rsid w:val="00572718"/>
    <w:rsid w:val="00573C34"/>
    <w:rsid w:val="00574FC0"/>
    <w:rsid w:val="00575BEC"/>
    <w:rsid w:val="0057604B"/>
    <w:rsid w:val="005765F6"/>
    <w:rsid w:val="00576C8F"/>
    <w:rsid w:val="005809CC"/>
    <w:rsid w:val="00582ED1"/>
    <w:rsid w:val="00583B72"/>
    <w:rsid w:val="00585AFC"/>
    <w:rsid w:val="005863B7"/>
    <w:rsid w:val="005869D6"/>
    <w:rsid w:val="00586B39"/>
    <w:rsid w:val="00586D60"/>
    <w:rsid w:val="00587495"/>
    <w:rsid w:val="0058752B"/>
    <w:rsid w:val="005879D7"/>
    <w:rsid w:val="00591202"/>
    <w:rsid w:val="00591DC5"/>
    <w:rsid w:val="005921A1"/>
    <w:rsid w:val="0059287C"/>
    <w:rsid w:val="00592B05"/>
    <w:rsid w:val="005939A7"/>
    <w:rsid w:val="005942BE"/>
    <w:rsid w:val="0059466C"/>
    <w:rsid w:val="005959C7"/>
    <w:rsid w:val="00595C7A"/>
    <w:rsid w:val="0059691E"/>
    <w:rsid w:val="00596B57"/>
    <w:rsid w:val="00596CA3"/>
    <w:rsid w:val="005A0C99"/>
    <w:rsid w:val="005A13EA"/>
    <w:rsid w:val="005A3598"/>
    <w:rsid w:val="005A3BB6"/>
    <w:rsid w:val="005A588B"/>
    <w:rsid w:val="005A61F8"/>
    <w:rsid w:val="005B0DEC"/>
    <w:rsid w:val="005B178F"/>
    <w:rsid w:val="005B2226"/>
    <w:rsid w:val="005B53AA"/>
    <w:rsid w:val="005B6049"/>
    <w:rsid w:val="005B668F"/>
    <w:rsid w:val="005B6D0E"/>
    <w:rsid w:val="005B6F7A"/>
    <w:rsid w:val="005B782D"/>
    <w:rsid w:val="005B784B"/>
    <w:rsid w:val="005B7F90"/>
    <w:rsid w:val="005C07E0"/>
    <w:rsid w:val="005C0D8C"/>
    <w:rsid w:val="005C1830"/>
    <w:rsid w:val="005C42A9"/>
    <w:rsid w:val="005C50E6"/>
    <w:rsid w:val="005C578F"/>
    <w:rsid w:val="005D0BBC"/>
    <w:rsid w:val="005D2394"/>
    <w:rsid w:val="005D2B52"/>
    <w:rsid w:val="005D78CF"/>
    <w:rsid w:val="005D7CD3"/>
    <w:rsid w:val="005E0C60"/>
    <w:rsid w:val="005E3D65"/>
    <w:rsid w:val="005E3E1A"/>
    <w:rsid w:val="005E4B01"/>
    <w:rsid w:val="005E4F39"/>
    <w:rsid w:val="005E6679"/>
    <w:rsid w:val="005E66ED"/>
    <w:rsid w:val="005E6866"/>
    <w:rsid w:val="005E6A67"/>
    <w:rsid w:val="005E6B23"/>
    <w:rsid w:val="005F128F"/>
    <w:rsid w:val="005F2EA7"/>
    <w:rsid w:val="005F39EC"/>
    <w:rsid w:val="005F7117"/>
    <w:rsid w:val="00601F80"/>
    <w:rsid w:val="00603425"/>
    <w:rsid w:val="00604BF4"/>
    <w:rsid w:val="0060519E"/>
    <w:rsid w:val="00605CC2"/>
    <w:rsid w:val="00607217"/>
    <w:rsid w:val="0060784F"/>
    <w:rsid w:val="00607DBB"/>
    <w:rsid w:val="006143E2"/>
    <w:rsid w:val="00615141"/>
    <w:rsid w:val="006156C8"/>
    <w:rsid w:val="006202D4"/>
    <w:rsid w:val="00621CE1"/>
    <w:rsid w:val="00622C57"/>
    <w:rsid w:val="00623594"/>
    <w:rsid w:val="00627DB7"/>
    <w:rsid w:val="0063055C"/>
    <w:rsid w:val="00630EC8"/>
    <w:rsid w:val="00631074"/>
    <w:rsid w:val="00633205"/>
    <w:rsid w:val="00634640"/>
    <w:rsid w:val="006379C9"/>
    <w:rsid w:val="006424C6"/>
    <w:rsid w:val="00642733"/>
    <w:rsid w:val="00642776"/>
    <w:rsid w:val="00643284"/>
    <w:rsid w:val="00644128"/>
    <w:rsid w:val="00645D8A"/>
    <w:rsid w:val="006468D7"/>
    <w:rsid w:val="00646CF6"/>
    <w:rsid w:val="0065129D"/>
    <w:rsid w:val="00653F4C"/>
    <w:rsid w:val="006540BB"/>
    <w:rsid w:val="0065548D"/>
    <w:rsid w:val="00656D4F"/>
    <w:rsid w:val="006579B6"/>
    <w:rsid w:val="00657FE7"/>
    <w:rsid w:val="0066178E"/>
    <w:rsid w:val="00662873"/>
    <w:rsid w:val="00665543"/>
    <w:rsid w:val="00665756"/>
    <w:rsid w:val="006667EE"/>
    <w:rsid w:val="00670165"/>
    <w:rsid w:val="006712EA"/>
    <w:rsid w:val="006731A9"/>
    <w:rsid w:val="006734B3"/>
    <w:rsid w:val="00674899"/>
    <w:rsid w:val="00675D7F"/>
    <w:rsid w:val="00676EA1"/>
    <w:rsid w:val="00677E20"/>
    <w:rsid w:val="00681194"/>
    <w:rsid w:val="00681394"/>
    <w:rsid w:val="00681957"/>
    <w:rsid w:val="00681A73"/>
    <w:rsid w:val="00682A85"/>
    <w:rsid w:val="006832BF"/>
    <w:rsid w:val="006835E0"/>
    <w:rsid w:val="00684129"/>
    <w:rsid w:val="0068491F"/>
    <w:rsid w:val="00684BDC"/>
    <w:rsid w:val="00687BD8"/>
    <w:rsid w:val="00692340"/>
    <w:rsid w:val="00692D54"/>
    <w:rsid w:val="00692E16"/>
    <w:rsid w:val="00692F51"/>
    <w:rsid w:val="006930E6"/>
    <w:rsid w:val="00694883"/>
    <w:rsid w:val="0069619E"/>
    <w:rsid w:val="00697C13"/>
    <w:rsid w:val="00697D73"/>
    <w:rsid w:val="006A00B7"/>
    <w:rsid w:val="006A0264"/>
    <w:rsid w:val="006A026B"/>
    <w:rsid w:val="006A12F5"/>
    <w:rsid w:val="006A1E31"/>
    <w:rsid w:val="006A2292"/>
    <w:rsid w:val="006A33A0"/>
    <w:rsid w:val="006A4BB0"/>
    <w:rsid w:val="006A5456"/>
    <w:rsid w:val="006A6B26"/>
    <w:rsid w:val="006B029C"/>
    <w:rsid w:val="006B045E"/>
    <w:rsid w:val="006B0CC1"/>
    <w:rsid w:val="006B179A"/>
    <w:rsid w:val="006B4032"/>
    <w:rsid w:val="006B41C7"/>
    <w:rsid w:val="006B4437"/>
    <w:rsid w:val="006B4761"/>
    <w:rsid w:val="006B49E2"/>
    <w:rsid w:val="006B4A64"/>
    <w:rsid w:val="006B6630"/>
    <w:rsid w:val="006C1202"/>
    <w:rsid w:val="006C2F73"/>
    <w:rsid w:val="006C4E0D"/>
    <w:rsid w:val="006C77A3"/>
    <w:rsid w:val="006D0F09"/>
    <w:rsid w:val="006D47C9"/>
    <w:rsid w:val="006D52EF"/>
    <w:rsid w:val="006D56AD"/>
    <w:rsid w:val="006D63EF"/>
    <w:rsid w:val="006D6A34"/>
    <w:rsid w:val="006D7928"/>
    <w:rsid w:val="006D79D7"/>
    <w:rsid w:val="006D7BDA"/>
    <w:rsid w:val="006E313D"/>
    <w:rsid w:val="006E461B"/>
    <w:rsid w:val="006E5B7C"/>
    <w:rsid w:val="006E6E12"/>
    <w:rsid w:val="006E7C12"/>
    <w:rsid w:val="006F13C6"/>
    <w:rsid w:val="006F27D6"/>
    <w:rsid w:val="006F37E0"/>
    <w:rsid w:val="006F3A72"/>
    <w:rsid w:val="006F4103"/>
    <w:rsid w:val="006F4BB6"/>
    <w:rsid w:val="006F5146"/>
    <w:rsid w:val="006F5F4D"/>
    <w:rsid w:val="006F6B7F"/>
    <w:rsid w:val="006F7882"/>
    <w:rsid w:val="00703A79"/>
    <w:rsid w:val="00703D35"/>
    <w:rsid w:val="0070748B"/>
    <w:rsid w:val="00707B05"/>
    <w:rsid w:val="007115AA"/>
    <w:rsid w:val="007117C2"/>
    <w:rsid w:val="00711F1E"/>
    <w:rsid w:val="007132FE"/>
    <w:rsid w:val="0071362E"/>
    <w:rsid w:val="0071591C"/>
    <w:rsid w:val="0071595B"/>
    <w:rsid w:val="007168BE"/>
    <w:rsid w:val="00717ED7"/>
    <w:rsid w:val="007210B5"/>
    <w:rsid w:val="0072119B"/>
    <w:rsid w:val="007211D9"/>
    <w:rsid w:val="00721C49"/>
    <w:rsid w:val="00722488"/>
    <w:rsid w:val="007235F8"/>
    <w:rsid w:val="007255D3"/>
    <w:rsid w:val="00725D1A"/>
    <w:rsid w:val="0072689E"/>
    <w:rsid w:val="00726C0F"/>
    <w:rsid w:val="00727FBC"/>
    <w:rsid w:val="00731A14"/>
    <w:rsid w:val="00732165"/>
    <w:rsid w:val="00735565"/>
    <w:rsid w:val="0073677B"/>
    <w:rsid w:val="00737E51"/>
    <w:rsid w:val="00740E2C"/>
    <w:rsid w:val="00742759"/>
    <w:rsid w:val="00745661"/>
    <w:rsid w:val="00745D19"/>
    <w:rsid w:val="00750454"/>
    <w:rsid w:val="007527F4"/>
    <w:rsid w:val="0075280B"/>
    <w:rsid w:val="0075327A"/>
    <w:rsid w:val="00754408"/>
    <w:rsid w:val="0075472D"/>
    <w:rsid w:val="00754978"/>
    <w:rsid w:val="00754BD6"/>
    <w:rsid w:val="0075575D"/>
    <w:rsid w:val="00755D26"/>
    <w:rsid w:val="00756567"/>
    <w:rsid w:val="0075677A"/>
    <w:rsid w:val="007569F7"/>
    <w:rsid w:val="00757CF3"/>
    <w:rsid w:val="00760285"/>
    <w:rsid w:val="0076250C"/>
    <w:rsid w:val="00762C68"/>
    <w:rsid w:val="00762DE4"/>
    <w:rsid w:val="007704DD"/>
    <w:rsid w:val="0077101F"/>
    <w:rsid w:val="007724D7"/>
    <w:rsid w:val="007735DF"/>
    <w:rsid w:val="007748B4"/>
    <w:rsid w:val="00774AB5"/>
    <w:rsid w:val="00775C7F"/>
    <w:rsid w:val="00776732"/>
    <w:rsid w:val="00780DAB"/>
    <w:rsid w:val="00781412"/>
    <w:rsid w:val="0078289E"/>
    <w:rsid w:val="00782906"/>
    <w:rsid w:val="00783D36"/>
    <w:rsid w:val="00784D31"/>
    <w:rsid w:val="00785A1D"/>
    <w:rsid w:val="00785FE1"/>
    <w:rsid w:val="00790389"/>
    <w:rsid w:val="00790863"/>
    <w:rsid w:val="00792E37"/>
    <w:rsid w:val="00792E4B"/>
    <w:rsid w:val="00792FBF"/>
    <w:rsid w:val="007936C6"/>
    <w:rsid w:val="007949A9"/>
    <w:rsid w:val="0079658C"/>
    <w:rsid w:val="0079721A"/>
    <w:rsid w:val="007A03C6"/>
    <w:rsid w:val="007A1DC7"/>
    <w:rsid w:val="007A3D7C"/>
    <w:rsid w:val="007A5D23"/>
    <w:rsid w:val="007A604F"/>
    <w:rsid w:val="007A6E90"/>
    <w:rsid w:val="007A7861"/>
    <w:rsid w:val="007A7C0B"/>
    <w:rsid w:val="007B31E8"/>
    <w:rsid w:val="007B73DC"/>
    <w:rsid w:val="007B773C"/>
    <w:rsid w:val="007C0698"/>
    <w:rsid w:val="007C12C7"/>
    <w:rsid w:val="007C237A"/>
    <w:rsid w:val="007C4C40"/>
    <w:rsid w:val="007C5371"/>
    <w:rsid w:val="007C65E7"/>
    <w:rsid w:val="007C6CFC"/>
    <w:rsid w:val="007C7698"/>
    <w:rsid w:val="007C77C4"/>
    <w:rsid w:val="007D1064"/>
    <w:rsid w:val="007D1161"/>
    <w:rsid w:val="007D20D8"/>
    <w:rsid w:val="007D53BC"/>
    <w:rsid w:val="007D567A"/>
    <w:rsid w:val="007D67F3"/>
    <w:rsid w:val="007D6CF6"/>
    <w:rsid w:val="007D79B0"/>
    <w:rsid w:val="007E0409"/>
    <w:rsid w:val="007E1DB5"/>
    <w:rsid w:val="007E2CF1"/>
    <w:rsid w:val="007E3080"/>
    <w:rsid w:val="007E460D"/>
    <w:rsid w:val="007E5000"/>
    <w:rsid w:val="007E5096"/>
    <w:rsid w:val="007E5460"/>
    <w:rsid w:val="007E6B37"/>
    <w:rsid w:val="007E7AD8"/>
    <w:rsid w:val="007F2AF4"/>
    <w:rsid w:val="007F3FBF"/>
    <w:rsid w:val="007F54A5"/>
    <w:rsid w:val="007F5EFE"/>
    <w:rsid w:val="007F79C0"/>
    <w:rsid w:val="007F7B6E"/>
    <w:rsid w:val="007F7EA1"/>
    <w:rsid w:val="007F7ECD"/>
    <w:rsid w:val="00800671"/>
    <w:rsid w:val="008037D3"/>
    <w:rsid w:val="00803DD9"/>
    <w:rsid w:val="00806BAC"/>
    <w:rsid w:val="008070AE"/>
    <w:rsid w:val="0080729E"/>
    <w:rsid w:val="00807854"/>
    <w:rsid w:val="00811667"/>
    <w:rsid w:val="008128AD"/>
    <w:rsid w:val="00812A58"/>
    <w:rsid w:val="008139EE"/>
    <w:rsid w:val="008141AD"/>
    <w:rsid w:val="008160EB"/>
    <w:rsid w:val="00816A1D"/>
    <w:rsid w:val="00817A70"/>
    <w:rsid w:val="00820A9F"/>
    <w:rsid w:val="00820BFB"/>
    <w:rsid w:val="00820D1A"/>
    <w:rsid w:val="00821BC9"/>
    <w:rsid w:val="00822636"/>
    <w:rsid w:val="00822EB6"/>
    <w:rsid w:val="00823F82"/>
    <w:rsid w:val="00823FAC"/>
    <w:rsid w:val="0082761D"/>
    <w:rsid w:val="00831417"/>
    <w:rsid w:val="00831F0E"/>
    <w:rsid w:val="008327D6"/>
    <w:rsid w:val="0083317B"/>
    <w:rsid w:val="00835B49"/>
    <w:rsid w:val="00835B78"/>
    <w:rsid w:val="008367C1"/>
    <w:rsid w:val="0084145D"/>
    <w:rsid w:val="0084183E"/>
    <w:rsid w:val="00844D65"/>
    <w:rsid w:val="00851FC7"/>
    <w:rsid w:val="008528C2"/>
    <w:rsid w:val="008542E7"/>
    <w:rsid w:val="00854432"/>
    <w:rsid w:val="00854C2F"/>
    <w:rsid w:val="008562BF"/>
    <w:rsid w:val="00856B8F"/>
    <w:rsid w:val="00856CBB"/>
    <w:rsid w:val="00856F3B"/>
    <w:rsid w:val="0085750D"/>
    <w:rsid w:val="0086118A"/>
    <w:rsid w:val="00861EB5"/>
    <w:rsid w:val="00863448"/>
    <w:rsid w:val="0086348E"/>
    <w:rsid w:val="00864718"/>
    <w:rsid w:val="0086570B"/>
    <w:rsid w:val="00865B4F"/>
    <w:rsid w:val="00866100"/>
    <w:rsid w:val="00866122"/>
    <w:rsid w:val="008665B5"/>
    <w:rsid w:val="00866C1D"/>
    <w:rsid w:val="0086738B"/>
    <w:rsid w:val="00867824"/>
    <w:rsid w:val="00867B9A"/>
    <w:rsid w:val="00870119"/>
    <w:rsid w:val="008701E1"/>
    <w:rsid w:val="008720F7"/>
    <w:rsid w:val="00872595"/>
    <w:rsid w:val="00872D92"/>
    <w:rsid w:val="0087378F"/>
    <w:rsid w:val="00874384"/>
    <w:rsid w:val="008753ED"/>
    <w:rsid w:val="00876BA5"/>
    <w:rsid w:val="00880153"/>
    <w:rsid w:val="00880276"/>
    <w:rsid w:val="00880868"/>
    <w:rsid w:val="00880DFC"/>
    <w:rsid w:val="00882022"/>
    <w:rsid w:val="008822D8"/>
    <w:rsid w:val="00883FBB"/>
    <w:rsid w:val="008847EF"/>
    <w:rsid w:val="00884F13"/>
    <w:rsid w:val="00885523"/>
    <w:rsid w:val="00885E50"/>
    <w:rsid w:val="008860FF"/>
    <w:rsid w:val="00886C04"/>
    <w:rsid w:val="00887323"/>
    <w:rsid w:val="0088760D"/>
    <w:rsid w:val="00890B37"/>
    <w:rsid w:val="008914CE"/>
    <w:rsid w:val="00891F97"/>
    <w:rsid w:val="00892EF9"/>
    <w:rsid w:val="008A0001"/>
    <w:rsid w:val="008A00AD"/>
    <w:rsid w:val="008A150E"/>
    <w:rsid w:val="008A2942"/>
    <w:rsid w:val="008A3511"/>
    <w:rsid w:val="008A3C6D"/>
    <w:rsid w:val="008A62DE"/>
    <w:rsid w:val="008A763A"/>
    <w:rsid w:val="008A7F58"/>
    <w:rsid w:val="008B1ACA"/>
    <w:rsid w:val="008B1F16"/>
    <w:rsid w:val="008B308B"/>
    <w:rsid w:val="008B318D"/>
    <w:rsid w:val="008B34CD"/>
    <w:rsid w:val="008B47F0"/>
    <w:rsid w:val="008B5EA8"/>
    <w:rsid w:val="008B797C"/>
    <w:rsid w:val="008C0107"/>
    <w:rsid w:val="008C4E58"/>
    <w:rsid w:val="008C6998"/>
    <w:rsid w:val="008D0E38"/>
    <w:rsid w:val="008D40F5"/>
    <w:rsid w:val="008D5F87"/>
    <w:rsid w:val="008D6F3C"/>
    <w:rsid w:val="008D723F"/>
    <w:rsid w:val="008E1567"/>
    <w:rsid w:val="008E15AF"/>
    <w:rsid w:val="008E3722"/>
    <w:rsid w:val="008E6A5C"/>
    <w:rsid w:val="008E761B"/>
    <w:rsid w:val="008F1C2E"/>
    <w:rsid w:val="008F2C89"/>
    <w:rsid w:val="008F38B1"/>
    <w:rsid w:val="008F4834"/>
    <w:rsid w:val="008F69B4"/>
    <w:rsid w:val="00900E08"/>
    <w:rsid w:val="00902ADF"/>
    <w:rsid w:val="009043F5"/>
    <w:rsid w:val="00904B04"/>
    <w:rsid w:val="00905EF7"/>
    <w:rsid w:val="00906ED7"/>
    <w:rsid w:val="00910FFF"/>
    <w:rsid w:val="0091305C"/>
    <w:rsid w:val="00913D14"/>
    <w:rsid w:val="0091695C"/>
    <w:rsid w:val="00917503"/>
    <w:rsid w:val="00917B02"/>
    <w:rsid w:val="00920ECA"/>
    <w:rsid w:val="00920F0D"/>
    <w:rsid w:val="00922D07"/>
    <w:rsid w:val="00923C15"/>
    <w:rsid w:val="00924A26"/>
    <w:rsid w:val="00924FFF"/>
    <w:rsid w:val="00926934"/>
    <w:rsid w:val="0092732B"/>
    <w:rsid w:val="00931F61"/>
    <w:rsid w:val="0093272E"/>
    <w:rsid w:val="00932FFB"/>
    <w:rsid w:val="009348BF"/>
    <w:rsid w:val="00940996"/>
    <w:rsid w:val="00940E79"/>
    <w:rsid w:val="00940EE3"/>
    <w:rsid w:val="009412E5"/>
    <w:rsid w:val="0094162A"/>
    <w:rsid w:val="00950FC3"/>
    <w:rsid w:val="00953C74"/>
    <w:rsid w:val="00953CC7"/>
    <w:rsid w:val="00954DE4"/>
    <w:rsid w:val="00956056"/>
    <w:rsid w:val="0095668D"/>
    <w:rsid w:val="00961975"/>
    <w:rsid w:val="0096515A"/>
    <w:rsid w:val="00965E28"/>
    <w:rsid w:val="00966746"/>
    <w:rsid w:val="00966B2C"/>
    <w:rsid w:val="00967783"/>
    <w:rsid w:val="00970093"/>
    <w:rsid w:val="0097062C"/>
    <w:rsid w:val="00972A58"/>
    <w:rsid w:val="009730B3"/>
    <w:rsid w:val="009740FC"/>
    <w:rsid w:val="00974729"/>
    <w:rsid w:val="00974EE4"/>
    <w:rsid w:val="009751FF"/>
    <w:rsid w:val="00975FDB"/>
    <w:rsid w:val="0098097B"/>
    <w:rsid w:val="00981FCF"/>
    <w:rsid w:val="009837D2"/>
    <w:rsid w:val="009839E3"/>
    <w:rsid w:val="0098415B"/>
    <w:rsid w:val="00984E77"/>
    <w:rsid w:val="009864E8"/>
    <w:rsid w:val="00986F16"/>
    <w:rsid w:val="0099179F"/>
    <w:rsid w:val="00992BC8"/>
    <w:rsid w:val="00994C9B"/>
    <w:rsid w:val="009A1463"/>
    <w:rsid w:val="009A27E9"/>
    <w:rsid w:val="009A3B36"/>
    <w:rsid w:val="009A4A51"/>
    <w:rsid w:val="009A4BEC"/>
    <w:rsid w:val="009A7B90"/>
    <w:rsid w:val="009B1756"/>
    <w:rsid w:val="009B1A69"/>
    <w:rsid w:val="009B3252"/>
    <w:rsid w:val="009B390A"/>
    <w:rsid w:val="009B3EE7"/>
    <w:rsid w:val="009B409F"/>
    <w:rsid w:val="009B49FC"/>
    <w:rsid w:val="009B52BC"/>
    <w:rsid w:val="009B585F"/>
    <w:rsid w:val="009B63ED"/>
    <w:rsid w:val="009B7189"/>
    <w:rsid w:val="009C00DA"/>
    <w:rsid w:val="009C057C"/>
    <w:rsid w:val="009C0E37"/>
    <w:rsid w:val="009C1560"/>
    <w:rsid w:val="009C199E"/>
    <w:rsid w:val="009C3623"/>
    <w:rsid w:val="009C3EE5"/>
    <w:rsid w:val="009C5787"/>
    <w:rsid w:val="009C5F50"/>
    <w:rsid w:val="009C70BC"/>
    <w:rsid w:val="009C7AAF"/>
    <w:rsid w:val="009D01B6"/>
    <w:rsid w:val="009D18E9"/>
    <w:rsid w:val="009D30D8"/>
    <w:rsid w:val="009D4ABF"/>
    <w:rsid w:val="009D6AD2"/>
    <w:rsid w:val="009E3AC2"/>
    <w:rsid w:val="009E3C6A"/>
    <w:rsid w:val="009E4279"/>
    <w:rsid w:val="009E4E4B"/>
    <w:rsid w:val="009E54ED"/>
    <w:rsid w:val="009E5919"/>
    <w:rsid w:val="009E61EF"/>
    <w:rsid w:val="009E65B5"/>
    <w:rsid w:val="009F0336"/>
    <w:rsid w:val="009F18F6"/>
    <w:rsid w:val="009F1A3C"/>
    <w:rsid w:val="009F29FB"/>
    <w:rsid w:val="009F2A83"/>
    <w:rsid w:val="009F3B52"/>
    <w:rsid w:val="009F4992"/>
    <w:rsid w:val="009F55AD"/>
    <w:rsid w:val="009F7018"/>
    <w:rsid w:val="00A00DFD"/>
    <w:rsid w:val="00A016CF"/>
    <w:rsid w:val="00A01B55"/>
    <w:rsid w:val="00A0274E"/>
    <w:rsid w:val="00A075F3"/>
    <w:rsid w:val="00A07832"/>
    <w:rsid w:val="00A116A0"/>
    <w:rsid w:val="00A12551"/>
    <w:rsid w:val="00A12A2F"/>
    <w:rsid w:val="00A12AD0"/>
    <w:rsid w:val="00A1459D"/>
    <w:rsid w:val="00A14F29"/>
    <w:rsid w:val="00A15BDA"/>
    <w:rsid w:val="00A15BED"/>
    <w:rsid w:val="00A15D0C"/>
    <w:rsid w:val="00A15ECA"/>
    <w:rsid w:val="00A165F8"/>
    <w:rsid w:val="00A16B2C"/>
    <w:rsid w:val="00A20625"/>
    <w:rsid w:val="00A20DFB"/>
    <w:rsid w:val="00A21975"/>
    <w:rsid w:val="00A246E0"/>
    <w:rsid w:val="00A26ADD"/>
    <w:rsid w:val="00A27E88"/>
    <w:rsid w:val="00A3213D"/>
    <w:rsid w:val="00A33E0E"/>
    <w:rsid w:val="00A33E39"/>
    <w:rsid w:val="00A35C12"/>
    <w:rsid w:val="00A36515"/>
    <w:rsid w:val="00A37633"/>
    <w:rsid w:val="00A40188"/>
    <w:rsid w:val="00A40770"/>
    <w:rsid w:val="00A40860"/>
    <w:rsid w:val="00A40F78"/>
    <w:rsid w:val="00A41524"/>
    <w:rsid w:val="00A42E79"/>
    <w:rsid w:val="00A4482A"/>
    <w:rsid w:val="00A46690"/>
    <w:rsid w:val="00A50F10"/>
    <w:rsid w:val="00A523EA"/>
    <w:rsid w:val="00A52E64"/>
    <w:rsid w:val="00A541BE"/>
    <w:rsid w:val="00A54959"/>
    <w:rsid w:val="00A549D2"/>
    <w:rsid w:val="00A562D8"/>
    <w:rsid w:val="00A566CC"/>
    <w:rsid w:val="00A57A33"/>
    <w:rsid w:val="00A61818"/>
    <w:rsid w:val="00A65DEB"/>
    <w:rsid w:val="00A6643F"/>
    <w:rsid w:val="00A66A97"/>
    <w:rsid w:val="00A67C78"/>
    <w:rsid w:val="00A67D64"/>
    <w:rsid w:val="00A72426"/>
    <w:rsid w:val="00A736FC"/>
    <w:rsid w:val="00A7386D"/>
    <w:rsid w:val="00A74044"/>
    <w:rsid w:val="00A74AE3"/>
    <w:rsid w:val="00A7743A"/>
    <w:rsid w:val="00A80123"/>
    <w:rsid w:val="00A80651"/>
    <w:rsid w:val="00A80794"/>
    <w:rsid w:val="00A80889"/>
    <w:rsid w:val="00A80CF0"/>
    <w:rsid w:val="00A80D8B"/>
    <w:rsid w:val="00A81976"/>
    <w:rsid w:val="00A82986"/>
    <w:rsid w:val="00A82E3E"/>
    <w:rsid w:val="00A85845"/>
    <w:rsid w:val="00A85B3D"/>
    <w:rsid w:val="00A85B42"/>
    <w:rsid w:val="00A86CF0"/>
    <w:rsid w:val="00A90016"/>
    <w:rsid w:val="00A95E77"/>
    <w:rsid w:val="00AA00E9"/>
    <w:rsid w:val="00AA0733"/>
    <w:rsid w:val="00AA089A"/>
    <w:rsid w:val="00AA0CC1"/>
    <w:rsid w:val="00AA1CFA"/>
    <w:rsid w:val="00AA23C5"/>
    <w:rsid w:val="00AA3006"/>
    <w:rsid w:val="00AA5339"/>
    <w:rsid w:val="00AA6558"/>
    <w:rsid w:val="00AA6D59"/>
    <w:rsid w:val="00AB049D"/>
    <w:rsid w:val="00AB39DA"/>
    <w:rsid w:val="00AB3BC9"/>
    <w:rsid w:val="00AB5675"/>
    <w:rsid w:val="00AB7F5F"/>
    <w:rsid w:val="00AC113F"/>
    <w:rsid w:val="00AC1FEA"/>
    <w:rsid w:val="00AC3BF9"/>
    <w:rsid w:val="00AC7285"/>
    <w:rsid w:val="00AC7AD8"/>
    <w:rsid w:val="00AD01E4"/>
    <w:rsid w:val="00AD1190"/>
    <w:rsid w:val="00AD4669"/>
    <w:rsid w:val="00AE2536"/>
    <w:rsid w:val="00AE2A10"/>
    <w:rsid w:val="00AE2D3E"/>
    <w:rsid w:val="00AE4604"/>
    <w:rsid w:val="00AE5FCE"/>
    <w:rsid w:val="00AE6FBA"/>
    <w:rsid w:val="00AE7A8F"/>
    <w:rsid w:val="00AF0164"/>
    <w:rsid w:val="00AF3B3E"/>
    <w:rsid w:val="00B00238"/>
    <w:rsid w:val="00B0052E"/>
    <w:rsid w:val="00B02EF1"/>
    <w:rsid w:val="00B04469"/>
    <w:rsid w:val="00B04FAC"/>
    <w:rsid w:val="00B062B1"/>
    <w:rsid w:val="00B07169"/>
    <w:rsid w:val="00B105AA"/>
    <w:rsid w:val="00B13CF4"/>
    <w:rsid w:val="00B15C2C"/>
    <w:rsid w:val="00B172C1"/>
    <w:rsid w:val="00B17FF3"/>
    <w:rsid w:val="00B20945"/>
    <w:rsid w:val="00B21E2A"/>
    <w:rsid w:val="00B22816"/>
    <w:rsid w:val="00B2484A"/>
    <w:rsid w:val="00B2501E"/>
    <w:rsid w:val="00B250B5"/>
    <w:rsid w:val="00B25EFF"/>
    <w:rsid w:val="00B27823"/>
    <w:rsid w:val="00B27905"/>
    <w:rsid w:val="00B27B06"/>
    <w:rsid w:val="00B27ED3"/>
    <w:rsid w:val="00B31C7F"/>
    <w:rsid w:val="00B351C0"/>
    <w:rsid w:val="00B36D05"/>
    <w:rsid w:val="00B3799E"/>
    <w:rsid w:val="00B409D0"/>
    <w:rsid w:val="00B41230"/>
    <w:rsid w:val="00B414D0"/>
    <w:rsid w:val="00B4261E"/>
    <w:rsid w:val="00B435DB"/>
    <w:rsid w:val="00B44447"/>
    <w:rsid w:val="00B453D8"/>
    <w:rsid w:val="00B4692B"/>
    <w:rsid w:val="00B50111"/>
    <w:rsid w:val="00B5173F"/>
    <w:rsid w:val="00B51849"/>
    <w:rsid w:val="00B52DC9"/>
    <w:rsid w:val="00B53473"/>
    <w:rsid w:val="00B53670"/>
    <w:rsid w:val="00B56737"/>
    <w:rsid w:val="00B573DC"/>
    <w:rsid w:val="00B5791D"/>
    <w:rsid w:val="00B57A04"/>
    <w:rsid w:val="00B62EE4"/>
    <w:rsid w:val="00B63C61"/>
    <w:rsid w:val="00B6480B"/>
    <w:rsid w:val="00B64B21"/>
    <w:rsid w:val="00B662D2"/>
    <w:rsid w:val="00B663FD"/>
    <w:rsid w:val="00B70933"/>
    <w:rsid w:val="00B72680"/>
    <w:rsid w:val="00B726CF"/>
    <w:rsid w:val="00B7374A"/>
    <w:rsid w:val="00B763AA"/>
    <w:rsid w:val="00B766F6"/>
    <w:rsid w:val="00B7738D"/>
    <w:rsid w:val="00B77563"/>
    <w:rsid w:val="00B77D17"/>
    <w:rsid w:val="00B77F68"/>
    <w:rsid w:val="00B808FC"/>
    <w:rsid w:val="00B80C2F"/>
    <w:rsid w:val="00B81C9E"/>
    <w:rsid w:val="00B81E16"/>
    <w:rsid w:val="00B83253"/>
    <w:rsid w:val="00B84C9F"/>
    <w:rsid w:val="00B86B48"/>
    <w:rsid w:val="00B87D58"/>
    <w:rsid w:val="00B91085"/>
    <w:rsid w:val="00B94247"/>
    <w:rsid w:val="00B95161"/>
    <w:rsid w:val="00B95977"/>
    <w:rsid w:val="00B9694D"/>
    <w:rsid w:val="00B97826"/>
    <w:rsid w:val="00B97A9D"/>
    <w:rsid w:val="00BA17DC"/>
    <w:rsid w:val="00BA1960"/>
    <w:rsid w:val="00BA2CD2"/>
    <w:rsid w:val="00BA2ED8"/>
    <w:rsid w:val="00BA3917"/>
    <w:rsid w:val="00BA5BAC"/>
    <w:rsid w:val="00BB0809"/>
    <w:rsid w:val="00BB32A3"/>
    <w:rsid w:val="00BB637B"/>
    <w:rsid w:val="00BC008F"/>
    <w:rsid w:val="00BC0499"/>
    <w:rsid w:val="00BC31ED"/>
    <w:rsid w:val="00BC3C4F"/>
    <w:rsid w:val="00BC5D28"/>
    <w:rsid w:val="00BC62A8"/>
    <w:rsid w:val="00BC6A82"/>
    <w:rsid w:val="00BD000A"/>
    <w:rsid w:val="00BD2540"/>
    <w:rsid w:val="00BD33A7"/>
    <w:rsid w:val="00BD52CD"/>
    <w:rsid w:val="00BD77CA"/>
    <w:rsid w:val="00BE09E9"/>
    <w:rsid w:val="00BE166B"/>
    <w:rsid w:val="00BE1B74"/>
    <w:rsid w:val="00BE1EEB"/>
    <w:rsid w:val="00BE3188"/>
    <w:rsid w:val="00BE35C4"/>
    <w:rsid w:val="00BE39AE"/>
    <w:rsid w:val="00BE5F21"/>
    <w:rsid w:val="00BE652B"/>
    <w:rsid w:val="00BE68EE"/>
    <w:rsid w:val="00BE745A"/>
    <w:rsid w:val="00BE7598"/>
    <w:rsid w:val="00BE78B1"/>
    <w:rsid w:val="00BE7AC2"/>
    <w:rsid w:val="00BF2E0D"/>
    <w:rsid w:val="00BF3D87"/>
    <w:rsid w:val="00BF4E61"/>
    <w:rsid w:val="00BF73EF"/>
    <w:rsid w:val="00C01293"/>
    <w:rsid w:val="00C0211A"/>
    <w:rsid w:val="00C03674"/>
    <w:rsid w:val="00C044F0"/>
    <w:rsid w:val="00C04B17"/>
    <w:rsid w:val="00C04F78"/>
    <w:rsid w:val="00C058E5"/>
    <w:rsid w:val="00C06661"/>
    <w:rsid w:val="00C0670D"/>
    <w:rsid w:val="00C06D2C"/>
    <w:rsid w:val="00C10E50"/>
    <w:rsid w:val="00C11AC5"/>
    <w:rsid w:val="00C11B3B"/>
    <w:rsid w:val="00C13169"/>
    <w:rsid w:val="00C134AE"/>
    <w:rsid w:val="00C13780"/>
    <w:rsid w:val="00C13859"/>
    <w:rsid w:val="00C13F81"/>
    <w:rsid w:val="00C157CE"/>
    <w:rsid w:val="00C160B1"/>
    <w:rsid w:val="00C174F8"/>
    <w:rsid w:val="00C20454"/>
    <w:rsid w:val="00C2109E"/>
    <w:rsid w:val="00C21609"/>
    <w:rsid w:val="00C21AA4"/>
    <w:rsid w:val="00C22A35"/>
    <w:rsid w:val="00C25575"/>
    <w:rsid w:val="00C30876"/>
    <w:rsid w:val="00C31B4E"/>
    <w:rsid w:val="00C32270"/>
    <w:rsid w:val="00C325F1"/>
    <w:rsid w:val="00C35488"/>
    <w:rsid w:val="00C35741"/>
    <w:rsid w:val="00C35942"/>
    <w:rsid w:val="00C36321"/>
    <w:rsid w:val="00C36950"/>
    <w:rsid w:val="00C37B69"/>
    <w:rsid w:val="00C41541"/>
    <w:rsid w:val="00C41A2E"/>
    <w:rsid w:val="00C41DAF"/>
    <w:rsid w:val="00C42265"/>
    <w:rsid w:val="00C44A46"/>
    <w:rsid w:val="00C45349"/>
    <w:rsid w:val="00C47962"/>
    <w:rsid w:val="00C47C99"/>
    <w:rsid w:val="00C50107"/>
    <w:rsid w:val="00C50A9B"/>
    <w:rsid w:val="00C51797"/>
    <w:rsid w:val="00C51BB7"/>
    <w:rsid w:val="00C521A4"/>
    <w:rsid w:val="00C567A6"/>
    <w:rsid w:val="00C6379E"/>
    <w:rsid w:val="00C64BFB"/>
    <w:rsid w:val="00C65B8B"/>
    <w:rsid w:val="00C762E0"/>
    <w:rsid w:val="00C77F75"/>
    <w:rsid w:val="00C84B77"/>
    <w:rsid w:val="00C859E4"/>
    <w:rsid w:val="00C85D35"/>
    <w:rsid w:val="00C85F8B"/>
    <w:rsid w:val="00C86A12"/>
    <w:rsid w:val="00C87494"/>
    <w:rsid w:val="00C87BA2"/>
    <w:rsid w:val="00C90706"/>
    <w:rsid w:val="00C908BC"/>
    <w:rsid w:val="00C90B73"/>
    <w:rsid w:val="00C91FDE"/>
    <w:rsid w:val="00C94A26"/>
    <w:rsid w:val="00C955B0"/>
    <w:rsid w:val="00C961B7"/>
    <w:rsid w:val="00C96B98"/>
    <w:rsid w:val="00C977E2"/>
    <w:rsid w:val="00C97E1C"/>
    <w:rsid w:val="00C97F04"/>
    <w:rsid w:val="00CA1651"/>
    <w:rsid w:val="00CA2959"/>
    <w:rsid w:val="00CA30A7"/>
    <w:rsid w:val="00CA39EE"/>
    <w:rsid w:val="00CA7863"/>
    <w:rsid w:val="00CB0864"/>
    <w:rsid w:val="00CB1750"/>
    <w:rsid w:val="00CB1760"/>
    <w:rsid w:val="00CB2A5C"/>
    <w:rsid w:val="00CB4379"/>
    <w:rsid w:val="00CB5696"/>
    <w:rsid w:val="00CB6E2C"/>
    <w:rsid w:val="00CB70ED"/>
    <w:rsid w:val="00CB7E5B"/>
    <w:rsid w:val="00CC0550"/>
    <w:rsid w:val="00CC237C"/>
    <w:rsid w:val="00CC2870"/>
    <w:rsid w:val="00CC4BF6"/>
    <w:rsid w:val="00CC5C7D"/>
    <w:rsid w:val="00CD0608"/>
    <w:rsid w:val="00CD1485"/>
    <w:rsid w:val="00CD1722"/>
    <w:rsid w:val="00CD20D5"/>
    <w:rsid w:val="00CD546D"/>
    <w:rsid w:val="00CD6065"/>
    <w:rsid w:val="00CD6A64"/>
    <w:rsid w:val="00CD7565"/>
    <w:rsid w:val="00CD775F"/>
    <w:rsid w:val="00CE0E20"/>
    <w:rsid w:val="00CE0F50"/>
    <w:rsid w:val="00CE170C"/>
    <w:rsid w:val="00CE3073"/>
    <w:rsid w:val="00CE3291"/>
    <w:rsid w:val="00CE3779"/>
    <w:rsid w:val="00CE5279"/>
    <w:rsid w:val="00CE61AC"/>
    <w:rsid w:val="00CE690F"/>
    <w:rsid w:val="00CE6D17"/>
    <w:rsid w:val="00CE736C"/>
    <w:rsid w:val="00CF28FB"/>
    <w:rsid w:val="00CF3B83"/>
    <w:rsid w:val="00CF3FDC"/>
    <w:rsid w:val="00CF464D"/>
    <w:rsid w:val="00CF4937"/>
    <w:rsid w:val="00CF55FA"/>
    <w:rsid w:val="00CF564C"/>
    <w:rsid w:val="00CF5966"/>
    <w:rsid w:val="00CF7E7D"/>
    <w:rsid w:val="00CF7F85"/>
    <w:rsid w:val="00D012C5"/>
    <w:rsid w:val="00D02AEB"/>
    <w:rsid w:val="00D02E08"/>
    <w:rsid w:val="00D04B37"/>
    <w:rsid w:val="00D0566F"/>
    <w:rsid w:val="00D07699"/>
    <w:rsid w:val="00D10BA2"/>
    <w:rsid w:val="00D117B7"/>
    <w:rsid w:val="00D13708"/>
    <w:rsid w:val="00D21320"/>
    <w:rsid w:val="00D2132E"/>
    <w:rsid w:val="00D21741"/>
    <w:rsid w:val="00D2284E"/>
    <w:rsid w:val="00D23689"/>
    <w:rsid w:val="00D23E85"/>
    <w:rsid w:val="00D24F6D"/>
    <w:rsid w:val="00D26EC3"/>
    <w:rsid w:val="00D321B4"/>
    <w:rsid w:val="00D340B5"/>
    <w:rsid w:val="00D343D9"/>
    <w:rsid w:val="00D35850"/>
    <w:rsid w:val="00D371FE"/>
    <w:rsid w:val="00D40E0C"/>
    <w:rsid w:val="00D416DD"/>
    <w:rsid w:val="00D42B23"/>
    <w:rsid w:val="00D44D45"/>
    <w:rsid w:val="00D46710"/>
    <w:rsid w:val="00D46831"/>
    <w:rsid w:val="00D46AE4"/>
    <w:rsid w:val="00D46D8A"/>
    <w:rsid w:val="00D47868"/>
    <w:rsid w:val="00D5023A"/>
    <w:rsid w:val="00D50394"/>
    <w:rsid w:val="00D50639"/>
    <w:rsid w:val="00D50B08"/>
    <w:rsid w:val="00D518A4"/>
    <w:rsid w:val="00D519EB"/>
    <w:rsid w:val="00D55761"/>
    <w:rsid w:val="00D55D07"/>
    <w:rsid w:val="00D57C95"/>
    <w:rsid w:val="00D57F00"/>
    <w:rsid w:val="00D6262B"/>
    <w:rsid w:val="00D634FF"/>
    <w:rsid w:val="00D63F5E"/>
    <w:rsid w:val="00D640CA"/>
    <w:rsid w:val="00D656F2"/>
    <w:rsid w:val="00D6570B"/>
    <w:rsid w:val="00D65B80"/>
    <w:rsid w:val="00D66BA2"/>
    <w:rsid w:val="00D670E3"/>
    <w:rsid w:val="00D67B80"/>
    <w:rsid w:val="00D70C6C"/>
    <w:rsid w:val="00D72288"/>
    <w:rsid w:val="00D729F7"/>
    <w:rsid w:val="00D744A8"/>
    <w:rsid w:val="00D750E3"/>
    <w:rsid w:val="00D77585"/>
    <w:rsid w:val="00D8034B"/>
    <w:rsid w:val="00D80ECF"/>
    <w:rsid w:val="00D81370"/>
    <w:rsid w:val="00D819AF"/>
    <w:rsid w:val="00D82A25"/>
    <w:rsid w:val="00D82BA0"/>
    <w:rsid w:val="00D843A8"/>
    <w:rsid w:val="00D84806"/>
    <w:rsid w:val="00D901B8"/>
    <w:rsid w:val="00D90C70"/>
    <w:rsid w:val="00D941B0"/>
    <w:rsid w:val="00D944DE"/>
    <w:rsid w:val="00D94CA5"/>
    <w:rsid w:val="00D95BA6"/>
    <w:rsid w:val="00D95C1C"/>
    <w:rsid w:val="00D961EF"/>
    <w:rsid w:val="00D9626D"/>
    <w:rsid w:val="00D97108"/>
    <w:rsid w:val="00DA0C23"/>
    <w:rsid w:val="00DA0D2E"/>
    <w:rsid w:val="00DA13D0"/>
    <w:rsid w:val="00DA1842"/>
    <w:rsid w:val="00DA4390"/>
    <w:rsid w:val="00DA4EB8"/>
    <w:rsid w:val="00DA5345"/>
    <w:rsid w:val="00DA7627"/>
    <w:rsid w:val="00DA769D"/>
    <w:rsid w:val="00DA7964"/>
    <w:rsid w:val="00DA796E"/>
    <w:rsid w:val="00DA7C68"/>
    <w:rsid w:val="00DB08CD"/>
    <w:rsid w:val="00DB0EC6"/>
    <w:rsid w:val="00DB1FE9"/>
    <w:rsid w:val="00DB3F12"/>
    <w:rsid w:val="00DB479F"/>
    <w:rsid w:val="00DB4CF7"/>
    <w:rsid w:val="00DC20AA"/>
    <w:rsid w:val="00DC22A2"/>
    <w:rsid w:val="00DC2B72"/>
    <w:rsid w:val="00DC3B69"/>
    <w:rsid w:val="00DC3D7E"/>
    <w:rsid w:val="00DC5583"/>
    <w:rsid w:val="00DC62FA"/>
    <w:rsid w:val="00DC711A"/>
    <w:rsid w:val="00DC7C3C"/>
    <w:rsid w:val="00DC7F43"/>
    <w:rsid w:val="00DD0597"/>
    <w:rsid w:val="00DD0BE7"/>
    <w:rsid w:val="00DD111D"/>
    <w:rsid w:val="00DD1F2E"/>
    <w:rsid w:val="00DD3CDE"/>
    <w:rsid w:val="00DD5945"/>
    <w:rsid w:val="00DD5BE2"/>
    <w:rsid w:val="00DD7FD3"/>
    <w:rsid w:val="00DE0DE6"/>
    <w:rsid w:val="00DE0EE4"/>
    <w:rsid w:val="00DE3869"/>
    <w:rsid w:val="00DE50D7"/>
    <w:rsid w:val="00DF0129"/>
    <w:rsid w:val="00DF0A80"/>
    <w:rsid w:val="00DF243F"/>
    <w:rsid w:val="00DF2E5F"/>
    <w:rsid w:val="00DF3626"/>
    <w:rsid w:val="00DF3E1D"/>
    <w:rsid w:val="00DF42FC"/>
    <w:rsid w:val="00DF4980"/>
    <w:rsid w:val="00DF4C6C"/>
    <w:rsid w:val="00DF62C8"/>
    <w:rsid w:val="00DF663D"/>
    <w:rsid w:val="00DF67D0"/>
    <w:rsid w:val="00DF692F"/>
    <w:rsid w:val="00DF718C"/>
    <w:rsid w:val="00DF7230"/>
    <w:rsid w:val="00DF79A9"/>
    <w:rsid w:val="00E00B11"/>
    <w:rsid w:val="00E01F79"/>
    <w:rsid w:val="00E02378"/>
    <w:rsid w:val="00E02DEE"/>
    <w:rsid w:val="00E0331D"/>
    <w:rsid w:val="00E0362A"/>
    <w:rsid w:val="00E058EA"/>
    <w:rsid w:val="00E07B24"/>
    <w:rsid w:val="00E166F8"/>
    <w:rsid w:val="00E167BC"/>
    <w:rsid w:val="00E172D2"/>
    <w:rsid w:val="00E174A4"/>
    <w:rsid w:val="00E200D1"/>
    <w:rsid w:val="00E20681"/>
    <w:rsid w:val="00E20EC8"/>
    <w:rsid w:val="00E21316"/>
    <w:rsid w:val="00E24281"/>
    <w:rsid w:val="00E24900"/>
    <w:rsid w:val="00E25252"/>
    <w:rsid w:val="00E25BB3"/>
    <w:rsid w:val="00E25EB4"/>
    <w:rsid w:val="00E26551"/>
    <w:rsid w:val="00E26EA4"/>
    <w:rsid w:val="00E27673"/>
    <w:rsid w:val="00E2768E"/>
    <w:rsid w:val="00E3153B"/>
    <w:rsid w:val="00E317BA"/>
    <w:rsid w:val="00E32B39"/>
    <w:rsid w:val="00E32FF4"/>
    <w:rsid w:val="00E34077"/>
    <w:rsid w:val="00E3443F"/>
    <w:rsid w:val="00E3512F"/>
    <w:rsid w:val="00E3545D"/>
    <w:rsid w:val="00E35965"/>
    <w:rsid w:val="00E35CE8"/>
    <w:rsid w:val="00E36521"/>
    <w:rsid w:val="00E367AD"/>
    <w:rsid w:val="00E36922"/>
    <w:rsid w:val="00E36CF9"/>
    <w:rsid w:val="00E374D4"/>
    <w:rsid w:val="00E37961"/>
    <w:rsid w:val="00E406E8"/>
    <w:rsid w:val="00E413E7"/>
    <w:rsid w:val="00E43788"/>
    <w:rsid w:val="00E45C78"/>
    <w:rsid w:val="00E46340"/>
    <w:rsid w:val="00E50235"/>
    <w:rsid w:val="00E512B7"/>
    <w:rsid w:val="00E512D5"/>
    <w:rsid w:val="00E52124"/>
    <w:rsid w:val="00E5367A"/>
    <w:rsid w:val="00E553FA"/>
    <w:rsid w:val="00E56CBF"/>
    <w:rsid w:val="00E57AD6"/>
    <w:rsid w:val="00E61674"/>
    <w:rsid w:val="00E617CC"/>
    <w:rsid w:val="00E61DF8"/>
    <w:rsid w:val="00E62819"/>
    <w:rsid w:val="00E6399D"/>
    <w:rsid w:val="00E63EE6"/>
    <w:rsid w:val="00E648A2"/>
    <w:rsid w:val="00E672F5"/>
    <w:rsid w:val="00E676ED"/>
    <w:rsid w:val="00E70DC7"/>
    <w:rsid w:val="00E7116D"/>
    <w:rsid w:val="00E71618"/>
    <w:rsid w:val="00E71C12"/>
    <w:rsid w:val="00E724EA"/>
    <w:rsid w:val="00E738E8"/>
    <w:rsid w:val="00E74DE3"/>
    <w:rsid w:val="00E77B14"/>
    <w:rsid w:val="00E8176B"/>
    <w:rsid w:val="00E81FF5"/>
    <w:rsid w:val="00E821F1"/>
    <w:rsid w:val="00E8226D"/>
    <w:rsid w:val="00E82DDE"/>
    <w:rsid w:val="00E849FE"/>
    <w:rsid w:val="00E84A53"/>
    <w:rsid w:val="00E8554A"/>
    <w:rsid w:val="00E856C6"/>
    <w:rsid w:val="00E909B4"/>
    <w:rsid w:val="00E90BE6"/>
    <w:rsid w:val="00E92D0D"/>
    <w:rsid w:val="00E92D4B"/>
    <w:rsid w:val="00E94546"/>
    <w:rsid w:val="00E94681"/>
    <w:rsid w:val="00E957F1"/>
    <w:rsid w:val="00E97177"/>
    <w:rsid w:val="00E97675"/>
    <w:rsid w:val="00EA01CB"/>
    <w:rsid w:val="00EA046B"/>
    <w:rsid w:val="00EA07DB"/>
    <w:rsid w:val="00EA1C4C"/>
    <w:rsid w:val="00EA3370"/>
    <w:rsid w:val="00EA48ED"/>
    <w:rsid w:val="00EA5760"/>
    <w:rsid w:val="00EA7493"/>
    <w:rsid w:val="00EA7BD5"/>
    <w:rsid w:val="00EB2A19"/>
    <w:rsid w:val="00EB688C"/>
    <w:rsid w:val="00EB727E"/>
    <w:rsid w:val="00EB79FE"/>
    <w:rsid w:val="00EC08E1"/>
    <w:rsid w:val="00EC0B73"/>
    <w:rsid w:val="00EC38F1"/>
    <w:rsid w:val="00EC4A9F"/>
    <w:rsid w:val="00EC6652"/>
    <w:rsid w:val="00ED1265"/>
    <w:rsid w:val="00ED2369"/>
    <w:rsid w:val="00ED2C29"/>
    <w:rsid w:val="00ED349E"/>
    <w:rsid w:val="00EE1FF3"/>
    <w:rsid w:val="00EE20FD"/>
    <w:rsid w:val="00EE250B"/>
    <w:rsid w:val="00EE7E6E"/>
    <w:rsid w:val="00EF0ACF"/>
    <w:rsid w:val="00EF2492"/>
    <w:rsid w:val="00EF2E57"/>
    <w:rsid w:val="00EF39DE"/>
    <w:rsid w:val="00EF4567"/>
    <w:rsid w:val="00EF4FA2"/>
    <w:rsid w:val="00EF54CD"/>
    <w:rsid w:val="00EF6751"/>
    <w:rsid w:val="00EF6B5D"/>
    <w:rsid w:val="00F0020C"/>
    <w:rsid w:val="00F00D2B"/>
    <w:rsid w:val="00F02AD6"/>
    <w:rsid w:val="00F042D9"/>
    <w:rsid w:val="00F04A0F"/>
    <w:rsid w:val="00F057C5"/>
    <w:rsid w:val="00F05BB0"/>
    <w:rsid w:val="00F06600"/>
    <w:rsid w:val="00F06CA4"/>
    <w:rsid w:val="00F07FAD"/>
    <w:rsid w:val="00F10017"/>
    <w:rsid w:val="00F1047A"/>
    <w:rsid w:val="00F10830"/>
    <w:rsid w:val="00F14B04"/>
    <w:rsid w:val="00F15A5D"/>
    <w:rsid w:val="00F15EE1"/>
    <w:rsid w:val="00F17F81"/>
    <w:rsid w:val="00F2214D"/>
    <w:rsid w:val="00F2395B"/>
    <w:rsid w:val="00F23D73"/>
    <w:rsid w:val="00F25EA5"/>
    <w:rsid w:val="00F305A1"/>
    <w:rsid w:val="00F3156B"/>
    <w:rsid w:val="00F34F0E"/>
    <w:rsid w:val="00F35D28"/>
    <w:rsid w:val="00F35DDD"/>
    <w:rsid w:val="00F3626F"/>
    <w:rsid w:val="00F36386"/>
    <w:rsid w:val="00F36D48"/>
    <w:rsid w:val="00F36D8F"/>
    <w:rsid w:val="00F36F10"/>
    <w:rsid w:val="00F3728E"/>
    <w:rsid w:val="00F3782B"/>
    <w:rsid w:val="00F425EB"/>
    <w:rsid w:val="00F462A3"/>
    <w:rsid w:val="00F4630B"/>
    <w:rsid w:val="00F47F75"/>
    <w:rsid w:val="00F51273"/>
    <w:rsid w:val="00F53D3D"/>
    <w:rsid w:val="00F5412E"/>
    <w:rsid w:val="00F54B02"/>
    <w:rsid w:val="00F5666D"/>
    <w:rsid w:val="00F56745"/>
    <w:rsid w:val="00F56BD5"/>
    <w:rsid w:val="00F624DE"/>
    <w:rsid w:val="00F62F6A"/>
    <w:rsid w:val="00F63433"/>
    <w:rsid w:val="00F64582"/>
    <w:rsid w:val="00F65626"/>
    <w:rsid w:val="00F65C22"/>
    <w:rsid w:val="00F66B85"/>
    <w:rsid w:val="00F66F9A"/>
    <w:rsid w:val="00F716BE"/>
    <w:rsid w:val="00F7191E"/>
    <w:rsid w:val="00F73A5E"/>
    <w:rsid w:val="00F80F31"/>
    <w:rsid w:val="00F81832"/>
    <w:rsid w:val="00F8243F"/>
    <w:rsid w:val="00F8279A"/>
    <w:rsid w:val="00F83885"/>
    <w:rsid w:val="00F840FC"/>
    <w:rsid w:val="00F84398"/>
    <w:rsid w:val="00F85898"/>
    <w:rsid w:val="00F85AF6"/>
    <w:rsid w:val="00F85D8F"/>
    <w:rsid w:val="00F86D84"/>
    <w:rsid w:val="00F9071A"/>
    <w:rsid w:val="00F90E2A"/>
    <w:rsid w:val="00F9262F"/>
    <w:rsid w:val="00F92AB2"/>
    <w:rsid w:val="00F939DC"/>
    <w:rsid w:val="00F941EB"/>
    <w:rsid w:val="00F957D5"/>
    <w:rsid w:val="00F979A3"/>
    <w:rsid w:val="00FA00E0"/>
    <w:rsid w:val="00FA05AE"/>
    <w:rsid w:val="00FA06E3"/>
    <w:rsid w:val="00FA1363"/>
    <w:rsid w:val="00FA6DC8"/>
    <w:rsid w:val="00FA7E31"/>
    <w:rsid w:val="00FB2A0A"/>
    <w:rsid w:val="00FB2CCD"/>
    <w:rsid w:val="00FB3B8D"/>
    <w:rsid w:val="00FB5245"/>
    <w:rsid w:val="00FB5B7A"/>
    <w:rsid w:val="00FC2F66"/>
    <w:rsid w:val="00FC4938"/>
    <w:rsid w:val="00FC4BE8"/>
    <w:rsid w:val="00FC71C6"/>
    <w:rsid w:val="00FC7743"/>
    <w:rsid w:val="00FC7835"/>
    <w:rsid w:val="00FC7C8D"/>
    <w:rsid w:val="00FD0096"/>
    <w:rsid w:val="00FD4711"/>
    <w:rsid w:val="00FD5970"/>
    <w:rsid w:val="00FD764F"/>
    <w:rsid w:val="00FE20A8"/>
    <w:rsid w:val="00FE29EF"/>
    <w:rsid w:val="00FE313E"/>
    <w:rsid w:val="00FE38AB"/>
    <w:rsid w:val="00FE5134"/>
    <w:rsid w:val="00FE7780"/>
    <w:rsid w:val="00FE7ED4"/>
    <w:rsid w:val="00FF06AE"/>
    <w:rsid w:val="00FF1545"/>
    <w:rsid w:val="00FF3324"/>
    <w:rsid w:val="00FF5AFA"/>
    <w:rsid w:val="00FF5C59"/>
    <w:rsid w:val="00FF6B6D"/>
    <w:rsid w:val="00FF6B79"/>
    <w:rsid w:val="00FF7AC0"/>
    <w:rsid w:val="00FF7D9B"/>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EF902A"/>
  <w15:docId w15:val="{910E1B33-3623-4748-B0CD-5545E42486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es-C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character" w:styleId="Refdecomentario">
    <w:name w:val="annotation reference"/>
    <w:basedOn w:val="Fuentedeprrafopredeter"/>
    <w:uiPriority w:val="99"/>
    <w:semiHidden/>
    <w:unhideWhenUsed/>
    <w:rsid w:val="00796828"/>
    <w:rPr>
      <w:sz w:val="16"/>
      <w:szCs w:val="16"/>
    </w:rPr>
  </w:style>
  <w:style w:type="paragraph" w:styleId="Textocomentario">
    <w:name w:val="annotation text"/>
    <w:basedOn w:val="Normal"/>
    <w:link w:val="TextocomentarioCar"/>
    <w:uiPriority w:val="99"/>
    <w:unhideWhenUsed/>
    <w:rsid w:val="00796828"/>
    <w:pPr>
      <w:spacing w:line="240" w:lineRule="auto"/>
    </w:pPr>
    <w:rPr>
      <w:sz w:val="20"/>
      <w:szCs w:val="20"/>
    </w:rPr>
  </w:style>
  <w:style w:type="character" w:customStyle="1" w:styleId="TextocomentarioCar">
    <w:name w:val="Texto comentario Car"/>
    <w:basedOn w:val="Fuentedeprrafopredeter"/>
    <w:link w:val="Textocomentario"/>
    <w:uiPriority w:val="99"/>
    <w:rsid w:val="00796828"/>
    <w:rPr>
      <w:sz w:val="20"/>
      <w:szCs w:val="20"/>
    </w:rPr>
  </w:style>
  <w:style w:type="paragraph" w:styleId="Asuntodelcomentario">
    <w:name w:val="annotation subject"/>
    <w:basedOn w:val="Textocomentario"/>
    <w:next w:val="Textocomentario"/>
    <w:link w:val="AsuntodelcomentarioCar"/>
    <w:uiPriority w:val="99"/>
    <w:semiHidden/>
    <w:unhideWhenUsed/>
    <w:rsid w:val="00796828"/>
    <w:rPr>
      <w:b/>
      <w:bCs/>
    </w:rPr>
  </w:style>
  <w:style w:type="character" w:customStyle="1" w:styleId="AsuntodelcomentarioCar">
    <w:name w:val="Asunto del comentario Car"/>
    <w:basedOn w:val="TextocomentarioCar"/>
    <w:link w:val="Asuntodelcomentario"/>
    <w:uiPriority w:val="99"/>
    <w:semiHidden/>
    <w:rsid w:val="00796828"/>
    <w:rPr>
      <w:b/>
      <w:bCs/>
      <w:sz w:val="20"/>
      <w:szCs w:val="20"/>
    </w:rPr>
  </w:style>
  <w:style w:type="paragraph" w:styleId="Textodeglobo">
    <w:name w:val="Balloon Text"/>
    <w:basedOn w:val="Normal"/>
    <w:link w:val="TextodegloboCar"/>
    <w:uiPriority w:val="99"/>
    <w:semiHidden/>
    <w:unhideWhenUsed/>
    <w:rsid w:val="0079682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6828"/>
    <w:rPr>
      <w:rFonts w:ascii="Segoe UI" w:hAnsi="Segoe UI" w:cs="Segoe UI"/>
      <w:sz w:val="18"/>
      <w:szCs w:val="18"/>
    </w:rPr>
  </w:style>
  <w:style w:type="paragraph" w:styleId="Prrafodelista">
    <w:name w:val="List Paragraph"/>
    <w:basedOn w:val="Normal"/>
    <w:uiPriority w:val="34"/>
    <w:qFormat/>
    <w:rsid w:val="00DD7D43"/>
    <w:pPr>
      <w:ind w:left="720"/>
      <w:contextualSpacing/>
    </w:p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Revisin">
    <w:name w:val="Revision"/>
    <w:hidden/>
    <w:uiPriority w:val="99"/>
    <w:semiHidden/>
    <w:rsid w:val="00213947"/>
    <w:pPr>
      <w:spacing w:after="0" w:line="240" w:lineRule="auto"/>
    </w:pPr>
  </w:style>
  <w:style w:type="table" w:styleId="Tablaconcuadrcula">
    <w:name w:val="Table Grid"/>
    <w:basedOn w:val="Tablanormal"/>
    <w:uiPriority w:val="39"/>
    <w:rsid w:val="00DC3B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E71C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E71C6"/>
  </w:style>
  <w:style w:type="paragraph" w:styleId="Piedepgina">
    <w:name w:val="footer"/>
    <w:basedOn w:val="Normal"/>
    <w:link w:val="PiedepginaCar"/>
    <w:uiPriority w:val="99"/>
    <w:unhideWhenUsed/>
    <w:rsid w:val="001E71C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E71C6"/>
  </w:style>
  <w:style w:type="character" w:styleId="Hipervnculo">
    <w:name w:val="Hyperlink"/>
    <w:basedOn w:val="Fuentedeprrafopredeter"/>
    <w:uiPriority w:val="99"/>
    <w:unhideWhenUsed/>
    <w:rsid w:val="00DB1FE9"/>
    <w:rPr>
      <w:color w:val="0563C1" w:themeColor="hyperlink"/>
      <w:u w:val="single"/>
    </w:rPr>
  </w:style>
  <w:style w:type="character" w:customStyle="1" w:styleId="Mencinsinresolver1">
    <w:name w:val="Mención sin resolver1"/>
    <w:basedOn w:val="Fuentedeprrafopredeter"/>
    <w:uiPriority w:val="99"/>
    <w:semiHidden/>
    <w:unhideWhenUsed/>
    <w:rsid w:val="00E856C6"/>
    <w:rPr>
      <w:color w:val="605E5C"/>
      <w:shd w:val="clear" w:color="auto" w:fill="E1DFDD"/>
    </w:rPr>
  </w:style>
  <w:style w:type="character" w:styleId="Hipervnculovisitado">
    <w:name w:val="FollowedHyperlink"/>
    <w:basedOn w:val="Fuentedeprrafopredeter"/>
    <w:uiPriority w:val="99"/>
    <w:semiHidden/>
    <w:unhideWhenUsed/>
    <w:rsid w:val="00E856C6"/>
    <w:rPr>
      <w:color w:val="954F72" w:themeColor="followedHyperlink"/>
      <w:u w:val="single"/>
    </w:rPr>
  </w:style>
  <w:style w:type="character" w:styleId="Nmerodelnea">
    <w:name w:val="line number"/>
    <w:basedOn w:val="Fuentedeprrafopredeter"/>
    <w:uiPriority w:val="99"/>
    <w:semiHidden/>
    <w:unhideWhenUsed/>
    <w:rsid w:val="002543C8"/>
  </w:style>
  <w:style w:type="character" w:styleId="Textodelmarcadordeposicin">
    <w:name w:val="Placeholder Text"/>
    <w:basedOn w:val="Fuentedeprrafopredeter"/>
    <w:uiPriority w:val="99"/>
    <w:semiHidden/>
    <w:rsid w:val="00940EE3"/>
    <w:rPr>
      <w:color w:val="808080"/>
    </w:rPr>
  </w:style>
  <w:style w:type="character" w:customStyle="1" w:styleId="Mencinsinresolver2">
    <w:name w:val="Mención sin resolver2"/>
    <w:basedOn w:val="Fuentedeprrafopredeter"/>
    <w:uiPriority w:val="99"/>
    <w:semiHidden/>
    <w:unhideWhenUsed/>
    <w:rsid w:val="00391631"/>
    <w:rPr>
      <w:color w:val="605E5C"/>
      <w:shd w:val="clear" w:color="auto" w:fill="E1DFDD"/>
    </w:rPr>
  </w:style>
  <w:style w:type="paragraph" w:customStyle="1" w:styleId="Default">
    <w:name w:val="Default"/>
    <w:rsid w:val="00DB479F"/>
    <w:pPr>
      <w:autoSpaceDE w:val="0"/>
      <w:autoSpaceDN w:val="0"/>
      <w:adjustRightInd w:val="0"/>
      <w:spacing w:after="0" w:line="240" w:lineRule="auto"/>
    </w:pPr>
    <w:rPr>
      <w:rFonts w:ascii="Times LT Std" w:hAnsi="Times LT Std" w:cs="Times LT Std"/>
      <w:color w:val="000000"/>
      <w:sz w:val="24"/>
      <w:szCs w:val="24"/>
      <w:lang w:val="es-CL"/>
    </w:rPr>
  </w:style>
  <w:style w:type="paragraph" w:customStyle="1" w:styleId="Pa4">
    <w:name w:val="Pa4"/>
    <w:basedOn w:val="Default"/>
    <w:next w:val="Default"/>
    <w:uiPriority w:val="99"/>
    <w:rsid w:val="00DB479F"/>
    <w:pPr>
      <w:spacing w:line="181" w:lineRule="atLeast"/>
    </w:pPr>
    <w:rPr>
      <w:rFonts w:cs="Calibri"/>
      <w:color w:val="auto"/>
    </w:rPr>
  </w:style>
  <w:style w:type="character" w:customStyle="1" w:styleId="A3">
    <w:name w:val="A3"/>
    <w:uiPriority w:val="99"/>
    <w:rsid w:val="00DB479F"/>
    <w:rPr>
      <w:rFonts w:cs="Times LT Std"/>
      <w:color w:val="000000"/>
      <w:sz w:val="10"/>
      <w:szCs w:val="10"/>
    </w:rPr>
  </w:style>
  <w:style w:type="character" w:customStyle="1" w:styleId="A5">
    <w:name w:val="A5"/>
    <w:uiPriority w:val="99"/>
    <w:rsid w:val="00DB479F"/>
    <w:rPr>
      <w:rFonts w:cs="Times LT Std"/>
      <w:color w:val="000000"/>
      <w:sz w:val="10"/>
      <w:szCs w:val="10"/>
    </w:rPr>
  </w:style>
  <w:style w:type="paragraph" w:customStyle="1" w:styleId="Pa5">
    <w:name w:val="Pa5"/>
    <w:basedOn w:val="Default"/>
    <w:next w:val="Default"/>
    <w:uiPriority w:val="99"/>
    <w:rsid w:val="00DB479F"/>
    <w:pPr>
      <w:spacing w:line="181" w:lineRule="atLeast"/>
    </w:pPr>
    <w:rPr>
      <w:rFonts w:cs="Calibri"/>
      <w:color w:val="auto"/>
    </w:rPr>
  </w:style>
  <w:style w:type="character" w:styleId="Mencinsinresolver">
    <w:name w:val="Unresolved Mention"/>
    <w:basedOn w:val="Fuentedeprrafopredeter"/>
    <w:uiPriority w:val="99"/>
    <w:semiHidden/>
    <w:unhideWhenUsed/>
    <w:rsid w:val="00CC237C"/>
    <w:rPr>
      <w:color w:val="605E5C"/>
      <w:shd w:val="clear" w:color="auto" w:fill="E1DFDD"/>
    </w:rPr>
  </w:style>
  <w:style w:type="character" w:customStyle="1" w:styleId="A8">
    <w:name w:val="A8"/>
    <w:uiPriority w:val="99"/>
    <w:rsid w:val="005B0DEC"/>
    <w:rPr>
      <w:rFonts w:cs="Helvetica LT Std"/>
      <w:b/>
      <w:bCs/>
      <w:color w:val="000000"/>
      <w:sz w:val="9"/>
      <w:szCs w:val="9"/>
    </w:rPr>
  </w:style>
  <w:style w:type="character" w:customStyle="1" w:styleId="A6">
    <w:name w:val="A6"/>
    <w:uiPriority w:val="99"/>
    <w:rsid w:val="00F9262F"/>
    <w:rPr>
      <w:rFonts w:cs="Helvetica LT Std"/>
      <w:b/>
      <w:bCs/>
      <w:color w:val="000000"/>
      <w:sz w:val="9"/>
      <w:szCs w:val="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1229361">
      <w:bodyDiv w:val="1"/>
      <w:marLeft w:val="0"/>
      <w:marRight w:val="0"/>
      <w:marTop w:val="0"/>
      <w:marBottom w:val="0"/>
      <w:divBdr>
        <w:top w:val="none" w:sz="0" w:space="0" w:color="auto"/>
        <w:left w:val="none" w:sz="0" w:space="0" w:color="auto"/>
        <w:bottom w:val="none" w:sz="0" w:space="0" w:color="auto"/>
        <w:right w:val="none" w:sz="0" w:space="0" w:color="auto"/>
      </w:divBdr>
      <w:divsChild>
        <w:div w:id="2128044262">
          <w:marLeft w:val="0"/>
          <w:marRight w:val="0"/>
          <w:marTop w:val="15"/>
          <w:marBottom w:val="0"/>
          <w:divBdr>
            <w:top w:val="single" w:sz="48" w:space="0" w:color="auto"/>
            <w:left w:val="single" w:sz="48" w:space="0" w:color="auto"/>
            <w:bottom w:val="single" w:sz="48" w:space="0" w:color="auto"/>
            <w:right w:val="single" w:sz="48" w:space="0" w:color="auto"/>
          </w:divBdr>
          <w:divsChild>
            <w:div w:id="301078286">
              <w:marLeft w:val="0"/>
              <w:marRight w:val="0"/>
              <w:marTop w:val="0"/>
              <w:marBottom w:val="0"/>
              <w:divBdr>
                <w:top w:val="none" w:sz="0" w:space="0" w:color="auto"/>
                <w:left w:val="none" w:sz="0" w:space="0" w:color="auto"/>
                <w:bottom w:val="none" w:sz="0" w:space="0" w:color="auto"/>
                <w:right w:val="none" w:sz="0" w:space="0" w:color="auto"/>
              </w:divBdr>
              <w:divsChild>
                <w:div w:id="663902375">
                  <w:marLeft w:val="0"/>
                  <w:marRight w:val="0"/>
                  <w:marTop w:val="0"/>
                  <w:marBottom w:val="0"/>
                  <w:divBdr>
                    <w:top w:val="none" w:sz="0" w:space="0" w:color="auto"/>
                    <w:left w:val="none" w:sz="0" w:space="0" w:color="auto"/>
                    <w:bottom w:val="none" w:sz="0" w:space="0" w:color="auto"/>
                    <w:right w:val="none" w:sz="0" w:space="0" w:color="auto"/>
                  </w:divBdr>
                </w:div>
                <w:div w:id="728773414">
                  <w:marLeft w:val="0"/>
                  <w:marRight w:val="0"/>
                  <w:marTop w:val="0"/>
                  <w:marBottom w:val="0"/>
                  <w:divBdr>
                    <w:top w:val="none" w:sz="0" w:space="0" w:color="auto"/>
                    <w:left w:val="none" w:sz="0" w:space="0" w:color="auto"/>
                    <w:bottom w:val="none" w:sz="0" w:space="0" w:color="auto"/>
                    <w:right w:val="none" w:sz="0" w:space="0" w:color="auto"/>
                  </w:divBdr>
                </w:div>
                <w:div w:id="1612784570">
                  <w:marLeft w:val="0"/>
                  <w:marRight w:val="0"/>
                  <w:marTop w:val="0"/>
                  <w:marBottom w:val="0"/>
                  <w:divBdr>
                    <w:top w:val="none" w:sz="0" w:space="0" w:color="auto"/>
                    <w:left w:val="none" w:sz="0" w:space="0" w:color="auto"/>
                    <w:bottom w:val="none" w:sz="0" w:space="0" w:color="auto"/>
                    <w:right w:val="none" w:sz="0" w:space="0" w:color="auto"/>
                  </w:divBdr>
                </w:div>
                <w:div w:id="720010159">
                  <w:marLeft w:val="0"/>
                  <w:marRight w:val="0"/>
                  <w:marTop w:val="0"/>
                  <w:marBottom w:val="0"/>
                  <w:divBdr>
                    <w:top w:val="none" w:sz="0" w:space="0" w:color="auto"/>
                    <w:left w:val="none" w:sz="0" w:space="0" w:color="auto"/>
                    <w:bottom w:val="none" w:sz="0" w:space="0" w:color="auto"/>
                    <w:right w:val="none" w:sz="0" w:space="0" w:color="auto"/>
                  </w:divBdr>
                </w:div>
                <w:div w:id="82607214">
                  <w:marLeft w:val="0"/>
                  <w:marRight w:val="0"/>
                  <w:marTop w:val="0"/>
                  <w:marBottom w:val="0"/>
                  <w:divBdr>
                    <w:top w:val="none" w:sz="0" w:space="0" w:color="auto"/>
                    <w:left w:val="none" w:sz="0" w:space="0" w:color="auto"/>
                    <w:bottom w:val="none" w:sz="0" w:space="0" w:color="auto"/>
                    <w:right w:val="none" w:sz="0" w:space="0" w:color="auto"/>
                  </w:divBdr>
                </w:div>
                <w:div w:id="670329598">
                  <w:marLeft w:val="0"/>
                  <w:marRight w:val="0"/>
                  <w:marTop w:val="0"/>
                  <w:marBottom w:val="0"/>
                  <w:divBdr>
                    <w:top w:val="none" w:sz="0" w:space="0" w:color="auto"/>
                    <w:left w:val="none" w:sz="0" w:space="0" w:color="auto"/>
                    <w:bottom w:val="none" w:sz="0" w:space="0" w:color="auto"/>
                    <w:right w:val="none" w:sz="0" w:space="0" w:color="auto"/>
                  </w:divBdr>
                </w:div>
                <w:div w:id="1204709458">
                  <w:marLeft w:val="0"/>
                  <w:marRight w:val="0"/>
                  <w:marTop w:val="0"/>
                  <w:marBottom w:val="0"/>
                  <w:divBdr>
                    <w:top w:val="none" w:sz="0" w:space="0" w:color="auto"/>
                    <w:left w:val="none" w:sz="0" w:space="0" w:color="auto"/>
                    <w:bottom w:val="none" w:sz="0" w:space="0" w:color="auto"/>
                    <w:right w:val="none" w:sz="0" w:space="0" w:color="auto"/>
                  </w:divBdr>
                </w:div>
                <w:div w:id="1152525173">
                  <w:marLeft w:val="0"/>
                  <w:marRight w:val="0"/>
                  <w:marTop w:val="0"/>
                  <w:marBottom w:val="0"/>
                  <w:divBdr>
                    <w:top w:val="none" w:sz="0" w:space="0" w:color="auto"/>
                    <w:left w:val="none" w:sz="0" w:space="0" w:color="auto"/>
                    <w:bottom w:val="none" w:sz="0" w:space="0" w:color="auto"/>
                    <w:right w:val="none" w:sz="0" w:space="0" w:color="auto"/>
                  </w:divBdr>
                </w:div>
                <w:div w:id="1388188988">
                  <w:marLeft w:val="0"/>
                  <w:marRight w:val="0"/>
                  <w:marTop w:val="0"/>
                  <w:marBottom w:val="0"/>
                  <w:divBdr>
                    <w:top w:val="none" w:sz="0" w:space="0" w:color="auto"/>
                    <w:left w:val="none" w:sz="0" w:space="0" w:color="auto"/>
                    <w:bottom w:val="none" w:sz="0" w:space="0" w:color="auto"/>
                    <w:right w:val="none" w:sz="0" w:space="0" w:color="auto"/>
                  </w:divBdr>
                </w:div>
                <w:div w:id="646671266">
                  <w:marLeft w:val="0"/>
                  <w:marRight w:val="0"/>
                  <w:marTop w:val="0"/>
                  <w:marBottom w:val="0"/>
                  <w:divBdr>
                    <w:top w:val="none" w:sz="0" w:space="0" w:color="auto"/>
                    <w:left w:val="none" w:sz="0" w:space="0" w:color="auto"/>
                    <w:bottom w:val="none" w:sz="0" w:space="0" w:color="auto"/>
                    <w:right w:val="none" w:sz="0" w:space="0" w:color="auto"/>
                  </w:divBdr>
                </w:div>
                <w:div w:id="1431975946">
                  <w:marLeft w:val="0"/>
                  <w:marRight w:val="0"/>
                  <w:marTop w:val="0"/>
                  <w:marBottom w:val="0"/>
                  <w:divBdr>
                    <w:top w:val="none" w:sz="0" w:space="0" w:color="auto"/>
                    <w:left w:val="none" w:sz="0" w:space="0" w:color="auto"/>
                    <w:bottom w:val="none" w:sz="0" w:space="0" w:color="auto"/>
                    <w:right w:val="none" w:sz="0" w:space="0" w:color="auto"/>
                  </w:divBdr>
                </w:div>
                <w:div w:id="1959290461">
                  <w:marLeft w:val="0"/>
                  <w:marRight w:val="0"/>
                  <w:marTop w:val="0"/>
                  <w:marBottom w:val="0"/>
                  <w:divBdr>
                    <w:top w:val="none" w:sz="0" w:space="0" w:color="auto"/>
                    <w:left w:val="none" w:sz="0" w:space="0" w:color="auto"/>
                    <w:bottom w:val="none" w:sz="0" w:space="0" w:color="auto"/>
                    <w:right w:val="none" w:sz="0" w:space="0" w:color="auto"/>
                  </w:divBdr>
                </w:div>
                <w:div w:id="596403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627687">
          <w:marLeft w:val="0"/>
          <w:marRight w:val="0"/>
          <w:marTop w:val="15"/>
          <w:marBottom w:val="0"/>
          <w:divBdr>
            <w:top w:val="single" w:sz="48" w:space="0" w:color="auto"/>
            <w:left w:val="single" w:sz="48" w:space="0" w:color="auto"/>
            <w:bottom w:val="single" w:sz="48" w:space="0" w:color="auto"/>
            <w:right w:val="single" w:sz="48" w:space="0" w:color="auto"/>
          </w:divBdr>
          <w:divsChild>
            <w:div w:id="1914701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896857">
      <w:bodyDiv w:val="1"/>
      <w:marLeft w:val="0"/>
      <w:marRight w:val="0"/>
      <w:marTop w:val="0"/>
      <w:marBottom w:val="0"/>
      <w:divBdr>
        <w:top w:val="none" w:sz="0" w:space="0" w:color="auto"/>
        <w:left w:val="none" w:sz="0" w:space="0" w:color="auto"/>
        <w:bottom w:val="none" w:sz="0" w:space="0" w:color="auto"/>
        <w:right w:val="none" w:sz="0" w:space="0" w:color="auto"/>
      </w:divBdr>
    </w:div>
    <w:div w:id="384766135">
      <w:bodyDiv w:val="1"/>
      <w:marLeft w:val="0"/>
      <w:marRight w:val="0"/>
      <w:marTop w:val="0"/>
      <w:marBottom w:val="0"/>
      <w:divBdr>
        <w:top w:val="none" w:sz="0" w:space="0" w:color="auto"/>
        <w:left w:val="none" w:sz="0" w:space="0" w:color="auto"/>
        <w:bottom w:val="none" w:sz="0" w:space="0" w:color="auto"/>
        <w:right w:val="none" w:sz="0" w:space="0" w:color="auto"/>
      </w:divBdr>
    </w:div>
    <w:div w:id="514806540">
      <w:bodyDiv w:val="1"/>
      <w:marLeft w:val="0"/>
      <w:marRight w:val="0"/>
      <w:marTop w:val="0"/>
      <w:marBottom w:val="0"/>
      <w:divBdr>
        <w:top w:val="none" w:sz="0" w:space="0" w:color="auto"/>
        <w:left w:val="none" w:sz="0" w:space="0" w:color="auto"/>
        <w:bottom w:val="none" w:sz="0" w:space="0" w:color="auto"/>
        <w:right w:val="none" w:sz="0" w:space="0" w:color="auto"/>
      </w:divBdr>
      <w:divsChild>
        <w:div w:id="25983169">
          <w:marLeft w:val="0"/>
          <w:marRight w:val="0"/>
          <w:marTop w:val="15"/>
          <w:marBottom w:val="0"/>
          <w:divBdr>
            <w:top w:val="single" w:sz="48" w:space="0" w:color="auto"/>
            <w:left w:val="single" w:sz="48" w:space="0" w:color="auto"/>
            <w:bottom w:val="single" w:sz="48" w:space="0" w:color="auto"/>
            <w:right w:val="single" w:sz="48" w:space="0" w:color="auto"/>
          </w:divBdr>
          <w:divsChild>
            <w:div w:id="711003507">
              <w:marLeft w:val="0"/>
              <w:marRight w:val="0"/>
              <w:marTop w:val="0"/>
              <w:marBottom w:val="0"/>
              <w:divBdr>
                <w:top w:val="none" w:sz="0" w:space="0" w:color="auto"/>
                <w:left w:val="none" w:sz="0" w:space="0" w:color="auto"/>
                <w:bottom w:val="none" w:sz="0" w:space="0" w:color="auto"/>
                <w:right w:val="none" w:sz="0" w:space="0" w:color="auto"/>
              </w:divBdr>
              <w:divsChild>
                <w:div w:id="970209442">
                  <w:marLeft w:val="0"/>
                  <w:marRight w:val="0"/>
                  <w:marTop w:val="0"/>
                  <w:marBottom w:val="0"/>
                  <w:divBdr>
                    <w:top w:val="none" w:sz="0" w:space="0" w:color="auto"/>
                    <w:left w:val="none" w:sz="0" w:space="0" w:color="auto"/>
                    <w:bottom w:val="none" w:sz="0" w:space="0" w:color="auto"/>
                    <w:right w:val="none" w:sz="0" w:space="0" w:color="auto"/>
                  </w:divBdr>
                </w:div>
                <w:div w:id="672532004">
                  <w:marLeft w:val="0"/>
                  <w:marRight w:val="0"/>
                  <w:marTop w:val="0"/>
                  <w:marBottom w:val="0"/>
                  <w:divBdr>
                    <w:top w:val="none" w:sz="0" w:space="0" w:color="auto"/>
                    <w:left w:val="none" w:sz="0" w:space="0" w:color="auto"/>
                    <w:bottom w:val="none" w:sz="0" w:space="0" w:color="auto"/>
                    <w:right w:val="none" w:sz="0" w:space="0" w:color="auto"/>
                  </w:divBdr>
                </w:div>
                <w:div w:id="348071799">
                  <w:marLeft w:val="0"/>
                  <w:marRight w:val="0"/>
                  <w:marTop w:val="0"/>
                  <w:marBottom w:val="0"/>
                  <w:divBdr>
                    <w:top w:val="none" w:sz="0" w:space="0" w:color="auto"/>
                    <w:left w:val="none" w:sz="0" w:space="0" w:color="auto"/>
                    <w:bottom w:val="none" w:sz="0" w:space="0" w:color="auto"/>
                    <w:right w:val="none" w:sz="0" w:space="0" w:color="auto"/>
                  </w:divBdr>
                </w:div>
                <w:div w:id="158229052">
                  <w:marLeft w:val="0"/>
                  <w:marRight w:val="0"/>
                  <w:marTop w:val="0"/>
                  <w:marBottom w:val="0"/>
                  <w:divBdr>
                    <w:top w:val="none" w:sz="0" w:space="0" w:color="auto"/>
                    <w:left w:val="none" w:sz="0" w:space="0" w:color="auto"/>
                    <w:bottom w:val="none" w:sz="0" w:space="0" w:color="auto"/>
                    <w:right w:val="none" w:sz="0" w:space="0" w:color="auto"/>
                  </w:divBdr>
                </w:div>
                <w:div w:id="937710611">
                  <w:marLeft w:val="0"/>
                  <w:marRight w:val="0"/>
                  <w:marTop w:val="0"/>
                  <w:marBottom w:val="0"/>
                  <w:divBdr>
                    <w:top w:val="none" w:sz="0" w:space="0" w:color="auto"/>
                    <w:left w:val="none" w:sz="0" w:space="0" w:color="auto"/>
                    <w:bottom w:val="none" w:sz="0" w:space="0" w:color="auto"/>
                    <w:right w:val="none" w:sz="0" w:space="0" w:color="auto"/>
                  </w:divBdr>
                </w:div>
                <w:div w:id="19009972">
                  <w:marLeft w:val="0"/>
                  <w:marRight w:val="0"/>
                  <w:marTop w:val="0"/>
                  <w:marBottom w:val="0"/>
                  <w:divBdr>
                    <w:top w:val="none" w:sz="0" w:space="0" w:color="auto"/>
                    <w:left w:val="none" w:sz="0" w:space="0" w:color="auto"/>
                    <w:bottom w:val="none" w:sz="0" w:space="0" w:color="auto"/>
                    <w:right w:val="none" w:sz="0" w:space="0" w:color="auto"/>
                  </w:divBdr>
                </w:div>
                <w:div w:id="1075590443">
                  <w:marLeft w:val="0"/>
                  <w:marRight w:val="0"/>
                  <w:marTop w:val="0"/>
                  <w:marBottom w:val="0"/>
                  <w:divBdr>
                    <w:top w:val="none" w:sz="0" w:space="0" w:color="auto"/>
                    <w:left w:val="none" w:sz="0" w:space="0" w:color="auto"/>
                    <w:bottom w:val="none" w:sz="0" w:space="0" w:color="auto"/>
                    <w:right w:val="none" w:sz="0" w:space="0" w:color="auto"/>
                  </w:divBdr>
                </w:div>
                <w:div w:id="1093940755">
                  <w:marLeft w:val="0"/>
                  <w:marRight w:val="0"/>
                  <w:marTop w:val="0"/>
                  <w:marBottom w:val="0"/>
                  <w:divBdr>
                    <w:top w:val="none" w:sz="0" w:space="0" w:color="auto"/>
                    <w:left w:val="none" w:sz="0" w:space="0" w:color="auto"/>
                    <w:bottom w:val="none" w:sz="0" w:space="0" w:color="auto"/>
                    <w:right w:val="none" w:sz="0" w:space="0" w:color="auto"/>
                  </w:divBdr>
                </w:div>
                <w:div w:id="503515371">
                  <w:marLeft w:val="0"/>
                  <w:marRight w:val="0"/>
                  <w:marTop w:val="0"/>
                  <w:marBottom w:val="0"/>
                  <w:divBdr>
                    <w:top w:val="none" w:sz="0" w:space="0" w:color="auto"/>
                    <w:left w:val="none" w:sz="0" w:space="0" w:color="auto"/>
                    <w:bottom w:val="none" w:sz="0" w:space="0" w:color="auto"/>
                    <w:right w:val="none" w:sz="0" w:space="0" w:color="auto"/>
                  </w:divBdr>
                </w:div>
                <w:div w:id="919365190">
                  <w:marLeft w:val="0"/>
                  <w:marRight w:val="0"/>
                  <w:marTop w:val="0"/>
                  <w:marBottom w:val="0"/>
                  <w:divBdr>
                    <w:top w:val="none" w:sz="0" w:space="0" w:color="auto"/>
                    <w:left w:val="none" w:sz="0" w:space="0" w:color="auto"/>
                    <w:bottom w:val="none" w:sz="0" w:space="0" w:color="auto"/>
                    <w:right w:val="none" w:sz="0" w:space="0" w:color="auto"/>
                  </w:divBdr>
                </w:div>
                <w:div w:id="801079240">
                  <w:marLeft w:val="0"/>
                  <w:marRight w:val="0"/>
                  <w:marTop w:val="0"/>
                  <w:marBottom w:val="0"/>
                  <w:divBdr>
                    <w:top w:val="none" w:sz="0" w:space="0" w:color="auto"/>
                    <w:left w:val="none" w:sz="0" w:space="0" w:color="auto"/>
                    <w:bottom w:val="none" w:sz="0" w:space="0" w:color="auto"/>
                    <w:right w:val="none" w:sz="0" w:space="0" w:color="auto"/>
                  </w:divBdr>
                </w:div>
                <w:div w:id="1022048639">
                  <w:marLeft w:val="0"/>
                  <w:marRight w:val="0"/>
                  <w:marTop w:val="0"/>
                  <w:marBottom w:val="0"/>
                  <w:divBdr>
                    <w:top w:val="none" w:sz="0" w:space="0" w:color="auto"/>
                    <w:left w:val="none" w:sz="0" w:space="0" w:color="auto"/>
                    <w:bottom w:val="none" w:sz="0" w:space="0" w:color="auto"/>
                    <w:right w:val="none" w:sz="0" w:space="0" w:color="auto"/>
                  </w:divBdr>
                </w:div>
                <w:div w:id="127863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042504">
          <w:marLeft w:val="0"/>
          <w:marRight w:val="0"/>
          <w:marTop w:val="15"/>
          <w:marBottom w:val="0"/>
          <w:divBdr>
            <w:top w:val="single" w:sz="48" w:space="0" w:color="auto"/>
            <w:left w:val="single" w:sz="48" w:space="0" w:color="auto"/>
            <w:bottom w:val="single" w:sz="48" w:space="0" w:color="auto"/>
            <w:right w:val="single" w:sz="48" w:space="0" w:color="auto"/>
          </w:divBdr>
          <w:divsChild>
            <w:div w:id="660428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5870769">
      <w:bodyDiv w:val="1"/>
      <w:marLeft w:val="0"/>
      <w:marRight w:val="0"/>
      <w:marTop w:val="0"/>
      <w:marBottom w:val="0"/>
      <w:divBdr>
        <w:top w:val="none" w:sz="0" w:space="0" w:color="auto"/>
        <w:left w:val="none" w:sz="0" w:space="0" w:color="auto"/>
        <w:bottom w:val="none" w:sz="0" w:space="0" w:color="auto"/>
        <w:right w:val="none" w:sz="0" w:space="0" w:color="auto"/>
      </w:divBdr>
      <w:divsChild>
        <w:div w:id="977955875">
          <w:marLeft w:val="0"/>
          <w:marRight w:val="0"/>
          <w:marTop w:val="0"/>
          <w:marBottom w:val="0"/>
          <w:divBdr>
            <w:top w:val="none" w:sz="0" w:space="0" w:color="auto"/>
            <w:left w:val="none" w:sz="0" w:space="0" w:color="auto"/>
            <w:bottom w:val="none" w:sz="0" w:space="0" w:color="auto"/>
            <w:right w:val="none" w:sz="0" w:space="0" w:color="auto"/>
          </w:divBdr>
        </w:div>
        <w:div w:id="322708141">
          <w:marLeft w:val="0"/>
          <w:marRight w:val="0"/>
          <w:marTop w:val="0"/>
          <w:marBottom w:val="0"/>
          <w:divBdr>
            <w:top w:val="none" w:sz="0" w:space="0" w:color="auto"/>
            <w:left w:val="none" w:sz="0" w:space="0" w:color="auto"/>
            <w:bottom w:val="none" w:sz="0" w:space="0" w:color="auto"/>
            <w:right w:val="none" w:sz="0" w:space="0" w:color="auto"/>
          </w:divBdr>
        </w:div>
      </w:divsChild>
    </w:div>
    <w:div w:id="1959292910">
      <w:bodyDiv w:val="1"/>
      <w:marLeft w:val="0"/>
      <w:marRight w:val="0"/>
      <w:marTop w:val="0"/>
      <w:marBottom w:val="0"/>
      <w:divBdr>
        <w:top w:val="none" w:sz="0" w:space="0" w:color="auto"/>
        <w:left w:val="none" w:sz="0" w:space="0" w:color="auto"/>
        <w:bottom w:val="none" w:sz="0" w:space="0" w:color="auto"/>
        <w:right w:val="none" w:sz="0" w:space="0" w:color="auto"/>
      </w:divBdr>
      <w:divsChild>
        <w:div w:id="547188448">
          <w:marLeft w:val="0"/>
          <w:marRight w:val="0"/>
          <w:marTop w:val="0"/>
          <w:marBottom w:val="0"/>
          <w:divBdr>
            <w:top w:val="none" w:sz="0" w:space="0" w:color="auto"/>
            <w:left w:val="none" w:sz="0" w:space="0" w:color="auto"/>
            <w:bottom w:val="none" w:sz="0" w:space="0" w:color="auto"/>
            <w:right w:val="none" w:sz="0" w:space="0" w:color="auto"/>
          </w:divBdr>
        </w:div>
        <w:div w:id="608659119">
          <w:marLeft w:val="0"/>
          <w:marRight w:val="0"/>
          <w:marTop w:val="0"/>
          <w:marBottom w:val="0"/>
          <w:divBdr>
            <w:top w:val="none" w:sz="0" w:space="0" w:color="auto"/>
            <w:left w:val="none" w:sz="0" w:space="0" w:color="auto"/>
            <w:bottom w:val="none" w:sz="0" w:space="0" w:color="auto"/>
            <w:right w:val="none" w:sz="0" w:space="0" w:color="auto"/>
          </w:divBdr>
        </w:div>
      </w:divsChild>
    </w:div>
    <w:div w:id="2107655264">
      <w:bodyDiv w:val="1"/>
      <w:marLeft w:val="0"/>
      <w:marRight w:val="0"/>
      <w:marTop w:val="0"/>
      <w:marBottom w:val="0"/>
      <w:divBdr>
        <w:top w:val="none" w:sz="0" w:space="0" w:color="auto"/>
        <w:left w:val="none" w:sz="0" w:space="0" w:color="auto"/>
        <w:bottom w:val="none" w:sz="0" w:space="0" w:color="auto"/>
        <w:right w:val="none" w:sz="0" w:space="0" w:color="auto"/>
      </w:divBdr>
      <w:divsChild>
        <w:div w:id="605386352">
          <w:marLeft w:val="0"/>
          <w:marRight w:val="0"/>
          <w:marTop w:val="15"/>
          <w:marBottom w:val="0"/>
          <w:divBdr>
            <w:top w:val="single" w:sz="48" w:space="0" w:color="auto"/>
            <w:left w:val="single" w:sz="48" w:space="0" w:color="auto"/>
            <w:bottom w:val="single" w:sz="48" w:space="0" w:color="auto"/>
            <w:right w:val="single" w:sz="48" w:space="0" w:color="auto"/>
          </w:divBdr>
          <w:divsChild>
            <w:div w:id="659430663">
              <w:marLeft w:val="0"/>
              <w:marRight w:val="0"/>
              <w:marTop w:val="0"/>
              <w:marBottom w:val="0"/>
              <w:divBdr>
                <w:top w:val="none" w:sz="0" w:space="0" w:color="auto"/>
                <w:left w:val="none" w:sz="0" w:space="0" w:color="auto"/>
                <w:bottom w:val="none" w:sz="0" w:space="0" w:color="auto"/>
                <w:right w:val="none" w:sz="0" w:space="0" w:color="auto"/>
              </w:divBdr>
              <w:divsChild>
                <w:div w:id="89278070">
                  <w:marLeft w:val="0"/>
                  <w:marRight w:val="0"/>
                  <w:marTop w:val="0"/>
                  <w:marBottom w:val="0"/>
                  <w:divBdr>
                    <w:top w:val="none" w:sz="0" w:space="0" w:color="auto"/>
                    <w:left w:val="none" w:sz="0" w:space="0" w:color="auto"/>
                    <w:bottom w:val="none" w:sz="0" w:space="0" w:color="auto"/>
                    <w:right w:val="none" w:sz="0" w:space="0" w:color="auto"/>
                  </w:divBdr>
                </w:div>
                <w:div w:id="1167592378">
                  <w:marLeft w:val="0"/>
                  <w:marRight w:val="0"/>
                  <w:marTop w:val="0"/>
                  <w:marBottom w:val="0"/>
                  <w:divBdr>
                    <w:top w:val="none" w:sz="0" w:space="0" w:color="auto"/>
                    <w:left w:val="none" w:sz="0" w:space="0" w:color="auto"/>
                    <w:bottom w:val="none" w:sz="0" w:space="0" w:color="auto"/>
                    <w:right w:val="none" w:sz="0" w:space="0" w:color="auto"/>
                  </w:divBdr>
                </w:div>
                <w:div w:id="1511408199">
                  <w:marLeft w:val="0"/>
                  <w:marRight w:val="0"/>
                  <w:marTop w:val="0"/>
                  <w:marBottom w:val="0"/>
                  <w:divBdr>
                    <w:top w:val="none" w:sz="0" w:space="0" w:color="auto"/>
                    <w:left w:val="none" w:sz="0" w:space="0" w:color="auto"/>
                    <w:bottom w:val="none" w:sz="0" w:space="0" w:color="auto"/>
                    <w:right w:val="none" w:sz="0" w:space="0" w:color="auto"/>
                  </w:divBdr>
                </w:div>
                <w:div w:id="852568886">
                  <w:marLeft w:val="0"/>
                  <w:marRight w:val="0"/>
                  <w:marTop w:val="0"/>
                  <w:marBottom w:val="0"/>
                  <w:divBdr>
                    <w:top w:val="none" w:sz="0" w:space="0" w:color="auto"/>
                    <w:left w:val="none" w:sz="0" w:space="0" w:color="auto"/>
                    <w:bottom w:val="none" w:sz="0" w:space="0" w:color="auto"/>
                    <w:right w:val="none" w:sz="0" w:space="0" w:color="auto"/>
                  </w:divBdr>
                </w:div>
                <w:div w:id="1233856328">
                  <w:marLeft w:val="0"/>
                  <w:marRight w:val="0"/>
                  <w:marTop w:val="0"/>
                  <w:marBottom w:val="0"/>
                  <w:divBdr>
                    <w:top w:val="none" w:sz="0" w:space="0" w:color="auto"/>
                    <w:left w:val="none" w:sz="0" w:space="0" w:color="auto"/>
                    <w:bottom w:val="none" w:sz="0" w:space="0" w:color="auto"/>
                    <w:right w:val="none" w:sz="0" w:space="0" w:color="auto"/>
                  </w:divBdr>
                </w:div>
                <w:div w:id="288324864">
                  <w:marLeft w:val="0"/>
                  <w:marRight w:val="0"/>
                  <w:marTop w:val="0"/>
                  <w:marBottom w:val="0"/>
                  <w:divBdr>
                    <w:top w:val="none" w:sz="0" w:space="0" w:color="auto"/>
                    <w:left w:val="none" w:sz="0" w:space="0" w:color="auto"/>
                    <w:bottom w:val="none" w:sz="0" w:space="0" w:color="auto"/>
                    <w:right w:val="none" w:sz="0" w:space="0" w:color="auto"/>
                  </w:divBdr>
                </w:div>
                <w:div w:id="457334101">
                  <w:marLeft w:val="0"/>
                  <w:marRight w:val="0"/>
                  <w:marTop w:val="0"/>
                  <w:marBottom w:val="0"/>
                  <w:divBdr>
                    <w:top w:val="none" w:sz="0" w:space="0" w:color="auto"/>
                    <w:left w:val="none" w:sz="0" w:space="0" w:color="auto"/>
                    <w:bottom w:val="none" w:sz="0" w:space="0" w:color="auto"/>
                    <w:right w:val="none" w:sz="0" w:space="0" w:color="auto"/>
                  </w:divBdr>
                </w:div>
                <w:div w:id="495649960">
                  <w:marLeft w:val="0"/>
                  <w:marRight w:val="0"/>
                  <w:marTop w:val="0"/>
                  <w:marBottom w:val="0"/>
                  <w:divBdr>
                    <w:top w:val="none" w:sz="0" w:space="0" w:color="auto"/>
                    <w:left w:val="none" w:sz="0" w:space="0" w:color="auto"/>
                    <w:bottom w:val="none" w:sz="0" w:space="0" w:color="auto"/>
                    <w:right w:val="none" w:sz="0" w:space="0" w:color="auto"/>
                  </w:divBdr>
                </w:div>
                <w:div w:id="448814445">
                  <w:marLeft w:val="0"/>
                  <w:marRight w:val="0"/>
                  <w:marTop w:val="0"/>
                  <w:marBottom w:val="0"/>
                  <w:divBdr>
                    <w:top w:val="none" w:sz="0" w:space="0" w:color="auto"/>
                    <w:left w:val="none" w:sz="0" w:space="0" w:color="auto"/>
                    <w:bottom w:val="none" w:sz="0" w:space="0" w:color="auto"/>
                    <w:right w:val="none" w:sz="0" w:space="0" w:color="auto"/>
                  </w:divBdr>
                </w:div>
                <w:div w:id="1242519065">
                  <w:marLeft w:val="0"/>
                  <w:marRight w:val="0"/>
                  <w:marTop w:val="0"/>
                  <w:marBottom w:val="0"/>
                  <w:divBdr>
                    <w:top w:val="none" w:sz="0" w:space="0" w:color="auto"/>
                    <w:left w:val="none" w:sz="0" w:space="0" w:color="auto"/>
                    <w:bottom w:val="none" w:sz="0" w:space="0" w:color="auto"/>
                    <w:right w:val="none" w:sz="0" w:space="0" w:color="auto"/>
                  </w:divBdr>
                </w:div>
                <w:div w:id="198863457">
                  <w:marLeft w:val="0"/>
                  <w:marRight w:val="0"/>
                  <w:marTop w:val="0"/>
                  <w:marBottom w:val="0"/>
                  <w:divBdr>
                    <w:top w:val="none" w:sz="0" w:space="0" w:color="auto"/>
                    <w:left w:val="none" w:sz="0" w:space="0" w:color="auto"/>
                    <w:bottom w:val="none" w:sz="0" w:space="0" w:color="auto"/>
                    <w:right w:val="none" w:sz="0" w:space="0" w:color="auto"/>
                  </w:divBdr>
                </w:div>
                <w:div w:id="865364685">
                  <w:marLeft w:val="0"/>
                  <w:marRight w:val="0"/>
                  <w:marTop w:val="0"/>
                  <w:marBottom w:val="0"/>
                  <w:divBdr>
                    <w:top w:val="none" w:sz="0" w:space="0" w:color="auto"/>
                    <w:left w:val="none" w:sz="0" w:space="0" w:color="auto"/>
                    <w:bottom w:val="none" w:sz="0" w:space="0" w:color="auto"/>
                    <w:right w:val="none" w:sz="0" w:space="0" w:color="auto"/>
                  </w:divBdr>
                </w:div>
                <w:div w:id="1555652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857088">
          <w:marLeft w:val="0"/>
          <w:marRight w:val="0"/>
          <w:marTop w:val="15"/>
          <w:marBottom w:val="0"/>
          <w:divBdr>
            <w:top w:val="single" w:sz="48" w:space="0" w:color="auto"/>
            <w:left w:val="single" w:sz="48" w:space="0" w:color="auto"/>
            <w:bottom w:val="single" w:sz="48" w:space="0" w:color="auto"/>
            <w:right w:val="single" w:sz="48" w:space="0" w:color="auto"/>
          </w:divBdr>
          <w:divsChild>
            <w:div w:id="131656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2V5krNmFnb4RQyFOjs6v7s7YdYg==">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F51EC05-BEE7-4BB8-AAFF-C9A7EB2DAE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19</Pages>
  <Words>3930</Words>
  <Characters>21618</Characters>
  <Application>Microsoft Office Word</Application>
  <DocSecurity>0</DocSecurity>
  <Lines>180</Lines>
  <Paragraphs>50</Paragraphs>
  <ScaleCrop>false</ScaleCrop>
  <HeadingPairs>
    <vt:vector size="6" baseType="variant">
      <vt:variant>
        <vt:lpstr>Título</vt:lpstr>
      </vt:variant>
      <vt:variant>
        <vt:i4>1</vt:i4>
      </vt:variant>
      <vt:variant>
        <vt:lpstr>Title</vt:lpstr>
      </vt:variant>
      <vt:variant>
        <vt:i4>1</vt:i4>
      </vt:variant>
      <vt:variant>
        <vt:lpstr>Titolo</vt:lpstr>
      </vt:variant>
      <vt:variant>
        <vt:i4>1</vt:i4>
      </vt:variant>
    </vt:vector>
  </HeadingPairs>
  <TitlesOfParts>
    <vt:vector size="3" baseType="lpstr">
      <vt:lpstr/>
      <vt:lpstr/>
      <vt:lpstr/>
    </vt:vector>
  </TitlesOfParts>
  <Company>Hewlett-Packard</Company>
  <LinksUpToDate>false</LinksUpToDate>
  <CharactersWithSpaces>25498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Matías Clunes</dc:creator>
  <cp:lastModifiedBy>Matías Clunes Squella</cp:lastModifiedBy>
  <cp:revision>3</cp:revision>
  <cp:lastPrinted>2022-10-14T19:33:00Z</cp:lastPrinted>
  <dcterms:created xsi:type="dcterms:W3CDTF">2023-02-13T18:21:00Z</dcterms:created>
  <dcterms:modified xsi:type="dcterms:W3CDTF">2023-02-13T18:23:00Z</dcterms:modified>
</cp:coreProperties>
</file>